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337CD" w14:textId="77777777" w:rsidR="006E06C6" w:rsidRPr="00452D32" w:rsidRDefault="6E1413D6" w:rsidP="00B723BE">
      <w:r w:rsidRPr="00452D32">
        <w:rPr>
          <w:noProof/>
        </w:rPr>
        <w:drawing>
          <wp:inline distT="0" distB="0" distL="0" distR="0" wp14:anchorId="11E64018" wp14:editId="36013D9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0808405" w14:textId="77777777" w:rsidR="00B723BE" w:rsidRPr="00452D32" w:rsidRDefault="00FC1FCE" w:rsidP="00B723BE">
      <w:pPr>
        <w:jc w:val="right"/>
      </w:pPr>
      <w:r w:rsidRPr="00452D32">
        <w:t>California Department of Education</w:t>
      </w:r>
    </w:p>
    <w:p w14:paraId="0D5597C6" w14:textId="77777777" w:rsidR="00B723BE" w:rsidRPr="00452D32" w:rsidRDefault="00FC1FCE" w:rsidP="00B723BE">
      <w:pPr>
        <w:jc w:val="right"/>
      </w:pPr>
      <w:r w:rsidRPr="00452D32">
        <w:t>Executive Office</w:t>
      </w:r>
    </w:p>
    <w:p w14:paraId="27AC4665" w14:textId="77777777" w:rsidR="002B4B14" w:rsidRPr="00452D32" w:rsidRDefault="00692300" w:rsidP="00B723BE">
      <w:pPr>
        <w:jc w:val="right"/>
      </w:pPr>
      <w:r w:rsidRPr="00452D32">
        <w:t>SBE-00</w:t>
      </w:r>
      <w:r w:rsidR="000324AD" w:rsidRPr="00452D32">
        <w:t>3</w:t>
      </w:r>
      <w:r w:rsidRPr="00452D32">
        <w:t xml:space="preserve"> (REV. 1</w:t>
      </w:r>
      <w:r w:rsidR="00C27D57" w:rsidRPr="00452D32">
        <w:t>1</w:t>
      </w:r>
      <w:r w:rsidRPr="00452D32">
        <w:t>/2017</w:t>
      </w:r>
      <w:r w:rsidR="00FC1FCE" w:rsidRPr="00452D32">
        <w:t>)</w:t>
      </w:r>
    </w:p>
    <w:p w14:paraId="171564C4" w14:textId="70BD280A" w:rsidR="00B723BE" w:rsidRPr="00452D32" w:rsidRDefault="00C52C7C" w:rsidP="00B723BE">
      <w:pPr>
        <w:jc w:val="right"/>
      </w:pPr>
      <w:r w:rsidRPr="00452D32">
        <w:t>im</w:t>
      </w:r>
      <w:r w:rsidR="00BD3A62" w:rsidRPr="00452D32">
        <w:t>b-adad-</w:t>
      </w:r>
      <w:r w:rsidRPr="00452D32">
        <w:t>nov20</w:t>
      </w:r>
      <w:r w:rsidR="00137CD6" w:rsidRPr="00452D32">
        <w:t>i</w:t>
      </w:r>
      <w:r w:rsidR="00DF1C16" w:rsidRPr="00452D32">
        <w:t>tem02</w:t>
      </w:r>
    </w:p>
    <w:p w14:paraId="2AC75F0A" w14:textId="77777777" w:rsidR="00B723BE" w:rsidRPr="00452D32" w:rsidRDefault="00B723BE" w:rsidP="00FC1FCE">
      <w:pPr>
        <w:pStyle w:val="Heading1"/>
        <w:jc w:val="center"/>
        <w:rPr>
          <w:sz w:val="40"/>
          <w:szCs w:val="40"/>
        </w:rPr>
        <w:sectPr w:rsidR="00B723BE" w:rsidRPr="00452D32" w:rsidSect="00C82CBA">
          <w:headerReference w:type="default" r:id="rId12"/>
          <w:type w:val="continuous"/>
          <w:pgSz w:w="12240" w:h="15840"/>
          <w:pgMar w:top="720" w:right="1440" w:bottom="1440" w:left="1440" w:header="720" w:footer="720" w:gutter="0"/>
          <w:cols w:num="2" w:space="720"/>
          <w:titlePg/>
          <w:docGrid w:linePitch="360"/>
        </w:sectPr>
      </w:pPr>
    </w:p>
    <w:p w14:paraId="3D95C013" w14:textId="77777777" w:rsidR="006E06C6" w:rsidRPr="00452D32" w:rsidRDefault="006E06C6" w:rsidP="00FC1FCE">
      <w:pPr>
        <w:pStyle w:val="Heading1"/>
        <w:jc w:val="center"/>
        <w:rPr>
          <w:sz w:val="40"/>
          <w:szCs w:val="40"/>
        </w:rPr>
        <w:sectPr w:rsidR="006E06C6" w:rsidRPr="00452D32" w:rsidSect="0091117B">
          <w:type w:val="continuous"/>
          <w:pgSz w:w="12240" w:h="15840"/>
          <w:pgMar w:top="720" w:right="1440" w:bottom="1440" w:left="1440" w:header="720" w:footer="720" w:gutter="0"/>
          <w:cols w:space="720"/>
          <w:docGrid w:linePitch="360"/>
        </w:sectPr>
      </w:pPr>
    </w:p>
    <w:p w14:paraId="34F670A5" w14:textId="4F1BCECD" w:rsidR="00FC1FCE" w:rsidRPr="00452D32" w:rsidRDefault="0091117B" w:rsidP="002B4B14">
      <w:pPr>
        <w:pStyle w:val="Heading1"/>
        <w:spacing w:before="240" w:after="240"/>
        <w:jc w:val="center"/>
        <w:rPr>
          <w:sz w:val="40"/>
          <w:szCs w:val="40"/>
        </w:rPr>
      </w:pPr>
      <w:r w:rsidRPr="00452D32">
        <w:rPr>
          <w:sz w:val="40"/>
          <w:szCs w:val="40"/>
        </w:rPr>
        <w:t>Californ</w:t>
      </w:r>
      <w:r w:rsidR="00693951" w:rsidRPr="00452D32">
        <w:rPr>
          <w:sz w:val="40"/>
          <w:szCs w:val="40"/>
        </w:rPr>
        <w:t>ia State Board of Education</w:t>
      </w:r>
      <w:r w:rsidR="00693951" w:rsidRPr="00452D32">
        <w:rPr>
          <w:sz w:val="40"/>
          <w:szCs w:val="40"/>
        </w:rPr>
        <w:br/>
      </w:r>
      <w:r w:rsidR="00C52C7C" w:rsidRPr="00452D32">
        <w:rPr>
          <w:sz w:val="40"/>
          <w:szCs w:val="40"/>
        </w:rPr>
        <w:t>Nov</w:t>
      </w:r>
      <w:r w:rsidR="001E277B" w:rsidRPr="00452D32">
        <w:rPr>
          <w:sz w:val="40"/>
          <w:szCs w:val="40"/>
        </w:rPr>
        <w:t>ember 20</w:t>
      </w:r>
      <w:r w:rsidR="00C52C7C" w:rsidRPr="00452D32">
        <w:rPr>
          <w:sz w:val="40"/>
          <w:szCs w:val="40"/>
        </w:rPr>
        <w:t>20</w:t>
      </w:r>
      <w:r w:rsidRPr="00452D32">
        <w:rPr>
          <w:sz w:val="40"/>
          <w:szCs w:val="40"/>
        </w:rPr>
        <w:t xml:space="preserve"> Agenda</w:t>
      </w:r>
      <w:r w:rsidR="00FC1FCE" w:rsidRPr="00452D32">
        <w:rPr>
          <w:sz w:val="40"/>
          <w:szCs w:val="40"/>
        </w:rPr>
        <w:br/>
        <w:t>Item</w:t>
      </w:r>
      <w:r w:rsidR="00692300" w:rsidRPr="00452D32">
        <w:rPr>
          <w:sz w:val="40"/>
          <w:szCs w:val="40"/>
        </w:rPr>
        <w:t xml:space="preserve"> </w:t>
      </w:r>
      <w:r w:rsidR="00431A8F" w:rsidRPr="00452D32">
        <w:rPr>
          <w:sz w:val="40"/>
          <w:szCs w:val="40"/>
        </w:rPr>
        <w:t>#</w:t>
      </w:r>
      <w:r w:rsidR="00194DB0">
        <w:rPr>
          <w:sz w:val="40"/>
          <w:szCs w:val="40"/>
        </w:rPr>
        <w:t>06</w:t>
      </w:r>
      <w:bookmarkStart w:id="0" w:name="_GoBack"/>
      <w:bookmarkEnd w:id="0"/>
    </w:p>
    <w:p w14:paraId="6D4C3850" w14:textId="77777777" w:rsidR="00FC1FCE" w:rsidRPr="00452D32" w:rsidRDefault="00FC1FCE" w:rsidP="002B4B14">
      <w:pPr>
        <w:pStyle w:val="Heading2"/>
        <w:spacing w:before="240" w:after="240"/>
        <w:rPr>
          <w:sz w:val="36"/>
          <w:szCs w:val="36"/>
        </w:rPr>
      </w:pPr>
      <w:r w:rsidRPr="00452D32">
        <w:rPr>
          <w:sz w:val="36"/>
          <w:szCs w:val="36"/>
        </w:rPr>
        <w:t>Subject</w:t>
      </w:r>
    </w:p>
    <w:p w14:paraId="606A083E" w14:textId="28C82D17" w:rsidR="007B5EA7" w:rsidRPr="00452D32" w:rsidRDefault="007B5EA7" w:rsidP="2574BAD5">
      <w:pPr>
        <w:spacing w:after="480"/>
        <w:rPr>
          <w:b/>
          <w:bCs/>
        </w:rPr>
      </w:pPr>
      <w:r w:rsidRPr="00452D32">
        <w:t>California Assessment of Student Performance and Progress System and English Language Proficiency Assessments for California: Determination of the Release of Up to 10 Percent Withheld for the 20</w:t>
      </w:r>
      <w:r w:rsidR="007B0073" w:rsidRPr="00452D32">
        <w:t>19</w:t>
      </w:r>
      <w:r w:rsidRPr="00452D32">
        <w:t>–</w:t>
      </w:r>
      <w:r w:rsidR="007B0073" w:rsidRPr="00452D32">
        <w:t>20</w:t>
      </w:r>
      <w:r w:rsidR="006B4890" w:rsidRPr="00452D32">
        <w:t>20</w:t>
      </w:r>
      <w:r w:rsidRPr="00452D32">
        <w:t xml:space="preserve"> Educational Testing Service Contract.</w:t>
      </w:r>
    </w:p>
    <w:p w14:paraId="06E323B6" w14:textId="77777777" w:rsidR="00FC1FCE" w:rsidRPr="00452D32" w:rsidRDefault="00FC1FCE" w:rsidP="002B4B14">
      <w:pPr>
        <w:pStyle w:val="Heading2"/>
        <w:spacing w:before="240" w:after="240"/>
        <w:rPr>
          <w:sz w:val="36"/>
          <w:szCs w:val="36"/>
        </w:rPr>
      </w:pPr>
      <w:r w:rsidRPr="00452D32">
        <w:rPr>
          <w:sz w:val="36"/>
          <w:szCs w:val="36"/>
        </w:rPr>
        <w:t>Type of Action</w:t>
      </w:r>
    </w:p>
    <w:p w14:paraId="52DDBF5A" w14:textId="5EFCEDAF" w:rsidR="0091117B" w:rsidRPr="00452D32" w:rsidRDefault="4D2A5C1D" w:rsidP="000E09DC">
      <w:pPr>
        <w:spacing w:after="480"/>
      </w:pPr>
      <w:r w:rsidRPr="00452D32">
        <w:t>Action,</w:t>
      </w:r>
      <w:r w:rsidR="67A7DD1F" w:rsidRPr="00452D32">
        <w:t xml:space="preserve"> </w:t>
      </w:r>
      <w:r w:rsidR="430E21EE" w:rsidRPr="00452D32">
        <w:t>Information</w:t>
      </w:r>
    </w:p>
    <w:p w14:paraId="2002CF6A" w14:textId="77777777" w:rsidR="00FC1FCE" w:rsidRPr="00452D32" w:rsidRDefault="00FC1FCE" w:rsidP="002B4B14">
      <w:pPr>
        <w:pStyle w:val="Heading2"/>
        <w:spacing w:before="240" w:after="240"/>
        <w:rPr>
          <w:sz w:val="36"/>
          <w:szCs w:val="36"/>
        </w:rPr>
      </w:pPr>
      <w:r w:rsidRPr="00452D32">
        <w:rPr>
          <w:sz w:val="36"/>
          <w:szCs w:val="36"/>
        </w:rPr>
        <w:t>Summary of the Issue(s)</w:t>
      </w:r>
    </w:p>
    <w:p w14:paraId="26DBE8AE" w14:textId="28C02F26" w:rsidR="00860E65" w:rsidRPr="00452D32" w:rsidRDefault="28A8ADDD" w:rsidP="722165A7">
      <w:pPr>
        <w:spacing w:after="240"/>
      </w:pPr>
      <w:r w:rsidRPr="00452D32">
        <w:t xml:space="preserve">The </w:t>
      </w:r>
      <w:r w:rsidR="46319724" w:rsidRPr="00452D32">
        <w:t xml:space="preserve">California </w:t>
      </w:r>
      <w:r w:rsidR="00832598" w:rsidRPr="00452D32">
        <w:t>A</w:t>
      </w:r>
      <w:r w:rsidR="46319724" w:rsidRPr="00452D32">
        <w:t xml:space="preserve">ssessment </w:t>
      </w:r>
      <w:r w:rsidR="00832598" w:rsidRPr="00452D32">
        <w:t>S</w:t>
      </w:r>
      <w:r w:rsidR="46319724" w:rsidRPr="00452D32">
        <w:t>ystem</w:t>
      </w:r>
      <w:r w:rsidR="0AE113DC" w:rsidRPr="00452D32">
        <w:t xml:space="preserve"> contract with Educational Testing Service (ETS)</w:t>
      </w:r>
      <w:r w:rsidR="46319724" w:rsidRPr="00452D32">
        <w:t xml:space="preserve">, comprised of </w:t>
      </w:r>
      <w:r w:rsidRPr="00452D32">
        <w:t xml:space="preserve">California Assessment of Student Performance and Progress (CAASPP) </w:t>
      </w:r>
      <w:r w:rsidR="6D40FBF0" w:rsidRPr="00452D32">
        <w:rPr>
          <w:rFonts w:cs="Arial"/>
        </w:rPr>
        <w:t xml:space="preserve">the </w:t>
      </w:r>
      <w:r w:rsidR="6D40FBF0" w:rsidRPr="00452D32">
        <w:rPr>
          <w:rFonts w:eastAsia="Arial" w:cs="Arial"/>
        </w:rPr>
        <w:t>English Language Proficiency Assessments for California</w:t>
      </w:r>
      <w:r w:rsidR="6D40FBF0" w:rsidRPr="00452D32">
        <w:rPr>
          <w:rFonts w:cs="Arial"/>
        </w:rPr>
        <w:t xml:space="preserve"> (ELPAC)</w:t>
      </w:r>
      <w:r w:rsidR="23335BA5" w:rsidRPr="00452D32">
        <w:rPr>
          <w:rFonts w:cs="Arial"/>
        </w:rPr>
        <w:t>,</w:t>
      </w:r>
      <w:r w:rsidR="6D40FBF0" w:rsidRPr="00452D32">
        <w:rPr>
          <w:rFonts w:cs="Arial"/>
        </w:rPr>
        <w:t xml:space="preserve"> </w:t>
      </w:r>
      <w:r w:rsidR="00832598" w:rsidRPr="00452D32">
        <w:t>was</w:t>
      </w:r>
      <w:r w:rsidR="028ABD36" w:rsidRPr="00452D32">
        <w:t xml:space="preserve"> </w:t>
      </w:r>
      <w:r w:rsidRPr="00452D32">
        <w:t xml:space="preserve">approved by the </w:t>
      </w:r>
      <w:r w:rsidR="5D1663A3" w:rsidRPr="00452D32">
        <w:t xml:space="preserve">California </w:t>
      </w:r>
      <w:r w:rsidRPr="00452D32">
        <w:t>State Board of Education (SBE)</w:t>
      </w:r>
      <w:r w:rsidR="00832598" w:rsidRPr="00452D32">
        <w:t xml:space="preserve"> </w:t>
      </w:r>
      <w:r w:rsidR="00832598" w:rsidRPr="00452D32">
        <w:rPr>
          <w:rFonts w:eastAsia="Arial" w:cs="Arial"/>
        </w:rPr>
        <w:t>on</w:t>
      </w:r>
      <w:r w:rsidR="7B8BE5BD" w:rsidRPr="00452D32">
        <w:rPr>
          <w:rFonts w:eastAsia="Arial" w:cs="Arial"/>
          <w:color w:val="000000" w:themeColor="text1"/>
        </w:rPr>
        <w:t xml:space="preserve"> November 9</w:t>
      </w:r>
      <w:r w:rsidR="131A535A" w:rsidRPr="00452D32">
        <w:rPr>
          <w:rFonts w:eastAsia="Arial" w:cs="Arial"/>
        </w:rPr>
        <w:t>, 2018</w:t>
      </w:r>
      <w:r w:rsidR="10DD08BC" w:rsidRPr="00452D32">
        <w:rPr>
          <w:rFonts w:eastAsia="Arial" w:cs="Arial"/>
        </w:rPr>
        <w:t>.</w:t>
      </w:r>
      <w:r w:rsidR="10DD08BC" w:rsidRPr="00452D32">
        <w:t xml:space="preserve"> The contract</w:t>
      </w:r>
      <w:r w:rsidRPr="00452D32">
        <w:t xml:space="preserve"> specifies that on or before the annual November SBE meeting, the California Department of Education (CDE) shall present to the SBE a recommendation regarding the performance of ETS in complying with the terms and conditions of the contract for the prior</w:t>
      </w:r>
      <w:r w:rsidR="00832598" w:rsidRPr="00452D32">
        <w:t xml:space="preserve"> </w:t>
      </w:r>
      <w:r w:rsidRPr="00452D32">
        <w:t xml:space="preserve">school-year test administration. </w:t>
      </w:r>
    </w:p>
    <w:p w14:paraId="5D7A2683" w14:textId="77777777" w:rsidR="00860E65" w:rsidRPr="00452D32" w:rsidRDefault="00860E65" w:rsidP="00B4496B">
      <w:pPr>
        <w:spacing w:after="240"/>
      </w:pPr>
      <w:r w:rsidRPr="00452D32">
        <w:t xml:space="preserve">Per California </w:t>
      </w:r>
      <w:r w:rsidRPr="00452D32">
        <w:rPr>
          <w:i/>
        </w:rPr>
        <w:t>Education Code</w:t>
      </w:r>
      <w:r w:rsidRPr="00452D32">
        <w:t xml:space="preserve"> (</w:t>
      </w:r>
      <w:r w:rsidRPr="00452D32">
        <w:rPr>
          <w:i/>
        </w:rPr>
        <w:t>EC</w:t>
      </w:r>
      <w:r w:rsidRPr="00452D32">
        <w:t xml:space="preserve">) Section 60643, the CDE must withhold 10 percent from progress payments invoiced for each component task. The CAASPP contract establishes the process and criteria by which the CDE recommends, and the SBE approves, the annual release of the 10 percent withheld from progress payments. </w:t>
      </w:r>
    </w:p>
    <w:p w14:paraId="32245E7C" w14:textId="604AA552" w:rsidR="00860E65" w:rsidRPr="00452D32" w:rsidRDefault="5B011822" w:rsidP="00B4496B">
      <w:pPr>
        <w:spacing w:after="480"/>
      </w:pPr>
      <w:r w:rsidRPr="00452D32">
        <w:t>The</w:t>
      </w:r>
      <w:r w:rsidR="5F350E41" w:rsidRPr="00452D32">
        <w:t xml:space="preserve"> contractual</w:t>
      </w:r>
      <w:r w:rsidRPr="00452D32">
        <w:t xml:space="preserve"> </w:t>
      </w:r>
      <w:r w:rsidR="121F8DD5" w:rsidRPr="00452D32">
        <w:t xml:space="preserve">California Assessment System </w:t>
      </w:r>
      <w:r w:rsidRPr="00452D32">
        <w:t>completion criteria component tasks are provided in Attachment 1.</w:t>
      </w:r>
    </w:p>
    <w:p w14:paraId="38498E4B" w14:textId="77777777" w:rsidR="003E4DF7" w:rsidRPr="00452D32" w:rsidRDefault="003E4DF7" w:rsidP="002B4B14">
      <w:pPr>
        <w:pStyle w:val="Heading2"/>
        <w:spacing w:before="240" w:after="240"/>
        <w:rPr>
          <w:sz w:val="36"/>
          <w:szCs w:val="36"/>
        </w:rPr>
      </w:pPr>
      <w:r w:rsidRPr="00452D32">
        <w:rPr>
          <w:sz w:val="36"/>
          <w:szCs w:val="36"/>
        </w:rPr>
        <w:lastRenderedPageBreak/>
        <w:t>Recommendation</w:t>
      </w:r>
    </w:p>
    <w:p w14:paraId="78E4A584" w14:textId="170B9859" w:rsidR="00860E65" w:rsidRPr="00452D32" w:rsidRDefault="12B63EEB" w:rsidP="6C3BCC9C">
      <w:pPr>
        <w:spacing w:after="480"/>
        <w:rPr>
          <w:rFonts w:cs="Arial"/>
        </w:rPr>
      </w:pPr>
      <w:r w:rsidRPr="00452D32">
        <w:rPr>
          <w:rFonts w:cs="Arial"/>
        </w:rPr>
        <w:t>The CDE recommends releasing a</w:t>
      </w:r>
      <w:r w:rsidR="1D141B7C" w:rsidRPr="00452D32">
        <w:rPr>
          <w:rFonts w:cs="Arial"/>
        </w:rPr>
        <w:t>n amount</w:t>
      </w:r>
      <w:r w:rsidRPr="00452D32">
        <w:rPr>
          <w:rFonts w:cs="Arial"/>
        </w:rPr>
        <w:t xml:space="preserve"> of $</w:t>
      </w:r>
      <w:r w:rsidR="33114388" w:rsidRPr="00452D32">
        <w:rPr>
          <w:rFonts w:cs="Arial"/>
        </w:rPr>
        <w:t>10</w:t>
      </w:r>
      <w:r w:rsidR="1D1ADF52" w:rsidRPr="00452D32">
        <w:rPr>
          <w:rFonts w:cs="Arial"/>
        </w:rPr>
        <w:t>,</w:t>
      </w:r>
      <w:r w:rsidR="3CDE23BE" w:rsidRPr="00452D32">
        <w:rPr>
          <w:rFonts w:cs="Arial"/>
        </w:rPr>
        <w:t>200</w:t>
      </w:r>
      <w:r w:rsidR="1D1ADF52" w:rsidRPr="00452D32">
        <w:rPr>
          <w:rFonts w:cs="Arial"/>
        </w:rPr>
        <w:t>,</w:t>
      </w:r>
      <w:r w:rsidR="5807265A" w:rsidRPr="00452D32">
        <w:rPr>
          <w:rFonts w:cs="Arial"/>
        </w:rPr>
        <w:t>553</w:t>
      </w:r>
      <w:r w:rsidR="1D1ADF52" w:rsidRPr="00452D32">
        <w:rPr>
          <w:rFonts w:cs="Arial"/>
        </w:rPr>
        <w:t>.</w:t>
      </w:r>
      <w:r w:rsidR="242C068D" w:rsidRPr="00452D32">
        <w:rPr>
          <w:rFonts w:cs="Arial"/>
        </w:rPr>
        <w:t>50</w:t>
      </w:r>
      <w:r w:rsidRPr="00452D32">
        <w:rPr>
          <w:rFonts w:cs="Arial"/>
        </w:rPr>
        <w:t xml:space="preserve"> from </w:t>
      </w:r>
      <w:r w:rsidR="6532BA25" w:rsidRPr="00452D32">
        <w:rPr>
          <w:rFonts w:cs="Arial"/>
        </w:rPr>
        <w:t xml:space="preserve">the </w:t>
      </w:r>
      <w:r w:rsidR="6532BA25" w:rsidRPr="00452D32">
        <w:t>California Assessment System</w:t>
      </w:r>
      <w:r w:rsidRPr="00452D32">
        <w:rPr>
          <w:rFonts w:cs="Arial"/>
        </w:rPr>
        <w:t xml:space="preserve"> funds withheld during the </w:t>
      </w:r>
      <w:r w:rsidR="1ECF58A5" w:rsidRPr="00452D32">
        <w:rPr>
          <w:rFonts w:cs="Arial"/>
        </w:rPr>
        <w:t>2019–</w:t>
      </w:r>
      <w:r w:rsidR="4372EB4C" w:rsidRPr="00452D32">
        <w:rPr>
          <w:rFonts w:cs="Arial"/>
        </w:rPr>
        <w:t>20</w:t>
      </w:r>
      <w:r w:rsidR="1ECF58A5" w:rsidRPr="00452D32">
        <w:rPr>
          <w:rFonts w:cs="Arial"/>
        </w:rPr>
        <w:t xml:space="preserve">20 </w:t>
      </w:r>
      <w:r w:rsidRPr="00452D32">
        <w:rPr>
          <w:rFonts w:cs="Arial"/>
        </w:rPr>
        <w:t>test administration</w:t>
      </w:r>
      <w:r w:rsidR="3EB4B3DD" w:rsidRPr="00452D32">
        <w:rPr>
          <w:rFonts w:cs="Arial"/>
        </w:rPr>
        <w:t xml:space="preserve"> for the successful completion of component tasks as stated within the</w:t>
      </w:r>
      <w:r w:rsidR="4372EB4C" w:rsidRPr="00452D32">
        <w:rPr>
          <w:rFonts w:cs="Arial"/>
        </w:rPr>
        <w:t xml:space="preserve"> contract</w:t>
      </w:r>
      <w:r w:rsidR="3EB4B3DD" w:rsidRPr="00452D32">
        <w:rPr>
          <w:rFonts w:cs="Arial"/>
        </w:rPr>
        <w:t xml:space="preserve"> Scope of Work (SOW).</w:t>
      </w:r>
      <w:r w:rsidR="1564C49E" w:rsidRPr="00452D32">
        <w:rPr>
          <w:rFonts w:cs="Arial"/>
        </w:rPr>
        <w:t xml:space="preserve"> The CDE recommends</w:t>
      </w:r>
      <w:r w:rsidRPr="00452D32">
        <w:rPr>
          <w:rFonts w:cs="Arial"/>
        </w:rPr>
        <w:t xml:space="preserve"> not releasing $</w:t>
      </w:r>
      <w:r w:rsidR="184D0B56" w:rsidRPr="00452D32">
        <w:rPr>
          <w:rFonts w:cs="Arial"/>
        </w:rPr>
        <w:t>119</w:t>
      </w:r>
      <w:r w:rsidR="1D1ADF52" w:rsidRPr="00452D32">
        <w:rPr>
          <w:rFonts w:cs="Arial"/>
        </w:rPr>
        <w:t>,</w:t>
      </w:r>
      <w:r w:rsidR="0327BDC5" w:rsidRPr="00452D32">
        <w:rPr>
          <w:rFonts w:cs="Arial"/>
        </w:rPr>
        <w:t>807</w:t>
      </w:r>
      <w:r w:rsidR="4BC837A5" w:rsidRPr="00452D32">
        <w:rPr>
          <w:rFonts w:cs="Arial"/>
        </w:rPr>
        <w:t>.</w:t>
      </w:r>
      <w:r w:rsidR="4C761A86" w:rsidRPr="00452D32">
        <w:rPr>
          <w:rFonts w:cs="Arial"/>
        </w:rPr>
        <w:t>41</w:t>
      </w:r>
      <w:r w:rsidR="53A800CB" w:rsidRPr="00452D32">
        <w:rPr>
          <w:rFonts w:cs="Arial"/>
        </w:rPr>
        <w:t xml:space="preserve"> </w:t>
      </w:r>
      <w:r w:rsidRPr="00452D32">
        <w:rPr>
          <w:rFonts w:cs="Arial"/>
        </w:rPr>
        <w:t>to the contractor specific to component</w:t>
      </w:r>
      <w:r w:rsidR="1DB5300C" w:rsidRPr="00452D32">
        <w:rPr>
          <w:rFonts w:cs="Arial"/>
        </w:rPr>
        <w:t xml:space="preserve"> </w:t>
      </w:r>
      <w:r w:rsidR="1DB5300C" w:rsidRPr="00452D32">
        <w:rPr>
          <w:rFonts w:eastAsia="Arial" w:cs="Arial"/>
          <w:i/>
          <w:iCs/>
        </w:rPr>
        <w:t>Task 8: Scoring and Analysis</w:t>
      </w:r>
      <w:r w:rsidRPr="00452D32">
        <w:rPr>
          <w:rFonts w:cs="Arial"/>
        </w:rPr>
        <w:t xml:space="preserve"> </w:t>
      </w:r>
      <w:r w:rsidR="7E26AF3A" w:rsidRPr="00452D32">
        <w:rPr>
          <w:rFonts w:cs="Arial"/>
        </w:rPr>
        <w:t xml:space="preserve">and </w:t>
      </w:r>
      <w:r w:rsidR="56A7A743" w:rsidRPr="00452D32">
        <w:rPr>
          <w:rFonts w:cs="Arial"/>
          <w:i/>
          <w:iCs/>
        </w:rPr>
        <w:t>T</w:t>
      </w:r>
      <w:r w:rsidRPr="00452D32">
        <w:rPr>
          <w:rFonts w:cs="Arial"/>
          <w:i/>
          <w:iCs/>
        </w:rPr>
        <w:t>ask</w:t>
      </w:r>
      <w:r w:rsidR="474104C2" w:rsidRPr="00452D32">
        <w:rPr>
          <w:rFonts w:cs="Arial"/>
          <w:i/>
          <w:iCs/>
        </w:rPr>
        <w:t xml:space="preserve"> </w:t>
      </w:r>
      <w:r w:rsidR="11CB8AF5" w:rsidRPr="00452D32">
        <w:rPr>
          <w:rFonts w:cs="Arial"/>
          <w:i/>
          <w:iCs/>
        </w:rPr>
        <w:t>9</w:t>
      </w:r>
      <w:r w:rsidR="609B9527" w:rsidRPr="00452D32">
        <w:rPr>
          <w:rFonts w:cs="Arial"/>
          <w:i/>
          <w:iCs/>
        </w:rPr>
        <w:t>: Reporting</w:t>
      </w:r>
      <w:r w:rsidR="4372EB4C" w:rsidRPr="00452D32">
        <w:rPr>
          <w:rFonts w:cs="Arial"/>
          <w:i/>
          <w:iCs/>
        </w:rPr>
        <w:t>,</w:t>
      </w:r>
      <w:r w:rsidR="20B906D3" w:rsidRPr="00452D32">
        <w:rPr>
          <w:rFonts w:cs="Arial"/>
        </w:rPr>
        <w:t xml:space="preserve"> as described in this item</w:t>
      </w:r>
      <w:r w:rsidRPr="00452D32">
        <w:rPr>
          <w:rFonts w:cs="Arial"/>
        </w:rPr>
        <w:t>. The amount</w:t>
      </w:r>
      <w:r w:rsidR="1E29C65C" w:rsidRPr="00452D32">
        <w:rPr>
          <w:rFonts w:cs="Arial"/>
        </w:rPr>
        <w:t xml:space="preserve"> details</w:t>
      </w:r>
      <w:r w:rsidRPr="00452D32">
        <w:rPr>
          <w:rFonts w:cs="Arial"/>
        </w:rPr>
        <w:t xml:space="preserve"> per task are listed in </w:t>
      </w:r>
      <w:r w:rsidR="76210991" w:rsidRPr="00452D32">
        <w:rPr>
          <w:rFonts w:cs="Arial"/>
        </w:rPr>
        <w:t>Attachment 2</w:t>
      </w:r>
      <w:r w:rsidRPr="00452D32">
        <w:rPr>
          <w:rFonts w:cs="Arial"/>
        </w:rPr>
        <w:t>.</w:t>
      </w:r>
    </w:p>
    <w:p w14:paraId="76AEA3B9" w14:textId="77777777" w:rsidR="00F40510" w:rsidRPr="00452D32" w:rsidRDefault="003E4DF7" w:rsidP="002B4B14">
      <w:pPr>
        <w:pStyle w:val="Heading2"/>
        <w:spacing w:before="240" w:after="240"/>
        <w:rPr>
          <w:sz w:val="36"/>
          <w:szCs w:val="36"/>
        </w:rPr>
      </w:pPr>
      <w:r w:rsidRPr="00452D32">
        <w:rPr>
          <w:sz w:val="36"/>
          <w:szCs w:val="36"/>
        </w:rPr>
        <w:t>Brief History of Key Issues</w:t>
      </w:r>
    </w:p>
    <w:p w14:paraId="1B4608E5" w14:textId="6F48528A" w:rsidR="00EA480F" w:rsidRPr="00452D32" w:rsidRDefault="7C99BD69" w:rsidP="050DF717">
      <w:pPr>
        <w:spacing w:after="240"/>
        <w:rPr>
          <w:rFonts w:cs="Arial"/>
        </w:rPr>
      </w:pPr>
      <w:r w:rsidRPr="00452D32">
        <w:rPr>
          <w:rFonts w:cs="Arial"/>
        </w:rPr>
        <w:t xml:space="preserve">The </w:t>
      </w:r>
      <w:r w:rsidR="00EA480F" w:rsidRPr="00452D32">
        <w:rPr>
          <w:rFonts w:cs="Arial"/>
        </w:rPr>
        <w:t>SOW encompasses both the CAASPP and the ELPAC.</w:t>
      </w:r>
      <w:r w:rsidR="00EA480F" w:rsidRPr="00452D32">
        <w:t xml:space="preserve"> The SOW </w:t>
      </w:r>
      <w:r w:rsidR="00EA480F" w:rsidRPr="00452D32">
        <w:rPr>
          <w:rFonts w:cs="Arial"/>
        </w:rPr>
        <w:t>describes the activities, assumptions, and requirements to manage and administer the California assessment system for the 2018–</w:t>
      </w:r>
      <w:r w:rsidR="00C749D4" w:rsidRPr="00452D32">
        <w:rPr>
          <w:rFonts w:cs="Arial"/>
        </w:rPr>
        <w:t>20</w:t>
      </w:r>
      <w:r w:rsidR="00EA480F" w:rsidRPr="00452D32">
        <w:rPr>
          <w:rFonts w:cs="Arial"/>
        </w:rPr>
        <w:t>19, 2019–</w:t>
      </w:r>
      <w:r w:rsidR="00607C32" w:rsidRPr="00452D32">
        <w:rPr>
          <w:rFonts w:cs="Arial"/>
        </w:rPr>
        <w:t>20</w:t>
      </w:r>
      <w:r w:rsidR="00EA480F" w:rsidRPr="00452D32">
        <w:rPr>
          <w:rFonts w:cs="Arial"/>
        </w:rPr>
        <w:t>20, 2020–</w:t>
      </w:r>
      <w:r w:rsidR="00607C32" w:rsidRPr="00452D32">
        <w:rPr>
          <w:rFonts w:cs="Arial"/>
        </w:rPr>
        <w:t>20</w:t>
      </w:r>
      <w:r w:rsidR="00EA480F" w:rsidRPr="00452D32">
        <w:rPr>
          <w:rFonts w:cs="Arial"/>
        </w:rPr>
        <w:t>21, and 2021–</w:t>
      </w:r>
      <w:r w:rsidR="00607C32" w:rsidRPr="00452D32">
        <w:rPr>
          <w:rFonts w:cs="Arial"/>
        </w:rPr>
        <w:t>20</w:t>
      </w:r>
      <w:r w:rsidR="00EA480F" w:rsidRPr="00452D32">
        <w:rPr>
          <w:rFonts w:cs="Arial"/>
        </w:rPr>
        <w:t>22 school years</w:t>
      </w:r>
      <w:r w:rsidR="00AA032A" w:rsidRPr="00452D32">
        <w:rPr>
          <w:rFonts w:cs="Arial"/>
        </w:rPr>
        <w:t>.</w:t>
      </w:r>
    </w:p>
    <w:p w14:paraId="46AB7296" w14:textId="60B5F043" w:rsidR="00EA480F" w:rsidRPr="00452D32" w:rsidRDefault="3FCE4880" w:rsidP="6C3BCC9C">
      <w:pPr>
        <w:spacing w:after="240"/>
      </w:pPr>
      <w:r w:rsidRPr="00452D32">
        <w:rPr>
          <w:rFonts w:cs="Arial"/>
        </w:rPr>
        <w:t>T</w:t>
      </w:r>
      <w:r w:rsidR="12B63EEB" w:rsidRPr="00452D32">
        <w:rPr>
          <w:rFonts w:cs="Arial"/>
        </w:rPr>
        <w:t xml:space="preserve">he CDE has reviewed the performance of ETS in complying with the </w:t>
      </w:r>
      <w:r w:rsidR="7D23DAC9" w:rsidRPr="00452D32">
        <w:t>California assessment system</w:t>
      </w:r>
      <w:r w:rsidR="45AE3E01" w:rsidRPr="00452D32">
        <w:rPr>
          <w:rFonts w:cs="Arial"/>
        </w:rPr>
        <w:t xml:space="preserve"> </w:t>
      </w:r>
      <w:r w:rsidR="12B63EEB" w:rsidRPr="00452D32">
        <w:rPr>
          <w:rFonts w:cs="Arial"/>
        </w:rPr>
        <w:t xml:space="preserve">contract and determined that ETS has satisfactorily performed contract component tasks </w:t>
      </w:r>
      <w:r w:rsidR="5B8F577A" w:rsidRPr="00452D32">
        <w:rPr>
          <w:rFonts w:cs="Arial"/>
        </w:rPr>
        <w:t>1</w:t>
      </w:r>
      <w:r w:rsidR="1D141B7C" w:rsidRPr="00452D32">
        <w:rPr>
          <w:rFonts w:cs="Arial"/>
        </w:rPr>
        <w:t xml:space="preserve"> </w:t>
      </w:r>
      <w:r w:rsidR="11CB8AF5" w:rsidRPr="00452D32">
        <w:rPr>
          <w:rFonts w:cs="Arial"/>
        </w:rPr>
        <w:t xml:space="preserve">through </w:t>
      </w:r>
      <w:r w:rsidR="13F000C1" w:rsidRPr="00452D32">
        <w:rPr>
          <w:rFonts w:cs="Arial"/>
        </w:rPr>
        <w:t>7</w:t>
      </w:r>
      <w:r w:rsidR="12B63EEB" w:rsidRPr="00452D32">
        <w:rPr>
          <w:rFonts w:cs="Arial"/>
        </w:rPr>
        <w:t xml:space="preserve"> </w:t>
      </w:r>
      <w:r w:rsidR="4C168090" w:rsidRPr="00452D32">
        <w:rPr>
          <w:rFonts w:cs="Arial"/>
        </w:rPr>
        <w:t xml:space="preserve">of the SOW </w:t>
      </w:r>
      <w:r w:rsidR="12B63EEB" w:rsidRPr="00452D32">
        <w:rPr>
          <w:rFonts w:cs="Arial"/>
        </w:rPr>
        <w:t xml:space="preserve">during the </w:t>
      </w:r>
      <w:r w:rsidR="1ECF58A5" w:rsidRPr="00452D32">
        <w:rPr>
          <w:rFonts w:cs="Arial"/>
        </w:rPr>
        <w:t>201</w:t>
      </w:r>
      <w:r w:rsidR="18442518" w:rsidRPr="00452D32">
        <w:rPr>
          <w:rFonts w:cs="Arial"/>
        </w:rPr>
        <w:t>9</w:t>
      </w:r>
      <w:r w:rsidR="1ECF58A5" w:rsidRPr="00452D32">
        <w:rPr>
          <w:rFonts w:cs="Arial"/>
        </w:rPr>
        <w:t>–</w:t>
      </w:r>
      <w:r w:rsidR="7B4E5864" w:rsidRPr="00452D32">
        <w:rPr>
          <w:rFonts w:cs="Arial"/>
        </w:rPr>
        <w:t>20</w:t>
      </w:r>
      <w:r w:rsidR="2DC503A8" w:rsidRPr="00452D32">
        <w:rPr>
          <w:rFonts w:cs="Arial"/>
        </w:rPr>
        <w:t>20</w:t>
      </w:r>
      <w:r w:rsidR="1ECF58A5" w:rsidRPr="00452D32">
        <w:rPr>
          <w:rFonts w:cs="Arial"/>
        </w:rPr>
        <w:t xml:space="preserve"> </w:t>
      </w:r>
      <w:r w:rsidR="12B63EEB" w:rsidRPr="00452D32">
        <w:rPr>
          <w:rFonts w:cs="Arial"/>
        </w:rPr>
        <w:t xml:space="preserve">test administration to date, pending </w:t>
      </w:r>
      <w:r w:rsidR="12B63EEB" w:rsidRPr="00452D32">
        <w:t>completion of all contract requirements through December 20</w:t>
      </w:r>
      <w:r w:rsidR="217E7BBD" w:rsidRPr="00452D32">
        <w:t>20</w:t>
      </w:r>
      <w:r w:rsidR="12B63EEB" w:rsidRPr="00452D32">
        <w:t>. Therefore, the CDE is recommending approval of the 10 percent release for those tasks</w:t>
      </w:r>
      <w:r w:rsidR="12B63EEB" w:rsidRPr="00452D32">
        <w:rPr>
          <w:rFonts w:cs="Arial"/>
        </w:rPr>
        <w:t xml:space="preserve">. </w:t>
      </w:r>
      <w:r w:rsidR="1D141B7C" w:rsidRPr="00452D32">
        <w:rPr>
          <w:rFonts w:cs="Arial"/>
        </w:rPr>
        <w:t>Descriptions of the contract task</w:t>
      </w:r>
      <w:r w:rsidR="7B4E5864" w:rsidRPr="00452D32">
        <w:rPr>
          <w:rFonts w:cs="Arial"/>
        </w:rPr>
        <w:t>s</w:t>
      </w:r>
      <w:r w:rsidR="1D141B7C" w:rsidRPr="00452D32">
        <w:rPr>
          <w:rFonts w:cs="Arial"/>
        </w:rPr>
        <w:t xml:space="preserve"> are in Attachment 2.</w:t>
      </w:r>
    </w:p>
    <w:p w14:paraId="23D4F6DD" w14:textId="264FB0F9" w:rsidR="53251126" w:rsidRPr="00452D32" w:rsidRDefault="14194720" w:rsidP="6C3BCC9C">
      <w:pPr>
        <w:spacing w:after="240"/>
        <w:rPr>
          <w:rFonts w:cs="Arial"/>
        </w:rPr>
      </w:pPr>
      <w:r w:rsidRPr="00452D32">
        <w:rPr>
          <w:rFonts w:eastAsia="Arial" w:cs="Arial"/>
        </w:rPr>
        <w:t xml:space="preserve">However, in the CDE’s review of ETS’s compliance with </w:t>
      </w:r>
      <w:r w:rsidR="6D9B31E7" w:rsidRPr="00452D32">
        <w:t>California assessment system</w:t>
      </w:r>
      <w:r w:rsidR="20413324" w:rsidRPr="00452D32">
        <w:rPr>
          <w:rFonts w:eastAsia="Arial" w:cs="Arial"/>
        </w:rPr>
        <w:t xml:space="preserve"> </w:t>
      </w:r>
      <w:r w:rsidRPr="00452D32">
        <w:rPr>
          <w:rFonts w:eastAsia="Arial" w:cs="Arial"/>
        </w:rPr>
        <w:t xml:space="preserve">contract component tasks 8 and 9 </w:t>
      </w:r>
      <w:r w:rsidR="730A2D2F" w:rsidRPr="00452D32">
        <w:rPr>
          <w:rFonts w:eastAsia="Arial" w:cs="Arial"/>
        </w:rPr>
        <w:t>activities</w:t>
      </w:r>
      <w:r w:rsidRPr="00452D32">
        <w:rPr>
          <w:rFonts w:eastAsia="Arial" w:cs="Arial"/>
        </w:rPr>
        <w:t>, the CDE determined that ETS did not satisfactorily perform all portions of those contract components included in the outline below. The CDE and ETS have met to resolve errors in the 20</w:t>
      </w:r>
      <w:r w:rsidR="16EC65F4" w:rsidRPr="00452D32">
        <w:rPr>
          <w:rFonts w:eastAsia="Arial" w:cs="Arial"/>
        </w:rPr>
        <w:t>1</w:t>
      </w:r>
      <w:r w:rsidR="3C17EC2E" w:rsidRPr="00452D32">
        <w:rPr>
          <w:rFonts w:eastAsia="Arial" w:cs="Arial"/>
        </w:rPr>
        <w:t>8</w:t>
      </w:r>
      <w:r w:rsidRPr="00452D32">
        <w:rPr>
          <w:rFonts w:eastAsia="Arial" w:cs="Arial"/>
        </w:rPr>
        <w:t>–</w:t>
      </w:r>
      <w:r w:rsidR="5A11E7A1" w:rsidRPr="00452D32">
        <w:rPr>
          <w:rFonts w:eastAsia="Arial" w:cs="Arial"/>
        </w:rPr>
        <w:t>19</w:t>
      </w:r>
      <w:r w:rsidRPr="00452D32">
        <w:rPr>
          <w:rFonts w:eastAsia="Arial" w:cs="Arial"/>
        </w:rPr>
        <w:t xml:space="preserve"> test administration</w:t>
      </w:r>
      <w:r w:rsidR="10460A51" w:rsidRPr="00452D32">
        <w:rPr>
          <w:rFonts w:eastAsia="Arial" w:cs="Arial"/>
        </w:rPr>
        <w:t xml:space="preserve"> and activities continuing into the 2019–2020 fiscal year</w:t>
      </w:r>
      <w:r w:rsidR="0C935220" w:rsidRPr="00452D32">
        <w:rPr>
          <w:rFonts w:eastAsia="Arial" w:cs="Arial"/>
        </w:rPr>
        <w:t xml:space="preserve">. </w:t>
      </w:r>
      <w:r w:rsidRPr="00452D32">
        <w:rPr>
          <w:rFonts w:eastAsia="Arial" w:cs="Arial"/>
        </w:rPr>
        <w:t>ETS has put into action corrections intended to ensure success in the future.</w:t>
      </w:r>
      <w:r w:rsidR="40EA4C04" w:rsidRPr="00452D32">
        <w:rPr>
          <w:rFonts w:eastAsia="Arial" w:cs="Arial"/>
        </w:rPr>
        <w:t xml:space="preserve"> </w:t>
      </w:r>
    </w:p>
    <w:p w14:paraId="3ABE9760" w14:textId="4A9E6917" w:rsidR="53251126" w:rsidRPr="00452D32" w:rsidRDefault="67EFDED9" w:rsidP="004E74DC">
      <w:pPr>
        <w:spacing w:after="240"/>
        <w:rPr>
          <w:rFonts w:eastAsia="Arial" w:cs="Arial"/>
          <w:u w:val="single"/>
        </w:rPr>
      </w:pPr>
      <w:r w:rsidRPr="00452D32">
        <w:rPr>
          <w:rFonts w:eastAsia="Arial" w:cs="Arial"/>
          <w:color w:val="000000" w:themeColor="text1"/>
        </w:rPr>
        <w:t>Details of this issue were provided to the SBE in</w:t>
      </w:r>
      <w:r w:rsidRPr="00452D32">
        <w:rPr>
          <w:rFonts w:eastAsia="Arial" w:cs="Arial"/>
        </w:rPr>
        <w:t xml:space="preserve"> </w:t>
      </w:r>
      <w:r w:rsidR="005F756C" w:rsidRPr="00452D32">
        <w:rPr>
          <w:rFonts w:eastAsia="Arial" w:cs="Arial"/>
        </w:rPr>
        <w:t xml:space="preserve">the </w:t>
      </w:r>
      <w:r w:rsidRPr="00452D32">
        <w:rPr>
          <w:rFonts w:eastAsia="Arial" w:cs="Arial"/>
        </w:rPr>
        <w:t xml:space="preserve">February 2020 Information Memorandum, Notification and Update on Grade Six Scoring and Reporting (available at </w:t>
      </w:r>
      <w:hyperlink r:id="rId13" w:tooltip="This link opens the February 2020 SBE Information Memorandum.">
        <w:r w:rsidRPr="00452D32">
          <w:rPr>
            <w:rStyle w:val="Hyperlink"/>
            <w:rFonts w:eastAsia="Arial" w:cs="Arial"/>
            <w:color w:val="000000" w:themeColor="text1"/>
          </w:rPr>
          <w:t>https</w:t>
        </w:r>
        <w:r w:rsidRPr="00452D32">
          <w:rPr>
            <w:rStyle w:val="Hyperlink"/>
            <w:rFonts w:eastAsia="Arial" w:cs="Arial"/>
          </w:rPr>
          <w:t>://cde.ca.gov/be/pn/im/documents/feb20memoadad03.docx</w:t>
        </w:r>
      </w:hyperlink>
      <w:r w:rsidRPr="00452D32">
        <w:rPr>
          <w:rFonts w:eastAsia="Arial" w:cs="Arial"/>
          <w:u w:val="single"/>
        </w:rPr>
        <w:t>)</w:t>
      </w:r>
      <w:r w:rsidR="00A347E4" w:rsidRPr="00452D32">
        <w:rPr>
          <w:rFonts w:eastAsia="Arial" w:cs="Arial"/>
        </w:rPr>
        <w:t>.</w:t>
      </w:r>
    </w:p>
    <w:p w14:paraId="3C3A7893" w14:textId="22A3E745" w:rsidR="53251126" w:rsidRPr="00452D32" w:rsidRDefault="0B557696" w:rsidP="004E74DC">
      <w:pPr>
        <w:pStyle w:val="Heading3"/>
        <w:spacing w:before="240" w:after="240"/>
      </w:pPr>
      <w:r w:rsidRPr="00452D32">
        <w:rPr>
          <w:rFonts w:eastAsia="Arial" w:cs="Arial"/>
          <w:sz w:val="32"/>
          <w:szCs w:val="32"/>
        </w:rPr>
        <w:t xml:space="preserve">Task 8: Scoring </w:t>
      </w:r>
    </w:p>
    <w:p w14:paraId="218BE039" w14:textId="5AB6876F" w:rsidR="53251126" w:rsidRPr="00452D32" w:rsidRDefault="0B557696" w:rsidP="004E74DC">
      <w:pPr>
        <w:spacing w:after="240"/>
        <w:rPr>
          <w:rFonts w:eastAsia="Arial" w:cs="Arial"/>
        </w:rPr>
      </w:pPr>
      <w:r w:rsidRPr="00452D32">
        <w:rPr>
          <w:rFonts w:eastAsia="Arial" w:cs="Arial"/>
        </w:rPr>
        <w:t>The CDE recommends the release of $</w:t>
      </w:r>
      <w:r w:rsidR="0CE355BF" w:rsidRPr="00452D32">
        <w:rPr>
          <w:rFonts w:eastAsia="Arial" w:cs="Arial"/>
        </w:rPr>
        <w:t>1,765</w:t>
      </w:r>
      <w:r w:rsidRPr="00452D32">
        <w:rPr>
          <w:rFonts w:eastAsia="Arial" w:cs="Arial"/>
        </w:rPr>
        <w:t>,</w:t>
      </w:r>
      <w:r w:rsidR="569A3A53" w:rsidRPr="00452D32">
        <w:rPr>
          <w:rFonts w:eastAsia="Arial" w:cs="Arial"/>
        </w:rPr>
        <w:t>970</w:t>
      </w:r>
      <w:r w:rsidRPr="00452D32">
        <w:rPr>
          <w:rFonts w:eastAsia="Arial" w:cs="Arial"/>
        </w:rPr>
        <w:t>.</w:t>
      </w:r>
      <w:r w:rsidR="6CC934CD" w:rsidRPr="00452D32">
        <w:rPr>
          <w:rFonts w:eastAsia="Arial" w:cs="Arial"/>
        </w:rPr>
        <w:t>77</w:t>
      </w:r>
      <w:r w:rsidRPr="00452D32">
        <w:rPr>
          <w:rFonts w:eastAsia="Arial" w:cs="Arial"/>
        </w:rPr>
        <w:t xml:space="preserve"> of the 10 percent withhold for task 8 related to </w:t>
      </w:r>
      <w:r w:rsidR="4758EFB6" w:rsidRPr="00452D32">
        <w:rPr>
          <w:rFonts w:eastAsia="Arial" w:cs="Arial"/>
        </w:rPr>
        <w:t xml:space="preserve">work scoring procedures </w:t>
      </w:r>
      <w:r w:rsidR="05B982D4" w:rsidRPr="00452D32">
        <w:rPr>
          <w:rFonts w:eastAsia="Arial" w:cs="Arial"/>
          <w:color w:val="191919"/>
        </w:rPr>
        <w:t>that the CD</w:t>
      </w:r>
      <w:r w:rsidR="05B982D4" w:rsidRPr="00452D32">
        <w:rPr>
          <w:rFonts w:eastAsia="Arial" w:cs="Arial"/>
          <w:color w:val="000000" w:themeColor="text1"/>
        </w:rPr>
        <w:t xml:space="preserve">E </w:t>
      </w:r>
      <w:r w:rsidR="05B982D4" w:rsidRPr="00452D32">
        <w:rPr>
          <w:rFonts w:eastAsia="Arial" w:cs="Arial"/>
          <w:color w:val="191919"/>
        </w:rPr>
        <w:t>requires for the CAASP</w:t>
      </w:r>
      <w:r w:rsidR="05B982D4" w:rsidRPr="00452D32">
        <w:rPr>
          <w:rFonts w:eastAsia="Arial" w:cs="Arial"/>
          <w:color w:val="000000" w:themeColor="text1"/>
        </w:rPr>
        <w:t xml:space="preserve">P </w:t>
      </w:r>
      <w:r w:rsidR="05B982D4" w:rsidRPr="00452D32">
        <w:rPr>
          <w:rFonts w:eastAsia="Arial" w:cs="Arial"/>
          <w:color w:val="191919"/>
        </w:rPr>
        <w:t>and ELPAC</w:t>
      </w:r>
      <w:r w:rsidR="05B982D4" w:rsidRPr="00452D32">
        <w:rPr>
          <w:rFonts w:eastAsia="Arial" w:cs="Arial"/>
          <w:color w:val="202020"/>
        </w:rPr>
        <w:t xml:space="preserve">, as </w:t>
      </w:r>
      <w:r w:rsidR="05B982D4" w:rsidRPr="00452D32">
        <w:rPr>
          <w:rFonts w:eastAsia="Arial" w:cs="Arial"/>
        </w:rPr>
        <w:t>specified in the SOW.</w:t>
      </w:r>
    </w:p>
    <w:p w14:paraId="67F70F86" w14:textId="05C6A7B3" w:rsidR="53251126" w:rsidRPr="00452D32" w:rsidRDefault="61052318" w:rsidP="004E74DC">
      <w:pPr>
        <w:spacing w:after="240"/>
        <w:rPr>
          <w:rFonts w:eastAsia="Arial" w:cs="Arial"/>
        </w:rPr>
      </w:pPr>
      <w:r w:rsidRPr="00452D32">
        <w:rPr>
          <w:rFonts w:eastAsia="Arial" w:cs="Arial"/>
          <w:color w:val="000000" w:themeColor="text1"/>
        </w:rPr>
        <w:t>The CDE also recommends the non-release of $</w:t>
      </w:r>
      <w:r w:rsidR="1D8039A3" w:rsidRPr="00452D32">
        <w:rPr>
          <w:rFonts w:eastAsia="Arial" w:cs="Arial"/>
          <w:color w:val="000000" w:themeColor="text1"/>
        </w:rPr>
        <w:t>92</w:t>
      </w:r>
      <w:r w:rsidRPr="00452D32">
        <w:rPr>
          <w:rFonts w:eastAsia="Arial" w:cs="Arial"/>
          <w:color w:val="000000" w:themeColor="text1"/>
        </w:rPr>
        <w:t>,</w:t>
      </w:r>
      <w:r w:rsidR="0032CCCC" w:rsidRPr="00452D32">
        <w:rPr>
          <w:rFonts w:eastAsia="Arial" w:cs="Arial"/>
          <w:color w:val="000000" w:themeColor="text1"/>
        </w:rPr>
        <w:t>945</w:t>
      </w:r>
      <w:r w:rsidRPr="00452D32">
        <w:rPr>
          <w:rFonts w:eastAsia="Arial" w:cs="Arial"/>
          <w:color w:val="000000" w:themeColor="text1"/>
        </w:rPr>
        <w:t>.8</w:t>
      </w:r>
      <w:r w:rsidR="19101EB4" w:rsidRPr="00452D32">
        <w:rPr>
          <w:rFonts w:eastAsia="Arial" w:cs="Arial"/>
          <w:color w:val="000000" w:themeColor="text1"/>
        </w:rPr>
        <w:t>3</w:t>
      </w:r>
      <w:r w:rsidRPr="00452D32">
        <w:rPr>
          <w:rFonts w:eastAsia="Arial" w:cs="Arial"/>
          <w:color w:val="000000" w:themeColor="text1"/>
        </w:rPr>
        <w:t xml:space="preserve"> of the 10 percent withhold for task 8</w:t>
      </w:r>
      <w:r w:rsidR="004E5D19" w:rsidRPr="00452D32">
        <w:rPr>
          <w:rFonts w:eastAsia="Arial" w:cs="Arial"/>
        </w:rPr>
        <w:t>. This is</w:t>
      </w:r>
      <w:r w:rsidRPr="00452D32">
        <w:rPr>
          <w:rFonts w:eastAsia="Arial" w:cs="Arial"/>
        </w:rPr>
        <w:t xml:space="preserve"> because ETS did not satisfactorily </w:t>
      </w:r>
      <w:r w:rsidRPr="00452D32">
        <w:rPr>
          <w:rFonts w:eastAsia="Arial" w:cs="Arial"/>
          <w:color w:val="191919"/>
        </w:rPr>
        <w:t xml:space="preserve">put </w:t>
      </w:r>
      <w:r w:rsidRPr="00452D32">
        <w:rPr>
          <w:rFonts w:eastAsia="Arial" w:cs="Arial"/>
          <w:color w:val="090909"/>
        </w:rPr>
        <w:t xml:space="preserve">in </w:t>
      </w:r>
      <w:r w:rsidRPr="00452D32">
        <w:rPr>
          <w:rFonts w:eastAsia="Arial" w:cs="Arial"/>
          <w:color w:val="191919"/>
        </w:rPr>
        <w:t xml:space="preserve">place </w:t>
      </w:r>
      <w:r w:rsidR="00653460" w:rsidRPr="00452D32">
        <w:rPr>
          <w:rFonts w:eastAsia="Arial" w:cs="Arial"/>
          <w:color w:val="191919"/>
        </w:rPr>
        <w:t xml:space="preserve">the </w:t>
      </w:r>
      <w:r w:rsidRPr="00452D32">
        <w:rPr>
          <w:rFonts w:eastAsia="Arial" w:cs="Arial"/>
          <w:color w:val="000000" w:themeColor="text1"/>
        </w:rPr>
        <w:t>quality assurance processing</w:t>
      </w:r>
      <w:r w:rsidRPr="00452D32">
        <w:rPr>
          <w:rFonts w:eastAsia="Arial" w:cs="Arial"/>
        </w:rPr>
        <w:t xml:space="preserve"> of sample data through an end-to-end sequence to verify </w:t>
      </w:r>
      <w:r w:rsidR="00653460" w:rsidRPr="00452D32">
        <w:rPr>
          <w:rFonts w:eastAsia="Arial" w:cs="Arial"/>
        </w:rPr>
        <w:t xml:space="preserve">the </w:t>
      </w:r>
      <w:r w:rsidRPr="00452D32">
        <w:rPr>
          <w:rFonts w:eastAsia="Arial" w:cs="Arial"/>
        </w:rPr>
        <w:t>accuracy</w:t>
      </w:r>
      <w:r w:rsidR="34E64C10" w:rsidRPr="00452D32">
        <w:rPr>
          <w:rFonts w:eastAsia="Arial" w:cs="Arial"/>
        </w:rPr>
        <w:t xml:space="preserve"> of the scoring process</w:t>
      </w:r>
      <w:r w:rsidRPr="00452D32">
        <w:rPr>
          <w:rFonts w:eastAsia="Arial" w:cs="Arial"/>
        </w:rPr>
        <w:t xml:space="preserve">. </w:t>
      </w:r>
    </w:p>
    <w:p w14:paraId="6849747D" w14:textId="044B87D0" w:rsidR="53251126" w:rsidRPr="00452D32" w:rsidRDefault="559ECBCD" w:rsidP="00FF7039">
      <w:pPr>
        <w:spacing w:after="240"/>
        <w:rPr>
          <w:rFonts w:eastAsia="Arial" w:cs="Arial"/>
        </w:rPr>
      </w:pPr>
      <w:r w:rsidRPr="00452D32">
        <w:rPr>
          <w:rFonts w:eastAsia="Arial" w:cs="Arial"/>
        </w:rPr>
        <w:lastRenderedPageBreak/>
        <w:t>Specifically, s</w:t>
      </w:r>
      <w:r w:rsidR="2D99B26A" w:rsidRPr="00452D32">
        <w:rPr>
          <w:rFonts w:eastAsia="Arial" w:cs="Arial"/>
        </w:rPr>
        <w:t>tudent</w:t>
      </w:r>
      <w:r w:rsidR="78CC1B62" w:rsidRPr="00452D32">
        <w:rPr>
          <w:rFonts w:eastAsia="Arial" w:cs="Arial"/>
        </w:rPr>
        <w:t>s</w:t>
      </w:r>
      <w:r w:rsidR="2D99B26A" w:rsidRPr="00452D32">
        <w:rPr>
          <w:rFonts w:eastAsia="Arial" w:cs="Arial"/>
        </w:rPr>
        <w:t xml:space="preserve"> who take the CAASPP Smarter Balanced</w:t>
      </w:r>
      <w:r w:rsidR="00653460" w:rsidRPr="00452D32">
        <w:rPr>
          <w:rFonts w:eastAsia="Arial" w:cs="Arial"/>
        </w:rPr>
        <w:t xml:space="preserve"> English language arts/literacy</w:t>
      </w:r>
      <w:r w:rsidR="2D99B26A" w:rsidRPr="00452D32">
        <w:rPr>
          <w:rFonts w:eastAsia="Arial" w:cs="Arial"/>
        </w:rPr>
        <w:t xml:space="preserve"> </w:t>
      </w:r>
      <w:r w:rsidR="00653460" w:rsidRPr="00452D32">
        <w:rPr>
          <w:rFonts w:eastAsia="Arial" w:cs="Arial"/>
        </w:rPr>
        <w:t>(</w:t>
      </w:r>
      <w:r w:rsidR="2D99B26A" w:rsidRPr="00452D32">
        <w:rPr>
          <w:rFonts w:eastAsia="Arial" w:cs="Arial"/>
        </w:rPr>
        <w:t>ELA</w:t>
      </w:r>
      <w:r w:rsidR="00653460" w:rsidRPr="00452D32">
        <w:rPr>
          <w:rFonts w:eastAsia="Arial" w:cs="Arial"/>
        </w:rPr>
        <w:t>)</w:t>
      </w:r>
      <w:r w:rsidR="2D99B26A" w:rsidRPr="00452D32">
        <w:rPr>
          <w:rFonts w:eastAsia="Arial" w:cs="Arial"/>
        </w:rPr>
        <w:t xml:space="preserve"> assessment receive one </w:t>
      </w:r>
      <w:r w:rsidR="4FEAEC73" w:rsidRPr="00452D32">
        <w:rPr>
          <w:rFonts w:eastAsia="Arial" w:cs="Arial"/>
        </w:rPr>
        <w:t>writing extended response (WER)</w:t>
      </w:r>
      <w:r w:rsidR="2D99B26A" w:rsidRPr="00452D32">
        <w:rPr>
          <w:rFonts w:eastAsia="Arial" w:cs="Arial"/>
        </w:rPr>
        <w:t xml:space="preserve"> prompt as part of a performance task section of the test. The WER prompts are constructed-response items that are randomly assigned to students, and each is scored on three dimensions: </w:t>
      </w:r>
      <w:r w:rsidR="005E6C71" w:rsidRPr="00452D32">
        <w:rPr>
          <w:rFonts w:eastAsia="Arial" w:cs="Arial"/>
        </w:rPr>
        <w:t>(</w:t>
      </w:r>
      <w:r w:rsidR="2D99B26A" w:rsidRPr="00452D32">
        <w:rPr>
          <w:rFonts w:eastAsia="Arial" w:cs="Arial"/>
        </w:rPr>
        <w:t xml:space="preserve">1) purpose/organization; </w:t>
      </w:r>
      <w:r w:rsidR="005E6C71" w:rsidRPr="00452D32">
        <w:rPr>
          <w:rFonts w:eastAsia="Arial" w:cs="Arial"/>
        </w:rPr>
        <w:t>(</w:t>
      </w:r>
      <w:r w:rsidR="2D99B26A" w:rsidRPr="00452D32">
        <w:rPr>
          <w:rFonts w:eastAsia="Arial" w:cs="Arial"/>
        </w:rPr>
        <w:t xml:space="preserve">2) evidence/elaboration or development elaboration; and </w:t>
      </w:r>
      <w:r w:rsidR="005E6C71" w:rsidRPr="00452D32">
        <w:rPr>
          <w:rFonts w:eastAsia="Arial" w:cs="Arial"/>
        </w:rPr>
        <w:t>(</w:t>
      </w:r>
      <w:r w:rsidR="2D99B26A" w:rsidRPr="00452D32">
        <w:rPr>
          <w:rFonts w:eastAsia="Arial" w:cs="Arial"/>
        </w:rPr>
        <w:t xml:space="preserve">3) conventions (COV). </w:t>
      </w:r>
      <w:r w:rsidR="768BA671" w:rsidRPr="00452D32">
        <w:rPr>
          <w:rFonts w:eastAsia="Arial" w:cs="Arial"/>
        </w:rPr>
        <w:t xml:space="preserve">ETS recognized in early December 2019 that, within the pool of grade six WER items, six automated-scored WER prompts had low inter-rater reliability </w:t>
      </w:r>
      <w:r w:rsidR="0075178E" w:rsidRPr="00452D32">
        <w:rPr>
          <w:rFonts w:eastAsia="Arial" w:cs="Arial"/>
        </w:rPr>
        <w:t xml:space="preserve">(IRR) </w:t>
      </w:r>
      <w:r w:rsidR="768BA671" w:rsidRPr="00452D32">
        <w:rPr>
          <w:rFonts w:eastAsia="Arial" w:cs="Arial"/>
        </w:rPr>
        <w:t xml:space="preserve">estimates for the COV dimension scores. </w:t>
      </w:r>
      <w:r w:rsidR="2D812D4D" w:rsidRPr="00452D32">
        <w:rPr>
          <w:rFonts w:eastAsia="Arial" w:cs="Arial"/>
        </w:rPr>
        <w:t>The d</w:t>
      </w:r>
      <w:r w:rsidR="61052318" w:rsidRPr="00452D32">
        <w:rPr>
          <w:rFonts w:eastAsia="Arial" w:cs="Arial"/>
        </w:rPr>
        <w:t xml:space="preserve">etails </w:t>
      </w:r>
      <w:r w:rsidR="67AB882C" w:rsidRPr="00452D32">
        <w:rPr>
          <w:rFonts w:eastAsia="Arial" w:cs="Arial"/>
        </w:rPr>
        <w:t xml:space="preserve">regarding </w:t>
      </w:r>
      <w:r w:rsidR="61052318" w:rsidRPr="00452D32">
        <w:rPr>
          <w:rFonts w:eastAsia="Arial" w:cs="Arial"/>
        </w:rPr>
        <w:t>this component task within task 8 include the following:</w:t>
      </w:r>
    </w:p>
    <w:p w14:paraId="4E41496C" w14:textId="5CF8771C" w:rsidR="53251126" w:rsidRPr="00452D32" w:rsidRDefault="1E66345A" w:rsidP="00FF7039">
      <w:pPr>
        <w:pStyle w:val="Heading4"/>
        <w:spacing w:before="240" w:after="240"/>
        <w:ind w:left="720"/>
        <w:rPr>
          <w:rFonts w:eastAsia="Arial" w:cs="Arial"/>
          <w:b/>
          <w:bCs/>
          <w:i w:val="0"/>
          <w:iCs w:val="0"/>
          <w:sz w:val="28"/>
          <w:szCs w:val="28"/>
        </w:rPr>
      </w:pPr>
      <w:r w:rsidRPr="00452D32">
        <w:rPr>
          <w:rFonts w:eastAsia="Arial" w:cs="Arial"/>
          <w:b/>
          <w:bCs/>
          <w:i w:val="0"/>
          <w:iCs w:val="0"/>
          <w:sz w:val="28"/>
          <w:szCs w:val="28"/>
        </w:rPr>
        <w:t xml:space="preserve">8.1.A. Methods of Scoring </w:t>
      </w:r>
    </w:p>
    <w:p w14:paraId="1092EF9B" w14:textId="0F0B751E" w:rsidR="53251126" w:rsidRPr="00452D32" w:rsidRDefault="1E66345A" w:rsidP="00FF7039">
      <w:pPr>
        <w:spacing w:after="240"/>
        <w:ind w:left="720"/>
      </w:pPr>
      <w:r w:rsidRPr="00452D32">
        <w:rPr>
          <w:rFonts w:eastAsia="Arial" w:cs="Arial"/>
        </w:rPr>
        <w:t xml:space="preserve">ETS </w:t>
      </w:r>
      <w:r w:rsidR="2E709B91" w:rsidRPr="00452D32">
        <w:rPr>
          <w:rFonts w:eastAsia="Arial" w:cs="Arial"/>
        </w:rPr>
        <w:t xml:space="preserve">is required to </w:t>
      </w:r>
      <w:r w:rsidRPr="00452D32">
        <w:rPr>
          <w:rFonts w:eastAsia="Arial" w:cs="Arial"/>
        </w:rPr>
        <w:t>utilize all necessary scoring methods for item types</w:t>
      </w:r>
      <w:r w:rsidR="52C3477F" w:rsidRPr="00452D32">
        <w:rPr>
          <w:rFonts w:eastAsia="Arial" w:cs="Arial"/>
        </w:rPr>
        <w:t>, including</w:t>
      </w:r>
      <w:r w:rsidRPr="00452D32">
        <w:rPr>
          <w:rFonts w:eastAsia="Arial" w:cs="Arial"/>
        </w:rPr>
        <w:t>:</w:t>
      </w:r>
    </w:p>
    <w:p w14:paraId="787F8B96" w14:textId="7A363E1B" w:rsidR="53251126" w:rsidRPr="00452D32" w:rsidRDefault="7469E127" w:rsidP="00FF7039">
      <w:pPr>
        <w:spacing w:after="240"/>
        <w:ind w:left="720"/>
        <w:rPr>
          <w:rFonts w:asciiTheme="minorHAnsi" w:eastAsiaTheme="minorEastAsia" w:hAnsiTheme="minorHAnsi" w:cstheme="minorBidi"/>
          <w:b/>
          <w:bCs/>
        </w:rPr>
      </w:pPr>
      <w:r w:rsidRPr="00452D32">
        <w:rPr>
          <w:rFonts w:eastAsia="Arial" w:cs="Arial"/>
          <w:b/>
          <w:bCs/>
        </w:rPr>
        <w:t xml:space="preserve">Constructed-response Item Scoring. </w:t>
      </w:r>
      <w:r w:rsidRPr="00452D32">
        <w:rPr>
          <w:rFonts w:eastAsia="Arial" w:cs="Arial"/>
        </w:rPr>
        <w:t>Constructed-response items require students to provide written responses, from simple fill-in-the-blank items with comprehensive lists of possible answers to full essay responses. Scoring approaches for these items generally fall into three categories:</w:t>
      </w:r>
    </w:p>
    <w:p w14:paraId="678B155C" w14:textId="3ACAFD23" w:rsidR="53251126" w:rsidRPr="00452D32" w:rsidRDefault="7469E127" w:rsidP="514F40DD">
      <w:pPr>
        <w:pStyle w:val="ListParagraph"/>
        <w:numPr>
          <w:ilvl w:val="1"/>
          <w:numId w:val="23"/>
        </w:numPr>
        <w:spacing w:after="240"/>
        <w:contextualSpacing w:val="0"/>
        <w:rPr>
          <w:rFonts w:asciiTheme="minorHAnsi" w:eastAsiaTheme="minorEastAsia" w:hAnsiTheme="minorHAnsi" w:cstheme="minorBidi"/>
        </w:rPr>
      </w:pPr>
      <w:r w:rsidRPr="00452D32">
        <w:rPr>
          <w:rFonts w:eastAsia="Arial" w:cs="Arial"/>
          <w:b/>
          <w:bCs/>
        </w:rPr>
        <w:t>Deterministic Scoring.</w:t>
      </w:r>
      <w:r w:rsidRPr="00452D32">
        <w:rPr>
          <w:rFonts w:eastAsia="Arial" w:cs="Arial"/>
        </w:rPr>
        <w:t xml:space="preserve"> This includes machine-scored items, basic </w:t>
      </w:r>
      <w:r w:rsidR="73DEE51E" w:rsidRPr="00452D32">
        <w:rPr>
          <w:rFonts w:eastAsia="Arial" w:cs="Arial"/>
        </w:rPr>
        <w:t>technology enhanced items</w:t>
      </w:r>
      <w:r w:rsidRPr="00452D32">
        <w:rPr>
          <w:rFonts w:eastAsia="Arial" w:cs="Arial"/>
        </w:rPr>
        <w:t xml:space="preserve"> (e.g., matching items, hot spots), or simple fill-in-the-blank items with comprehensive lists of possible answers.</w:t>
      </w:r>
    </w:p>
    <w:p w14:paraId="24FD0E4F" w14:textId="195EE608" w:rsidR="53251126" w:rsidRPr="00452D32" w:rsidRDefault="7469E127" w:rsidP="514F40DD">
      <w:pPr>
        <w:pStyle w:val="ListParagraph"/>
        <w:numPr>
          <w:ilvl w:val="1"/>
          <w:numId w:val="23"/>
        </w:numPr>
        <w:spacing w:after="240"/>
        <w:contextualSpacing w:val="0"/>
        <w:rPr>
          <w:rFonts w:asciiTheme="minorHAnsi" w:eastAsiaTheme="minorEastAsia" w:hAnsiTheme="minorHAnsi" w:cstheme="minorBidi"/>
        </w:rPr>
      </w:pPr>
      <w:r w:rsidRPr="00452D32">
        <w:rPr>
          <w:rFonts w:eastAsia="Arial" w:cs="Arial"/>
          <w:b/>
          <w:bCs/>
        </w:rPr>
        <w:t>Human-</w:t>
      </w:r>
      <w:r w:rsidR="00E60CA6" w:rsidRPr="00452D32">
        <w:rPr>
          <w:rFonts w:eastAsia="Arial" w:cs="Arial"/>
          <w:b/>
          <w:bCs/>
        </w:rPr>
        <w:t>s</w:t>
      </w:r>
      <w:r w:rsidRPr="00452D32">
        <w:rPr>
          <w:rFonts w:eastAsia="Arial" w:cs="Arial"/>
          <w:b/>
          <w:bCs/>
        </w:rPr>
        <w:t xml:space="preserve">cored Responses. </w:t>
      </w:r>
      <w:r w:rsidRPr="00452D32">
        <w:rPr>
          <w:rFonts w:eastAsia="Arial" w:cs="Arial"/>
        </w:rPr>
        <w:t>As the name suggests, these items involve constructs that require human scoring.</w:t>
      </w:r>
    </w:p>
    <w:p w14:paraId="0CF41C8F" w14:textId="1EC10BF8" w:rsidR="53251126" w:rsidRPr="00452D32" w:rsidRDefault="7469E127" w:rsidP="0E0EA866">
      <w:pPr>
        <w:pStyle w:val="ListParagraph"/>
        <w:numPr>
          <w:ilvl w:val="1"/>
          <w:numId w:val="23"/>
        </w:numPr>
        <w:spacing w:after="240"/>
        <w:contextualSpacing w:val="0"/>
        <w:rPr>
          <w:rFonts w:asciiTheme="minorHAnsi" w:eastAsiaTheme="minorEastAsia" w:hAnsiTheme="minorHAnsi" w:cstheme="minorBidi"/>
        </w:rPr>
      </w:pPr>
      <w:r w:rsidRPr="00452D32">
        <w:rPr>
          <w:rFonts w:eastAsia="Arial" w:cs="Arial"/>
          <w:b/>
          <w:bCs/>
        </w:rPr>
        <w:t>A</w:t>
      </w:r>
      <w:r w:rsidR="149AA58F" w:rsidRPr="00452D32">
        <w:rPr>
          <w:rFonts w:eastAsia="Arial" w:cs="Arial"/>
          <w:b/>
          <w:bCs/>
        </w:rPr>
        <w:t xml:space="preserve">rtificial </w:t>
      </w:r>
      <w:r w:rsidRPr="00452D32">
        <w:rPr>
          <w:rFonts w:eastAsia="Arial" w:cs="Arial"/>
          <w:b/>
          <w:bCs/>
        </w:rPr>
        <w:t>I</w:t>
      </w:r>
      <w:r w:rsidR="6D31AD45" w:rsidRPr="00452D32">
        <w:rPr>
          <w:rFonts w:eastAsia="Arial" w:cs="Arial"/>
          <w:b/>
          <w:bCs/>
        </w:rPr>
        <w:t>ntelligence (AI)</w:t>
      </w:r>
      <w:r w:rsidRPr="00452D32">
        <w:rPr>
          <w:rFonts w:eastAsia="Arial" w:cs="Arial"/>
          <w:b/>
          <w:bCs/>
        </w:rPr>
        <w:t xml:space="preserve"> Scoring.</w:t>
      </w:r>
      <w:r w:rsidRPr="00452D32">
        <w:rPr>
          <w:rFonts w:eastAsia="Arial" w:cs="Arial"/>
        </w:rPr>
        <w:t xml:space="preserve"> ETS has developed rater engines that make it possible to automatically score more complex constructed-response items. AI scoring often requires some level of human scoring to train the scoring engine and validate the scores.</w:t>
      </w:r>
    </w:p>
    <w:p w14:paraId="20C0670B" w14:textId="490339B9" w:rsidR="387BD819" w:rsidRPr="00452D32" w:rsidRDefault="33D586D2" w:rsidP="514F40DD">
      <w:pPr>
        <w:spacing w:after="240"/>
        <w:rPr>
          <w:rFonts w:eastAsia="Arial" w:cs="Arial"/>
          <w:sz w:val="32"/>
          <w:szCs w:val="32"/>
        </w:rPr>
      </w:pPr>
      <w:r w:rsidRPr="00452D32">
        <w:rPr>
          <w:rFonts w:eastAsia="Arial" w:cs="Arial"/>
        </w:rPr>
        <w:t xml:space="preserve">ETS </w:t>
      </w:r>
      <w:r w:rsidR="21B05C53" w:rsidRPr="00452D32">
        <w:rPr>
          <w:rFonts w:eastAsia="Arial" w:cs="Arial"/>
        </w:rPr>
        <w:t>regularly anal</w:t>
      </w:r>
      <w:r w:rsidR="3CB498E9" w:rsidRPr="00452D32">
        <w:rPr>
          <w:rFonts w:eastAsia="Arial" w:cs="Arial"/>
        </w:rPr>
        <w:t>y</w:t>
      </w:r>
      <w:r w:rsidR="5706369D" w:rsidRPr="00452D32">
        <w:rPr>
          <w:rFonts w:eastAsia="Arial" w:cs="Arial"/>
        </w:rPr>
        <w:t>z</w:t>
      </w:r>
      <w:r w:rsidR="3CB498E9" w:rsidRPr="00452D32">
        <w:rPr>
          <w:rFonts w:eastAsia="Arial" w:cs="Arial"/>
        </w:rPr>
        <w:t xml:space="preserve">es </w:t>
      </w:r>
      <w:r w:rsidR="21B05C53" w:rsidRPr="00452D32">
        <w:rPr>
          <w:rFonts w:eastAsia="Arial" w:cs="Arial"/>
        </w:rPr>
        <w:t>IRR</w:t>
      </w:r>
      <w:r w:rsidR="0075178E" w:rsidRPr="00452D32">
        <w:rPr>
          <w:rFonts w:eastAsia="Arial" w:cs="Arial"/>
        </w:rPr>
        <w:t xml:space="preserve"> </w:t>
      </w:r>
      <w:r w:rsidR="21B05C53" w:rsidRPr="00452D32">
        <w:rPr>
          <w:rFonts w:eastAsia="Arial" w:cs="Arial"/>
        </w:rPr>
        <w:t>statistics to verify scoring consisten</w:t>
      </w:r>
      <w:r w:rsidR="2A3B411C" w:rsidRPr="00452D32">
        <w:rPr>
          <w:rFonts w:eastAsia="Arial" w:cs="Arial"/>
        </w:rPr>
        <w:t>cy</w:t>
      </w:r>
      <w:r w:rsidR="3EC15F04" w:rsidRPr="00452D32">
        <w:rPr>
          <w:rFonts w:eastAsia="Arial" w:cs="Arial"/>
        </w:rPr>
        <w:t xml:space="preserve"> between responses that are </w:t>
      </w:r>
      <w:r w:rsidR="3431CC39" w:rsidRPr="00452D32">
        <w:rPr>
          <w:rFonts w:eastAsia="Arial" w:cs="Arial"/>
        </w:rPr>
        <w:t>automatically scored</w:t>
      </w:r>
      <w:r w:rsidR="3EC15F04" w:rsidRPr="00452D32">
        <w:rPr>
          <w:rFonts w:eastAsia="Arial" w:cs="Arial"/>
        </w:rPr>
        <w:t xml:space="preserve"> and hand-scored</w:t>
      </w:r>
      <w:r w:rsidR="2A3B411C" w:rsidRPr="00452D32">
        <w:rPr>
          <w:rFonts w:eastAsia="Arial" w:cs="Arial"/>
        </w:rPr>
        <w:t xml:space="preserve">. </w:t>
      </w:r>
      <w:r w:rsidR="46C3FE2D" w:rsidRPr="00452D32">
        <w:rPr>
          <w:rFonts w:eastAsia="Arial" w:cs="Arial"/>
        </w:rPr>
        <w:t xml:space="preserve">With </w:t>
      </w:r>
      <w:r w:rsidR="26D08C1F" w:rsidRPr="00452D32">
        <w:rPr>
          <w:rFonts w:eastAsia="Arial" w:cs="Arial"/>
        </w:rPr>
        <w:t xml:space="preserve">ETS’s review and analysis of all data transfer and scoring systems, a configuration issue was uncovered in the data transfer system related to </w:t>
      </w:r>
      <w:r w:rsidR="377AA281" w:rsidRPr="00452D32">
        <w:rPr>
          <w:rFonts w:eastAsia="Arial" w:cs="Arial"/>
        </w:rPr>
        <w:t>the pool of grade six WER items</w:t>
      </w:r>
      <w:r w:rsidR="26D08C1F" w:rsidRPr="00452D32">
        <w:rPr>
          <w:rFonts w:eastAsia="Arial" w:cs="Arial"/>
        </w:rPr>
        <w:t xml:space="preserve">. </w:t>
      </w:r>
      <w:r w:rsidR="5CC834FD" w:rsidRPr="00452D32">
        <w:rPr>
          <w:rFonts w:eastAsia="Arial" w:cs="Arial"/>
        </w:rPr>
        <w:t xml:space="preserve">ETS discovered that </w:t>
      </w:r>
      <w:r w:rsidR="26D08C1F" w:rsidRPr="00452D32">
        <w:rPr>
          <w:rFonts w:eastAsia="Arial" w:cs="Arial"/>
        </w:rPr>
        <w:t xml:space="preserve">extra characters were erroneously added to student responses </w:t>
      </w:r>
      <w:r w:rsidR="149BD13B" w:rsidRPr="00452D32">
        <w:rPr>
          <w:rFonts w:eastAsia="Arial" w:cs="Arial"/>
        </w:rPr>
        <w:t xml:space="preserve">during the data transfer </w:t>
      </w:r>
      <w:r w:rsidR="26D08C1F" w:rsidRPr="00452D32">
        <w:rPr>
          <w:rFonts w:eastAsia="Arial" w:cs="Arial"/>
        </w:rPr>
        <w:t>while they were being processed for scoring and reporting. Because characters include</w:t>
      </w:r>
      <w:r w:rsidR="007E5B17" w:rsidRPr="00452D32">
        <w:rPr>
          <w:rFonts w:eastAsia="Arial" w:cs="Arial"/>
        </w:rPr>
        <w:t>d</w:t>
      </w:r>
      <w:r w:rsidR="26D08C1F" w:rsidRPr="00452D32">
        <w:rPr>
          <w:rFonts w:eastAsia="Arial" w:cs="Arial"/>
        </w:rPr>
        <w:t xml:space="preserve"> punctuation marks, and punctuation is part of the COV scoring, the COV dimension score </w:t>
      </w:r>
      <w:r w:rsidR="00832598" w:rsidRPr="00452D32">
        <w:rPr>
          <w:rFonts w:eastAsia="Arial" w:cs="Arial"/>
        </w:rPr>
        <w:t>was impacted and explained in February and June 2020 memoranda</w:t>
      </w:r>
      <w:r w:rsidR="26D08C1F" w:rsidRPr="00452D32">
        <w:rPr>
          <w:rFonts w:eastAsia="Arial" w:cs="Arial"/>
        </w:rPr>
        <w:t>.</w:t>
      </w:r>
    </w:p>
    <w:p w14:paraId="1AE6503C" w14:textId="3905548D" w:rsidR="53251126" w:rsidRPr="00452D32" w:rsidRDefault="53251126" w:rsidP="00FF7039">
      <w:pPr>
        <w:pStyle w:val="Heading3"/>
        <w:spacing w:before="240" w:after="240"/>
      </w:pPr>
      <w:r w:rsidRPr="00452D32">
        <w:rPr>
          <w:rFonts w:eastAsia="Arial" w:cs="Arial"/>
          <w:sz w:val="32"/>
          <w:szCs w:val="32"/>
        </w:rPr>
        <w:t xml:space="preserve">Task 9: Reporting </w:t>
      </w:r>
    </w:p>
    <w:p w14:paraId="5CACA937" w14:textId="546CA20C" w:rsidR="3EEE6289" w:rsidRPr="00452D32" w:rsidRDefault="53251126" w:rsidP="00FF7039">
      <w:pPr>
        <w:spacing w:after="240"/>
      </w:pPr>
      <w:r w:rsidRPr="00452D32">
        <w:rPr>
          <w:rFonts w:eastAsia="Arial" w:cs="Arial"/>
        </w:rPr>
        <w:t>The CDE recommends the release of $</w:t>
      </w:r>
      <w:r w:rsidR="5C56042C" w:rsidRPr="00452D32">
        <w:rPr>
          <w:rFonts w:eastAsia="Arial" w:cs="Arial"/>
        </w:rPr>
        <w:t>510</w:t>
      </w:r>
      <w:r w:rsidRPr="00452D32">
        <w:rPr>
          <w:rFonts w:eastAsia="Arial" w:cs="Arial"/>
        </w:rPr>
        <w:t>,</w:t>
      </w:r>
      <w:r w:rsidR="4159D254" w:rsidRPr="00452D32">
        <w:rPr>
          <w:rFonts w:eastAsia="Arial" w:cs="Arial"/>
        </w:rPr>
        <w:t>369</w:t>
      </w:r>
      <w:r w:rsidRPr="00452D32">
        <w:rPr>
          <w:rFonts w:eastAsia="Arial" w:cs="Arial"/>
        </w:rPr>
        <w:t>.</w:t>
      </w:r>
      <w:r w:rsidR="374D4026" w:rsidRPr="00452D32">
        <w:rPr>
          <w:rFonts w:eastAsia="Arial" w:cs="Arial"/>
        </w:rPr>
        <w:t>93</w:t>
      </w:r>
      <w:r w:rsidRPr="00452D32">
        <w:rPr>
          <w:rFonts w:eastAsia="Arial" w:cs="Arial"/>
        </w:rPr>
        <w:t xml:space="preserve"> of the 10 percent withhold for task 9 related to the </w:t>
      </w:r>
      <w:r w:rsidRPr="00452D32">
        <w:rPr>
          <w:rFonts w:eastAsia="Arial" w:cs="Arial"/>
          <w:color w:val="191919"/>
        </w:rPr>
        <w:t>full range of reports and reporting formats that the CD</w:t>
      </w:r>
      <w:r w:rsidRPr="00452D32">
        <w:rPr>
          <w:rFonts w:eastAsia="Arial" w:cs="Arial"/>
          <w:color w:val="000000" w:themeColor="text1"/>
        </w:rPr>
        <w:t xml:space="preserve">E </w:t>
      </w:r>
      <w:r w:rsidRPr="00452D32">
        <w:rPr>
          <w:rFonts w:eastAsia="Arial" w:cs="Arial"/>
          <w:color w:val="191919"/>
        </w:rPr>
        <w:t>requires for the CAASP</w:t>
      </w:r>
      <w:r w:rsidRPr="00452D32">
        <w:rPr>
          <w:rFonts w:eastAsia="Arial" w:cs="Arial"/>
          <w:color w:val="000000" w:themeColor="text1"/>
        </w:rPr>
        <w:t xml:space="preserve">P </w:t>
      </w:r>
      <w:r w:rsidRPr="00452D32">
        <w:rPr>
          <w:rFonts w:eastAsia="Arial" w:cs="Arial"/>
          <w:color w:val="191919"/>
        </w:rPr>
        <w:t>and ELPAC</w:t>
      </w:r>
      <w:r w:rsidRPr="00452D32">
        <w:rPr>
          <w:rFonts w:eastAsia="Arial" w:cs="Arial"/>
          <w:color w:val="202020"/>
        </w:rPr>
        <w:t xml:space="preserve">, as </w:t>
      </w:r>
      <w:r w:rsidRPr="00452D32">
        <w:rPr>
          <w:rFonts w:eastAsia="Arial" w:cs="Arial"/>
        </w:rPr>
        <w:t>specified in the SOW.</w:t>
      </w:r>
    </w:p>
    <w:p w14:paraId="36817C53" w14:textId="65507EAB" w:rsidR="53251126" w:rsidRPr="00452D32" w:rsidRDefault="53251126" w:rsidP="00A347E4">
      <w:pPr>
        <w:spacing w:after="240"/>
        <w:rPr>
          <w:rFonts w:eastAsia="Arial" w:cs="Arial"/>
          <w:color w:val="191919"/>
        </w:rPr>
      </w:pPr>
      <w:r w:rsidRPr="00452D32">
        <w:rPr>
          <w:rFonts w:eastAsia="Arial" w:cs="Arial"/>
        </w:rPr>
        <w:lastRenderedPageBreak/>
        <w:t>The CDE also recommends the non</w:t>
      </w:r>
      <w:r w:rsidR="0D9ABA1B" w:rsidRPr="00452D32">
        <w:rPr>
          <w:rFonts w:eastAsia="Arial" w:cs="Arial"/>
        </w:rPr>
        <w:t>-</w:t>
      </w:r>
      <w:r w:rsidRPr="00452D32">
        <w:rPr>
          <w:rFonts w:eastAsia="Arial" w:cs="Arial"/>
        </w:rPr>
        <w:t>release of $</w:t>
      </w:r>
      <w:r w:rsidR="6B79878F" w:rsidRPr="00452D32">
        <w:rPr>
          <w:rFonts w:eastAsia="Arial" w:cs="Arial"/>
        </w:rPr>
        <w:t>26</w:t>
      </w:r>
      <w:r w:rsidRPr="00452D32">
        <w:rPr>
          <w:rFonts w:eastAsia="Arial" w:cs="Arial"/>
        </w:rPr>
        <w:t>,</w:t>
      </w:r>
      <w:r w:rsidR="28485209" w:rsidRPr="00452D32">
        <w:rPr>
          <w:rFonts w:eastAsia="Arial" w:cs="Arial"/>
        </w:rPr>
        <w:t>861</w:t>
      </w:r>
      <w:r w:rsidRPr="00452D32">
        <w:rPr>
          <w:rFonts w:eastAsia="Arial" w:cs="Arial"/>
        </w:rPr>
        <w:t>.</w:t>
      </w:r>
      <w:r w:rsidR="4A13C2A8" w:rsidRPr="00452D32">
        <w:rPr>
          <w:rFonts w:eastAsia="Arial" w:cs="Arial"/>
        </w:rPr>
        <w:t>5</w:t>
      </w:r>
      <w:r w:rsidRPr="00452D32">
        <w:rPr>
          <w:rFonts w:eastAsia="Arial" w:cs="Arial"/>
        </w:rPr>
        <w:t>8 of the 10 percent withhold for task 9</w:t>
      </w:r>
      <w:r w:rsidR="009E5578" w:rsidRPr="00452D32">
        <w:rPr>
          <w:rFonts w:eastAsia="Arial" w:cs="Arial"/>
        </w:rPr>
        <w:t>. This is</w:t>
      </w:r>
      <w:r w:rsidRPr="00452D32">
        <w:rPr>
          <w:rFonts w:eastAsia="Arial" w:cs="Arial"/>
        </w:rPr>
        <w:t xml:space="preserve"> because ETS did not satisfactorily </w:t>
      </w:r>
      <w:r w:rsidRPr="00452D32">
        <w:rPr>
          <w:rFonts w:eastAsia="Arial" w:cs="Arial"/>
          <w:color w:val="191919"/>
        </w:rPr>
        <w:t xml:space="preserve">put </w:t>
      </w:r>
      <w:r w:rsidRPr="00452D32">
        <w:rPr>
          <w:rFonts w:eastAsia="Arial" w:cs="Arial"/>
          <w:color w:val="090909"/>
        </w:rPr>
        <w:t xml:space="preserve">in </w:t>
      </w:r>
      <w:r w:rsidRPr="00452D32">
        <w:rPr>
          <w:rFonts w:eastAsia="Arial" w:cs="Arial"/>
          <w:color w:val="191919"/>
        </w:rPr>
        <w:t xml:space="preserve">place quality controls </w:t>
      </w:r>
      <w:r w:rsidR="069011C1" w:rsidRPr="00452D32">
        <w:rPr>
          <w:rFonts w:eastAsia="Arial" w:cs="Arial"/>
          <w:color w:val="191919"/>
        </w:rPr>
        <w:t xml:space="preserve">that </w:t>
      </w:r>
      <w:r w:rsidR="00A16355" w:rsidRPr="00452D32">
        <w:rPr>
          <w:rFonts w:eastAsia="Arial" w:cs="Arial"/>
          <w:color w:val="191919"/>
        </w:rPr>
        <w:t xml:space="preserve">would have </w:t>
      </w:r>
      <w:r w:rsidR="069011C1" w:rsidRPr="00452D32">
        <w:rPr>
          <w:rFonts w:eastAsia="Arial" w:cs="Arial"/>
          <w:color w:val="191919"/>
        </w:rPr>
        <w:t xml:space="preserve">provided accurate </w:t>
      </w:r>
      <w:r w:rsidR="6F524781" w:rsidRPr="00452D32">
        <w:rPr>
          <w:rFonts w:eastAsia="Arial" w:cs="Arial"/>
        </w:rPr>
        <w:t>student results for the Smarter Balanced Summative Assessments, including scores for the claims, target, and WER dimensions</w:t>
      </w:r>
      <w:r w:rsidR="33F64370" w:rsidRPr="00452D32">
        <w:rPr>
          <w:rFonts w:eastAsia="Arial" w:cs="Arial"/>
        </w:rPr>
        <w:t xml:space="preserve">. </w:t>
      </w:r>
      <w:r w:rsidRPr="00452D32">
        <w:rPr>
          <w:rFonts w:eastAsia="Arial" w:cs="Arial"/>
        </w:rPr>
        <w:t xml:space="preserve">Details for this component task within task 9 include the following: </w:t>
      </w:r>
    </w:p>
    <w:p w14:paraId="7B3A784C" w14:textId="779E8888" w:rsidR="53251126" w:rsidRPr="00452D32" w:rsidRDefault="53251126" w:rsidP="509FBC5B">
      <w:pPr>
        <w:pStyle w:val="Heading4"/>
        <w:ind w:left="720"/>
      </w:pPr>
      <w:r w:rsidRPr="00452D32">
        <w:rPr>
          <w:rFonts w:eastAsia="Arial" w:cs="Arial"/>
          <w:b/>
          <w:bCs/>
          <w:i w:val="0"/>
          <w:iCs w:val="0"/>
          <w:sz w:val="28"/>
          <w:szCs w:val="28"/>
        </w:rPr>
        <w:t>9.1. Reporting to Local Educational Agencies</w:t>
      </w:r>
    </w:p>
    <w:p w14:paraId="3B295E08" w14:textId="5E17108B" w:rsidR="509FBC5B" w:rsidRPr="00452D32" w:rsidRDefault="53251126" w:rsidP="004E74DC">
      <w:pPr>
        <w:spacing w:after="240"/>
        <w:ind w:left="720"/>
      </w:pPr>
      <w:r w:rsidRPr="00452D32">
        <w:rPr>
          <w:rFonts w:eastAsia="Arial" w:cs="Arial"/>
        </w:rPr>
        <w:t>ETS implements a comprehensive and secure Online Reporting System for interactive reporting to allow users to view summative assessment reports at the LEA, school, and student levels. The individual student report outlines student performance on the Smarter Balanced Summative Assessments in a static version supported by text.</w:t>
      </w:r>
    </w:p>
    <w:p w14:paraId="5170A1E6" w14:textId="477D78E4" w:rsidR="2DD9BFDB" w:rsidRPr="00452D32" w:rsidRDefault="00A16355" w:rsidP="004E74DC">
      <w:pPr>
        <w:spacing w:after="240"/>
        <w:rPr>
          <w:rFonts w:eastAsia="Arial" w:cs="Arial"/>
        </w:rPr>
      </w:pPr>
      <w:r w:rsidRPr="00452D32">
        <w:rPr>
          <w:rFonts w:eastAsia="Arial" w:cs="Arial"/>
        </w:rPr>
        <w:t>Alt</w:t>
      </w:r>
      <w:r w:rsidR="24577512" w:rsidRPr="00452D32">
        <w:rPr>
          <w:rFonts w:eastAsia="Arial" w:cs="Arial"/>
        </w:rPr>
        <w:t xml:space="preserve">hough </w:t>
      </w:r>
      <w:r w:rsidR="53251126" w:rsidRPr="00452D32">
        <w:rPr>
          <w:rFonts w:eastAsia="Arial" w:cs="Arial"/>
        </w:rPr>
        <w:t>ETS successfully administered most of the requirements of the SOW for this task</w:t>
      </w:r>
      <w:r w:rsidR="339389A9" w:rsidRPr="00452D32">
        <w:rPr>
          <w:rFonts w:eastAsia="Arial" w:cs="Arial"/>
        </w:rPr>
        <w:t xml:space="preserve">, the error in WER scoring resulted in a </w:t>
      </w:r>
      <w:r w:rsidR="53251126" w:rsidRPr="00452D32">
        <w:rPr>
          <w:rFonts w:eastAsia="Arial" w:cs="Arial"/>
        </w:rPr>
        <w:t>miscalculat</w:t>
      </w:r>
      <w:r w:rsidR="04466ECF" w:rsidRPr="00452D32">
        <w:rPr>
          <w:rFonts w:eastAsia="Arial" w:cs="Arial"/>
        </w:rPr>
        <w:t xml:space="preserve">ion that had been reported to </w:t>
      </w:r>
      <w:r w:rsidR="0084015E" w:rsidRPr="00452D32">
        <w:rPr>
          <w:rFonts w:eastAsia="Arial" w:cs="Arial"/>
        </w:rPr>
        <w:t>local educational agencies (</w:t>
      </w:r>
      <w:r w:rsidR="04466ECF" w:rsidRPr="00452D32">
        <w:rPr>
          <w:rFonts w:eastAsia="Arial" w:cs="Arial"/>
        </w:rPr>
        <w:t>LEAs</w:t>
      </w:r>
      <w:r w:rsidR="0084015E" w:rsidRPr="00452D32">
        <w:rPr>
          <w:rFonts w:eastAsia="Arial" w:cs="Arial"/>
        </w:rPr>
        <w:t>)</w:t>
      </w:r>
      <w:r w:rsidR="04466ECF" w:rsidRPr="00452D32">
        <w:rPr>
          <w:rFonts w:eastAsia="Arial" w:cs="Arial"/>
        </w:rPr>
        <w:t xml:space="preserve">, </w:t>
      </w:r>
      <w:r w:rsidR="53251126" w:rsidRPr="00452D32">
        <w:rPr>
          <w:rFonts w:eastAsia="Arial" w:cs="Arial"/>
        </w:rPr>
        <w:t>school</w:t>
      </w:r>
      <w:r w:rsidR="44741574" w:rsidRPr="00452D32">
        <w:rPr>
          <w:rFonts w:eastAsia="Arial" w:cs="Arial"/>
        </w:rPr>
        <w:t xml:space="preserve">s, </w:t>
      </w:r>
      <w:r w:rsidRPr="00452D32">
        <w:rPr>
          <w:rFonts w:eastAsia="Arial" w:cs="Arial"/>
        </w:rPr>
        <w:t xml:space="preserve">and </w:t>
      </w:r>
      <w:r w:rsidR="44741574" w:rsidRPr="00452D32">
        <w:rPr>
          <w:rFonts w:eastAsia="Arial" w:cs="Arial"/>
        </w:rPr>
        <w:t>parents and guardians</w:t>
      </w:r>
      <w:r w:rsidR="53251126" w:rsidRPr="00452D32">
        <w:rPr>
          <w:rFonts w:eastAsia="Arial" w:cs="Arial"/>
        </w:rPr>
        <w:t xml:space="preserve">. </w:t>
      </w:r>
      <w:r w:rsidR="7E7E0D2A" w:rsidRPr="00452D32">
        <w:rPr>
          <w:rFonts w:eastAsia="Arial" w:cs="Arial"/>
        </w:rPr>
        <w:t>Once the scoring error was discovered,</w:t>
      </w:r>
      <w:r w:rsidR="0CF52265" w:rsidRPr="00452D32">
        <w:rPr>
          <w:rFonts w:eastAsia="Arial" w:cs="Arial"/>
        </w:rPr>
        <w:t xml:space="preserve"> revised Smarter Balanced ELA scores were reported for all students whose scale score increased because of rescoring. Consistent with past practice, students whose scale score decreased or remained the same were not re-reported</w:t>
      </w:r>
      <w:r w:rsidRPr="00452D32">
        <w:rPr>
          <w:rFonts w:eastAsia="Arial" w:cs="Arial"/>
        </w:rPr>
        <w:t>;</w:t>
      </w:r>
      <w:r w:rsidR="1C65F289" w:rsidRPr="00452D32">
        <w:rPr>
          <w:rFonts w:eastAsia="Arial" w:cs="Arial"/>
        </w:rPr>
        <w:t xml:space="preserve"> </w:t>
      </w:r>
      <w:r w:rsidRPr="00452D32">
        <w:rPr>
          <w:rFonts w:eastAsia="Arial" w:cs="Arial"/>
        </w:rPr>
        <w:t>those students’ scores were</w:t>
      </w:r>
      <w:r w:rsidR="1C65F289" w:rsidRPr="00452D32">
        <w:rPr>
          <w:rFonts w:eastAsia="Arial" w:cs="Arial"/>
        </w:rPr>
        <w:t xml:space="preserve"> not impact</w:t>
      </w:r>
      <w:r w:rsidRPr="00452D32">
        <w:rPr>
          <w:rFonts w:eastAsia="Arial" w:cs="Arial"/>
        </w:rPr>
        <w:t>ed</w:t>
      </w:r>
      <w:r w:rsidR="0CF52265" w:rsidRPr="00452D32">
        <w:rPr>
          <w:rFonts w:eastAsia="Arial" w:cs="Arial"/>
        </w:rPr>
        <w:t xml:space="preserve">. </w:t>
      </w:r>
      <w:r w:rsidR="2F89E591" w:rsidRPr="00452D32">
        <w:rPr>
          <w:rFonts w:eastAsia="Arial" w:cs="Arial"/>
        </w:rPr>
        <w:t xml:space="preserve">ETS absorbed the cost related to the rescoring and reporting, including providing revised Student Score Reports to </w:t>
      </w:r>
      <w:r w:rsidR="46E21978" w:rsidRPr="00452D32">
        <w:rPr>
          <w:rFonts w:eastAsia="Arial" w:cs="Arial"/>
        </w:rPr>
        <w:t xml:space="preserve">parents and guardians. </w:t>
      </w:r>
    </w:p>
    <w:p w14:paraId="5E24D966" w14:textId="2C962078" w:rsidR="2DD9BFDB" w:rsidRPr="00452D32" w:rsidRDefault="0CF52265" w:rsidP="004E74DC">
      <w:pPr>
        <w:spacing w:after="240"/>
      </w:pPr>
      <w:r w:rsidRPr="00452D32">
        <w:rPr>
          <w:rFonts w:eastAsia="Arial" w:cs="Arial"/>
        </w:rPr>
        <w:t xml:space="preserve">Revised data files were provided to the </w:t>
      </w:r>
      <w:r w:rsidR="00745D2E" w:rsidRPr="00452D32">
        <w:rPr>
          <w:rFonts w:eastAsia="Arial" w:cs="Arial"/>
        </w:rPr>
        <w:t xml:space="preserve">CDE </w:t>
      </w:r>
      <w:r w:rsidRPr="00452D32">
        <w:rPr>
          <w:rFonts w:eastAsia="Arial" w:cs="Arial"/>
        </w:rPr>
        <w:t>Analysis, Measurement, and Accountability Reporting Division</w:t>
      </w:r>
      <w:r w:rsidR="295CCA49" w:rsidRPr="00452D32">
        <w:rPr>
          <w:rFonts w:eastAsia="Arial" w:cs="Arial"/>
        </w:rPr>
        <w:t xml:space="preserve"> (AMARD)</w:t>
      </w:r>
      <w:r w:rsidRPr="00452D32">
        <w:rPr>
          <w:rFonts w:eastAsia="Arial" w:cs="Arial"/>
        </w:rPr>
        <w:t xml:space="preserve"> for further analysis in order to determine the impact </w:t>
      </w:r>
      <w:r w:rsidR="00097526" w:rsidRPr="00452D32">
        <w:rPr>
          <w:rFonts w:eastAsia="Arial" w:cs="Arial"/>
        </w:rPr>
        <w:t xml:space="preserve">of the issue </w:t>
      </w:r>
      <w:r w:rsidRPr="00452D32">
        <w:rPr>
          <w:rFonts w:eastAsia="Arial" w:cs="Arial"/>
        </w:rPr>
        <w:t>on the accountability and continuous improvement system. AMARD determined that the revised grade six ELA scores resulted in a change to the ELA performance level color of 200 schools and 40 LEAs.</w:t>
      </w:r>
    </w:p>
    <w:p w14:paraId="6DD723E6" w14:textId="0B546B89" w:rsidR="2DD9BFDB" w:rsidRPr="00452D32" w:rsidRDefault="3F76A983" w:rsidP="004E74DC">
      <w:pPr>
        <w:spacing w:after="240"/>
      </w:pPr>
      <w:r w:rsidRPr="00452D32">
        <w:rPr>
          <w:rFonts w:eastAsia="Arial" w:cs="Arial"/>
        </w:rPr>
        <w:t>The California School Dashboard was updated on April 6, 2020, to reflect the revised ELA academic performance level for each impacted school and LEA. Consistent with the Student Score Reports, no schools or LEAs experienced a change that negatively affected their ELA academic performance level. Only the LEAs that experienced a change in their performance level were notified of this change. While this update resulted in no change regarding Differentiated Assistance for LEAs, six schools were exited from Comprehensive Support and Improvement as a result of this c</w:t>
      </w:r>
      <w:r w:rsidR="46AFCB78" w:rsidRPr="00452D32">
        <w:rPr>
          <w:rFonts w:eastAsia="Arial" w:cs="Arial"/>
        </w:rPr>
        <w:t>orrection</w:t>
      </w:r>
      <w:r w:rsidRPr="00452D32">
        <w:rPr>
          <w:rFonts w:eastAsia="Arial" w:cs="Arial"/>
        </w:rPr>
        <w:t>.</w:t>
      </w:r>
    </w:p>
    <w:p w14:paraId="3E03B1DB" w14:textId="62EBED29" w:rsidR="2DD9BFDB" w:rsidRPr="00452D32" w:rsidRDefault="3F76A983" w:rsidP="004E74DC">
      <w:pPr>
        <w:spacing w:after="240"/>
      </w:pPr>
      <w:r w:rsidRPr="00452D32">
        <w:rPr>
          <w:rFonts w:eastAsia="Arial" w:cs="Arial"/>
          <w:color w:val="212121"/>
        </w:rPr>
        <w:t>To prevent a similar issue from occurring in the future, ETS’s corrective action review has identified the following process-improvement opportunities, which are to be implemented moving forward:</w:t>
      </w:r>
    </w:p>
    <w:p w14:paraId="548A0DCD" w14:textId="28B8EFB5" w:rsidR="2DD9BFDB" w:rsidRPr="00452D32" w:rsidRDefault="3F76A983" w:rsidP="004E74DC">
      <w:pPr>
        <w:pStyle w:val="ListParagraph"/>
        <w:numPr>
          <w:ilvl w:val="0"/>
          <w:numId w:val="3"/>
        </w:numPr>
        <w:spacing w:after="240"/>
        <w:contextualSpacing w:val="0"/>
        <w:rPr>
          <w:rFonts w:asciiTheme="minorHAnsi" w:eastAsiaTheme="minorEastAsia" w:hAnsiTheme="minorHAnsi" w:cstheme="minorBidi"/>
          <w:color w:val="212121"/>
        </w:rPr>
      </w:pPr>
      <w:r w:rsidRPr="00452D32">
        <w:rPr>
          <w:rFonts w:eastAsia="Arial" w:cs="Arial"/>
          <w:color w:val="212121"/>
        </w:rPr>
        <w:t>Update quality-control processes, including the increased sampling of test data and the enhancement of end-to-end data flow testing and rating validations, in an effort to detect and address issues before scoring commences.</w:t>
      </w:r>
    </w:p>
    <w:p w14:paraId="0F1D5953" w14:textId="3D9E93F3" w:rsidR="3EEE6289" w:rsidRPr="00452D32" w:rsidRDefault="3F76A983" w:rsidP="004E74DC">
      <w:pPr>
        <w:pStyle w:val="ListParagraph"/>
        <w:numPr>
          <w:ilvl w:val="0"/>
          <w:numId w:val="3"/>
        </w:numPr>
        <w:spacing w:after="240"/>
        <w:rPr>
          <w:rFonts w:asciiTheme="minorHAnsi" w:eastAsiaTheme="minorEastAsia" w:hAnsiTheme="minorHAnsi" w:cstheme="minorBidi"/>
          <w:color w:val="212121"/>
        </w:rPr>
      </w:pPr>
      <w:r w:rsidRPr="00452D32">
        <w:rPr>
          <w:rFonts w:eastAsia="Arial" w:cs="Arial"/>
          <w:color w:val="212121"/>
        </w:rPr>
        <w:lastRenderedPageBreak/>
        <w:t xml:space="preserve">Enhance the preliminary item analysis process for all tests with centralized hand scoring (the Smarter Balanced Assessments for ELA and mathematics, the California Science Test, and the Summative </w:t>
      </w:r>
      <w:r w:rsidR="00C95B78" w:rsidRPr="00452D32">
        <w:rPr>
          <w:rFonts w:eastAsia="Arial" w:cs="Arial"/>
          <w:color w:val="212121"/>
        </w:rPr>
        <w:t>ELPAC</w:t>
      </w:r>
      <w:r w:rsidRPr="00452D32">
        <w:rPr>
          <w:rFonts w:eastAsia="Arial" w:cs="Arial"/>
          <w:color w:val="212121"/>
        </w:rPr>
        <w:t>) to ensure that any potential issues are flagged earlier in the process, prior to the release of score reports.</w:t>
      </w:r>
    </w:p>
    <w:p w14:paraId="1D57359A" w14:textId="44D630C9" w:rsidR="2B683DFC" w:rsidRPr="00452D32" w:rsidRDefault="2B683DFC" w:rsidP="3EEE6289">
      <w:pPr>
        <w:spacing w:after="480"/>
      </w:pPr>
      <w:r w:rsidRPr="00452D32">
        <w:rPr>
          <w:rFonts w:eastAsia="Arial" w:cs="Arial"/>
          <w:color w:val="000000" w:themeColor="text1"/>
        </w:rPr>
        <w:t>The CDE provided an u</w:t>
      </w:r>
      <w:r w:rsidRPr="00452D32">
        <w:rPr>
          <w:rFonts w:eastAsia="Arial" w:cs="Arial"/>
        </w:rPr>
        <w:t xml:space="preserve">pdate on the grade six scoring and reporting to the SBE in a June 2020 Information Memorandum (available at </w:t>
      </w:r>
      <w:hyperlink r:id="rId14" w:tooltip="This link opens the June 2020 SBE Information Memorandum.">
        <w:r w:rsidRPr="00452D32">
          <w:rPr>
            <w:rStyle w:val="Hyperlink"/>
            <w:rFonts w:eastAsia="Arial" w:cs="Arial"/>
          </w:rPr>
          <w:t>https://cde.ca.gov/be/pn/im/documents/memo-imb-adad-jun20item01.docx</w:t>
        </w:r>
      </w:hyperlink>
      <w:r w:rsidRPr="00452D32">
        <w:rPr>
          <w:rFonts w:eastAsia="Arial" w:cs="Arial"/>
          <w:color w:val="000000" w:themeColor="text1"/>
        </w:rPr>
        <w:t>)</w:t>
      </w:r>
      <w:r w:rsidR="00C37A5E" w:rsidRPr="00452D32">
        <w:rPr>
          <w:rFonts w:eastAsia="Arial" w:cs="Arial"/>
          <w:color w:val="000000" w:themeColor="text1"/>
        </w:rPr>
        <w:t>,</w:t>
      </w:r>
      <w:r w:rsidRPr="00452D32">
        <w:rPr>
          <w:rFonts w:eastAsia="Arial" w:cs="Arial"/>
        </w:rPr>
        <w:t xml:space="preserve"> which provides details of the issue affecting component task 9 to support the recommendation to not release a portion of withheld funds for this task.</w:t>
      </w:r>
    </w:p>
    <w:p w14:paraId="38D3019D" w14:textId="77777777" w:rsidR="003E4DF7" w:rsidRPr="00452D32" w:rsidRDefault="003E4DF7" w:rsidP="002B4B14">
      <w:pPr>
        <w:pStyle w:val="Heading2"/>
        <w:spacing w:before="240" w:after="240"/>
        <w:rPr>
          <w:sz w:val="36"/>
          <w:szCs w:val="36"/>
        </w:rPr>
      </w:pPr>
      <w:r w:rsidRPr="00452D32">
        <w:rPr>
          <w:sz w:val="36"/>
          <w:szCs w:val="36"/>
        </w:rPr>
        <w:t>Summary of Previous State Board of Education Discussion and Action</w:t>
      </w:r>
    </w:p>
    <w:p w14:paraId="19E7EC96" w14:textId="1201008E" w:rsidR="004E78E5" w:rsidRPr="00452D32" w:rsidRDefault="0DC16FD8" w:rsidP="68B97703">
      <w:pPr>
        <w:spacing w:before="240" w:after="240"/>
        <w:rPr>
          <w:rFonts w:eastAsia="Arial" w:cs="Arial"/>
        </w:rPr>
      </w:pPr>
      <w:r w:rsidRPr="00452D32">
        <w:rPr>
          <w:rFonts w:eastAsia="Arial" w:cs="Arial"/>
        </w:rPr>
        <w:t xml:space="preserve">In June 2020, the CDE provided the SBE with an update on the revised scores for some of the grade six </w:t>
      </w:r>
      <w:r w:rsidR="00942B9A" w:rsidRPr="00452D32">
        <w:rPr>
          <w:rFonts w:eastAsia="Arial" w:cs="Arial"/>
        </w:rPr>
        <w:t>WER</w:t>
      </w:r>
      <w:r w:rsidRPr="00452D32">
        <w:rPr>
          <w:rFonts w:eastAsia="Arial" w:cs="Arial"/>
        </w:rPr>
        <w:t>s for the 2018–2019 CAASPP Smarter Balanced ELA test and subsequent changes to the California School Dashboard (</w:t>
      </w:r>
      <w:hyperlink r:id="rId15" w:tooltip="This link opens the June 2020 SBE Information Memorandum.">
        <w:r w:rsidRPr="00452D32">
          <w:rPr>
            <w:rStyle w:val="Hyperlink"/>
            <w:rFonts w:eastAsia="Arial" w:cs="Arial"/>
          </w:rPr>
          <w:t>https://www.cde.ca.gov/be/pn/im/documents/memo-imb-adad-jun20item01.docx</w:t>
        </w:r>
      </w:hyperlink>
      <w:r w:rsidRPr="00452D32">
        <w:rPr>
          <w:rFonts w:eastAsia="Arial" w:cs="Arial"/>
        </w:rPr>
        <w:t>).</w:t>
      </w:r>
    </w:p>
    <w:p w14:paraId="422A7898" w14:textId="5CB0AF92" w:rsidR="004E78E5" w:rsidRPr="00452D32" w:rsidRDefault="0DC16FD8" w:rsidP="68B97703">
      <w:pPr>
        <w:spacing w:before="240" w:after="240"/>
      </w:pPr>
      <w:r w:rsidRPr="00452D32">
        <w:rPr>
          <w:rFonts w:eastAsia="Arial" w:cs="Arial"/>
        </w:rPr>
        <w:t xml:space="preserve">In February 2020, the CDE provided notification of an error with the scoring and reporting of the grade six </w:t>
      </w:r>
      <w:r w:rsidR="00942B9A" w:rsidRPr="00452D32">
        <w:rPr>
          <w:rFonts w:eastAsia="Arial" w:cs="Arial"/>
        </w:rPr>
        <w:t>WER</w:t>
      </w:r>
      <w:r w:rsidRPr="00452D32">
        <w:rPr>
          <w:rFonts w:eastAsia="Arial" w:cs="Arial"/>
        </w:rPr>
        <w:t>s for the 2018–2019 CAASPP Smarter Balanced ELA test and the CDE’s decision for remediation and communication plan (</w:t>
      </w:r>
      <w:hyperlink r:id="rId16" w:tooltip="This link opens the February 2020 SBE Information Memorandum.">
        <w:r w:rsidRPr="00452D32">
          <w:rPr>
            <w:rStyle w:val="Hyperlink"/>
            <w:rFonts w:eastAsia="Arial" w:cs="Arial"/>
          </w:rPr>
          <w:t>https://www.cde.ca.gov/be/pn/im/documents/feb20memoadad03.docx</w:t>
        </w:r>
      </w:hyperlink>
      <w:r w:rsidRPr="00452D32">
        <w:rPr>
          <w:rFonts w:eastAsia="Arial" w:cs="Arial"/>
        </w:rPr>
        <w:t>).</w:t>
      </w:r>
      <w:r w:rsidRPr="00452D32">
        <w:rPr>
          <w:rFonts w:cs="Arial"/>
        </w:rPr>
        <w:t xml:space="preserve"> </w:t>
      </w:r>
    </w:p>
    <w:p w14:paraId="71E376E0" w14:textId="61690C18" w:rsidR="004E78E5" w:rsidRPr="00452D32" w:rsidRDefault="663E8116" w:rsidP="4A61E053">
      <w:pPr>
        <w:spacing w:after="240"/>
        <w:rPr>
          <w:rFonts w:cs="Arial"/>
        </w:rPr>
      </w:pPr>
      <w:r w:rsidRPr="00452D32">
        <w:rPr>
          <w:rFonts w:cs="Arial"/>
        </w:rPr>
        <w:t>In September 2019, the SBE approved the release of up to 10 percent withheld for the 2018–</w:t>
      </w:r>
      <w:r w:rsidR="008811F3" w:rsidRPr="00452D32">
        <w:rPr>
          <w:rFonts w:cs="Arial"/>
        </w:rPr>
        <w:t>20</w:t>
      </w:r>
      <w:r w:rsidRPr="00452D32">
        <w:rPr>
          <w:rFonts w:cs="Arial"/>
        </w:rPr>
        <w:t xml:space="preserve">19 ETS </w:t>
      </w:r>
      <w:r w:rsidR="00942B9A" w:rsidRPr="00452D32">
        <w:rPr>
          <w:rFonts w:cs="Arial"/>
        </w:rPr>
        <w:t>c</w:t>
      </w:r>
      <w:r w:rsidRPr="00452D32">
        <w:rPr>
          <w:rFonts w:cs="Arial"/>
        </w:rPr>
        <w:t>ontract (</w:t>
      </w:r>
      <w:hyperlink r:id="rId17" w:tooltip="This link opens the September 2019 SBE Agenda Item.">
        <w:r w:rsidR="5A5D3DB5" w:rsidRPr="00452D32">
          <w:rPr>
            <w:rStyle w:val="Hyperlink"/>
            <w:rFonts w:cs="Arial"/>
          </w:rPr>
          <w:t>https://www.cde.ca.gov/be/ag/ag/yr19/documents/sep19item06.docx</w:t>
        </w:r>
      </w:hyperlink>
      <w:r w:rsidRPr="00452D32">
        <w:rPr>
          <w:rFonts w:cs="Arial"/>
        </w:rPr>
        <w:t xml:space="preserve">). </w:t>
      </w:r>
    </w:p>
    <w:p w14:paraId="5F0F9FA1" w14:textId="0CC9C069" w:rsidR="004E78E5" w:rsidRPr="00452D32" w:rsidRDefault="004E78E5" w:rsidP="004F3840">
      <w:pPr>
        <w:spacing w:after="240"/>
        <w:rPr>
          <w:rFonts w:cs="Arial"/>
        </w:rPr>
      </w:pPr>
      <w:r w:rsidRPr="00452D32">
        <w:rPr>
          <w:rFonts w:cs="Arial"/>
        </w:rPr>
        <w:t xml:space="preserve">In November 2018, the SBE </w:t>
      </w:r>
      <w:r w:rsidR="00A04848" w:rsidRPr="00452D32">
        <w:rPr>
          <w:rFonts w:cs="Arial"/>
        </w:rPr>
        <w:t xml:space="preserve">approved the </w:t>
      </w:r>
      <w:r w:rsidR="001D616A" w:rsidRPr="00452D32">
        <w:rPr>
          <w:rFonts w:cs="Arial"/>
        </w:rPr>
        <w:t>release</w:t>
      </w:r>
      <w:r w:rsidR="00A04848" w:rsidRPr="00452D32">
        <w:rPr>
          <w:rFonts w:cs="Arial"/>
        </w:rPr>
        <w:t xml:space="preserve"> of u</w:t>
      </w:r>
      <w:r w:rsidRPr="00452D32">
        <w:rPr>
          <w:rFonts w:cs="Arial"/>
        </w:rPr>
        <w:t xml:space="preserve">p to 10 </w:t>
      </w:r>
      <w:r w:rsidR="00A04848" w:rsidRPr="00452D32">
        <w:rPr>
          <w:rFonts w:cs="Arial"/>
        </w:rPr>
        <w:t>p</w:t>
      </w:r>
      <w:r w:rsidRPr="00452D32">
        <w:rPr>
          <w:rFonts w:cs="Arial"/>
        </w:rPr>
        <w:t xml:space="preserve">ercent </w:t>
      </w:r>
      <w:r w:rsidR="00A04848" w:rsidRPr="00452D32">
        <w:rPr>
          <w:rFonts w:cs="Arial"/>
        </w:rPr>
        <w:t>w</w:t>
      </w:r>
      <w:r w:rsidRPr="00452D32">
        <w:rPr>
          <w:rFonts w:cs="Arial"/>
        </w:rPr>
        <w:t>ithheld for the 2017–</w:t>
      </w:r>
      <w:r w:rsidR="008811F3" w:rsidRPr="00452D32">
        <w:rPr>
          <w:rFonts w:cs="Arial"/>
        </w:rPr>
        <w:t>20</w:t>
      </w:r>
      <w:r w:rsidRPr="00452D32">
        <w:rPr>
          <w:rFonts w:cs="Arial"/>
        </w:rPr>
        <w:t xml:space="preserve">18 ETS </w:t>
      </w:r>
      <w:r w:rsidR="007B1149" w:rsidRPr="00452D32">
        <w:rPr>
          <w:rFonts w:cs="Arial"/>
        </w:rPr>
        <w:t>c</w:t>
      </w:r>
      <w:r w:rsidRPr="00452D32">
        <w:rPr>
          <w:rFonts w:cs="Arial"/>
        </w:rPr>
        <w:t>ontract</w:t>
      </w:r>
      <w:r w:rsidR="00A04848" w:rsidRPr="00452D32">
        <w:rPr>
          <w:rFonts w:cs="Arial"/>
        </w:rPr>
        <w:t xml:space="preserve"> (</w:t>
      </w:r>
      <w:hyperlink r:id="rId18" w:tooltip="This link opens the November 2018 SBE Agenda Item.">
        <w:r w:rsidR="00A04848" w:rsidRPr="00452D32">
          <w:rPr>
            <w:rStyle w:val="Hyperlink"/>
            <w:rFonts w:cs="Arial"/>
          </w:rPr>
          <w:t>https://www.cde.ca.gov/be/ag/ag/yr18/documents/nov18item15.docx</w:t>
        </w:r>
      </w:hyperlink>
      <w:r w:rsidR="00A04848" w:rsidRPr="00452D32">
        <w:rPr>
          <w:rFonts w:cs="Arial"/>
        </w:rPr>
        <w:t>)</w:t>
      </w:r>
      <w:r w:rsidRPr="00452D32">
        <w:rPr>
          <w:rFonts w:cs="Arial"/>
        </w:rPr>
        <w:t>.</w:t>
      </w:r>
      <w:r w:rsidR="00A04848" w:rsidRPr="00452D32">
        <w:rPr>
          <w:rFonts w:cs="Arial"/>
        </w:rPr>
        <w:t xml:space="preserve"> </w:t>
      </w:r>
    </w:p>
    <w:p w14:paraId="5FA04494" w14:textId="2481A000" w:rsidR="004F3840" w:rsidRPr="00452D32" w:rsidRDefault="004F3840" w:rsidP="004F3840">
      <w:pPr>
        <w:spacing w:after="240"/>
        <w:rPr>
          <w:rFonts w:cs="Arial"/>
          <w:color w:val="000000"/>
          <w:lang w:val="en"/>
        </w:rPr>
      </w:pPr>
      <w:r w:rsidRPr="00452D32">
        <w:rPr>
          <w:rFonts w:cs="Arial"/>
        </w:rPr>
        <w:t xml:space="preserve">In July 2018, the SBE approved a </w:t>
      </w:r>
      <w:r w:rsidRPr="00452D32">
        <w:rPr>
          <w:rFonts w:cs="Arial"/>
          <w:color w:val="000000" w:themeColor="text1"/>
          <w:lang w:val="en"/>
        </w:rPr>
        <w:t xml:space="preserve">request for </w:t>
      </w:r>
      <w:r w:rsidR="00AB0169" w:rsidRPr="00452D32">
        <w:rPr>
          <w:rFonts w:cs="Arial"/>
          <w:color w:val="000000" w:themeColor="text1"/>
          <w:lang w:val="en"/>
        </w:rPr>
        <w:t>authority to enter into negotiations to amend</w:t>
      </w:r>
      <w:r w:rsidRPr="00452D32">
        <w:rPr>
          <w:rFonts w:cs="Arial"/>
          <w:color w:val="000000" w:themeColor="text1"/>
          <w:lang w:val="en"/>
        </w:rPr>
        <w:t xml:space="preserve"> ETS’s CAASPP </w:t>
      </w:r>
      <w:r w:rsidR="00AB0169" w:rsidRPr="00452D32">
        <w:rPr>
          <w:rFonts w:cs="Arial"/>
          <w:color w:val="000000" w:themeColor="text1"/>
          <w:lang w:val="en"/>
        </w:rPr>
        <w:t xml:space="preserve">contract to include the integration of the </w:t>
      </w:r>
      <w:r w:rsidR="00AB0169" w:rsidRPr="00452D32">
        <w:rPr>
          <w:color w:val="000000" w:themeColor="text1"/>
        </w:rPr>
        <w:t xml:space="preserve">ELPAC assessments </w:t>
      </w:r>
      <w:r w:rsidR="00AB0169" w:rsidRPr="00452D32">
        <w:rPr>
          <w:rFonts w:cs="Arial"/>
          <w:color w:val="000000" w:themeColor="text1"/>
          <w:lang w:val="en"/>
        </w:rPr>
        <w:t>and enter into negotiations</w:t>
      </w:r>
      <w:r w:rsidRPr="00452D32">
        <w:rPr>
          <w:rFonts w:cs="Arial"/>
          <w:color w:val="000000" w:themeColor="text1"/>
          <w:lang w:val="en"/>
        </w:rPr>
        <w:t xml:space="preserve"> with the University of California, Santa Cruz for an </w:t>
      </w:r>
      <w:r w:rsidR="00AB0169" w:rsidRPr="00452D32">
        <w:rPr>
          <w:rFonts w:cs="Arial"/>
          <w:color w:val="000000" w:themeColor="text1"/>
          <w:lang w:val="en"/>
        </w:rPr>
        <w:t>interagency agreement to provide an educator reporting system</w:t>
      </w:r>
      <w:r w:rsidRPr="00452D32">
        <w:rPr>
          <w:rFonts w:cs="Arial"/>
          <w:color w:val="000000" w:themeColor="text1"/>
          <w:lang w:val="en"/>
        </w:rPr>
        <w:t xml:space="preserve"> </w:t>
      </w:r>
      <w:r w:rsidRPr="00452D32">
        <w:rPr>
          <w:rFonts w:cs="Arial"/>
        </w:rPr>
        <w:t>(</w:t>
      </w:r>
      <w:hyperlink r:id="rId19" w:tooltip="This link opens the July 2018 SBE Agenda Item.">
        <w:r w:rsidRPr="00452D32">
          <w:rPr>
            <w:rStyle w:val="Hyperlink"/>
            <w:rFonts w:cs="Arial"/>
          </w:rPr>
          <w:t>https://www.cde.ca.gov/be/ag/ag/yr18/documents/jul18item03.docx</w:t>
        </w:r>
      </w:hyperlink>
      <w:r w:rsidRPr="00452D32">
        <w:rPr>
          <w:rFonts w:cs="Arial"/>
        </w:rPr>
        <w:t xml:space="preserve">). </w:t>
      </w:r>
    </w:p>
    <w:p w14:paraId="30D6D25C" w14:textId="46611F39" w:rsidR="004F3840" w:rsidRPr="00452D32" w:rsidRDefault="004F3840" w:rsidP="00860E65">
      <w:pPr>
        <w:spacing w:after="240"/>
        <w:rPr>
          <w:rFonts w:cs="Arial"/>
        </w:rPr>
      </w:pPr>
      <w:r w:rsidRPr="00452D32">
        <w:rPr>
          <w:rFonts w:cs="Arial"/>
        </w:rPr>
        <w:t xml:space="preserve">In January 2018, the SBE approved the proposed contract renewal with </w:t>
      </w:r>
      <w:r w:rsidR="007E4219" w:rsidRPr="00452D32">
        <w:rPr>
          <w:rFonts w:cs="Arial"/>
        </w:rPr>
        <w:t>ETS</w:t>
      </w:r>
      <w:r w:rsidRPr="00452D32">
        <w:rPr>
          <w:rFonts w:cs="Arial"/>
        </w:rPr>
        <w:t xml:space="preserve"> for </w:t>
      </w:r>
      <w:r w:rsidR="00AB0169" w:rsidRPr="00452D32">
        <w:rPr>
          <w:rFonts w:cs="Arial"/>
        </w:rPr>
        <w:t xml:space="preserve">the </w:t>
      </w:r>
      <w:r w:rsidR="007E4219" w:rsidRPr="00452D32">
        <w:rPr>
          <w:rFonts w:cs="Arial"/>
        </w:rPr>
        <w:t>CAASPP</w:t>
      </w:r>
      <w:r w:rsidRPr="00452D32">
        <w:rPr>
          <w:rFonts w:cs="Arial"/>
        </w:rPr>
        <w:t xml:space="preserve"> (</w:t>
      </w:r>
      <w:hyperlink r:id="rId20" w:tooltip="This link opens the January 2018 SBE Item." w:history="1">
        <w:r w:rsidRPr="00452D32">
          <w:rPr>
            <w:rStyle w:val="Hyperlink"/>
            <w:rFonts w:cs="Arial"/>
          </w:rPr>
          <w:t>https://www.cde.ca.gov/be/ag/ag/yr18/documents/jan18item07.docx</w:t>
        </w:r>
      </w:hyperlink>
      <w:r w:rsidRPr="00452D32">
        <w:rPr>
          <w:rFonts w:cs="Arial"/>
        </w:rPr>
        <w:t>).</w:t>
      </w:r>
    </w:p>
    <w:p w14:paraId="11F1C944" w14:textId="46BADDFE" w:rsidR="00860E65" w:rsidRPr="00452D32" w:rsidRDefault="00860E65" w:rsidP="00860E65">
      <w:pPr>
        <w:spacing w:after="240"/>
        <w:rPr>
          <w:rFonts w:cs="Arial"/>
          <w:color w:val="000000"/>
          <w:lang w:val="en"/>
        </w:rPr>
      </w:pPr>
      <w:r w:rsidRPr="00452D32">
        <w:rPr>
          <w:rFonts w:cs="Arial"/>
        </w:rPr>
        <w:t xml:space="preserve">In July 2017, the SBE gave the </w:t>
      </w:r>
      <w:r w:rsidRPr="00452D32">
        <w:rPr>
          <w:rFonts w:cs="Arial"/>
          <w:color w:val="000000"/>
          <w:lang w:val="en"/>
        </w:rPr>
        <w:t>CDE the authority to begin the process of approving a renewal of ETS’s administration contract for an additional two years (</w:t>
      </w:r>
      <w:hyperlink r:id="rId21" w:tooltip="This link opens the July 2017 SBE Item." w:history="1">
        <w:r w:rsidRPr="00452D32">
          <w:rPr>
            <w:rStyle w:val="Hyperlink"/>
            <w:rFonts w:cs="Arial"/>
            <w:lang w:val="en"/>
          </w:rPr>
          <w:t>https://www.cde.ca.gov/be/ag/ag/yr17/documents/jul17item04.doc</w:t>
        </w:r>
      </w:hyperlink>
      <w:r w:rsidRPr="00452D32">
        <w:rPr>
          <w:rFonts w:cs="Arial"/>
          <w:color w:val="000000"/>
          <w:lang w:val="en"/>
        </w:rPr>
        <w:t>).</w:t>
      </w:r>
    </w:p>
    <w:p w14:paraId="03C2F865" w14:textId="2F2727FE" w:rsidR="00860E65" w:rsidRPr="00452D32" w:rsidRDefault="00860E65" w:rsidP="00860E65">
      <w:pPr>
        <w:spacing w:after="240"/>
        <w:rPr>
          <w:rFonts w:cs="Arial"/>
        </w:rPr>
      </w:pPr>
      <w:r w:rsidRPr="00452D32">
        <w:rPr>
          <w:rFonts w:cs="Arial"/>
          <w:color w:val="000000"/>
          <w:lang w:val="en"/>
        </w:rPr>
        <w:lastRenderedPageBreak/>
        <w:t>In May 2017, the SBE approved the proposed contract amendment with ETS for the CAASPP contract (</w:t>
      </w:r>
      <w:hyperlink r:id="rId22" w:tooltip="This link opens up the May 2017 SBE Item." w:history="1">
        <w:r w:rsidRPr="00452D32">
          <w:rPr>
            <w:rStyle w:val="Hyperlink"/>
            <w:rFonts w:cs="Arial"/>
            <w:lang w:val="en"/>
          </w:rPr>
          <w:t>https://www.cde.ca.gov/be/ag/ag/yr17/documents/may17item02.doc</w:t>
        </w:r>
      </w:hyperlink>
      <w:r w:rsidRPr="00452D32">
        <w:rPr>
          <w:rFonts w:cs="Arial"/>
          <w:color w:val="000000"/>
          <w:lang w:val="en"/>
        </w:rPr>
        <w:t xml:space="preserve">). </w:t>
      </w:r>
    </w:p>
    <w:p w14:paraId="69BFE121" w14:textId="21DC0A98" w:rsidR="00860E65" w:rsidRPr="00452D32" w:rsidRDefault="00860E65" w:rsidP="00724626">
      <w:pPr>
        <w:spacing w:after="480"/>
        <w:rPr>
          <w:rFonts w:cs="Arial"/>
          <w:color w:val="000000"/>
          <w:lang w:val="en"/>
        </w:rPr>
      </w:pPr>
      <w:r w:rsidRPr="00452D32">
        <w:rPr>
          <w:rFonts w:cs="Arial"/>
        </w:rPr>
        <w:t xml:space="preserve">In March 2017, the SBE gave the </w:t>
      </w:r>
      <w:r w:rsidRPr="00452D32">
        <w:rPr>
          <w:rFonts w:cs="Arial"/>
          <w:color w:val="000000"/>
          <w:lang w:val="en"/>
        </w:rPr>
        <w:t>CDE the authority to begin negotiations with ETS to amend the existing S</w:t>
      </w:r>
      <w:r w:rsidR="007E4219" w:rsidRPr="00452D32">
        <w:rPr>
          <w:rFonts w:cs="Arial"/>
          <w:color w:val="000000"/>
          <w:lang w:val="en"/>
        </w:rPr>
        <w:t>O</w:t>
      </w:r>
      <w:r w:rsidRPr="00452D32">
        <w:rPr>
          <w:rFonts w:cs="Arial"/>
          <w:color w:val="000000"/>
          <w:lang w:val="en"/>
        </w:rPr>
        <w:t>W for the CAASPP contract (</w:t>
      </w:r>
      <w:hyperlink r:id="rId23" w:tooltip="This link opens the March 2017 SBE Item." w:history="1">
        <w:r w:rsidRPr="00452D32">
          <w:rPr>
            <w:rStyle w:val="Hyperlink"/>
            <w:rFonts w:cs="Arial"/>
            <w:lang w:val="en"/>
          </w:rPr>
          <w:t>https://www.cde.ca.gov/be/ag/ag/yr17/documents/mar17item06.doc</w:t>
        </w:r>
      </w:hyperlink>
      <w:r w:rsidRPr="00452D32">
        <w:rPr>
          <w:rFonts w:cs="Arial"/>
          <w:color w:val="000000"/>
          <w:lang w:val="en"/>
        </w:rPr>
        <w:t>).</w:t>
      </w:r>
    </w:p>
    <w:p w14:paraId="012C8FCD" w14:textId="77777777" w:rsidR="003E4DF7" w:rsidRPr="00452D32" w:rsidRDefault="003E4DF7" w:rsidP="002B4B14">
      <w:pPr>
        <w:pStyle w:val="Heading2"/>
        <w:spacing w:before="240" w:after="240"/>
        <w:rPr>
          <w:sz w:val="36"/>
          <w:szCs w:val="36"/>
        </w:rPr>
      </w:pPr>
      <w:r w:rsidRPr="00452D32">
        <w:rPr>
          <w:sz w:val="36"/>
          <w:szCs w:val="36"/>
        </w:rPr>
        <w:t>Fiscal Analysis (as appropriate)</w:t>
      </w:r>
    </w:p>
    <w:p w14:paraId="21DF11C2" w14:textId="6A417EE7" w:rsidR="004E6EF3" w:rsidRPr="00452D32" w:rsidRDefault="2EAB7B0E" w:rsidP="6C3BCC9C">
      <w:pPr>
        <w:spacing w:after="480"/>
        <w:rPr>
          <w:rFonts w:cs="Arial"/>
        </w:rPr>
      </w:pPr>
      <w:r w:rsidRPr="00452D32">
        <w:rPr>
          <w:rFonts w:cs="Arial"/>
        </w:rPr>
        <w:t xml:space="preserve">The funds to be released were withheld during </w:t>
      </w:r>
      <w:r w:rsidR="749D0F4F" w:rsidRPr="00452D32">
        <w:rPr>
          <w:rFonts w:cs="Arial"/>
        </w:rPr>
        <w:t>2019–</w:t>
      </w:r>
      <w:r w:rsidR="25A92E23" w:rsidRPr="00452D32">
        <w:rPr>
          <w:rFonts w:cs="Arial"/>
        </w:rPr>
        <w:t>20</w:t>
      </w:r>
      <w:r w:rsidR="749D0F4F" w:rsidRPr="00452D32">
        <w:rPr>
          <w:rFonts w:cs="Arial"/>
        </w:rPr>
        <w:t xml:space="preserve">20 </w:t>
      </w:r>
      <w:r w:rsidRPr="00452D32">
        <w:rPr>
          <w:rFonts w:cs="Arial"/>
        </w:rPr>
        <w:t xml:space="preserve">from invoices paid with existing </w:t>
      </w:r>
      <w:r w:rsidR="43139CF7" w:rsidRPr="00452D32">
        <w:t>California assessment system</w:t>
      </w:r>
      <w:r w:rsidRPr="00452D32">
        <w:rPr>
          <w:rFonts w:cs="Arial"/>
        </w:rPr>
        <w:t xml:space="preserve"> contract funding, </w:t>
      </w:r>
      <w:r w:rsidR="45F6DD24" w:rsidRPr="00452D32">
        <w:rPr>
          <w:rFonts w:cs="Arial"/>
        </w:rPr>
        <w:t xml:space="preserve">as </w:t>
      </w:r>
      <w:r w:rsidRPr="00452D32">
        <w:rPr>
          <w:rFonts w:cs="Arial"/>
        </w:rPr>
        <w:t xml:space="preserve">shown in Attachment 2. The CDE recommends the release of </w:t>
      </w:r>
      <w:r w:rsidR="5E268D86" w:rsidRPr="00452D32">
        <w:rPr>
          <w:rFonts w:cs="Arial"/>
        </w:rPr>
        <w:t>$10,200,553.50</w:t>
      </w:r>
      <w:r w:rsidRPr="00452D32">
        <w:rPr>
          <w:rFonts w:cs="Arial"/>
        </w:rPr>
        <w:t xml:space="preserve">. The CDE recommends not releasing </w:t>
      </w:r>
      <w:r w:rsidR="60721315" w:rsidRPr="00452D32">
        <w:rPr>
          <w:rFonts w:cs="Arial"/>
        </w:rPr>
        <w:t>$119,807.41</w:t>
      </w:r>
      <w:r w:rsidRPr="00452D32">
        <w:rPr>
          <w:rFonts w:cs="Arial"/>
        </w:rPr>
        <w:t xml:space="preserve"> specific to task</w:t>
      </w:r>
      <w:r w:rsidR="3E32FD8E" w:rsidRPr="00452D32">
        <w:rPr>
          <w:rFonts w:cs="Arial"/>
        </w:rPr>
        <w:t>s 8 and</w:t>
      </w:r>
      <w:r w:rsidRPr="00452D32">
        <w:rPr>
          <w:rFonts w:cs="Arial"/>
        </w:rPr>
        <w:t xml:space="preserve"> 9. Any portion of the funds withheld during </w:t>
      </w:r>
      <w:r w:rsidR="749D0F4F" w:rsidRPr="00452D32">
        <w:rPr>
          <w:rFonts w:cs="Arial"/>
        </w:rPr>
        <w:t>2019–</w:t>
      </w:r>
      <w:r w:rsidR="74F9B9B7" w:rsidRPr="00452D32">
        <w:rPr>
          <w:rFonts w:cs="Arial"/>
        </w:rPr>
        <w:t>20</w:t>
      </w:r>
      <w:r w:rsidR="749D0F4F" w:rsidRPr="00452D32">
        <w:rPr>
          <w:rFonts w:cs="Arial"/>
        </w:rPr>
        <w:t xml:space="preserve">20 </w:t>
      </w:r>
      <w:r w:rsidRPr="00452D32">
        <w:rPr>
          <w:rFonts w:cs="Arial"/>
        </w:rPr>
        <w:t xml:space="preserve">will revert to the state General Fund and cannot be used for any other purpose. The reversion date for fiscal year </w:t>
      </w:r>
      <w:r w:rsidR="749D0F4F" w:rsidRPr="00452D32">
        <w:rPr>
          <w:rFonts w:cs="Arial"/>
        </w:rPr>
        <w:t>2019–</w:t>
      </w:r>
      <w:r w:rsidR="62BF9A56" w:rsidRPr="00452D32">
        <w:rPr>
          <w:rFonts w:cs="Arial"/>
        </w:rPr>
        <w:t>20</w:t>
      </w:r>
      <w:r w:rsidR="749D0F4F" w:rsidRPr="00452D32">
        <w:rPr>
          <w:rFonts w:cs="Arial"/>
        </w:rPr>
        <w:t xml:space="preserve">20 </w:t>
      </w:r>
      <w:r w:rsidRPr="00452D32">
        <w:rPr>
          <w:rFonts w:cs="Arial"/>
        </w:rPr>
        <w:t>funding is June 30, 202</w:t>
      </w:r>
      <w:r w:rsidR="1069BC89" w:rsidRPr="00452D32">
        <w:rPr>
          <w:rFonts w:cs="Arial"/>
        </w:rPr>
        <w:t>2</w:t>
      </w:r>
      <w:r w:rsidRPr="00452D32">
        <w:rPr>
          <w:rFonts w:cs="Arial"/>
        </w:rPr>
        <w:t>. The amounts per task are listed in</w:t>
      </w:r>
      <w:r w:rsidR="5B011822" w:rsidRPr="00452D32">
        <w:rPr>
          <w:rFonts w:cs="Arial"/>
        </w:rPr>
        <w:t xml:space="preserve"> </w:t>
      </w:r>
      <w:r w:rsidR="680B1006" w:rsidRPr="00452D32">
        <w:rPr>
          <w:rFonts w:cs="Arial"/>
        </w:rPr>
        <w:t>Attachment 2</w:t>
      </w:r>
      <w:r w:rsidR="5B011822" w:rsidRPr="00452D32">
        <w:rPr>
          <w:rFonts w:cs="Arial"/>
        </w:rPr>
        <w:t xml:space="preserve">. </w:t>
      </w:r>
    </w:p>
    <w:p w14:paraId="7F1B885A" w14:textId="77777777" w:rsidR="00F6046B" w:rsidRPr="00452D32" w:rsidRDefault="00F6046B" w:rsidP="00F6046B">
      <w:pPr>
        <w:pStyle w:val="Heading2"/>
        <w:spacing w:before="240" w:after="240"/>
        <w:rPr>
          <w:sz w:val="36"/>
          <w:szCs w:val="36"/>
        </w:rPr>
      </w:pPr>
      <w:r w:rsidRPr="00452D32">
        <w:rPr>
          <w:sz w:val="36"/>
          <w:szCs w:val="36"/>
        </w:rPr>
        <w:t>Attachment(s)</w:t>
      </w:r>
    </w:p>
    <w:p w14:paraId="5E4AEDF6" w14:textId="5FA50AD2" w:rsidR="00F6046B" w:rsidRPr="00452D32" w:rsidRDefault="4FF6DEFA" w:rsidP="00F6046B">
      <w:pPr>
        <w:pStyle w:val="ListParagraph"/>
        <w:numPr>
          <w:ilvl w:val="0"/>
          <w:numId w:val="12"/>
        </w:numPr>
        <w:spacing w:after="240"/>
        <w:contextualSpacing w:val="0"/>
        <w:rPr>
          <w:rFonts w:cs="Arial"/>
        </w:rPr>
      </w:pPr>
      <w:r w:rsidRPr="00452D32">
        <w:rPr>
          <w:rFonts w:cs="Arial"/>
        </w:rPr>
        <w:t xml:space="preserve">Attachment 1: Educational Testing Service, CDE Agreement #CN150012, Exhibit E: </w:t>
      </w:r>
      <w:r w:rsidR="2DC5C6D9" w:rsidRPr="00452D32">
        <w:rPr>
          <w:rFonts w:eastAsia="Arial" w:cs="Arial"/>
          <w:b/>
          <w:bCs/>
        </w:rPr>
        <w:t xml:space="preserve"> </w:t>
      </w:r>
      <w:r w:rsidR="2DC5C6D9" w:rsidRPr="00452D32">
        <w:rPr>
          <w:rFonts w:eastAsia="Arial" w:cs="Arial"/>
        </w:rPr>
        <w:t>California Assessment System</w:t>
      </w:r>
      <w:r w:rsidR="7D94EAB1" w:rsidRPr="00452D32">
        <w:rPr>
          <w:rFonts w:eastAsia="Arial" w:cs="Arial"/>
        </w:rPr>
        <w:t xml:space="preserve"> </w:t>
      </w:r>
      <w:r w:rsidR="2DC5C6D9" w:rsidRPr="00452D32">
        <w:rPr>
          <w:rFonts w:eastAsia="Arial" w:cs="Arial"/>
        </w:rPr>
        <w:t>for the California Assessment of Student Performance and Progress (CAASPP)</w:t>
      </w:r>
      <w:r w:rsidR="382F521A" w:rsidRPr="00452D32">
        <w:rPr>
          <w:rFonts w:eastAsia="Arial" w:cs="Arial"/>
        </w:rPr>
        <w:t xml:space="preserve"> </w:t>
      </w:r>
      <w:r w:rsidR="2DC5C6D9" w:rsidRPr="00452D32">
        <w:rPr>
          <w:rFonts w:eastAsia="Arial" w:cs="Arial"/>
        </w:rPr>
        <w:t>and the English Language Proficiency Assessments for California (ELPAC)</w:t>
      </w:r>
      <w:r w:rsidR="59577C47" w:rsidRPr="00452D32">
        <w:rPr>
          <w:rFonts w:eastAsia="Arial" w:cs="Arial"/>
        </w:rPr>
        <w:t xml:space="preserve"> </w:t>
      </w:r>
      <w:r w:rsidR="2DC5C6D9" w:rsidRPr="00452D32">
        <w:rPr>
          <w:rFonts w:eastAsia="Arial" w:cs="Arial"/>
        </w:rPr>
        <w:t>Completion Criteria</w:t>
      </w:r>
      <w:r w:rsidRPr="00452D32">
        <w:rPr>
          <w:rFonts w:cs="Arial"/>
        </w:rPr>
        <w:t xml:space="preserve"> (5 Pages)</w:t>
      </w:r>
    </w:p>
    <w:p w14:paraId="11FCFC45" w14:textId="02CAA48A" w:rsidR="00F6046B" w:rsidRPr="00452D32" w:rsidRDefault="00F6046B" w:rsidP="00F6046B">
      <w:pPr>
        <w:pStyle w:val="ListParagraph"/>
        <w:numPr>
          <w:ilvl w:val="0"/>
          <w:numId w:val="12"/>
        </w:numPr>
        <w:spacing w:after="480"/>
        <w:rPr>
          <w:rFonts w:cs="Arial"/>
        </w:rPr>
      </w:pPr>
      <w:r w:rsidRPr="00452D32">
        <w:rPr>
          <w:rFonts w:cs="Arial"/>
        </w:rPr>
        <w:t xml:space="preserve">Attachment 2: </w:t>
      </w:r>
      <w:r w:rsidRPr="00452D32">
        <w:t>California Assessment of Student Performance and Progress Contract 2019–20</w:t>
      </w:r>
      <w:r w:rsidR="000328E6" w:rsidRPr="00452D32">
        <w:t>20</w:t>
      </w:r>
      <w:r w:rsidRPr="00452D32">
        <w:t xml:space="preserve"> Test Administration Component Task Budget (</w:t>
      </w:r>
      <w:r w:rsidR="006E312B" w:rsidRPr="00452D32">
        <w:t>2</w:t>
      </w:r>
      <w:r w:rsidRPr="00452D32">
        <w:t xml:space="preserve"> Page</w:t>
      </w:r>
      <w:r w:rsidR="006E312B" w:rsidRPr="00452D32">
        <w:t>s</w:t>
      </w:r>
      <w:r w:rsidRPr="00452D32">
        <w:t>)</w:t>
      </w:r>
    </w:p>
    <w:p w14:paraId="45FC6781" w14:textId="77777777" w:rsidR="00F6046B" w:rsidRPr="00452D32" w:rsidRDefault="00F6046B" w:rsidP="387BD819">
      <w:pPr>
        <w:spacing w:after="480"/>
        <w:rPr>
          <w:rFonts w:cs="Arial"/>
        </w:rPr>
      </w:pPr>
    </w:p>
    <w:p w14:paraId="7BB48DE8" w14:textId="31668B57" w:rsidR="00F6046B" w:rsidRPr="00452D32" w:rsidRDefault="00F6046B" w:rsidP="387BD819">
      <w:pPr>
        <w:spacing w:after="480"/>
        <w:rPr>
          <w:rFonts w:cs="Arial"/>
        </w:rPr>
        <w:sectPr w:rsidR="00F6046B" w:rsidRPr="00452D32" w:rsidSect="00575DD7">
          <w:headerReference w:type="default" r:id="rId24"/>
          <w:footerReference w:type="default" r:id="rId25"/>
          <w:type w:val="continuous"/>
          <w:pgSz w:w="12240" w:h="15840"/>
          <w:pgMar w:top="720" w:right="1440" w:bottom="1440" w:left="1440" w:header="720" w:footer="720" w:gutter="0"/>
          <w:cols w:space="720"/>
          <w:docGrid w:linePitch="360"/>
        </w:sectPr>
      </w:pPr>
    </w:p>
    <w:p w14:paraId="5D807507" w14:textId="77777777" w:rsidR="00575DD7" w:rsidRPr="00452D32" w:rsidRDefault="00575DD7" w:rsidP="00281B3E">
      <w:pPr>
        <w:jc w:val="right"/>
        <w:rPr>
          <w:rFonts w:cs="Arial"/>
          <w:b/>
          <w:snapToGrid w:val="0"/>
          <w:color w:val="000000"/>
          <w:szCs w:val="20"/>
        </w:rPr>
      </w:pPr>
      <w:r w:rsidRPr="00452D32">
        <w:rPr>
          <w:rFonts w:cs="Arial"/>
          <w:b/>
          <w:snapToGrid w:val="0"/>
          <w:color w:val="000000"/>
          <w:szCs w:val="20"/>
        </w:rPr>
        <w:lastRenderedPageBreak/>
        <w:t>Educational Testing Service</w:t>
      </w:r>
    </w:p>
    <w:p w14:paraId="24167E2A" w14:textId="77777777" w:rsidR="00575DD7" w:rsidRPr="00452D32" w:rsidRDefault="00575DD7" w:rsidP="00575DD7">
      <w:pPr>
        <w:widowControl w:val="0"/>
        <w:ind w:left="4590" w:hanging="90"/>
        <w:jc w:val="right"/>
        <w:rPr>
          <w:rFonts w:cs="Arial"/>
          <w:b/>
          <w:snapToGrid w:val="0"/>
          <w:color w:val="000000"/>
          <w:szCs w:val="20"/>
        </w:rPr>
      </w:pPr>
      <w:r w:rsidRPr="00452D32">
        <w:rPr>
          <w:rFonts w:cs="Arial"/>
          <w:b/>
          <w:snapToGrid w:val="0"/>
          <w:color w:val="000000"/>
          <w:szCs w:val="20"/>
        </w:rPr>
        <w:t>CDE Agreement # CN150012</w:t>
      </w:r>
    </w:p>
    <w:p w14:paraId="43C70E28" w14:textId="1D80FB61" w:rsidR="00575DD7" w:rsidRPr="00452D32" w:rsidRDefault="00575DD7" w:rsidP="0093677C">
      <w:pPr>
        <w:widowControl w:val="0"/>
        <w:spacing w:after="360"/>
        <w:ind w:left="4590" w:hanging="90"/>
        <w:jc w:val="right"/>
        <w:rPr>
          <w:rFonts w:cs="Arial"/>
          <w:b/>
          <w:snapToGrid w:val="0"/>
          <w:color w:val="000000"/>
          <w:szCs w:val="20"/>
        </w:rPr>
      </w:pPr>
      <w:r w:rsidRPr="00452D32">
        <w:rPr>
          <w:rFonts w:cs="Arial"/>
          <w:b/>
          <w:snapToGrid w:val="0"/>
          <w:color w:val="000000"/>
          <w:szCs w:val="20"/>
        </w:rPr>
        <w:t>Exhibit E</w:t>
      </w:r>
    </w:p>
    <w:p w14:paraId="60B63D20" w14:textId="52CF5563" w:rsidR="00B27458" w:rsidRPr="00452D32" w:rsidRDefault="23080BC4" w:rsidP="006432EA">
      <w:pPr>
        <w:pStyle w:val="Heading1"/>
        <w:spacing w:before="240" w:after="240"/>
        <w:jc w:val="center"/>
        <w:rPr>
          <w:sz w:val="24"/>
          <w:szCs w:val="24"/>
        </w:rPr>
      </w:pPr>
      <w:r w:rsidRPr="00452D32">
        <w:rPr>
          <w:sz w:val="24"/>
          <w:szCs w:val="24"/>
        </w:rPr>
        <w:t>California Assessment System</w:t>
      </w:r>
      <w:r w:rsidRPr="00452D32">
        <w:rPr>
          <w:sz w:val="24"/>
          <w:szCs w:val="24"/>
        </w:rPr>
        <w:br/>
        <w:t xml:space="preserve"> for the California Assessment of Student Performance and Progress (CAASPP)</w:t>
      </w:r>
      <w:r w:rsidRPr="00452D32">
        <w:rPr>
          <w:sz w:val="24"/>
          <w:szCs w:val="24"/>
        </w:rPr>
        <w:br/>
        <w:t xml:space="preserve"> and the English Language Proficiency Assessments for California (ELPAC)</w:t>
      </w:r>
      <w:r w:rsidR="003E6E30" w:rsidRPr="00452D32">
        <w:rPr>
          <w:sz w:val="24"/>
          <w:szCs w:val="24"/>
        </w:rPr>
        <w:t xml:space="preserve"> </w:t>
      </w:r>
      <w:r w:rsidRPr="00452D32">
        <w:rPr>
          <w:sz w:val="24"/>
          <w:szCs w:val="24"/>
        </w:rPr>
        <w:t>Completion Criteria</w:t>
      </w:r>
    </w:p>
    <w:p w14:paraId="191D979E" w14:textId="41C4FA3F" w:rsidR="6C3BCC9C" w:rsidRPr="00452D32" w:rsidRDefault="6C3BCC9C" w:rsidP="6C3BCC9C">
      <w:pPr>
        <w:jc w:val="center"/>
        <w:rPr>
          <w:rFonts w:eastAsia="Arial" w:cs="Arial"/>
          <w:b/>
          <w:bCs/>
        </w:rPr>
      </w:pPr>
    </w:p>
    <w:p w14:paraId="40CADCCF" w14:textId="77777777" w:rsidR="00B27458" w:rsidRPr="00452D32" w:rsidRDefault="00B27458" w:rsidP="003801C5">
      <w:pPr>
        <w:spacing w:after="240"/>
        <w:rPr>
          <w:rFonts w:cs="Arial"/>
        </w:rPr>
      </w:pPr>
      <w:r w:rsidRPr="00452D32">
        <w:rPr>
          <w:rFonts w:cs="Arial"/>
        </w:rPr>
        <w:t xml:space="preserve">The criteria by which the California Department of Education (CDE) will recommend and the State Board of Education (SBE) will determine the successful completion of each separate and distinct component task for payment of the final 10 percent is set forth in the following table for each test administration covered in Exhibit A, Scope of Work (SOW) of the Agreement. </w:t>
      </w:r>
    </w:p>
    <w:p w14:paraId="42E82608" w14:textId="74D9F18F" w:rsidR="00281B3E" w:rsidRPr="00452D32" w:rsidRDefault="790A8775">
      <w:pPr>
        <w:spacing w:after="240"/>
        <w:rPr>
          <w:rFonts w:cs="Arial"/>
        </w:rPr>
      </w:pPr>
      <w:r w:rsidRPr="00452D32">
        <w:rPr>
          <w:rFonts w:cs="Arial"/>
        </w:rPr>
        <w:t>If it is determined by the CDE that a certified deliverable submitted to the CDE by the contractor does not meet all of the criteria in Exhibit E, the CDE reserves the right to use this information as part of the criteria by which the CDE will recommend, and the SBE will determine, successful completion of each separate and distinct component task for payment of the final ten percent for the each applicable test administration as set forth in the attached California Assessment System Completion Criteria.</w:t>
      </w:r>
      <w:r w:rsidR="00B27458" w:rsidRPr="00452D32">
        <w:rPr>
          <w:rFonts w:cs="Arial"/>
        </w:rPr>
        <w:br w:type="page"/>
      </w:r>
    </w:p>
    <w:p w14:paraId="6FF2C1DE" w14:textId="4A1F0787" w:rsidR="00B27458" w:rsidRPr="00452D32" w:rsidRDefault="00B27458" w:rsidP="007C7902">
      <w:pPr>
        <w:pStyle w:val="Heading2"/>
        <w:jc w:val="center"/>
      </w:pPr>
      <w:r w:rsidRPr="00452D32">
        <w:lastRenderedPageBreak/>
        <w:t>CRITERIA FOR SUCCESSFUL COMPLETION OF COMPONENT TASKS</w:t>
      </w:r>
    </w:p>
    <w:tbl>
      <w:tblPr>
        <w:tblStyle w:val="TableGrid"/>
        <w:tblW w:w="5000" w:type="pct"/>
        <w:tblLayout w:type="fixed"/>
        <w:tblLook w:val="04A0" w:firstRow="1" w:lastRow="0" w:firstColumn="1" w:lastColumn="0" w:noHBand="0" w:noVBand="1"/>
        <w:tblCaption w:val="Table 1"/>
        <w:tblDescription w:val="The table outlines the criteria for successful completion of component tasks 1–9."/>
      </w:tblPr>
      <w:tblGrid>
        <w:gridCol w:w="2246"/>
        <w:gridCol w:w="7104"/>
      </w:tblGrid>
      <w:tr w:rsidR="00B27458" w:rsidRPr="00452D32" w14:paraId="604E2FE2" w14:textId="77777777" w:rsidTr="4A61E053">
        <w:trPr>
          <w:cantSplit/>
          <w:tblHeader/>
        </w:trPr>
        <w:tc>
          <w:tcPr>
            <w:tcW w:w="1201" w:type="pct"/>
            <w:shd w:val="clear" w:color="auto" w:fill="D9D9D9" w:themeFill="background1" w:themeFillShade="D9"/>
          </w:tcPr>
          <w:p w14:paraId="4F045CFB" w14:textId="77777777" w:rsidR="00B27458" w:rsidRPr="00452D32" w:rsidRDefault="00B27458" w:rsidP="0021074B">
            <w:pPr>
              <w:tabs>
                <w:tab w:val="left" w:pos="630"/>
                <w:tab w:val="left" w:pos="990"/>
                <w:tab w:val="left" w:pos="1440"/>
                <w:tab w:val="left" w:pos="1710"/>
                <w:tab w:val="left" w:pos="2070"/>
                <w:tab w:val="left" w:pos="2160"/>
                <w:tab w:val="left" w:pos="2340"/>
              </w:tabs>
              <w:spacing w:before="60" w:after="60"/>
              <w:jc w:val="center"/>
              <w:rPr>
                <w:rFonts w:eastAsia="Calibri" w:cs="Arial"/>
                <w:b/>
                <w:szCs w:val="22"/>
              </w:rPr>
            </w:pPr>
            <w:r w:rsidRPr="00452D32">
              <w:rPr>
                <w:rFonts w:eastAsia="Calibri" w:cs="Arial"/>
                <w:b/>
                <w:szCs w:val="22"/>
              </w:rPr>
              <w:t>Component Task</w:t>
            </w:r>
          </w:p>
        </w:tc>
        <w:tc>
          <w:tcPr>
            <w:tcW w:w="3799" w:type="pct"/>
            <w:shd w:val="clear" w:color="auto" w:fill="D9D9D9" w:themeFill="background1" w:themeFillShade="D9"/>
          </w:tcPr>
          <w:p w14:paraId="756FE26C" w14:textId="77777777" w:rsidR="00B27458" w:rsidRPr="00452D32" w:rsidRDefault="00B27458" w:rsidP="0021074B">
            <w:pPr>
              <w:tabs>
                <w:tab w:val="left" w:pos="630"/>
                <w:tab w:val="left" w:pos="990"/>
                <w:tab w:val="left" w:pos="1440"/>
                <w:tab w:val="left" w:pos="1710"/>
                <w:tab w:val="left" w:pos="2070"/>
                <w:tab w:val="left" w:pos="2160"/>
                <w:tab w:val="left" w:pos="2340"/>
              </w:tabs>
              <w:spacing w:before="60" w:after="60"/>
              <w:jc w:val="center"/>
              <w:rPr>
                <w:rFonts w:eastAsia="Calibri" w:cs="Arial"/>
                <w:b/>
                <w:szCs w:val="22"/>
              </w:rPr>
            </w:pPr>
            <w:r w:rsidRPr="00452D32">
              <w:rPr>
                <w:rFonts w:eastAsia="Calibri" w:cs="Arial"/>
                <w:b/>
                <w:szCs w:val="22"/>
              </w:rPr>
              <w:t>Criteria</w:t>
            </w:r>
          </w:p>
        </w:tc>
      </w:tr>
      <w:tr w:rsidR="00B27458" w:rsidRPr="00452D32" w14:paraId="061BD09D" w14:textId="77777777" w:rsidTr="4A61E053">
        <w:trPr>
          <w:cantSplit/>
        </w:trPr>
        <w:tc>
          <w:tcPr>
            <w:tcW w:w="1201" w:type="pct"/>
          </w:tcPr>
          <w:p w14:paraId="328FEB9C" w14:textId="77777777" w:rsidR="00B27458" w:rsidRPr="00452D32" w:rsidRDefault="00B27458" w:rsidP="00A347E4">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1: Comprehensive Plan and Schedule of Deliverables</w:t>
            </w:r>
          </w:p>
        </w:tc>
        <w:tc>
          <w:tcPr>
            <w:tcW w:w="3799" w:type="pct"/>
          </w:tcPr>
          <w:p w14:paraId="564E98D6"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all reports, plans and schedules required in the task as specified in the SOW.</w:t>
            </w:r>
          </w:p>
          <w:p w14:paraId="582412B6"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All materials, documents, and/or deliverables developed in conjunction with this contract were submitted to the CDE for approval.</w:t>
            </w:r>
          </w:p>
          <w:p w14:paraId="347BC554"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the LEA Coordinators with all data, forms, and agreements as outlined in the SOW.</w:t>
            </w:r>
          </w:p>
          <w:p w14:paraId="47947464"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and maintained a secure web-based project management system as specified in the SOW</w:t>
            </w:r>
          </w:p>
          <w:p w14:paraId="6DDF6409"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delivered all electronic data files and documentation as specified in the SOW.</w:t>
            </w:r>
          </w:p>
          <w:p w14:paraId="595DFF66" w14:textId="77777777" w:rsidR="00B27458" w:rsidRPr="00452D32" w:rsidRDefault="00B27458" w:rsidP="003801C5">
            <w:pPr>
              <w:pStyle w:val="ListParagraph"/>
              <w:numPr>
                <w:ilvl w:val="0"/>
                <w:numId w:val="13"/>
              </w:numPr>
              <w:spacing w:before="120" w:after="120"/>
              <w:contextualSpacing w:val="0"/>
              <w:rPr>
                <w:rFonts w:eastAsia="Calibri" w:cs="Arial"/>
                <w:b/>
                <w:sz w:val="22"/>
                <w:szCs w:val="22"/>
                <w:u w:val="single"/>
              </w:rPr>
            </w:pPr>
            <w:r w:rsidRPr="00452D32">
              <w:rPr>
                <w:rStyle w:val="Emphasis"/>
                <w:rFonts w:eastAsiaTheme="majorEastAsia"/>
                <w:bCs/>
                <w:i w:val="0"/>
                <w:color w:val="000000"/>
                <w:shd w:val="clear" w:color="auto" w:fill="FFFFFF"/>
              </w:rPr>
              <w:t xml:space="preserve">At the end of the contract, should another vendor be selected as a result of the RFP process instead of ETS, ETS will develop </w:t>
            </w:r>
            <w:r w:rsidRPr="00452D32">
              <w:rPr>
                <w:rFonts w:eastAsia="Calibri" w:cs="Arial"/>
                <w:sz w:val="22"/>
                <w:szCs w:val="22"/>
              </w:rPr>
              <w:t>and implement a plan and schedule for transition to another vendor, including the delivery of all California-owned materials, developed specifically for California Assessment System. This will not include any third party or previously developed, proprietary software embedded in the System.</w:t>
            </w:r>
          </w:p>
        </w:tc>
      </w:tr>
      <w:tr w:rsidR="00B27458" w:rsidRPr="00452D32" w14:paraId="798AAC32" w14:textId="77777777" w:rsidTr="4A61E053">
        <w:trPr>
          <w:cantSplit/>
        </w:trPr>
        <w:tc>
          <w:tcPr>
            <w:tcW w:w="1201" w:type="pct"/>
          </w:tcPr>
          <w:p w14:paraId="741EC15E" w14:textId="77777777" w:rsidR="00B27458" w:rsidRPr="00452D32" w:rsidRDefault="00B27458" w:rsidP="00A347E4">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2: Program Support Services</w:t>
            </w:r>
          </w:p>
        </w:tc>
        <w:tc>
          <w:tcPr>
            <w:tcW w:w="3799" w:type="pct"/>
          </w:tcPr>
          <w:p w14:paraId="5AED250A"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all trainings, focus groups, workshops, and webcasts as specified in the SOW.</w:t>
            </w:r>
          </w:p>
          <w:p w14:paraId="24984F6C"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California Technical Assistance Center (CalTAC) provided assistance to local educational agencies as specified, and within the response times specified, in the SOW.</w:t>
            </w:r>
          </w:p>
          <w:p w14:paraId="61E3C1B2" w14:textId="77777777" w:rsidR="00B27458" w:rsidRPr="00452D32" w:rsidRDefault="00B27458" w:rsidP="003801C5">
            <w:pPr>
              <w:pStyle w:val="ListParagraph"/>
              <w:numPr>
                <w:ilvl w:val="0"/>
                <w:numId w:val="13"/>
              </w:numPr>
              <w:spacing w:before="120" w:after="120"/>
              <w:contextualSpacing w:val="0"/>
              <w:rPr>
                <w:rFonts w:eastAsia="Calibri" w:cs="Arial"/>
                <w:sz w:val="22"/>
                <w:szCs w:val="22"/>
              </w:rPr>
            </w:pPr>
            <w:r w:rsidRPr="00452D32">
              <w:rPr>
                <w:rStyle w:val="Emphasis"/>
                <w:rFonts w:eastAsiaTheme="majorEastAsia"/>
                <w:bCs/>
                <w:i w:val="0"/>
                <w:color w:val="000000"/>
                <w:shd w:val="clear" w:color="auto" w:fill="FFFFFF"/>
              </w:rPr>
              <w:t>The CDE and LEAs received electronic files and other reports as specified in the SOW.</w:t>
            </w:r>
          </w:p>
        </w:tc>
      </w:tr>
      <w:tr w:rsidR="00B27458" w:rsidRPr="00452D32" w14:paraId="05F087B1" w14:textId="77777777" w:rsidTr="4A61E053">
        <w:trPr>
          <w:cantSplit/>
        </w:trPr>
        <w:tc>
          <w:tcPr>
            <w:tcW w:w="1201" w:type="pct"/>
          </w:tcPr>
          <w:p w14:paraId="57FCE589" w14:textId="77777777" w:rsidR="00B27458" w:rsidRPr="00452D32" w:rsidRDefault="00B27458" w:rsidP="00A347E4">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lastRenderedPageBreak/>
              <w:t>Task 3: Technology Services</w:t>
            </w:r>
          </w:p>
        </w:tc>
        <w:tc>
          <w:tcPr>
            <w:tcW w:w="3799" w:type="pct"/>
          </w:tcPr>
          <w:p w14:paraId="1BFE9DDA"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Assessment Technology Platform meets all system requirements as specified in the SOW.</w:t>
            </w:r>
          </w:p>
          <w:p w14:paraId="4E98E0F5"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an identity management system as detailed in the SOW.</w:t>
            </w:r>
          </w:p>
          <w:p w14:paraId="0BE4F569"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Contractor provided and maintained a Project Management Plan as detailed in the SOW</w:t>
            </w:r>
          </w:p>
          <w:p w14:paraId="5802B0A6" w14:textId="5950493B" w:rsidR="00B27458" w:rsidRPr="00452D32" w:rsidRDefault="00B27458" w:rsidP="4A61E053">
            <w:pPr>
              <w:pStyle w:val="ListParagraph"/>
              <w:numPr>
                <w:ilvl w:val="0"/>
                <w:numId w:val="13"/>
              </w:numPr>
              <w:spacing w:before="120" w:after="120"/>
              <w:contextualSpacing w:val="0"/>
              <w:rPr>
                <w:rStyle w:val="Emphasis"/>
                <w:rFonts w:eastAsiaTheme="majorEastAsia"/>
                <w:i w:val="0"/>
                <w:iCs w:val="0"/>
                <w:color w:val="000000"/>
                <w:shd w:val="clear" w:color="auto" w:fill="FFFFFF"/>
              </w:rPr>
            </w:pPr>
            <w:r w:rsidRPr="00452D32">
              <w:rPr>
                <w:rStyle w:val="Emphasis"/>
                <w:rFonts w:eastAsiaTheme="majorEastAsia"/>
                <w:i w:val="0"/>
                <w:iCs w:val="0"/>
                <w:color w:val="000000"/>
                <w:shd w:val="clear" w:color="auto" w:fill="FFFFFF"/>
              </w:rPr>
              <w:t>The Assessment Technology Platform supported up to 2 million concurrent users as specified in the SOW.</w:t>
            </w:r>
          </w:p>
          <w:p w14:paraId="00F65A3D" w14:textId="7319BAE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Assessment Technology Platform system supported at least 99.982 percent availability as specified in the SOW.</w:t>
            </w:r>
          </w:p>
        </w:tc>
      </w:tr>
      <w:tr w:rsidR="00B27458" w:rsidRPr="00452D32" w14:paraId="698E9808" w14:textId="77777777" w:rsidTr="4A61E053">
        <w:trPr>
          <w:cantSplit/>
        </w:trPr>
        <w:tc>
          <w:tcPr>
            <w:tcW w:w="1201" w:type="pct"/>
          </w:tcPr>
          <w:p w14:paraId="7792473F" w14:textId="77777777" w:rsidR="00B27458" w:rsidRPr="00452D32" w:rsidRDefault="00B27458" w:rsidP="00A347E4">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4: Test Security</w:t>
            </w:r>
          </w:p>
        </w:tc>
        <w:tc>
          <w:tcPr>
            <w:tcW w:w="3799" w:type="pct"/>
          </w:tcPr>
          <w:p w14:paraId="41C43F32"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All test items, test materials, electronic files, data, (including student-identifiable data) were developed, used, transferred, delivered, and maintained in a secure manner as specified in the SOW.</w:t>
            </w:r>
          </w:p>
          <w:p w14:paraId="7AF73F9B"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completed all monitoring (including but not limited to on-site visits, social media monitoring, inventorying of materials) of schools before, during, and after testing as specified in the SOW.</w:t>
            </w:r>
          </w:p>
          <w:p w14:paraId="6B13A42B"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conducted security breach investigations as specified in the SOW.</w:t>
            </w:r>
          </w:p>
          <w:p w14:paraId="3E3DF28B"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the CDE with summary reports of the results of each security breach investigation.</w:t>
            </w:r>
          </w:p>
        </w:tc>
      </w:tr>
      <w:tr w:rsidR="00B27458" w:rsidRPr="00452D32" w14:paraId="0D191900" w14:textId="77777777" w:rsidTr="4A61E053">
        <w:trPr>
          <w:cantSplit/>
          <w:trHeight w:val="665"/>
        </w:trPr>
        <w:tc>
          <w:tcPr>
            <w:tcW w:w="1201" w:type="pct"/>
          </w:tcPr>
          <w:p w14:paraId="1E6B6D6F" w14:textId="77777777" w:rsidR="00B27458" w:rsidRPr="00452D32" w:rsidRDefault="00B27458" w:rsidP="00A347E4">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5: Accessibility and Accommodations</w:t>
            </w:r>
          </w:p>
        </w:tc>
        <w:tc>
          <w:tcPr>
            <w:tcW w:w="3799" w:type="pct"/>
          </w:tcPr>
          <w:p w14:paraId="1A51FED6"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all universal tools, designated supports, and accommodations as required in the SOW.</w:t>
            </w:r>
          </w:p>
          <w:p w14:paraId="5845E96E"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All items developed (as specified in Task 6) include all the embedded accessibility supports, functionality, and render within the test delivery system as specified in the SOW.</w:t>
            </w:r>
          </w:p>
        </w:tc>
      </w:tr>
      <w:tr w:rsidR="00B27458" w:rsidRPr="00452D32" w14:paraId="705D3CD6" w14:textId="77777777" w:rsidTr="4A61E053">
        <w:trPr>
          <w:cantSplit/>
        </w:trPr>
        <w:tc>
          <w:tcPr>
            <w:tcW w:w="1201" w:type="pct"/>
          </w:tcPr>
          <w:p w14:paraId="16E0C807" w14:textId="77777777" w:rsidR="00B27458" w:rsidRPr="00452D32" w:rsidRDefault="00B27458" w:rsidP="00A347E4">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lastRenderedPageBreak/>
              <w:t>Task 6: Assessment Development</w:t>
            </w:r>
          </w:p>
        </w:tc>
        <w:tc>
          <w:tcPr>
            <w:tcW w:w="3799" w:type="pct"/>
          </w:tcPr>
          <w:p w14:paraId="486682C5"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developed for all grades and subjects the number and types of items specified in the scope work.</w:t>
            </w:r>
          </w:p>
          <w:p w14:paraId="45F494C4"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pilot tested or field tested the minimum required number of items as specified in the SOW.</w:t>
            </w:r>
          </w:p>
          <w:p w14:paraId="29359483"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high-level test design and</w:t>
            </w:r>
            <w:r w:rsidRPr="00452D32" w:rsidDel="00A501B4">
              <w:rPr>
                <w:rStyle w:val="Emphasis"/>
                <w:rFonts w:eastAsiaTheme="majorEastAsia"/>
                <w:bCs/>
                <w:i w:val="0"/>
                <w:color w:val="000000"/>
                <w:shd w:val="clear" w:color="auto" w:fill="FFFFFF"/>
              </w:rPr>
              <w:t xml:space="preserve"> </w:t>
            </w:r>
            <w:r w:rsidRPr="00452D32">
              <w:rPr>
                <w:rStyle w:val="Emphasis"/>
                <w:rFonts w:eastAsiaTheme="majorEastAsia"/>
                <w:bCs/>
                <w:i w:val="0"/>
                <w:color w:val="000000"/>
                <w:shd w:val="clear" w:color="auto" w:fill="FFFFFF"/>
              </w:rPr>
              <w:t>blueprints for new assessments as specified in the scope work.</w:t>
            </w:r>
          </w:p>
          <w:p w14:paraId="1CE037E1"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A review of the scaling and equating processes showed items to meet or exceed industry standard.</w:t>
            </w:r>
          </w:p>
          <w:p w14:paraId="1C7FDD65"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performance and achievement level settings generated results for all content areas and performance levels were reported to local educational agencies and the CDE.</w:t>
            </w:r>
          </w:p>
        </w:tc>
      </w:tr>
      <w:tr w:rsidR="00B27458" w:rsidRPr="00452D32" w14:paraId="25DA81B5" w14:textId="77777777" w:rsidTr="4A61E053">
        <w:trPr>
          <w:cantSplit/>
        </w:trPr>
        <w:tc>
          <w:tcPr>
            <w:tcW w:w="1201" w:type="pct"/>
          </w:tcPr>
          <w:p w14:paraId="43F3D314" w14:textId="77777777" w:rsidR="00B27458" w:rsidRPr="00452D32" w:rsidRDefault="00B27458" w:rsidP="00A347E4">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7: Test Administration</w:t>
            </w:r>
          </w:p>
        </w:tc>
        <w:tc>
          <w:tcPr>
            <w:tcW w:w="3799" w:type="pct"/>
          </w:tcPr>
          <w:p w14:paraId="7BF5917C"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All test materials required in the SOW were produced on time and in sufficient quantities.</w:t>
            </w:r>
          </w:p>
          <w:p w14:paraId="741F07DB"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All test materials were delivered to and retrieved from local educational agencies as specified in the SOW.</w:t>
            </w:r>
          </w:p>
          <w:p w14:paraId="117CC348"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hosted the Assessment Delivery System as specified in the SOW.</w:t>
            </w:r>
          </w:p>
          <w:p w14:paraId="4586213C"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hosting systems (TOMS, Appeals, and Assessment Delivery System) were operational and functioned as specified in the SOW, including the authentication of users.</w:t>
            </w:r>
          </w:p>
          <w:p w14:paraId="6D886D6B"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Smarter Balanced Interim Assessments were hosted and scoring provided as specified in the SOW.</w:t>
            </w:r>
          </w:p>
        </w:tc>
      </w:tr>
      <w:tr w:rsidR="00B27458" w:rsidRPr="00452D32" w14:paraId="52044756" w14:textId="77777777" w:rsidTr="4A61E053">
        <w:trPr>
          <w:cantSplit/>
        </w:trPr>
        <w:tc>
          <w:tcPr>
            <w:tcW w:w="1201" w:type="pct"/>
          </w:tcPr>
          <w:p w14:paraId="4AAEBC84" w14:textId="77777777" w:rsidR="00B27458" w:rsidRPr="00452D32" w:rsidRDefault="00B27458" w:rsidP="00A347E4">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8: Scoring and Analysis</w:t>
            </w:r>
          </w:p>
        </w:tc>
        <w:tc>
          <w:tcPr>
            <w:tcW w:w="3799" w:type="pct"/>
          </w:tcPr>
          <w:p w14:paraId="2C8303E6"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All tests were correctly processed and scored within timelines specified in the SOW.</w:t>
            </w:r>
          </w:p>
          <w:p w14:paraId="66C92601"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All data analyses were completed as specified in the SOW.</w:t>
            </w:r>
          </w:p>
          <w:p w14:paraId="6F1D4C48"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delivered all electronic data files and documentation as specified in the SOW.</w:t>
            </w:r>
          </w:p>
        </w:tc>
      </w:tr>
      <w:tr w:rsidR="00B27458" w:rsidRPr="00452D32" w14:paraId="25BDC466" w14:textId="77777777" w:rsidTr="4A61E053">
        <w:trPr>
          <w:cantSplit/>
        </w:trPr>
        <w:tc>
          <w:tcPr>
            <w:tcW w:w="1201" w:type="pct"/>
          </w:tcPr>
          <w:p w14:paraId="09319EB7" w14:textId="77777777" w:rsidR="00B27458" w:rsidRPr="00452D32" w:rsidRDefault="00B27458" w:rsidP="00A347E4">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lastRenderedPageBreak/>
              <w:t>Task 9: Reporting Results</w:t>
            </w:r>
          </w:p>
        </w:tc>
        <w:tc>
          <w:tcPr>
            <w:tcW w:w="3799" w:type="pct"/>
          </w:tcPr>
          <w:p w14:paraId="4FA2783E"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accurate and complete reports of test results to local educational agencies that met all reporting requirements as specified in the SOW.</w:t>
            </w:r>
          </w:p>
          <w:p w14:paraId="3FCAE93F"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accurate and complete data to the designated CDE vendor for the California Educator Reporting System that met all requirements as specified in the SOW.</w:t>
            </w:r>
          </w:p>
          <w:p w14:paraId="7C0F4A30"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provided accurate and complete reports of test results for the public reporting Web sites that met all reporting requirements as specified in the SOW.</w:t>
            </w:r>
          </w:p>
          <w:p w14:paraId="57FCD0FB" w14:textId="77777777" w:rsidR="00B27458" w:rsidRPr="00452D32" w:rsidRDefault="00B27458" w:rsidP="003801C5">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452D32">
              <w:rPr>
                <w:rStyle w:val="Emphasis"/>
                <w:rFonts w:eastAsiaTheme="majorEastAsia"/>
                <w:bCs/>
                <w:i w:val="0"/>
                <w:color w:val="000000"/>
                <w:shd w:val="clear" w:color="auto" w:fill="FFFFFF"/>
              </w:rPr>
              <w:t>The contractor met all reporting requirements to the CDE as specified in the SOW.</w:t>
            </w:r>
          </w:p>
          <w:p w14:paraId="6555C043" w14:textId="77777777" w:rsidR="00B27458" w:rsidRPr="00452D32" w:rsidRDefault="00B27458" w:rsidP="003801C5">
            <w:pPr>
              <w:pStyle w:val="ListParagraph"/>
              <w:numPr>
                <w:ilvl w:val="0"/>
                <w:numId w:val="13"/>
              </w:numPr>
              <w:spacing w:before="120" w:after="120"/>
              <w:contextualSpacing w:val="0"/>
              <w:rPr>
                <w:rFonts w:eastAsia="Calibri" w:cs="Arial"/>
                <w:sz w:val="22"/>
                <w:szCs w:val="22"/>
              </w:rPr>
            </w:pPr>
            <w:r w:rsidRPr="00452D32">
              <w:rPr>
                <w:rStyle w:val="Emphasis"/>
                <w:rFonts w:eastAsiaTheme="majorEastAsia"/>
                <w:bCs/>
                <w:i w:val="0"/>
                <w:color w:val="000000"/>
                <w:shd w:val="clear" w:color="auto" w:fill="FFFFFF"/>
              </w:rPr>
              <w:t>The annual technical reports were received by the CDE as specified in the SOW.</w:t>
            </w:r>
          </w:p>
        </w:tc>
      </w:tr>
    </w:tbl>
    <w:p w14:paraId="1E4F2B60" w14:textId="77777777" w:rsidR="00846079" w:rsidRPr="00452D32" w:rsidRDefault="00846079" w:rsidP="00575DD7">
      <w:pPr>
        <w:sectPr w:rsidR="00846079" w:rsidRPr="00452D32" w:rsidSect="00575DD7">
          <w:headerReference w:type="default" r:id="rId26"/>
          <w:pgSz w:w="12240" w:h="15840"/>
          <w:pgMar w:top="720" w:right="1440" w:bottom="1440" w:left="1440" w:header="720" w:footer="720" w:gutter="0"/>
          <w:pgNumType w:start="1"/>
          <w:cols w:space="720"/>
          <w:docGrid w:linePitch="360"/>
        </w:sectPr>
      </w:pPr>
    </w:p>
    <w:p w14:paraId="5C3E6ACD" w14:textId="4DC4B627" w:rsidR="00E94196" w:rsidRPr="00452D32" w:rsidRDefault="2EAB7B0E" w:rsidP="00972C54">
      <w:pPr>
        <w:pStyle w:val="Heading1"/>
        <w:spacing w:before="240" w:after="240"/>
        <w:jc w:val="center"/>
        <w:rPr>
          <w:sz w:val="36"/>
          <w:szCs w:val="36"/>
        </w:rPr>
      </w:pPr>
      <w:r w:rsidRPr="00452D32">
        <w:rPr>
          <w:sz w:val="36"/>
          <w:szCs w:val="36"/>
        </w:rPr>
        <w:lastRenderedPageBreak/>
        <w:t xml:space="preserve">California Assessment </w:t>
      </w:r>
      <w:r w:rsidR="640EF947" w:rsidRPr="00452D32">
        <w:rPr>
          <w:sz w:val="36"/>
          <w:szCs w:val="36"/>
        </w:rPr>
        <w:t>System</w:t>
      </w:r>
      <w:r w:rsidRPr="00452D32">
        <w:rPr>
          <w:sz w:val="36"/>
          <w:szCs w:val="36"/>
        </w:rPr>
        <w:t xml:space="preserve"> Contract</w:t>
      </w:r>
      <w:r w:rsidR="05D04366" w:rsidRPr="00452D32">
        <w:rPr>
          <w:sz w:val="36"/>
          <w:szCs w:val="36"/>
        </w:rPr>
        <w:t xml:space="preserve"> </w:t>
      </w:r>
      <w:r w:rsidR="00E94196" w:rsidRPr="00452D32">
        <w:br/>
      </w:r>
      <w:r w:rsidR="749D0F4F" w:rsidRPr="00452D32">
        <w:rPr>
          <w:sz w:val="36"/>
          <w:szCs w:val="36"/>
        </w:rPr>
        <w:t>2019–</w:t>
      </w:r>
      <w:r w:rsidR="5EE6AD64" w:rsidRPr="00452D32">
        <w:rPr>
          <w:sz w:val="36"/>
          <w:szCs w:val="36"/>
        </w:rPr>
        <w:t>20</w:t>
      </w:r>
      <w:r w:rsidR="749D0F4F" w:rsidRPr="00452D32">
        <w:rPr>
          <w:sz w:val="36"/>
          <w:szCs w:val="36"/>
        </w:rPr>
        <w:t xml:space="preserve">20 </w:t>
      </w:r>
      <w:r w:rsidRPr="00452D32">
        <w:rPr>
          <w:sz w:val="36"/>
          <w:szCs w:val="36"/>
        </w:rPr>
        <w:t>Test Administration Component Task Budget</w:t>
      </w:r>
    </w:p>
    <w:p w14:paraId="61942DC9" w14:textId="09B3F9D0" w:rsidR="00E94196" w:rsidRPr="00452D32" w:rsidRDefault="00E94196" w:rsidP="001852D2">
      <w:pPr>
        <w:spacing w:after="240"/>
        <w:ind w:left="540"/>
        <w:rPr>
          <w:rFonts w:cs="Arial"/>
        </w:rPr>
      </w:pPr>
      <w:r w:rsidRPr="00452D32">
        <w:rPr>
          <w:rFonts w:cs="Arial"/>
        </w:rPr>
        <w:t>The California Department of Education</w:t>
      </w:r>
      <w:r w:rsidR="0029726F" w:rsidRPr="00452D32">
        <w:rPr>
          <w:rFonts w:cs="Arial"/>
        </w:rPr>
        <w:t xml:space="preserve"> (CDE)</w:t>
      </w:r>
      <w:r w:rsidRPr="00452D32">
        <w:rPr>
          <w:rFonts w:cs="Arial"/>
        </w:rPr>
        <w:t xml:space="preserve"> recommends releasing a total of $</w:t>
      </w:r>
      <w:r w:rsidR="00AA4A69" w:rsidRPr="00452D32">
        <w:rPr>
          <w:rFonts w:cs="Arial"/>
        </w:rPr>
        <w:t>7,</w:t>
      </w:r>
      <w:r w:rsidR="00487B6E" w:rsidRPr="00452D32">
        <w:rPr>
          <w:rFonts w:cs="Arial"/>
        </w:rPr>
        <w:t>719,015</w:t>
      </w:r>
      <w:r w:rsidRPr="00452D32">
        <w:rPr>
          <w:rFonts w:cs="Arial"/>
        </w:rPr>
        <w:t xml:space="preserve"> to Educational Testing Service</w:t>
      </w:r>
      <w:r w:rsidR="0029726F" w:rsidRPr="00452D32">
        <w:rPr>
          <w:rFonts w:cs="Arial"/>
        </w:rPr>
        <w:t xml:space="preserve"> (ETS)</w:t>
      </w:r>
      <w:r w:rsidRPr="00452D32">
        <w:rPr>
          <w:rFonts w:cs="Arial"/>
        </w:rPr>
        <w:t xml:space="preserve"> from funds withheld during the </w:t>
      </w:r>
      <w:r w:rsidR="00FC7ED8" w:rsidRPr="00452D32">
        <w:rPr>
          <w:rFonts w:cs="Arial"/>
        </w:rPr>
        <w:t>2019–</w:t>
      </w:r>
      <w:r w:rsidR="00047A21" w:rsidRPr="00452D32">
        <w:rPr>
          <w:rFonts w:cs="Arial"/>
        </w:rPr>
        <w:t>20</w:t>
      </w:r>
      <w:r w:rsidR="00FC7ED8" w:rsidRPr="00452D32">
        <w:rPr>
          <w:rFonts w:cs="Arial"/>
        </w:rPr>
        <w:t xml:space="preserve">20 </w:t>
      </w:r>
      <w:r w:rsidRPr="00452D32">
        <w:t>California Assessment of Student Performance</w:t>
      </w:r>
      <w:r w:rsidRPr="00452D32">
        <w:rPr>
          <w:b/>
          <w:bCs/>
        </w:rPr>
        <w:t xml:space="preserve"> </w:t>
      </w:r>
      <w:r w:rsidRPr="00452D32">
        <w:t xml:space="preserve">and Progress (CAASPP) </w:t>
      </w:r>
      <w:r w:rsidRPr="00452D32">
        <w:rPr>
          <w:rFonts w:cs="Arial"/>
        </w:rPr>
        <w:t>test administration</w:t>
      </w:r>
      <w:r w:rsidR="005253A7" w:rsidRPr="00452D32">
        <w:rPr>
          <w:rFonts w:cs="Arial"/>
        </w:rPr>
        <w:t>, as shown in table 1.</w:t>
      </w:r>
    </w:p>
    <w:p w14:paraId="405D74A9" w14:textId="6E095DAD" w:rsidR="005253A7" w:rsidRPr="00452D32" w:rsidRDefault="005253A7" w:rsidP="2574BAD5">
      <w:pPr>
        <w:spacing w:after="120"/>
        <w:ind w:left="-180"/>
        <w:rPr>
          <w:rFonts w:cs="Arial"/>
        </w:rPr>
      </w:pPr>
      <w:r w:rsidRPr="00452D32">
        <w:rPr>
          <w:rFonts w:cs="Arial"/>
        </w:rPr>
        <w:t>Table 1. Recommended Rel</w:t>
      </w:r>
      <w:r w:rsidR="00B521E4" w:rsidRPr="00452D32">
        <w:rPr>
          <w:rFonts w:cs="Arial"/>
        </w:rPr>
        <w:t>e</w:t>
      </w:r>
      <w:r w:rsidRPr="00452D32">
        <w:rPr>
          <w:rFonts w:cs="Arial"/>
        </w:rPr>
        <w:t xml:space="preserve">ase of Amounts to ETS from Funds </w:t>
      </w:r>
      <w:r w:rsidR="56DA18F5" w:rsidRPr="00452D32">
        <w:rPr>
          <w:rFonts w:cs="Arial"/>
        </w:rPr>
        <w:t>Withheld</w:t>
      </w:r>
      <w:r w:rsidRPr="00452D32">
        <w:rPr>
          <w:rFonts w:cs="Arial"/>
        </w:rPr>
        <w:t xml:space="preserve"> During the CAASPP Test Administration</w:t>
      </w:r>
    </w:p>
    <w:tbl>
      <w:tblPr>
        <w:tblStyle w:val="TableGrid"/>
        <w:tblW w:w="14184" w:type="dxa"/>
        <w:jc w:val="center"/>
        <w:tblLayout w:type="fixed"/>
        <w:tblLook w:val="00A0" w:firstRow="1" w:lastRow="0" w:firstColumn="1" w:lastColumn="0" w:noHBand="0" w:noVBand="0"/>
        <w:tblCaption w:val="California Assessment of Student Performance and Progress Contract 2019–2020 Test Administration Component Task Budget"/>
        <w:tblDescription w:val="Table 1. Recommended Release of Amounts to ETS from Funds Withheld During the CAASPP Test Administration."/>
      </w:tblPr>
      <w:tblGrid>
        <w:gridCol w:w="3864"/>
        <w:gridCol w:w="2130"/>
        <w:gridCol w:w="2220"/>
        <w:gridCol w:w="2040"/>
        <w:gridCol w:w="2055"/>
        <w:gridCol w:w="1875"/>
      </w:tblGrid>
      <w:tr w:rsidR="00E94196" w:rsidRPr="00452D32" w14:paraId="70D6B002" w14:textId="77777777" w:rsidTr="1091671F">
        <w:trPr>
          <w:trHeight w:val="389"/>
          <w:tblHeader/>
          <w:jc w:val="center"/>
        </w:trPr>
        <w:tc>
          <w:tcPr>
            <w:tcW w:w="3864" w:type="dxa"/>
            <w:vAlign w:val="center"/>
          </w:tcPr>
          <w:p w14:paraId="734C3282" w14:textId="130FE25D" w:rsidR="00E94196" w:rsidRPr="00452D32" w:rsidRDefault="00E94196" w:rsidP="00146214">
            <w:pPr>
              <w:spacing w:before="120" w:after="120"/>
              <w:ind w:left="-32"/>
              <w:jc w:val="center"/>
              <w:rPr>
                <w:rFonts w:cs="Arial"/>
                <w:b/>
              </w:rPr>
            </w:pPr>
            <w:r w:rsidRPr="00452D32">
              <w:rPr>
                <w:rFonts w:cs="Arial"/>
                <w:b/>
              </w:rPr>
              <w:t>Component Task</w:t>
            </w:r>
            <w:r w:rsidR="00146214" w:rsidRPr="00452D32">
              <w:rPr>
                <w:rFonts w:cs="Arial"/>
                <w:b/>
              </w:rPr>
              <w:br/>
            </w:r>
            <w:r w:rsidRPr="00452D32">
              <w:rPr>
                <w:rFonts w:cs="Arial"/>
                <w:b/>
              </w:rPr>
              <w:t>Scope of Work A</w:t>
            </w:r>
          </w:p>
        </w:tc>
        <w:tc>
          <w:tcPr>
            <w:tcW w:w="2130" w:type="dxa"/>
            <w:vAlign w:val="center"/>
          </w:tcPr>
          <w:p w14:paraId="5E031D78" w14:textId="53A2FC4D" w:rsidR="00E94196" w:rsidRPr="00452D32" w:rsidRDefault="00E94196" w:rsidP="00146214">
            <w:pPr>
              <w:spacing w:before="120" w:after="120"/>
              <w:ind w:left="-108" w:right="-108"/>
              <w:jc w:val="center"/>
              <w:rPr>
                <w:rFonts w:cs="Arial"/>
                <w:b/>
                <w:bCs/>
              </w:rPr>
            </w:pPr>
            <w:r w:rsidRPr="00452D32">
              <w:rPr>
                <w:rFonts w:cs="Arial"/>
                <w:b/>
                <w:bCs/>
              </w:rPr>
              <w:t>20</w:t>
            </w:r>
            <w:r w:rsidR="0E335E76" w:rsidRPr="00452D32">
              <w:rPr>
                <w:rFonts w:cs="Arial"/>
                <w:b/>
                <w:bCs/>
              </w:rPr>
              <w:t>19</w:t>
            </w:r>
            <w:r w:rsidRPr="00452D32">
              <w:rPr>
                <w:rFonts w:cs="Arial"/>
                <w:b/>
                <w:bCs/>
              </w:rPr>
              <w:t>–</w:t>
            </w:r>
            <w:r w:rsidR="075782C3" w:rsidRPr="00452D32">
              <w:rPr>
                <w:rFonts w:cs="Arial"/>
                <w:b/>
                <w:bCs/>
              </w:rPr>
              <w:t>2020</w:t>
            </w:r>
            <w:r w:rsidR="00146214" w:rsidRPr="00452D32">
              <w:rPr>
                <w:rFonts w:cs="Arial"/>
                <w:b/>
                <w:bCs/>
              </w:rPr>
              <w:br/>
            </w:r>
            <w:r w:rsidR="075782C3" w:rsidRPr="00452D32">
              <w:rPr>
                <w:rFonts w:cs="Arial"/>
                <w:b/>
                <w:bCs/>
              </w:rPr>
              <w:t xml:space="preserve">Total </w:t>
            </w:r>
            <w:r w:rsidRPr="00452D32">
              <w:rPr>
                <w:rFonts w:cs="Arial"/>
                <w:b/>
                <w:bCs/>
              </w:rPr>
              <w:t>Test Administration Budget</w:t>
            </w:r>
          </w:p>
        </w:tc>
        <w:tc>
          <w:tcPr>
            <w:tcW w:w="2220" w:type="dxa"/>
            <w:vAlign w:val="center"/>
          </w:tcPr>
          <w:p w14:paraId="48E93893" w14:textId="37892FF8" w:rsidR="00E94196" w:rsidRPr="00452D32" w:rsidRDefault="00E94196" w:rsidP="00146214">
            <w:pPr>
              <w:spacing w:before="120" w:after="120"/>
              <w:ind w:left="-108" w:right="-132"/>
              <w:jc w:val="center"/>
              <w:rPr>
                <w:rFonts w:cs="Arial"/>
                <w:b/>
              </w:rPr>
            </w:pPr>
            <w:r w:rsidRPr="00452D32">
              <w:rPr>
                <w:rFonts w:cs="Arial"/>
                <w:b/>
              </w:rPr>
              <w:t>Amount Paid/</w:t>
            </w:r>
            <w:r w:rsidR="00146214" w:rsidRPr="00452D32">
              <w:rPr>
                <w:rFonts w:cs="Arial"/>
                <w:b/>
              </w:rPr>
              <w:br/>
            </w:r>
            <w:r w:rsidRPr="00452D32">
              <w:rPr>
                <w:rFonts w:cs="Arial"/>
                <w:b/>
              </w:rPr>
              <w:t>To Be Paid from Progress Payments*</w:t>
            </w:r>
          </w:p>
        </w:tc>
        <w:tc>
          <w:tcPr>
            <w:tcW w:w="2040" w:type="dxa"/>
            <w:vAlign w:val="center"/>
          </w:tcPr>
          <w:p w14:paraId="4AD75161" w14:textId="1FC6A18D" w:rsidR="00E94196" w:rsidRPr="00452D32" w:rsidRDefault="00E94196" w:rsidP="00146214">
            <w:pPr>
              <w:spacing w:before="120" w:after="120"/>
              <w:ind w:left="-108" w:right="-132"/>
              <w:jc w:val="center"/>
              <w:rPr>
                <w:rFonts w:cs="Arial"/>
                <w:b/>
              </w:rPr>
            </w:pPr>
            <w:r w:rsidRPr="00452D32">
              <w:rPr>
                <w:rFonts w:cs="Arial"/>
                <w:b/>
              </w:rPr>
              <w:t>10 Percent Withheld (Pending</w:t>
            </w:r>
            <w:r w:rsidR="00146214" w:rsidRPr="00452D32">
              <w:rPr>
                <w:rFonts w:cs="Arial"/>
                <w:b/>
              </w:rPr>
              <w:t xml:space="preserve"> </w:t>
            </w:r>
            <w:r w:rsidRPr="00452D32">
              <w:rPr>
                <w:rFonts w:cs="Arial"/>
                <w:b/>
              </w:rPr>
              <w:t>Release)</w:t>
            </w:r>
          </w:p>
        </w:tc>
        <w:tc>
          <w:tcPr>
            <w:tcW w:w="2055" w:type="dxa"/>
            <w:vAlign w:val="center"/>
          </w:tcPr>
          <w:p w14:paraId="2C03B2C9" w14:textId="2EC21DDD" w:rsidR="00E94196" w:rsidRPr="00452D32" w:rsidRDefault="00E94196" w:rsidP="00146214">
            <w:pPr>
              <w:spacing w:before="120" w:after="120"/>
              <w:ind w:left="-108" w:right="-132"/>
              <w:jc w:val="center"/>
              <w:rPr>
                <w:rFonts w:cs="Arial"/>
                <w:b/>
              </w:rPr>
            </w:pPr>
            <w:r w:rsidRPr="00452D32">
              <w:rPr>
                <w:rFonts w:cs="Arial"/>
                <w:b/>
              </w:rPr>
              <w:t>Recommended</w:t>
            </w:r>
            <w:r w:rsidR="00146214" w:rsidRPr="00452D32">
              <w:rPr>
                <w:rFonts w:cs="Arial"/>
                <w:b/>
              </w:rPr>
              <w:t xml:space="preserve"> </w:t>
            </w:r>
            <w:r w:rsidRPr="00452D32">
              <w:rPr>
                <w:rFonts w:cs="Arial"/>
                <w:b/>
                <w:bCs/>
              </w:rPr>
              <w:t>Release</w:t>
            </w:r>
          </w:p>
        </w:tc>
        <w:tc>
          <w:tcPr>
            <w:tcW w:w="1875" w:type="dxa"/>
            <w:vAlign w:val="center"/>
          </w:tcPr>
          <w:p w14:paraId="24EE9BAB" w14:textId="2EB60684" w:rsidR="00E94196" w:rsidRPr="00452D32" w:rsidRDefault="00E94196" w:rsidP="00146214">
            <w:pPr>
              <w:spacing w:before="120" w:after="120"/>
              <w:ind w:left="-108" w:right="-132"/>
              <w:jc w:val="center"/>
              <w:rPr>
                <w:rFonts w:cs="Arial"/>
                <w:b/>
              </w:rPr>
            </w:pPr>
            <w:r w:rsidRPr="00452D32">
              <w:rPr>
                <w:rFonts w:cs="Arial"/>
                <w:b/>
              </w:rPr>
              <w:t>Recommended Withhold (Non</w:t>
            </w:r>
            <w:r w:rsidR="0029726F" w:rsidRPr="00452D32">
              <w:rPr>
                <w:rFonts w:cs="Arial"/>
                <w:b/>
              </w:rPr>
              <w:t>r</w:t>
            </w:r>
            <w:r w:rsidRPr="00452D32">
              <w:rPr>
                <w:rFonts w:cs="Arial"/>
                <w:b/>
              </w:rPr>
              <w:t>elease)</w:t>
            </w:r>
          </w:p>
        </w:tc>
      </w:tr>
      <w:tr w:rsidR="00B951DE" w:rsidRPr="00452D32" w14:paraId="7035BE77" w14:textId="77777777" w:rsidTr="1091671F">
        <w:trPr>
          <w:trHeight w:val="389"/>
          <w:jc w:val="center"/>
        </w:trPr>
        <w:tc>
          <w:tcPr>
            <w:tcW w:w="3864" w:type="dxa"/>
            <w:vAlign w:val="center"/>
          </w:tcPr>
          <w:p w14:paraId="772B221A" w14:textId="65F069AE" w:rsidR="00B951DE" w:rsidRPr="00452D32" w:rsidRDefault="343D9E97" w:rsidP="00146214">
            <w:pPr>
              <w:spacing w:before="120" w:after="120"/>
              <w:ind w:left="960" w:right="-108" w:hanging="888"/>
              <w:rPr>
                <w:rFonts w:cs="Arial"/>
              </w:rPr>
            </w:pPr>
            <w:r w:rsidRPr="00452D32">
              <w:rPr>
                <w:rFonts w:cs="Arial"/>
              </w:rPr>
              <w:t>Task 1: Comprehensive Plan and Schedule of Deliverables</w:t>
            </w:r>
          </w:p>
        </w:tc>
        <w:tc>
          <w:tcPr>
            <w:tcW w:w="2130" w:type="dxa"/>
            <w:vAlign w:val="center"/>
          </w:tcPr>
          <w:p w14:paraId="4CC83682" w14:textId="1859959B" w:rsidR="00B951DE" w:rsidRPr="00452D32" w:rsidRDefault="6D1F0456" w:rsidP="00146214">
            <w:pPr>
              <w:spacing w:before="120" w:after="120"/>
              <w:jc w:val="right"/>
              <w:rPr>
                <w:rFonts w:cs="Arial"/>
              </w:rPr>
            </w:pPr>
            <w:r w:rsidRPr="00452D32">
              <w:rPr>
                <w:rFonts w:eastAsia="Arial" w:cs="Arial"/>
                <w:color w:val="000000" w:themeColor="text1"/>
              </w:rPr>
              <w:t>$8,214,061.90</w:t>
            </w:r>
          </w:p>
        </w:tc>
        <w:tc>
          <w:tcPr>
            <w:tcW w:w="2220" w:type="dxa"/>
            <w:vAlign w:val="center"/>
          </w:tcPr>
          <w:p w14:paraId="37DFE4D4" w14:textId="1F9C8D5C" w:rsidR="00B951DE" w:rsidRPr="00452D32" w:rsidRDefault="59C1665B" w:rsidP="00146214">
            <w:pPr>
              <w:spacing w:before="120" w:after="120"/>
              <w:jc w:val="right"/>
              <w:rPr>
                <w:rFonts w:eastAsia="Arial" w:cs="Arial"/>
              </w:rPr>
            </w:pPr>
            <w:r w:rsidRPr="00452D32">
              <w:rPr>
                <w:rFonts w:eastAsia="Arial" w:cs="Arial"/>
                <w:color w:val="000000" w:themeColor="text1"/>
              </w:rPr>
              <w:t>$7,467,329.00</w:t>
            </w:r>
          </w:p>
        </w:tc>
        <w:tc>
          <w:tcPr>
            <w:tcW w:w="2040" w:type="dxa"/>
            <w:vAlign w:val="center"/>
          </w:tcPr>
          <w:p w14:paraId="235A7D6C" w14:textId="039F8AD3" w:rsidR="00B951DE" w:rsidRPr="00452D32" w:rsidRDefault="00B951DE" w:rsidP="00146214">
            <w:pPr>
              <w:spacing w:before="120" w:after="120"/>
              <w:jc w:val="right"/>
              <w:rPr>
                <w:rFonts w:cs="Arial"/>
              </w:rPr>
            </w:pPr>
            <w:r w:rsidRPr="00452D32">
              <w:rPr>
                <w:rFonts w:cs="Arial"/>
              </w:rPr>
              <w:t>$</w:t>
            </w:r>
            <w:r w:rsidR="439B364E" w:rsidRPr="00452D32">
              <w:rPr>
                <w:rFonts w:cs="Arial"/>
              </w:rPr>
              <w:t>746</w:t>
            </w:r>
            <w:r w:rsidRPr="00452D32">
              <w:rPr>
                <w:rFonts w:cs="Arial"/>
              </w:rPr>
              <w:t>,</w:t>
            </w:r>
            <w:r w:rsidR="6A92382D" w:rsidRPr="00452D32">
              <w:rPr>
                <w:rFonts w:cs="Arial"/>
              </w:rPr>
              <w:t>732</w:t>
            </w:r>
            <w:r w:rsidRPr="00452D32">
              <w:rPr>
                <w:rFonts w:cs="Arial"/>
              </w:rPr>
              <w:t>.</w:t>
            </w:r>
            <w:r w:rsidR="26BE5336" w:rsidRPr="00452D32">
              <w:rPr>
                <w:rFonts w:cs="Arial"/>
              </w:rPr>
              <w:t>90</w:t>
            </w:r>
          </w:p>
        </w:tc>
        <w:tc>
          <w:tcPr>
            <w:tcW w:w="2055" w:type="dxa"/>
            <w:vAlign w:val="center"/>
          </w:tcPr>
          <w:p w14:paraId="618A5AFE" w14:textId="5D7B7C54" w:rsidR="00B951DE" w:rsidRPr="00452D32" w:rsidRDefault="26BE5336" w:rsidP="00146214">
            <w:pPr>
              <w:spacing w:before="120" w:after="120"/>
              <w:jc w:val="right"/>
              <w:rPr>
                <w:rFonts w:cs="Arial"/>
              </w:rPr>
            </w:pPr>
            <w:r w:rsidRPr="00452D32">
              <w:rPr>
                <w:rFonts w:cs="Arial"/>
              </w:rPr>
              <w:t>$746,732.90</w:t>
            </w:r>
          </w:p>
        </w:tc>
        <w:tc>
          <w:tcPr>
            <w:tcW w:w="1875" w:type="dxa"/>
            <w:vAlign w:val="center"/>
          </w:tcPr>
          <w:p w14:paraId="13D1BC69" w14:textId="44219623" w:rsidR="00B951DE" w:rsidRPr="00452D32" w:rsidRDefault="00B951DE" w:rsidP="00146214">
            <w:pPr>
              <w:spacing w:before="120" w:after="120"/>
              <w:jc w:val="right"/>
              <w:rPr>
                <w:rFonts w:cs="Arial"/>
              </w:rPr>
            </w:pPr>
            <w:r w:rsidRPr="00452D32">
              <w:rPr>
                <w:rFonts w:cs="Arial"/>
              </w:rPr>
              <w:t>$0.00</w:t>
            </w:r>
          </w:p>
        </w:tc>
      </w:tr>
      <w:tr w:rsidR="00B951DE" w:rsidRPr="00452D32" w14:paraId="0E126488" w14:textId="77777777" w:rsidTr="1091671F">
        <w:trPr>
          <w:trHeight w:val="389"/>
          <w:jc w:val="center"/>
        </w:trPr>
        <w:tc>
          <w:tcPr>
            <w:tcW w:w="3864" w:type="dxa"/>
            <w:vAlign w:val="center"/>
          </w:tcPr>
          <w:p w14:paraId="58D8CF85" w14:textId="69C0FF22" w:rsidR="00B951DE" w:rsidRPr="00452D32" w:rsidRDefault="00B951DE" w:rsidP="00146214">
            <w:pPr>
              <w:spacing w:before="120" w:after="120"/>
              <w:ind w:left="792" w:right="-108" w:hanging="720"/>
              <w:rPr>
                <w:rFonts w:cs="Arial"/>
              </w:rPr>
            </w:pPr>
            <w:r w:rsidRPr="00452D32">
              <w:rPr>
                <w:rFonts w:cs="Arial"/>
              </w:rPr>
              <w:t>Task 2: Program Support Services</w:t>
            </w:r>
          </w:p>
        </w:tc>
        <w:tc>
          <w:tcPr>
            <w:tcW w:w="2130" w:type="dxa"/>
            <w:vAlign w:val="center"/>
          </w:tcPr>
          <w:p w14:paraId="109DF790" w14:textId="2080B01D" w:rsidR="00B951DE" w:rsidRPr="00452D32" w:rsidRDefault="69A41064" w:rsidP="00146214">
            <w:pPr>
              <w:spacing w:before="120" w:after="120"/>
              <w:jc w:val="right"/>
              <w:rPr>
                <w:rFonts w:eastAsia="Arial" w:cs="Arial"/>
              </w:rPr>
            </w:pPr>
            <w:r w:rsidRPr="00452D32">
              <w:rPr>
                <w:rFonts w:eastAsia="Arial" w:cs="Arial"/>
                <w:color w:val="000000" w:themeColor="text1"/>
              </w:rPr>
              <w:t>$10,683,290.20</w:t>
            </w:r>
          </w:p>
        </w:tc>
        <w:tc>
          <w:tcPr>
            <w:tcW w:w="2220" w:type="dxa"/>
            <w:vAlign w:val="center"/>
          </w:tcPr>
          <w:p w14:paraId="172F056A" w14:textId="2CF1DEDF" w:rsidR="00B951DE" w:rsidRPr="00452D32" w:rsidRDefault="7B0E3754" w:rsidP="00146214">
            <w:pPr>
              <w:spacing w:before="120" w:after="120"/>
              <w:jc w:val="right"/>
              <w:rPr>
                <w:rFonts w:eastAsia="Arial" w:cs="Arial"/>
              </w:rPr>
            </w:pPr>
            <w:r w:rsidRPr="00452D32">
              <w:rPr>
                <w:rFonts w:eastAsia="Arial" w:cs="Arial"/>
                <w:color w:val="000000" w:themeColor="text1"/>
              </w:rPr>
              <w:t>$9,712,082.00</w:t>
            </w:r>
          </w:p>
        </w:tc>
        <w:tc>
          <w:tcPr>
            <w:tcW w:w="2040" w:type="dxa"/>
            <w:vAlign w:val="center"/>
          </w:tcPr>
          <w:p w14:paraId="01EF6C88" w14:textId="5303A911" w:rsidR="00B951DE" w:rsidRPr="00452D32" w:rsidRDefault="00B951DE" w:rsidP="00146214">
            <w:pPr>
              <w:spacing w:before="120" w:after="120"/>
              <w:jc w:val="right"/>
              <w:rPr>
                <w:rFonts w:cs="Arial"/>
              </w:rPr>
            </w:pPr>
            <w:r w:rsidRPr="00452D32">
              <w:rPr>
                <w:rFonts w:cs="Arial"/>
              </w:rPr>
              <w:t>$</w:t>
            </w:r>
            <w:r w:rsidR="7236CCE7" w:rsidRPr="00452D32">
              <w:rPr>
                <w:rFonts w:cs="Arial"/>
              </w:rPr>
              <w:t>971</w:t>
            </w:r>
            <w:r w:rsidRPr="00452D32">
              <w:rPr>
                <w:rFonts w:cs="Arial"/>
              </w:rPr>
              <w:t>,</w:t>
            </w:r>
            <w:r w:rsidR="5B3B5F95" w:rsidRPr="00452D32">
              <w:rPr>
                <w:rFonts w:cs="Arial"/>
              </w:rPr>
              <w:t>2</w:t>
            </w:r>
            <w:r w:rsidRPr="00452D32">
              <w:rPr>
                <w:rFonts w:cs="Arial"/>
              </w:rPr>
              <w:t>0</w:t>
            </w:r>
            <w:r w:rsidR="1459FCF1" w:rsidRPr="00452D32">
              <w:rPr>
                <w:rFonts w:cs="Arial"/>
              </w:rPr>
              <w:t>8</w:t>
            </w:r>
            <w:r w:rsidRPr="00452D32">
              <w:rPr>
                <w:rFonts w:cs="Arial"/>
              </w:rPr>
              <w:t>.</w:t>
            </w:r>
            <w:r w:rsidR="63D2CE28" w:rsidRPr="00452D32">
              <w:rPr>
                <w:rFonts w:cs="Arial"/>
              </w:rPr>
              <w:t>2</w:t>
            </w:r>
            <w:r w:rsidRPr="00452D32">
              <w:rPr>
                <w:rFonts w:cs="Arial"/>
              </w:rPr>
              <w:t>0</w:t>
            </w:r>
          </w:p>
        </w:tc>
        <w:tc>
          <w:tcPr>
            <w:tcW w:w="2055" w:type="dxa"/>
            <w:vAlign w:val="center"/>
          </w:tcPr>
          <w:p w14:paraId="592359A6" w14:textId="1C1DE373" w:rsidR="00B951DE" w:rsidRPr="00452D32" w:rsidRDefault="4EEE207D" w:rsidP="00146214">
            <w:pPr>
              <w:spacing w:before="120" w:after="120"/>
              <w:jc w:val="right"/>
              <w:rPr>
                <w:rFonts w:cs="Arial"/>
              </w:rPr>
            </w:pPr>
            <w:r w:rsidRPr="00452D32">
              <w:rPr>
                <w:rFonts w:cs="Arial"/>
              </w:rPr>
              <w:t>$971,208.20</w:t>
            </w:r>
          </w:p>
        </w:tc>
        <w:tc>
          <w:tcPr>
            <w:tcW w:w="1875" w:type="dxa"/>
            <w:vAlign w:val="center"/>
          </w:tcPr>
          <w:p w14:paraId="3C3310A5" w14:textId="35E874AA" w:rsidR="00B951DE" w:rsidRPr="00452D32" w:rsidRDefault="3787F613" w:rsidP="00146214">
            <w:pPr>
              <w:spacing w:before="120" w:after="120"/>
              <w:jc w:val="right"/>
              <w:rPr>
                <w:rFonts w:cs="Arial"/>
              </w:rPr>
            </w:pPr>
            <w:r w:rsidRPr="00452D32">
              <w:rPr>
                <w:rFonts w:cs="Arial"/>
              </w:rPr>
              <w:t>$0.00</w:t>
            </w:r>
          </w:p>
        </w:tc>
      </w:tr>
      <w:tr w:rsidR="00B951DE" w:rsidRPr="00452D32" w14:paraId="0F7AAD6A" w14:textId="77777777" w:rsidTr="1091671F">
        <w:trPr>
          <w:trHeight w:val="389"/>
          <w:jc w:val="center"/>
        </w:trPr>
        <w:tc>
          <w:tcPr>
            <w:tcW w:w="3864" w:type="dxa"/>
            <w:vAlign w:val="center"/>
          </w:tcPr>
          <w:p w14:paraId="72A78008" w14:textId="7786ED98" w:rsidR="00B951DE" w:rsidRPr="00452D32" w:rsidRDefault="00B951DE" w:rsidP="00146214">
            <w:pPr>
              <w:spacing w:before="120" w:after="120"/>
              <w:ind w:left="72" w:right="-108"/>
              <w:rPr>
                <w:rFonts w:cs="Arial"/>
              </w:rPr>
            </w:pPr>
            <w:r w:rsidRPr="00452D32">
              <w:rPr>
                <w:rFonts w:cs="Arial"/>
              </w:rPr>
              <w:t>Task 3: Technology Services</w:t>
            </w:r>
          </w:p>
        </w:tc>
        <w:tc>
          <w:tcPr>
            <w:tcW w:w="2130" w:type="dxa"/>
            <w:vAlign w:val="center"/>
          </w:tcPr>
          <w:p w14:paraId="1EE7AFD0" w14:textId="5DFAB5C9" w:rsidR="00B951DE" w:rsidRPr="00452D32" w:rsidRDefault="0A9E7F93" w:rsidP="00146214">
            <w:pPr>
              <w:spacing w:before="120" w:after="120"/>
              <w:jc w:val="right"/>
              <w:rPr>
                <w:rFonts w:eastAsia="Arial" w:cs="Arial"/>
              </w:rPr>
            </w:pPr>
            <w:r w:rsidRPr="00452D32">
              <w:rPr>
                <w:rFonts w:eastAsia="Arial" w:cs="Arial"/>
                <w:color w:val="000000" w:themeColor="text1"/>
              </w:rPr>
              <w:t>$11,481,132.30</w:t>
            </w:r>
          </w:p>
        </w:tc>
        <w:tc>
          <w:tcPr>
            <w:tcW w:w="2220" w:type="dxa"/>
            <w:vAlign w:val="center"/>
          </w:tcPr>
          <w:p w14:paraId="3950909C" w14:textId="490AD003" w:rsidR="00B951DE" w:rsidRPr="00452D32" w:rsidRDefault="70F9F43C" w:rsidP="00146214">
            <w:pPr>
              <w:spacing w:before="120" w:after="120"/>
              <w:jc w:val="right"/>
              <w:rPr>
                <w:rFonts w:eastAsia="Arial" w:cs="Arial"/>
              </w:rPr>
            </w:pPr>
            <w:r w:rsidRPr="00452D32">
              <w:rPr>
                <w:rFonts w:eastAsia="Arial" w:cs="Arial"/>
                <w:color w:val="000000" w:themeColor="text1"/>
              </w:rPr>
              <w:t>$1</w:t>
            </w:r>
            <w:r w:rsidR="66E57550" w:rsidRPr="00452D32">
              <w:rPr>
                <w:rFonts w:eastAsia="Arial" w:cs="Arial"/>
                <w:color w:val="000000" w:themeColor="text1"/>
              </w:rPr>
              <w:t>0</w:t>
            </w:r>
            <w:r w:rsidRPr="00452D32">
              <w:rPr>
                <w:rFonts w:eastAsia="Arial" w:cs="Arial"/>
                <w:color w:val="000000" w:themeColor="text1"/>
              </w:rPr>
              <w:t>,43</w:t>
            </w:r>
            <w:r w:rsidR="58BF529A" w:rsidRPr="00452D32">
              <w:rPr>
                <w:rFonts w:eastAsia="Arial" w:cs="Arial"/>
                <w:color w:val="000000" w:themeColor="text1"/>
              </w:rPr>
              <w:t>7</w:t>
            </w:r>
            <w:r w:rsidRPr="00452D32">
              <w:rPr>
                <w:rFonts w:eastAsia="Arial" w:cs="Arial"/>
                <w:color w:val="000000" w:themeColor="text1"/>
              </w:rPr>
              <w:t>,39</w:t>
            </w:r>
            <w:r w:rsidR="5BA6C478" w:rsidRPr="00452D32">
              <w:rPr>
                <w:rFonts w:eastAsia="Arial" w:cs="Arial"/>
                <w:color w:val="000000" w:themeColor="text1"/>
              </w:rPr>
              <w:t>3</w:t>
            </w:r>
            <w:r w:rsidRPr="00452D32">
              <w:rPr>
                <w:rFonts w:eastAsia="Arial" w:cs="Arial"/>
                <w:color w:val="000000" w:themeColor="text1"/>
              </w:rPr>
              <w:t>.</w:t>
            </w:r>
            <w:r w:rsidR="384FCF0B" w:rsidRPr="00452D32">
              <w:rPr>
                <w:rFonts w:eastAsia="Arial" w:cs="Arial"/>
                <w:color w:val="000000" w:themeColor="text1"/>
              </w:rPr>
              <w:t>0</w:t>
            </w:r>
            <w:r w:rsidRPr="00452D32">
              <w:rPr>
                <w:rFonts w:eastAsia="Arial" w:cs="Arial"/>
                <w:color w:val="000000" w:themeColor="text1"/>
              </w:rPr>
              <w:t>0</w:t>
            </w:r>
          </w:p>
        </w:tc>
        <w:tc>
          <w:tcPr>
            <w:tcW w:w="2040" w:type="dxa"/>
            <w:vAlign w:val="center"/>
          </w:tcPr>
          <w:p w14:paraId="62C8868A" w14:textId="7C4CF5D4" w:rsidR="00B951DE" w:rsidRPr="00452D32" w:rsidRDefault="00B951DE" w:rsidP="00146214">
            <w:pPr>
              <w:spacing w:before="120" w:after="120"/>
              <w:jc w:val="right"/>
              <w:rPr>
                <w:rFonts w:cs="Arial"/>
              </w:rPr>
            </w:pPr>
            <w:r w:rsidRPr="00452D32">
              <w:rPr>
                <w:rFonts w:cs="Arial"/>
              </w:rPr>
              <w:t>$</w:t>
            </w:r>
            <w:r w:rsidR="4F814342" w:rsidRPr="00452D32">
              <w:rPr>
                <w:rFonts w:cs="Arial"/>
              </w:rPr>
              <w:t>1,043</w:t>
            </w:r>
            <w:r w:rsidRPr="00452D32">
              <w:rPr>
                <w:rFonts w:cs="Arial"/>
              </w:rPr>
              <w:t>,</w:t>
            </w:r>
            <w:r w:rsidR="442CB95B" w:rsidRPr="00452D32">
              <w:rPr>
                <w:rFonts w:cs="Arial"/>
              </w:rPr>
              <w:t>739</w:t>
            </w:r>
            <w:r w:rsidRPr="00452D32">
              <w:rPr>
                <w:rFonts w:cs="Arial"/>
              </w:rPr>
              <w:t>.</w:t>
            </w:r>
            <w:r w:rsidR="177A4A01" w:rsidRPr="00452D32">
              <w:rPr>
                <w:rFonts w:cs="Arial"/>
              </w:rPr>
              <w:t>3</w:t>
            </w:r>
            <w:r w:rsidRPr="00452D32">
              <w:rPr>
                <w:rFonts w:cs="Arial"/>
              </w:rPr>
              <w:t>0</w:t>
            </w:r>
          </w:p>
        </w:tc>
        <w:tc>
          <w:tcPr>
            <w:tcW w:w="2055" w:type="dxa"/>
            <w:vAlign w:val="center"/>
          </w:tcPr>
          <w:p w14:paraId="41DE3C1E" w14:textId="70908984" w:rsidR="00B951DE" w:rsidRPr="00452D32" w:rsidRDefault="2754337F" w:rsidP="00146214">
            <w:pPr>
              <w:spacing w:before="120" w:after="120"/>
              <w:jc w:val="right"/>
              <w:rPr>
                <w:rFonts w:cs="Arial"/>
              </w:rPr>
            </w:pPr>
            <w:r w:rsidRPr="00452D32">
              <w:rPr>
                <w:rFonts w:cs="Arial"/>
              </w:rPr>
              <w:t>$1,043,739.30</w:t>
            </w:r>
          </w:p>
        </w:tc>
        <w:tc>
          <w:tcPr>
            <w:tcW w:w="1875" w:type="dxa"/>
            <w:vAlign w:val="center"/>
          </w:tcPr>
          <w:p w14:paraId="05B51887" w14:textId="0D3CAE92" w:rsidR="00B951DE" w:rsidRPr="00452D32" w:rsidRDefault="0A6D315E" w:rsidP="00146214">
            <w:pPr>
              <w:spacing w:before="120" w:after="120"/>
              <w:jc w:val="right"/>
              <w:rPr>
                <w:rFonts w:cs="Arial"/>
              </w:rPr>
            </w:pPr>
            <w:r w:rsidRPr="00452D32">
              <w:rPr>
                <w:rFonts w:cs="Arial"/>
              </w:rPr>
              <w:t>$0.00</w:t>
            </w:r>
          </w:p>
        </w:tc>
      </w:tr>
      <w:tr w:rsidR="00B951DE" w:rsidRPr="00452D32" w14:paraId="275E5BD4" w14:textId="77777777" w:rsidTr="1091671F">
        <w:trPr>
          <w:trHeight w:val="389"/>
          <w:jc w:val="center"/>
        </w:trPr>
        <w:tc>
          <w:tcPr>
            <w:tcW w:w="3864" w:type="dxa"/>
            <w:vAlign w:val="center"/>
          </w:tcPr>
          <w:p w14:paraId="705B8216" w14:textId="0CE08CEC" w:rsidR="00B951DE" w:rsidRPr="00452D32" w:rsidRDefault="00B951DE" w:rsidP="00146214">
            <w:pPr>
              <w:spacing w:before="120" w:after="120"/>
              <w:ind w:left="432" w:right="-108" w:hanging="360"/>
              <w:rPr>
                <w:rFonts w:cs="Arial"/>
              </w:rPr>
            </w:pPr>
            <w:r w:rsidRPr="00452D32">
              <w:rPr>
                <w:rFonts w:cs="Arial"/>
              </w:rPr>
              <w:t>Task 4: Test Security</w:t>
            </w:r>
          </w:p>
        </w:tc>
        <w:tc>
          <w:tcPr>
            <w:tcW w:w="2130" w:type="dxa"/>
            <w:vAlign w:val="center"/>
          </w:tcPr>
          <w:p w14:paraId="019A8A3F" w14:textId="3DBC7089" w:rsidR="00B951DE" w:rsidRPr="00452D32" w:rsidRDefault="0056E3AA" w:rsidP="00146214">
            <w:pPr>
              <w:spacing w:before="120" w:after="120"/>
              <w:jc w:val="right"/>
              <w:rPr>
                <w:rFonts w:eastAsia="Arial" w:cs="Arial"/>
              </w:rPr>
            </w:pPr>
            <w:r w:rsidRPr="00452D32">
              <w:rPr>
                <w:rFonts w:eastAsia="Arial" w:cs="Arial"/>
                <w:color w:val="000000" w:themeColor="text1"/>
              </w:rPr>
              <w:t>$310,051.50</w:t>
            </w:r>
          </w:p>
        </w:tc>
        <w:tc>
          <w:tcPr>
            <w:tcW w:w="2220" w:type="dxa"/>
            <w:vAlign w:val="center"/>
          </w:tcPr>
          <w:p w14:paraId="20B636EE" w14:textId="07A4CDCE" w:rsidR="00B951DE" w:rsidRPr="00452D32" w:rsidRDefault="00B951DE" w:rsidP="00146214">
            <w:pPr>
              <w:spacing w:before="120" w:after="120"/>
              <w:jc w:val="right"/>
              <w:rPr>
                <w:rFonts w:cs="Arial"/>
              </w:rPr>
            </w:pPr>
            <w:r w:rsidRPr="00452D32">
              <w:rPr>
                <w:rFonts w:cs="Arial"/>
              </w:rPr>
              <w:t>$</w:t>
            </w:r>
            <w:r w:rsidR="2EB035DC" w:rsidRPr="00452D32">
              <w:rPr>
                <w:rFonts w:cs="Arial"/>
              </w:rPr>
              <w:t>2</w:t>
            </w:r>
            <w:r w:rsidR="00CB6BEE" w:rsidRPr="00452D32">
              <w:rPr>
                <w:rFonts w:cs="Arial"/>
              </w:rPr>
              <w:t>8</w:t>
            </w:r>
            <w:r w:rsidR="26464601" w:rsidRPr="00452D32">
              <w:rPr>
                <w:rFonts w:cs="Arial"/>
              </w:rPr>
              <w:t>1</w:t>
            </w:r>
            <w:r w:rsidR="00CB6BEE" w:rsidRPr="00452D32">
              <w:rPr>
                <w:rFonts w:cs="Arial"/>
              </w:rPr>
              <w:t>,</w:t>
            </w:r>
            <w:r w:rsidR="2A21BC0F" w:rsidRPr="00452D32">
              <w:rPr>
                <w:rFonts w:cs="Arial"/>
              </w:rPr>
              <w:t>865</w:t>
            </w:r>
            <w:r w:rsidR="00CB6BEE" w:rsidRPr="00452D32">
              <w:rPr>
                <w:rFonts w:cs="Arial"/>
              </w:rPr>
              <w:t>.</w:t>
            </w:r>
            <w:r w:rsidR="070E04DC" w:rsidRPr="00452D32">
              <w:rPr>
                <w:rFonts w:cs="Arial"/>
              </w:rPr>
              <w:t>0</w:t>
            </w:r>
            <w:r w:rsidR="00CB6BEE" w:rsidRPr="00452D32">
              <w:rPr>
                <w:rFonts w:cs="Arial"/>
              </w:rPr>
              <w:t>0</w:t>
            </w:r>
          </w:p>
        </w:tc>
        <w:tc>
          <w:tcPr>
            <w:tcW w:w="2040" w:type="dxa"/>
            <w:vAlign w:val="center"/>
          </w:tcPr>
          <w:p w14:paraId="09660A1A" w14:textId="4DD63E78" w:rsidR="00B951DE" w:rsidRPr="00452D32" w:rsidRDefault="00B951DE" w:rsidP="00146214">
            <w:pPr>
              <w:spacing w:before="120" w:after="120"/>
              <w:jc w:val="right"/>
              <w:rPr>
                <w:rFonts w:cs="Arial"/>
              </w:rPr>
            </w:pPr>
            <w:r w:rsidRPr="00452D32">
              <w:rPr>
                <w:rFonts w:cs="Arial"/>
              </w:rPr>
              <w:t>$</w:t>
            </w:r>
            <w:r w:rsidR="250F6CE7" w:rsidRPr="00452D32">
              <w:rPr>
                <w:rFonts w:cs="Arial"/>
              </w:rPr>
              <w:t>28</w:t>
            </w:r>
            <w:r w:rsidRPr="00452D32">
              <w:rPr>
                <w:rFonts w:cs="Arial"/>
              </w:rPr>
              <w:t>,1</w:t>
            </w:r>
            <w:r w:rsidR="2087ABF7" w:rsidRPr="00452D32">
              <w:rPr>
                <w:rFonts w:cs="Arial"/>
              </w:rPr>
              <w:t>86</w:t>
            </w:r>
            <w:r w:rsidRPr="00452D32">
              <w:rPr>
                <w:rFonts w:cs="Arial"/>
              </w:rPr>
              <w:t>.</w:t>
            </w:r>
            <w:r w:rsidR="73790F35" w:rsidRPr="00452D32">
              <w:rPr>
                <w:rFonts w:cs="Arial"/>
              </w:rPr>
              <w:t>5</w:t>
            </w:r>
            <w:r w:rsidRPr="00452D32">
              <w:rPr>
                <w:rFonts w:cs="Arial"/>
              </w:rPr>
              <w:t>0</w:t>
            </w:r>
          </w:p>
        </w:tc>
        <w:tc>
          <w:tcPr>
            <w:tcW w:w="2055" w:type="dxa"/>
            <w:vAlign w:val="center"/>
          </w:tcPr>
          <w:p w14:paraId="2A9E4AEB" w14:textId="1451FD65" w:rsidR="00B951DE" w:rsidRPr="00452D32" w:rsidRDefault="3D7A63C1" w:rsidP="00146214">
            <w:pPr>
              <w:spacing w:before="120" w:after="120"/>
              <w:jc w:val="right"/>
              <w:rPr>
                <w:rFonts w:cs="Arial"/>
              </w:rPr>
            </w:pPr>
            <w:r w:rsidRPr="00452D32">
              <w:rPr>
                <w:rFonts w:cs="Arial"/>
              </w:rPr>
              <w:t>$28,186.50</w:t>
            </w:r>
          </w:p>
        </w:tc>
        <w:tc>
          <w:tcPr>
            <w:tcW w:w="1875" w:type="dxa"/>
            <w:vAlign w:val="center"/>
          </w:tcPr>
          <w:p w14:paraId="15ACF5CC" w14:textId="6B8C154B" w:rsidR="00B951DE" w:rsidRPr="00452D32" w:rsidRDefault="00B951DE" w:rsidP="00146214">
            <w:pPr>
              <w:spacing w:before="120" w:after="120"/>
              <w:jc w:val="right"/>
              <w:rPr>
                <w:rFonts w:cs="Arial"/>
              </w:rPr>
            </w:pPr>
            <w:r w:rsidRPr="00452D32">
              <w:rPr>
                <w:rFonts w:cs="Arial"/>
              </w:rPr>
              <w:t>$0.00</w:t>
            </w:r>
          </w:p>
        </w:tc>
      </w:tr>
      <w:tr w:rsidR="00B951DE" w:rsidRPr="00452D32" w14:paraId="60A0AD2B" w14:textId="77777777" w:rsidTr="1091671F">
        <w:trPr>
          <w:trHeight w:val="389"/>
          <w:jc w:val="center"/>
        </w:trPr>
        <w:tc>
          <w:tcPr>
            <w:tcW w:w="3864" w:type="dxa"/>
            <w:vAlign w:val="center"/>
          </w:tcPr>
          <w:p w14:paraId="69F5A57F" w14:textId="46199521" w:rsidR="00B951DE" w:rsidRPr="00452D32" w:rsidRDefault="343D9E97" w:rsidP="00146214">
            <w:pPr>
              <w:spacing w:before="120" w:after="120"/>
              <w:ind w:left="960" w:right="-108" w:hanging="888"/>
              <w:rPr>
                <w:rFonts w:cs="Arial"/>
              </w:rPr>
            </w:pPr>
            <w:r w:rsidRPr="00452D32">
              <w:rPr>
                <w:rFonts w:cs="Arial"/>
              </w:rPr>
              <w:t>Task 5: Accessibility and Accommodations</w:t>
            </w:r>
          </w:p>
        </w:tc>
        <w:tc>
          <w:tcPr>
            <w:tcW w:w="2130" w:type="dxa"/>
            <w:vAlign w:val="center"/>
          </w:tcPr>
          <w:p w14:paraId="0FDAFAA7" w14:textId="36D064E9" w:rsidR="00B951DE" w:rsidRPr="00452D32" w:rsidRDefault="1C830E0C" w:rsidP="00146214">
            <w:pPr>
              <w:spacing w:before="120" w:after="120"/>
              <w:jc w:val="right"/>
              <w:rPr>
                <w:rFonts w:eastAsia="Arial" w:cs="Arial"/>
              </w:rPr>
            </w:pPr>
            <w:r w:rsidRPr="00452D32">
              <w:rPr>
                <w:rFonts w:eastAsia="Arial" w:cs="Arial"/>
                <w:color w:val="000000" w:themeColor="text1"/>
              </w:rPr>
              <w:t>$904,921.60</w:t>
            </w:r>
          </w:p>
        </w:tc>
        <w:tc>
          <w:tcPr>
            <w:tcW w:w="2220" w:type="dxa"/>
            <w:vAlign w:val="center"/>
          </w:tcPr>
          <w:p w14:paraId="5ECE9E0D" w14:textId="1D00E681" w:rsidR="00B951DE" w:rsidRPr="00452D32" w:rsidRDefault="00B951DE" w:rsidP="00146214">
            <w:pPr>
              <w:spacing w:before="120" w:after="120"/>
              <w:jc w:val="right"/>
              <w:rPr>
                <w:rFonts w:cs="Arial"/>
              </w:rPr>
            </w:pPr>
            <w:r w:rsidRPr="00452D32">
              <w:rPr>
                <w:rFonts w:cs="Arial"/>
              </w:rPr>
              <w:t>$</w:t>
            </w:r>
            <w:r w:rsidR="30F12A0D" w:rsidRPr="00452D32">
              <w:rPr>
                <w:rFonts w:cs="Arial"/>
              </w:rPr>
              <w:t>822</w:t>
            </w:r>
            <w:r w:rsidR="00CB6BEE" w:rsidRPr="00452D32">
              <w:rPr>
                <w:rFonts w:cs="Arial"/>
              </w:rPr>
              <w:t>,</w:t>
            </w:r>
            <w:r w:rsidR="4A38D87F" w:rsidRPr="00452D32">
              <w:rPr>
                <w:rFonts w:cs="Arial"/>
              </w:rPr>
              <w:t>6</w:t>
            </w:r>
            <w:r w:rsidR="00CB6BEE" w:rsidRPr="00452D32">
              <w:rPr>
                <w:rFonts w:cs="Arial"/>
              </w:rPr>
              <w:t>5</w:t>
            </w:r>
            <w:r w:rsidR="7FCACBBB" w:rsidRPr="00452D32">
              <w:rPr>
                <w:rFonts w:cs="Arial"/>
              </w:rPr>
              <w:t>6</w:t>
            </w:r>
            <w:r w:rsidR="00CB6BEE" w:rsidRPr="00452D32">
              <w:rPr>
                <w:rFonts w:cs="Arial"/>
              </w:rPr>
              <w:t>.</w:t>
            </w:r>
            <w:r w:rsidR="4296D264" w:rsidRPr="00452D32">
              <w:rPr>
                <w:rFonts w:cs="Arial"/>
              </w:rPr>
              <w:t>0</w:t>
            </w:r>
            <w:r w:rsidR="00CB6BEE" w:rsidRPr="00452D32">
              <w:rPr>
                <w:rFonts w:cs="Arial"/>
              </w:rPr>
              <w:t>0</w:t>
            </w:r>
          </w:p>
        </w:tc>
        <w:tc>
          <w:tcPr>
            <w:tcW w:w="2040" w:type="dxa"/>
            <w:vAlign w:val="center"/>
          </w:tcPr>
          <w:p w14:paraId="37923A35" w14:textId="0A42ED1E" w:rsidR="00B951DE" w:rsidRPr="00452D32" w:rsidRDefault="00B951DE" w:rsidP="00146214">
            <w:pPr>
              <w:spacing w:before="120" w:after="120"/>
              <w:jc w:val="right"/>
              <w:rPr>
                <w:rFonts w:cs="Arial"/>
              </w:rPr>
            </w:pPr>
            <w:r w:rsidRPr="00452D32">
              <w:rPr>
                <w:rFonts w:cs="Arial"/>
              </w:rPr>
              <w:t>$8</w:t>
            </w:r>
            <w:r w:rsidR="09E6E078" w:rsidRPr="00452D32">
              <w:rPr>
                <w:rFonts w:cs="Arial"/>
              </w:rPr>
              <w:t>2</w:t>
            </w:r>
            <w:r w:rsidRPr="00452D32">
              <w:rPr>
                <w:rFonts w:cs="Arial"/>
              </w:rPr>
              <w:t>,</w:t>
            </w:r>
            <w:r w:rsidR="35A9E815" w:rsidRPr="00452D32">
              <w:rPr>
                <w:rFonts w:cs="Arial"/>
              </w:rPr>
              <w:t>265</w:t>
            </w:r>
            <w:r w:rsidRPr="00452D32">
              <w:rPr>
                <w:rFonts w:cs="Arial"/>
              </w:rPr>
              <w:t>.</w:t>
            </w:r>
            <w:r w:rsidR="320828A8" w:rsidRPr="00452D32">
              <w:rPr>
                <w:rFonts w:cs="Arial"/>
              </w:rPr>
              <w:t>6</w:t>
            </w:r>
            <w:r w:rsidRPr="00452D32">
              <w:rPr>
                <w:rFonts w:cs="Arial"/>
              </w:rPr>
              <w:t>0</w:t>
            </w:r>
          </w:p>
        </w:tc>
        <w:tc>
          <w:tcPr>
            <w:tcW w:w="2055" w:type="dxa"/>
            <w:vAlign w:val="center"/>
          </w:tcPr>
          <w:p w14:paraId="7FCFC2CA" w14:textId="10AF618D" w:rsidR="00B951DE" w:rsidRPr="00452D32" w:rsidRDefault="78C8CC19" w:rsidP="00146214">
            <w:pPr>
              <w:spacing w:before="120" w:after="120"/>
              <w:jc w:val="right"/>
              <w:rPr>
                <w:rFonts w:cs="Arial"/>
              </w:rPr>
            </w:pPr>
            <w:r w:rsidRPr="00452D32">
              <w:rPr>
                <w:rFonts w:cs="Arial"/>
              </w:rPr>
              <w:t>$82,265.60</w:t>
            </w:r>
          </w:p>
        </w:tc>
        <w:tc>
          <w:tcPr>
            <w:tcW w:w="1875" w:type="dxa"/>
            <w:vAlign w:val="center"/>
          </w:tcPr>
          <w:p w14:paraId="6070C0C8" w14:textId="712D3297" w:rsidR="00B951DE" w:rsidRPr="00452D32" w:rsidRDefault="00B951DE" w:rsidP="00146214">
            <w:pPr>
              <w:spacing w:before="120" w:after="120"/>
              <w:jc w:val="right"/>
              <w:rPr>
                <w:rFonts w:cs="Arial"/>
              </w:rPr>
            </w:pPr>
            <w:r w:rsidRPr="00452D32">
              <w:rPr>
                <w:rFonts w:cs="Arial"/>
              </w:rPr>
              <w:t>$0.00</w:t>
            </w:r>
          </w:p>
        </w:tc>
      </w:tr>
      <w:tr w:rsidR="00B951DE" w:rsidRPr="00452D32" w14:paraId="3AE44557" w14:textId="77777777" w:rsidTr="1091671F">
        <w:trPr>
          <w:trHeight w:val="389"/>
          <w:jc w:val="center"/>
        </w:trPr>
        <w:tc>
          <w:tcPr>
            <w:tcW w:w="3864" w:type="dxa"/>
            <w:vAlign w:val="center"/>
          </w:tcPr>
          <w:p w14:paraId="0F2035C6" w14:textId="735DC456" w:rsidR="00B951DE" w:rsidRPr="00452D32" w:rsidRDefault="00B951DE" w:rsidP="00146214">
            <w:pPr>
              <w:spacing w:before="120" w:after="120"/>
              <w:ind w:left="792" w:right="-108" w:hanging="720"/>
              <w:rPr>
                <w:rFonts w:cs="Arial"/>
              </w:rPr>
            </w:pPr>
            <w:r w:rsidRPr="00452D32">
              <w:rPr>
                <w:rFonts w:cs="Arial"/>
              </w:rPr>
              <w:t>Task 6: Assessment Development</w:t>
            </w:r>
          </w:p>
        </w:tc>
        <w:tc>
          <w:tcPr>
            <w:tcW w:w="2130" w:type="dxa"/>
            <w:vAlign w:val="center"/>
          </w:tcPr>
          <w:p w14:paraId="61BB96AA" w14:textId="08547A4F" w:rsidR="00B951DE" w:rsidRPr="00452D32" w:rsidRDefault="137F4E32" w:rsidP="00146214">
            <w:pPr>
              <w:spacing w:before="120" w:after="120"/>
              <w:jc w:val="right"/>
              <w:rPr>
                <w:rFonts w:eastAsia="Arial" w:cs="Arial"/>
              </w:rPr>
            </w:pPr>
            <w:r w:rsidRPr="00452D32">
              <w:rPr>
                <w:rFonts w:eastAsia="Arial" w:cs="Arial"/>
                <w:color w:val="000000" w:themeColor="text1"/>
              </w:rPr>
              <w:t>$12,651,427.80</w:t>
            </w:r>
          </w:p>
        </w:tc>
        <w:tc>
          <w:tcPr>
            <w:tcW w:w="2220" w:type="dxa"/>
            <w:vAlign w:val="center"/>
          </w:tcPr>
          <w:p w14:paraId="748FD843" w14:textId="2E6E9343" w:rsidR="00B951DE" w:rsidRPr="00452D32" w:rsidRDefault="00B951DE" w:rsidP="00146214">
            <w:pPr>
              <w:spacing w:before="120" w:after="120"/>
              <w:jc w:val="right"/>
              <w:rPr>
                <w:rFonts w:cs="Arial"/>
              </w:rPr>
            </w:pPr>
            <w:r w:rsidRPr="00452D32">
              <w:rPr>
                <w:rFonts w:cs="Arial"/>
              </w:rPr>
              <w:t>$</w:t>
            </w:r>
            <w:r w:rsidR="1BFF4DE9" w:rsidRPr="00452D32">
              <w:rPr>
                <w:rFonts w:cs="Arial"/>
              </w:rPr>
              <w:t>11</w:t>
            </w:r>
            <w:r w:rsidR="00CB6BEE" w:rsidRPr="00452D32">
              <w:rPr>
                <w:rFonts w:cs="Arial"/>
              </w:rPr>
              <w:t>,</w:t>
            </w:r>
            <w:r w:rsidR="4D26C5C6" w:rsidRPr="00452D32">
              <w:rPr>
                <w:rFonts w:cs="Arial"/>
              </w:rPr>
              <w:t>5</w:t>
            </w:r>
            <w:r w:rsidR="00CB6BEE" w:rsidRPr="00452D32">
              <w:rPr>
                <w:rFonts w:cs="Arial"/>
              </w:rPr>
              <w:t>0</w:t>
            </w:r>
            <w:r w:rsidR="7F501CF5" w:rsidRPr="00452D32">
              <w:rPr>
                <w:rFonts w:cs="Arial"/>
              </w:rPr>
              <w:t>1</w:t>
            </w:r>
            <w:r w:rsidR="00CB6BEE" w:rsidRPr="00452D32">
              <w:rPr>
                <w:rFonts w:cs="Arial"/>
              </w:rPr>
              <w:t>,</w:t>
            </w:r>
            <w:r w:rsidR="61C48002" w:rsidRPr="00452D32">
              <w:rPr>
                <w:rFonts w:cs="Arial"/>
              </w:rPr>
              <w:t>298</w:t>
            </w:r>
            <w:r w:rsidR="00CB6BEE" w:rsidRPr="00452D32">
              <w:rPr>
                <w:rFonts w:cs="Arial"/>
              </w:rPr>
              <w:t>.</w:t>
            </w:r>
            <w:r w:rsidR="6D147CAE" w:rsidRPr="00452D32">
              <w:rPr>
                <w:rFonts w:cs="Arial"/>
              </w:rPr>
              <w:t>0</w:t>
            </w:r>
            <w:r w:rsidR="00CB6BEE" w:rsidRPr="00452D32">
              <w:rPr>
                <w:rFonts w:cs="Arial"/>
              </w:rPr>
              <w:t>0</w:t>
            </w:r>
          </w:p>
        </w:tc>
        <w:tc>
          <w:tcPr>
            <w:tcW w:w="2040" w:type="dxa"/>
            <w:vAlign w:val="center"/>
          </w:tcPr>
          <w:p w14:paraId="4D6880BE" w14:textId="68D99D40" w:rsidR="00B951DE" w:rsidRPr="00452D32" w:rsidRDefault="00B951DE" w:rsidP="00146214">
            <w:pPr>
              <w:spacing w:before="120" w:after="120"/>
              <w:jc w:val="right"/>
              <w:rPr>
                <w:rFonts w:cs="Arial"/>
              </w:rPr>
            </w:pPr>
            <w:r w:rsidRPr="00452D32">
              <w:rPr>
                <w:rFonts w:cs="Arial"/>
              </w:rPr>
              <w:t>$</w:t>
            </w:r>
            <w:r w:rsidR="3EF61742" w:rsidRPr="00452D32">
              <w:rPr>
                <w:rFonts w:cs="Arial"/>
              </w:rPr>
              <w:t>1,150</w:t>
            </w:r>
            <w:r w:rsidRPr="00452D32">
              <w:rPr>
                <w:rFonts w:cs="Arial"/>
              </w:rPr>
              <w:t>,1</w:t>
            </w:r>
            <w:r w:rsidR="613B3B4F" w:rsidRPr="00452D32">
              <w:rPr>
                <w:rFonts w:cs="Arial"/>
              </w:rPr>
              <w:t>29</w:t>
            </w:r>
            <w:r w:rsidRPr="00452D32">
              <w:rPr>
                <w:rFonts w:cs="Arial"/>
              </w:rPr>
              <w:t>.</w:t>
            </w:r>
            <w:r w:rsidR="2C818465" w:rsidRPr="00452D32">
              <w:rPr>
                <w:rFonts w:cs="Arial"/>
              </w:rPr>
              <w:t>8</w:t>
            </w:r>
            <w:r w:rsidRPr="00452D32">
              <w:rPr>
                <w:rFonts w:cs="Arial"/>
              </w:rPr>
              <w:t>0</w:t>
            </w:r>
          </w:p>
        </w:tc>
        <w:tc>
          <w:tcPr>
            <w:tcW w:w="2055" w:type="dxa"/>
            <w:vAlign w:val="center"/>
          </w:tcPr>
          <w:p w14:paraId="3D1FE359" w14:textId="570573A1" w:rsidR="00B951DE" w:rsidRPr="00452D32" w:rsidRDefault="249412CE" w:rsidP="00146214">
            <w:pPr>
              <w:spacing w:before="120" w:after="120"/>
              <w:jc w:val="right"/>
              <w:rPr>
                <w:rFonts w:cs="Arial"/>
              </w:rPr>
            </w:pPr>
            <w:r w:rsidRPr="00452D32">
              <w:rPr>
                <w:rFonts w:cs="Arial"/>
              </w:rPr>
              <w:t>$1,150,129.80</w:t>
            </w:r>
          </w:p>
        </w:tc>
        <w:tc>
          <w:tcPr>
            <w:tcW w:w="1875" w:type="dxa"/>
            <w:vAlign w:val="center"/>
          </w:tcPr>
          <w:p w14:paraId="0B619D82" w14:textId="481B6DF9" w:rsidR="00B951DE" w:rsidRPr="00452D32" w:rsidRDefault="00B951DE" w:rsidP="00146214">
            <w:pPr>
              <w:spacing w:before="120" w:after="120"/>
              <w:jc w:val="right"/>
              <w:rPr>
                <w:rFonts w:cs="Arial"/>
              </w:rPr>
            </w:pPr>
            <w:r w:rsidRPr="00452D32">
              <w:rPr>
                <w:rFonts w:cs="Arial"/>
              </w:rPr>
              <w:t>$0.00</w:t>
            </w:r>
          </w:p>
        </w:tc>
      </w:tr>
      <w:tr w:rsidR="00B951DE" w:rsidRPr="00452D32" w14:paraId="154784F1" w14:textId="77777777" w:rsidTr="1091671F">
        <w:trPr>
          <w:trHeight w:val="389"/>
          <w:jc w:val="center"/>
        </w:trPr>
        <w:tc>
          <w:tcPr>
            <w:tcW w:w="3864" w:type="dxa"/>
            <w:vAlign w:val="center"/>
          </w:tcPr>
          <w:p w14:paraId="6244EE86" w14:textId="7DFE6DAB" w:rsidR="00B951DE" w:rsidRPr="00452D32" w:rsidRDefault="00B951DE" w:rsidP="00146214">
            <w:pPr>
              <w:spacing w:before="120" w:after="120"/>
              <w:ind w:left="72" w:right="-108"/>
              <w:rPr>
                <w:rFonts w:cs="Arial"/>
              </w:rPr>
            </w:pPr>
            <w:r w:rsidRPr="00452D32">
              <w:rPr>
                <w:rFonts w:cs="Arial"/>
              </w:rPr>
              <w:t>Task 7: Test Administration</w:t>
            </w:r>
          </w:p>
        </w:tc>
        <w:tc>
          <w:tcPr>
            <w:tcW w:w="2130" w:type="dxa"/>
            <w:vAlign w:val="center"/>
          </w:tcPr>
          <w:p w14:paraId="097F754E" w14:textId="742A713E" w:rsidR="00B951DE" w:rsidRPr="00452D32" w:rsidRDefault="6F42DA11" w:rsidP="00146214">
            <w:pPr>
              <w:spacing w:before="120" w:after="120"/>
              <w:jc w:val="right"/>
              <w:rPr>
                <w:rFonts w:eastAsia="Arial" w:cs="Arial"/>
              </w:rPr>
            </w:pPr>
            <w:r w:rsidRPr="00452D32">
              <w:rPr>
                <w:rFonts w:eastAsia="Arial" w:cs="Arial"/>
                <w:color w:val="000000" w:themeColor="text1"/>
              </w:rPr>
              <w:t>$42,921,455.50</w:t>
            </w:r>
          </w:p>
        </w:tc>
        <w:tc>
          <w:tcPr>
            <w:tcW w:w="2220" w:type="dxa"/>
            <w:vAlign w:val="center"/>
          </w:tcPr>
          <w:p w14:paraId="79C3F704" w14:textId="5BAA34C1" w:rsidR="00B951DE" w:rsidRPr="00452D32" w:rsidRDefault="00B951DE" w:rsidP="00146214">
            <w:pPr>
              <w:spacing w:before="120" w:after="120"/>
              <w:jc w:val="right"/>
              <w:rPr>
                <w:rFonts w:cs="Arial"/>
              </w:rPr>
            </w:pPr>
            <w:r w:rsidRPr="00452D32">
              <w:rPr>
                <w:rFonts w:cs="Arial"/>
              </w:rPr>
              <w:t>$</w:t>
            </w:r>
            <w:r w:rsidR="4974406C" w:rsidRPr="00452D32">
              <w:rPr>
                <w:rFonts w:cs="Arial"/>
              </w:rPr>
              <w:t>3</w:t>
            </w:r>
            <w:r w:rsidR="00CB6BEE" w:rsidRPr="00452D32">
              <w:rPr>
                <w:rFonts w:cs="Arial"/>
              </w:rPr>
              <w:t>9,</w:t>
            </w:r>
            <w:r w:rsidR="19954349" w:rsidRPr="00452D32">
              <w:rPr>
                <w:rFonts w:cs="Arial"/>
              </w:rPr>
              <w:t>0</w:t>
            </w:r>
            <w:r w:rsidR="00CB6BEE" w:rsidRPr="00452D32">
              <w:rPr>
                <w:rFonts w:cs="Arial"/>
              </w:rPr>
              <w:t>1</w:t>
            </w:r>
            <w:r w:rsidR="1600328C" w:rsidRPr="00452D32">
              <w:rPr>
                <w:rFonts w:cs="Arial"/>
              </w:rPr>
              <w:t>9</w:t>
            </w:r>
            <w:r w:rsidR="00CB6BEE" w:rsidRPr="00452D32">
              <w:rPr>
                <w:rFonts w:cs="Arial"/>
              </w:rPr>
              <w:t>,</w:t>
            </w:r>
            <w:r w:rsidR="680A5C62" w:rsidRPr="00452D32">
              <w:rPr>
                <w:rFonts w:cs="Arial"/>
              </w:rPr>
              <w:t>505</w:t>
            </w:r>
            <w:r w:rsidR="00CB6BEE" w:rsidRPr="00452D32">
              <w:rPr>
                <w:rFonts w:cs="Arial"/>
              </w:rPr>
              <w:t>.</w:t>
            </w:r>
            <w:r w:rsidR="0B9C6B24" w:rsidRPr="00452D32">
              <w:rPr>
                <w:rFonts w:cs="Arial"/>
              </w:rPr>
              <w:t>0</w:t>
            </w:r>
            <w:r w:rsidR="00CB6BEE" w:rsidRPr="00452D32">
              <w:rPr>
                <w:rFonts w:cs="Arial"/>
              </w:rPr>
              <w:t>0</w:t>
            </w:r>
          </w:p>
        </w:tc>
        <w:tc>
          <w:tcPr>
            <w:tcW w:w="2040" w:type="dxa"/>
            <w:vAlign w:val="center"/>
          </w:tcPr>
          <w:p w14:paraId="6DE851CE" w14:textId="5A1388AE" w:rsidR="00B951DE" w:rsidRPr="00452D32" w:rsidRDefault="00B951DE" w:rsidP="00146214">
            <w:pPr>
              <w:spacing w:before="120" w:after="120"/>
              <w:jc w:val="right"/>
              <w:rPr>
                <w:rFonts w:cs="Arial"/>
              </w:rPr>
            </w:pPr>
            <w:r w:rsidRPr="00452D32">
              <w:rPr>
                <w:rFonts w:cs="Arial"/>
              </w:rPr>
              <w:t>$3,</w:t>
            </w:r>
            <w:r w:rsidR="545AD0E8" w:rsidRPr="00452D32">
              <w:rPr>
                <w:rFonts w:cs="Arial"/>
              </w:rPr>
              <w:t>901</w:t>
            </w:r>
            <w:r w:rsidRPr="00452D32">
              <w:rPr>
                <w:rFonts w:cs="Arial"/>
              </w:rPr>
              <w:t>,</w:t>
            </w:r>
            <w:r w:rsidR="24CA38B8" w:rsidRPr="00452D32">
              <w:rPr>
                <w:rFonts w:cs="Arial"/>
              </w:rPr>
              <w:t>950</w:t>
            </w:r>
            <w:r w:rsidRPr="00452D32">
              <w:rPr>
                <w:rFonts w:cs="Arial"/>
              </w:rPr>
              <w:t>.</w:t>
            </w:r>
            <w:r w:rsidR="49A7B4EE" w:rsidRPr="00452D32">
              <w:rPr>
                <w:rFonts w:cs="Arial"/>
              </w:rPr>
              <w:t>5</w:t>
            </w:r>
            <w:r w:rsidRPr="00452D32">
              <w:rPr>
                <w:rFonts w:cs="Arial"/>
              </w:rPr>
              <w:t>0</w:t>
            </w:r>
          </w:p>
        </w:tc>
        <w:tc>
          <w:tcPr>
            <w:tcW w:w="2055" w:type="dxa"/>
            <w:vAlign w:val="center"/>
          </w:tcPr>
          <w:p w14:paraId="049747B2" w14:textId="0777B5FB" w:rsidR="00B951DE" w:rsidRPr="00452D32" w:rsidRDefault="3026A5E4" w:rsidP="00146214">
            <w:pPr>
              <w:spacing w:before="120" w:after="120"/>
              <w:jc w:val="right"/>
              <w:rPr>
                <w:rFonts w:cs="Arial"/>
              </w:rPr>
            </w:pPr>
            <w:r w:rsidRPr="00452D32">
              <w:rPr>
                <w:rFonts w:cs="Arial"/>
              </w:rPr>
              <w:t>$3,901,950.50</w:t>
            </w:r>
          </w:p>
        </w:tc>
        <w:tc>
          <w:tcPr>
            <w:tcW w:w="1875" w:type="dxa"/>
            <w:vAlign w:val="center"/>
          </w:tcPr>
          <w:p w14:paraId="3AA634E2" w14:textId="366A0D56" w:rsidR="00B951DE" w:rsidRPr="00452D32" w:rsidRDefault="00B951DE" w:rsidP="00146214">
            <w:pPr>
              <w:spacing w:before="120" w:after="120"/>
              <w:jc w:val="right"/>
              <w:rPr>
                <w:rFonts w:cs="Arial"/>
              </w:rPr>
            </w:pPr>
            <w:r w:rsidRPr="00452D32">
              <w:rPr>
                <w:rFonts w:cs="Arial"/>
              </w:rPr>
              <w:t>$0.00</w:t>
            </w:r>
          </w:p>
        </w:tc>
      </w:tr>
      <w:tr w:rsidR="00B951DE" w:rsidRPr="00452D32" w14:paraId="4CE78664" w14:textId="77777777" w:rsidTr="1091671F">
        <w:trPr>
          <w:trHeight w:val="389"/>
          <w:jc w:val="center"/>
        </w:trPr>
        <w:tc>
          <w:tcPr>
            <w:tcW w:w="3864" w:type="dxa"/>
            <w:vAlign w:val="center"/>
          </w:tcPr>
          <w:p w14:paraId="73C3C5EC" w14:textId="7F20CFAC" w:rsidR="00B951DE" w:rsidRPr="00452D32" w:rsidRDefault="00B951DE" w:rsidP="00146214">
            <w:pPr>
              <w:spacing w:before="120" w:after="120"/>
              <w:ind w:left="72" w:right="-108"/>
              <w:rPr>
                <w:rFonts w:cs="Arial"/>
              </w:rPr>
            </w:pPr>
            <w:r w:rsidRPr="00452D32">
              <w:rPr>
                <w:rFonts w:cs="Arial"/>
              </w:rPr>
              <w:t>Task 8: Scoring and Analysis</w:t>
            </w:r>
          </w:p>
        </w:tc>
        <w:tc>
          <w:tcPr>
            <w:tcW w:w="2130" w:type="dxa"/>
            <w:vAlign w:val="center"/>
          </w:tcPr>
          <w:p w14:paraId="388CEDAA" w14:textId="717E9433" w:rsidR="00B951DE" w:rsidRPr="00452D32" w:rsidRDefault="4355E71D" w:rsidP="00146214">
            <w:pPr>
              <w:spacing w:before="120" w:after="120"/>
              <w:jc w:val="right"/>
              <w:rPr>
                <w:rFonts w:eastAsia="Arial" w:cs="Arial"/>
              </w:rPr>
            </w:pPr>
            <w:r w:rsidRPr="00452D32">
              <w:rPr>
                <w:rFonts w:eastAsia="Arial" w:cs="Arial"/>
                <w:color w:val="000000" w:themeColor="text1"/>
              </w:rPr>
              <w:t>$20,448,082.60</w:t>
            </w:r>
          </w:p>
        </w:tc>
        <w:tc>
          <w:tcPr>
            <w:tcW w:w="2220" w:type="dxa"/>
            <w:vAlign w:val="center"/>
          </w:tcPr>
          <w:p w14:paraId="11866136" w14:textId="43EF71AF" w:rsidR="00B951DE" w:rsidRPr="00452D32" w:rsidRDefault="00B951DE" w:rsidP="00146214">
            <w:pPr>
              <w:spacing w:before="120" w:after="120"/>
              <w:jc w:val="right"/>
              <w:rPr>
                <w:rFonts w:cs="Arial"/>
              </w:rPr>
            </w:pPr>
            <w:r w:rsidRPr="00452D32">
              <w:rPr>
                <w:rFonts w:cs="Arial"/>
              </w:rPr>
              <w:t>$</w:t>
            </w:r>
            <w:r w:rsidR="00CB6BEE" w:rsidRPr="00452D32">
              <w:rPr>
                <w:rFonts w:cs="Arial"/>
              </w:rPr>
              <w:t>1</w:t>
            </w:r>
            <w:r w:rsidR="11F8036E" w:rsidRPr="00452D32">
              <w:rPr>
                <w:rFonts w:cs="Arial"/>
              </w:rPr>
              <w:t>8</w:t>
            </w:r>
            <w:r w:rsidR="00CB6BEE" w:rsidRPr="00452D32">
              <w:rPr>
                <w:rFonts w:cs="Arial"/>
              </w:rPr>
              <w:t>,</w:t>
            </w:r>
            <w:r w:rsidR="1E74743A" w:rsidRPr="00452D32">
              <w:rPr>
                <w:rFonts w:cs="Arial"/>
              </w:rPr>
              <w:t>589</w:t>
            </w:r>
            <w:r w:rsidR="00CB6BEE" w:rsidRPr="00452D32">
              <w:rPr>
                <w:rFonts w:cs="Arial"/>
              </w:rPr>
              <w:t>,</w:t>
            </w:r>
            <w:r w:rsidR="1461A277" w:rsidRPr="00452D32">
              <w:rPr>
                <w:rFonts w:cs="Arial"/>
              </w:rPr>
              <w:t>1</w:t>
            </w:r>
            <w:r w:rsidR="154348C0" w:rsidRPr="00452D32">
              <w:rPr>
                <w:rFonts w:cs="Arial"/>
              </w:rPr>
              <w:t>6</w:t>
            </w:r>
            <w:r w:rsidR="1461A277" w:rsidRPr="00452D32">
              <w:rPr>
                <w:rFonts w:cs="Arial"/>
              </w:rPr>
              <w:t>6</w:t>
            </w:r>
            <w:r w:rsidR="00CB6BEE" w:rsidRPr="00452D32">
              <w:rPr>
                <w:rFonts w:cs="Arial"/>
              </w:rPr>
              <w:t>.</w:t>
            </w:r>
            <w:r w:rsidR="492FC20B" w:rsidRPr="00452D32">
              <w:rPr>
                <w:rFonts w:cs="Arial"/>
              </w:rPr>
              <w:t>0</w:t>
            </w:r>
            <w:r w:rsidR="00CB6BEE" w:rsidRPr="00452D32">
              <w:rPr>
                <w:rFonts w:cs="Arial"/>
              </w:rPr>
              <w:t>0</w:t>
            </w:r>
          </w:p>
        </w:tc>
        <w:tc>
          <w:tcPr>
            <w:tcW w:w="2040" w:type="dxa"/>
            <w:vAlign w:val="center"/>
          </w:tcPr>
          <w:p w14:paraId="6B4C0EE9" w14:textId="011FA083" w:rsidR="00B951DE" w:rsidRPr="00452D32" w:rsidRDefault="00B951DE" w:rsidP="00146214">
            <w:pPr>
              <w:spacing w:before="120" w:after="120"/>
              <w:jc w:val="right"/>
              <w:rPr>
                <w:rFonts w:cs="Arial"/>
              </w:rPr>
            </w:pPr>
            <w:r w:rsidRPr="00452D32">
              <w:rPr>
                <w:rFonts w:cs="Arial"/>
              </w:rPr>
              <w:t>$</w:t>
            </w:r>
            <w:r w:rsidR="05F988FA" w:rsidRPr="00452D32">
              <w:rPr>
                <w:rFonts w:cs="Arial"/>
              </w:rPr>
              <w:t>1</w:t>
            </w:r>
            <w:r w:rsidRPr="00452D32">
              <w:rPr>
                <w:rFonts w:cs="Arial"/>
              </w:rPr>
              <w:t>,</w:t>
            </w:r>
            <w:r w:rsidR="4EDECAD8" w:rsidRPr="00452D32">
              <w:rPr>
                <w:rFonts w:cs="Arial"/>
              </w:rPr>
              <w:t>858</w:t>
            </w:r>
            <w:r w:rsidRPr="00452D32">
              <w:rPr>
                <w:rFonts w:cs="Arial"/>
              </w:rPr>
              <w:t>,</w:t>
            </w:r>
            <w:r w:rsidR="647FBC82" w:rsidRPr="00452D32">
              <w:rPr>
                <w:rFonts w:cs="Arial"/>
              </w:rPr>
              <w:t>916</w:t>
            </w:r>
            <w:r w:rsidRPr="00452D32">
              <w:rPr>
                <w:rFonts w:cs="Arial"/>
              </w:rPr>
              <w:t>.</w:t>
            </w:r>
            <w:r w:rsidR="42EAAAF6" w:rsidRPr="00452D32">
              <w:rPr>
                <w:rFonts w:cs="Arial"/>
              </w:rPr>
              <w:t>6</w:t>
            </w:r>
            <w:r w:rsidRPr="00452D32">
              <w:rPr>
                <w:rFonts w:cs="Arial"/>
              </w:rPr>
              <w:t>0</w:t>
            </w:r>
          </w:p>
        </w:tc>
        <w:tc>
          <w:tcPr>
            <w:tcW w:w="2055" w:type="dxa"/>
            <w:vAlign w:val="center"/>
          </w:tcPr>
          <w:p w14:paraId="5FE4E69F" w14:textId="75AE3D8E" w:rsidR="00B951DE" w:rsidRPr="00452D32" w:rsidRDefault="00B951DE" w:rsidP="00146214">
            <w:pPr>
              <w:spacing w:before="120" w:after="120"/>
              <w:jc w:val="right"/>
              <w:rPr>
                <w:rFonts w:cs="Arial"/>
              </w:rPr>
            </w:pPr>
            <w:r w:rsidRPr="00452D32">
              <w:rPr>
                <w:rFonts w:cs="Arial"/>
              </w:rPr>
              <w:t>$</w:t>
            </w:r>
            <w:r w:rsidR="5D5C568B" w:rsidRPr="00452D32">
              <w:rPr>
                <w:rFonts w:cs="Arial"/>
              </w:rPr>
              <w:t>1</w:t>
            </w:r>
            <w:r w:rsidRPr="00452D32">
              <w:rPr>
                <w:rFonts w:cs="Arial"/>
              </w:rPr>
              <w:t>,</w:t>
            </w:r>
            <w:r w:rsidR="069DF213" w:rsidRPr="00452D32">
              <w:rPr>
                <w:rFonts w:cs="Arial"/>
              </w:rPr>
              <w:t>765</w:t>
            </w:r>
            <w:r w:rsidRPr="00452D32">
              <w:rPr>
                <w:rFonts w:cs="Arial"/>
              </w:rPr>
              <w:t>,</w:t>
            </w:r>
            <w:r w:rsidR="23A5D76A" w:rsidRPr="00452D32">
              <w:rPr>
                <w:rFonts w:cs="Arial"/>
              </w:rPr>
              <w:t>970</w:t>
            </w:r>
            <w:r w:rsidRPr="00452D32">
              <w:rPr>
                <w:rFonts w:cs="Arial"/>
              </w:rPr>
              <w:t>.</w:t>
            </w:r>
            <w:r w:rsidR="3096A33D" w:rsidRPr="00452D32">
              <w:rPr>
                <w:rFonts w:cs="Arial"/>
              </w:rPr>
              <w:t>77</w:t>
            </w:r>
          </w:p>
        </w:tc>
        <w:tc>
          <w:tcPr>
            <w:tcW w:w="1875" w:type="dxa"/>
            <w:shd w:val="clear" w:color="auto" w:fill="DEEAF6" w:themeFill="accent1" w:themeFillTint="33"/>
            <w:vAlign w:val="center"/>
          </w:tcPr>
          <w:p w14:paraId="6B7043D7" w14:textId="5B76DA48" w:rsidR="00B951DE" w:rsidRPr="00452D32" w:rsidRDefault="00B951DE" w:rsidP="00146214">
            <w:pPr>
              <w:spacing w:before="120" w:after="120"/>
              <w:jc w:val="right"/>
              <w:rPr>
                <w:rFonts w:cs="Arial"/>
              </w:rPr>
            </w:pPr>
            <w:r w:rsidRPr="00452D32">
              <w:rPr>
                <w:rFonts w:cs="Arial"/>
              </w:rPr>
              <w:t>$</w:t>
            </w:r>
            <w:r w:rsidR="75E32EBA" w:rsidRPr="00452D32">
              <w:rPr>
                <w:rFonts w:cs="Arial"/>
              </w:rPr>
              <w:t>92,945</w:t>
            </w:r>
            <w:r w:rsidRPr="00452D32">
              <w:rPr>
                <w:rFonts w:cs="Arial"/>
              </w:rPr>
              <w:t>.</w:t>
            </w:r>
            <w:r w:rsidR="6E28D2FD" w:rsidRPr="00452D32">
              <w:rPr>
                <w:rFonts w:cs="Arial"/>
              </w:rPr>
              <w:t>83</w:t>
            </w:r>
          </w:p>
        </w:tc>
      </w:tr>
      <w:tr w:rsidR="00B951DE" w:rsidRPr="00452D32" w14:paraId="0861CDFC" w14:textId="77777777" w:rsidTr="1091671F">
        <w:trPr>
          <w:trHeight w:val="485"/>
          <w:jc w:val="center"/>
        </w:trPr>
        <w:tc>
          <w:tcPr>
            <w:tcW w:w="3864" w:type="dxa"/>
            <w:vAlign w:val="center"/>
          </w:tcPr>
          <w:p w14:paraId="691B8AC2" w14:textId="452C8DED" w:rsidR="00B951DE" w:rsidRPr="00452D32" w:rsidRDefault="00B951DE" w:rsidP="00146214">
            <w:pPr>
              <w:spacing w:before="120" w:after="120"/>
              <w:ind w:left="72" w:right="-108"/>
              <w:rPr>
                <w:rFonts w:cs="Arial"/>
              </w:rPr>
            </w:pPr>
            <w:r w:rsidRPr="00452D32">
              <w:rPr>
                <w:rFonts w:cs="Arial"/>
              </w:rPr>
              <w:lastRenderedPageBreak/>
              <w:t>Task 9: Reporting</w:t>
            </w:r>
          </w:p>
        </w:tc>
        <w:tc>
          <w:tcPr>
            <w:tcW w:w="2130" w:type="dxa"/>
            <w:vAlign w:val="center"/>
          </w:tcPr>
          <w:p w14:paraId="60A72BE9" w14:textId="73466F0F" w:rsidR="00B951DE" w:rsidRPr="00452D32" w:rsidRDefault="1A7D6B60" w:rsidP="00146214">
            <w:pPr>
              <w:spacing w:before="120" w:after="120"/>
              <w:jc w:val="right"/>
              <w:rPr>
                <w:rFonts w:eastAsia="Arial" w:cs="Arial"/>
              </w:rPr>
            </w:pPr>
            <w:r w:rsidRPr="00452D32">
              <w:rPr>
                <w:rFonts w:eastAsia="Arial" w:cs="Arial"/>
                <w:color w:val="000000" w:themeColor="text1"/>
              </w:rPr>
              <w:t>$5,909,546.50</w:t>
            </w:r>
          </w:p>
        </w:tc>
        <w:tc>
          <w:tcPr>
            <w:tcW w:w="2220" w:type="dxa"/>
            <w:vAlign w:val="center"/>
          </w:tcPr>
          <w:p w14:paraId="084C7805" w14:textId="282B39EF" w:rsidR="00B951DE" w:rsidRPr="00452D32" w:rsidRDefault="00B951DE" w:rsidP="00146214">
            <w:pPr>
              <w:spacing w:before="120" w:after="120"/>
              <w:jc w:val="right"/>
              <w:rPr>
                <w:rFonts w:cs="Arial"/>
              </w:rPr>
            </w:pPr>
            <w:r w:rsidRPr="00452D32">
              <w:rPr>
                <w:rFonts w:cs="Arial"/>
              </w:rPr>
              <w:t>$</w:t>
            </w:r>
            <w:r w:rsidR="00CB6BEE" w:rsidRPr="00452D32">
              <w:rPr>
                <w:rFonts w:cs="Arial"/>
              </w:rPr>
              <w:t>5,3</w:t>
            </w:r>
            <w:r w:rsidR="6CE61A8A" w:rsidRPr="00452D32">
              <w:rPr>
                <w:rFonts w:cs="Arial"/>
              </w:rPr>
              <w:t>72</w:t>
            </w:r>
            <w:r w:rsidR="00CB6BEE" w:rsidRPr="00452D32">
              <w:rPr>
                <w:rFonts w:cs="Arial"/>
              </w:rPr>
              <w:t>,</w:t>
            </w:r>
            <w:r w:rsidR="6D589EFE" w:rsidRPr="00452D32">
              <w:rPr>
                <w:rFonts w:cs="Arial"/>
              </w:rPr>
              <w:t>315</w:t>
            </w:r>
            <w:r w:rsidR="00CB6BEE" w:rsidRPr="00452D32">
              <w:rPr>
                <w:rFonts w:cs="Arial"/>
              </w:rPr>
              <w:t>.</w:t>
            </w:r>
            <w:r w:rsidR="070DA8DC" w:rsidRPr="00452D32">
              <w:rPr>
                <w:rFonts w:cs="Arial"/>
              </w:rPr>
              <w:t>0</w:t>
            </w:r>
            <w:r w:rsidR="00CB6BEE" w:rsidRPr="00452D32">
              <w:rPr>
                <w:rFonts w:cs="Arial"/>
              </w:rPr>
              <w:t>0</w:t>
            </w:r>
          </w:p>
        </w:tc>
        <w:tc>
          <w:tcPr>
            <w:tcW w:w="2040" w:type="dxa"/>
            <w:vAlign w:val="center"/>
          </w:tcPr>
          <w:p w14:paraId="78A4FA48" w14:textId="729975FC" w:rsidR="00B951DE" w:rsidRPr="00452D32" w:rsidRDefault="00B951DE" w:rsidP="00146214">
            <w:pPr>
              <w:spacing w:before="120" w:after="120"/>
              <w:jc w:val="right"/>
              <w:rPr>
                <w:rFonts w:cs="Arial"/>
              </w:rPr>
            </w:pPr>
            <w:r w:rsidRPr="00452D32">
              <w:rPr>
                <w:rFonts w:cs="Arial"/>
              </w:rPr>
              <w:t>$5</w:t>
            </w:r>
            <w:r w:rsidR="427821B5" w:rsidRPr="00452D32">
              <w:rPr>
                <w:rFonts w:cs="Arial"/>
              </w:rPr>
              <w:t>37</w:t>
            </w:r>
            <w:r w:rsidRPr="00452D32">
              <w:rPr>
                <w:rFonts w:cs="Arial"/>
              </w:rPr>
              <w:t>,</w:t>
            </w:r>
            <w:r w:rsidR="0EAA8F82" w:rsidRPr="00452D32">
              <w:rPr>
                <w:rFonts w:cs="Arial"/>
              </w:rPr>
              <w:t>231</w:t>
            </w:r>
            <w:r w:rsidRPr="00452D32">
              <w:rPr>
                <w:rFonts w:cs="Arial"/>
              </w:rPr>
              <w:t>.</w:t>
            </w:r>
            <w:r w:rsidR="36F735F3" w:rsidRPr="00452D32">
              <w:rPr>
                <w:rFonts w:cs="Arial"/>
              </w:rPr>
              <w:t>5</w:t>
            </w:r>
            <w:r w:rsidRPr="00452D32">
              <w:rPr>
                <w:rFonts w:cs="Arial"/>
              </w:rPr>
              <w:t>0</w:t>
            </w:r>
          </w:p>
        </w:tc>
        <w:tc>
          <w:tcPr>
            <w:tcW w:w="2055" w:type="dxa"/>
            <w:vAlign w:val="center"/>
          </w:tcPr>
          <w:p w14:paraId="6C228B46" w14:textId="038747BA" w:rsidR="00B951DE" w:rsidRPr="00452D32" w:rsidRDefault="00B951DE" w:rsidP="00146214">
            <w:pPr>
              <w:spacing w:before="120" w:after="120"/>
              <w:jc w:val="right"/>
              <w:rPr>
                <w:rFonts w:cs="Arial"/>
              </w:rPr>
            </w:pPr>
            <w:r w:rsidRPr="00452D32">
              <w:rPr>
                <w:rFonts w:cs="Arial"/>
              </w:rPr>
              <w:t>$</w:t>
            </w:r>
            <w:r w:rsidR="0F411EF2" w:rsidRPr="00452D32">
              <w:rPr>
                <w:rFonts w:cs="Arial"/>
              </w:rPr>
              <w:t>510</w:t>
            </w:r>
            <w:r w:rsidR="00487B6E" w:rsidRPr="00452D32">
              <w:rPr>
                <w:rFonts w:cs="Arial"/>
              </w:rPr>
              <w:t>,</w:t>
            </w:r>
            <w:r w:rsidR="25C04511" w:rsidRPr="00452D32">
              <w:rPr>
                <w:rFonts w:cs="Arial"/>
              </w:rPr>
              <w:t>369</w:t>
            </w:r>
            <w:r w:rsidR="00487B6E" w:rsidRPr="00452D32">
              <w:rPr>
                <w:rFonts w:cs="Arial"/>
              </w:rPr>
              <w:t>.</w:t>
            </w:r>
            <w:r w:rsidR="526C04DE" w:rsidRPr="00452D32">
              <w:rPr>
                <w:rFonts w:cs="Arial"/>
              </w:rPr>
              <w:t>93</w:t>
            </w:r>
          </w:p>
        </w:tc>
        <w:tc>
          <w:tcPr>
            <w:tcW w:w="1875" w:type="dxa"/>
            <w:shd w:val="clear" w:color="auto" w:fill="DEEAF6" w:themeFill="accent1" w:themeFillTint="33"/>
            <w:vAlign w:val="center"/>
          </w:tcPr>
          <w:p w14:paraId="0445E4A9" w14:textId="0075766C" w:rsidR="00B951DE" w:rsidRPr="00452D32" w:rsidRDefault="00487B6E" w:rsidP="00146214">
            <w:pPr>
              <w:spacing w:before="120" w:after="120"/>
              <w:jc w:val="right"/>
              <w:rPr>
                <w:rFonts w:cs="Arial"/>
              </w:rPr>
            </w:pPr>
            <w:r w:rsidRPr="00452D32">
              <w:rPr>
                <w:rFonts w:cs="Arial"/>
              </w:rPr>
              <w:t>$</w:t>
            </w:r>
            <w:r w:rsidR="194F51B4" w:rsidRPr="00452D32">
              <w:rPr>
                <w:rFonts w:cs="Arial"/>
              </w:rPr>
              <w:t>26</w:t>
            </w:r>
            <w:r w:rsidRPr="00452D32">
              <w:rPr>
                <w:rFonts w:cs="Arial"/>
              </w:rPr>
              <w:t>,</w:t>
            </w:r>
            <w:r w:rsidR="4F7D1942" w:rsidRPr="00452D32">
              <w:rPr>
                <w:rFonts w:cs="Arial"/>
              </w:rPr>
              <w:t>861</w:t>
            </w:r>
            <w:r w:rsidRPr="00452D32">
              <w:rPr>
                <w:rFonts w:cs="Arial"/>
              </w:rPr>
              <w:t>.</w:t>
            </w:r>
            <w:r w:rsidR="4DCA54E5" w:rsidRPr="00452D32">
              <w:rPr>
                <w:rFonts w:cs="Arial"/>
              </w:rPr>
              <w:t>58</w:t>
            </w:r>
          </w:p>
        </w:tc>
      </w:tr>
      <w:tr w:rsidR="00B951DE" w:rsidRPr="00452D32" w14:paraId="7479C3EC" w14:textId="77777777" w:rsidTr="1091671F">
        <w:trPr>
          <w:trHeight w:val="389"/>
          <w:jc w:val="center"/>
        </w:trPr>
        <w:tc>
          <w:tcPr>
            <w:tcW w:w="3864" w:type="dxa"/>
            <w:vAlign w:val="center"/>
          </w:tcPr>
          <w:p w14:paraId="2B2804EE" w14:textId="01665A73" w:rsidR="00B951DE" w:rsidRPr="00452D32" w:rsidRDefault="343D9E97" w:rsidP="00146214">
            <w:pPr>
              <w:spacing w:before="120" w:after="120"/>
              <w:ind w:left="1440"/>
              <w:jc w:val="right"/>
              <w:rPr>
                <w:rFonts w:cs="Arial"/>
                <w:b/>
                <w:bCs/>
              </w:rPr>
            </w:pPr>
            <w:r w:rsidRPr="00452D32">
              <w:rPr>
                <w:rFonts w:cs="Arial"/>
                <w:b/>
                <w:bCs/>
              </w:rPr>
              <w:t>Totals</w:t>
            </w:r>
          </w:p>
        </w:tc>
        <w:tc>
          <w:tcPr>
            <w:tcW w:w="2130" w:type="dxa"/>
            <w:vAlign w:val="center"/>
          </w:tcPr>
          <w:p w14:paraId="3951E3C5" w14:textId="1890B5A5" w:rsidR="00B951DE" w:rsidRPr="00452D32" w:rsidRDefault="03F1A068" w:rsidP="00146214">
            <w:pPr>
              <w:spacing w:before="120" w:after="120"/>
              <w:jc w:val="right"/>
              <w:rPr>
                <w:rFonts w:eastAsia="Arial" w:cs="Arial"/>
                <w:b/>
                <w:bCs/>
              </w:rPr>
            </w:pPr>
            <w:r w:rsidRPr="00452D32">
              <w:rPr>
                <w:rFonts w:eastAsia="Arial" w:cs="Arial"/>
                <w:b/>
                <w:bCs/>
                <w:color w:val="000000" w:themeColor="text1"/>
              </w:rPr>
              <w:t>$113,523,969.9</w:t>
            </w:r>
            <w:r w:rsidR="1705BA97" w:rsidRPr="00452D32">
              <w:rPr>
                <w:rFonts w:eastAsia="Arial" w:cs="Arial"/>
                <w:b/>
                <w:bCs/>
                <w:color w:val="000000" w:themeColor="text1"/>
              </w:rPr>
              <w:t>0</w:t>
            </w:r>
          </w:p>
        </w:tc>
        <w:tc>
          <w:tcPr>
            <w:tcW w:w="2220" w:type="dxa"/>
            <w:vAlign w:val="center"/>
          </w:tcPr>
          <w:p w14:paraId="159BD715" w14:textId="2B25E4AC" w:rsidR="00B951DE" w:rsidRPr="00452D32" w:rsidRDefault="343D9E97" w:rsidP="00146214">
            <w:pPr>
              <w:spacing w:before="120" w:after="120"/>
              <w:ind w:left="-86"/>
              <w:jc w:val="right"/>
              <w:rPr>
                <w:rFonts w:cs="Arial"/>
                <w:b/>
                <w:bCs/>
              </w:rPr>
            </w:pPr>
            <w:r w:rsidRPr="00452D32">
              <w:rPr>
                <w:rFonts w:cs="Arial"/>
                <w:b/>
                <w:bCs/>
              </w:rPr>
              <w:t>$</w:t>
            </w:r>
            <w:r w:rsidR="4B14D88A" w:rsidRPr="00452D32">
              <w:rPr>
                <w:rFonts w:cs="Arial"/>
                <w:b/>
                <w:bCs/>
              </w:rPr>
              <w:t>103</w:t>
            </w:r>
            <w:r w:rsidR="480F48C9" w:rsidRPr="00452D32">
              <w:rPr>
                <w:rFonts w:cs="Arial"/>
                <w:b/>
                <w:bCs/>
              </w:rPr>
              <w:t>,</w:t>
            </w:r>
            <w:r w:rsidR="1E6C2067" w:rsidRPr="00452D32">
              <w:rPr>
                <w:rFonts w:cs="Arial"/>
                <w:b/>
                <w:bCs/>
              </w:rPr>
              <w:t>203</w:t>
            </w:r>
            <w:r w:rsidR="480F48C9" w:rsidRPr="00452D32">
              <w:rPr>
                <w:rFonts w:cs="Arial"/>
                <w:b/>
                <w:bCs/>
              </w:rPr>
              <w:t>,</w:t>
            </w:r>
            <w:r w:rsidR="765D88EB" w:rsidRPr="00452D32">
              <w:rPr>
                <w:rFonts w:cs="Arial"/>
                <w:b/>
                <w:bCs/>
              </w:rPr>
              <w:t>609</w:t>
            </w:r>
            <w:r w:rsidR="480F48C9" w:rsidRPr="00452D32">
              <w:rPr>
                <w:rFonts w:cs="Arial"/>
                <w:b/>
                <w:bCs/>
              </w:rPr>
              <w:t>.</w:t>
            </w:r>
            <w:r w:rsidR="6BC069B4" w:rsidRPr="00452D32">
              <w:rPr>
                <w:rFonts w:cs="Arial"/>
                <w:b/>
                <w:bCs/>
              </w:rPr>
              <w:t>0</w:t>
            </w:r>
            <w:r w:rsidR="6E02191B" w:rsidRPr="00452D32">
              <w:rPr>
                <w:rFonts w:cs="Arial"/>
                <w:b/>
                <w:bCs/>
              </w:rPr>
              <w:t>0</w:t>
            </w:r>
          </w:p>
        </w:tc>
        <w:tc>
          <w:tcPr>
            <w:tcW w:w="2040" w:type="dxa"/>
            <w:vAlign w:val="center"/>
          </w:tcPr>
          <w:p w14:paraId="1697044B" w14:textId="4303086F" w:rsidR="00B951DE" w:rsidRPr="00452D32" w:rsidRDefault="343D9E97" w:rsidP="00146214">
            <w:pPr>
              <w:spacing w:before="120" w:after="120"/>
              <w:jc w:val="right"/>
              <w:rPr>
                <w:rFonts w:cs="Arial"/>
                <w:b/>
                <w:bCs/>
              </w:rPr>
            </w:pPr>
            <w:r w:rsidRPr="00452D32">
              <w:rPr>
                <w:rFonts w:eastAsia="Arial" w:cs="Arial"/>
                <w:b/>
                <w:bCs/>
                <w:color w:val="000000" w:themeColor="text1"/>
              </w:rPr>
              <w:t>$</w:t>
            </w:r>
            <w:r w:rsidR="47D24DD5" w:rsidRPr="00452D32">
              <w:rPr>
                <w:rFonts w:eastAsia="Arial" w:cs="Arial"/>
                <w:b/>
                <w:bCs/>
                <w:color w:val="000000" w:themeColor="text1"/>
              </w:rPr>
              <w:t>10</w:t>
            </w:r>
            <w:r w:rsidRPr="00452D32">
              <w:rPr>
                <w:rFonts w:eastAsia="Arial" w:cs="Arial"/>
                <w:b/>
                <w:bCs/>
                <w:color w:val="000000" w:themeColor="text1"/>
              </w:rPr>
              <w:t>,</w:t>
            </w:r>
            <w:r w:rsidR="561AA592" w:rsidRPr="00452D32">
              <w:rPr>
                <w:rFonts w:eastAsia="Arial" w:cs="Arial"/>
                <w:b/>
                <w:bCs/>
                <w:color w:val="000000" w:themeColor="text1"/>
              </w:rPr>
              <w:t>320</w:t>
            </w:r>
            <w:r w:rsidRPr="00452D32">
              <w:rPr>
                <w:rFonts w:eastAsia="Arial" w:cs="Arial"/>
                <w:b/>
                <w:bCs/>
                <w:color w:val="000000" w:themeColor="text1"/>
              </w:rPr>
              <w:t>,</w:t>
            </w:r>
            <w:r w:rsidR="00091D6C" w:rsidRPr="00452D32">
              <w:rPr>
                <w:rFonts w:eastAsia="Arial" w:cs="Arial"/>
                <w:b/>
                <w:bCs/>
                <w:color w:val="000000" w:themeColor="text1"/>
              </w:rPr>
              <w:t>360</w:t>
            </w:r>
            <w:r w:rsidRPr="00452D32">
              <w:rPr>
                <w:rFonts w:eastAsia="Arial" w:cs="Arial"/>
                <w:b/>
                <w:bCs/>
                <w:color w:val="000000" w:themeColor="text1"/>
              </w:rPr>
              <w:t>.</w:t>
            </w:r>
            <w:r w:rsidR="27528C71" w:rsidRPr="00452D32">
              <w:rPr>
                <w:rFonts w:eastAsia="Arial" w:cs="Arial"/>
                <w:b/>
                <w:bCs/>
                <w:color w:val="000000" w:themeColor="text1"/>
              </w:rPr>
              <w:t>9</w:t>
            </w:r>
            <w:r w:rsidRPr="00452D32">
              <w:rPr>
                <w:rFonts w:cs="Arial"/>
                <w:b/>
                <w:bCs/>
              </w:rPr>
              <w:t>0</w:t>
            </w:r>
          </w:p>
        </w:tc>
        <w:tc>
          <w:tcPr>
            <w:tcW w:w="2055" w:type="dxa"/>
            <w:vAlign w:val="center"/>
          </w:tcPr>
          <w:p w14:paraId="3A8C658C" w14:textId="2670FD8C" w:rsidR="00B951DE" w:rsidRPr="00452D32" w:rsidRDefault="2AECF400" w:rsidP="00146214">
            <w:pPr>
              <w:spacing w:before="120" w:after="120"/>
              <w:jc w:val="right"/>
              <w:rPr>
                <w:rFonts w:cs="Arial"/>
                <w:b/>
                <w:bCs/>
              </w:rPr>
            </w:pPr>
            <w:r w:rsidRPr="00452D32">
              <w:rPr>
                <w:rFonts w:cs="Arial"/>
                <w:b/>
                <w:bCs/>
              </w:rPr>
              <w:t>$</w:t>
            </w:r>
            <w:r w:rsidR="1E89B200" w:rsidRPr="00452D32">
              <w:rPr>
                <w:rFonts w:cs="Arial"/>
                <w:b/>
                <w:bCs/>
              </w:rPr>
              <w:t>10</w:t>
            </w:r>
            <w:r w:rsidR="00487B6E" w:rsidRPr="00452D32">
              <w:rPr>
                <w:rFonts w:cs="Arial"/>
                <w:b/>
                <w:bCs/>
              </w:rPr>
              <w:t>,</w:t>
            </w:r>
            <w:r w:rsidR="4016C24F" w:rsidRPr="00452D32">
              <w:rPr>
                <w:rFonts w:cs="Arial"/>
                <w:b/>
                <w:bCs/>
              </w:rPr>
              <w:t>200</w:t>
            </w:r>
            <w:r w:rsidR="00487B6E" w:rsidRPr="00452D32">
              <w:rPr>
                <w:rFonts w:cs="Arial"/>
                <w:b/>
                <w:bCs/>
              </w:rPr>
              <w:t>,5</w:t>
            </w:r>
            <w:r w:rsidR="07AB05C6" w:rsidRPr="00452D32">
              <w:rPr>
                <w:rFonts w:cs="Arial"/>
                <w:b/>
                <w:bCs/>
              </w:rPr>
              <w:t>53</w:t>
            </w:r>
            <w:r w:rsidR="6E02191B" w:rsidRPr="00452D32">
              <w:rPr>
                <w:rFonts w:cs="Arial"/>
                <w:b/>
                <w:bCs/>
              </w:rPr>
              <w:t>.</w:t>
            </w:r>
            <w:r w:rsidR="5E6DE644" w:rsidRPr="00452D32">
              <w:rPr>
                <w:rFonts w:cs="Arial"/>
                <w:b/>
                <w:bCs/>
              </w:rPr>
              <w:t>5</w:t>
            </w:r>
            <w:r w:rsidR="6E02191B" w:rsidRPr="00452D32">
              <w:rPr>
                <w:rFonts w:cs="Arial"/>
                <w:b/>
                <w:bCs/>
              </w:rPr>
              <w:t>0</w:t>
            </w:r>
          </w:p>
        </w:tc>
        <w:tc>
          <w:tcPr>
            <w:tcW w:w="1875" w:type="dxa"/>
            <w:vAlign w:val="center"/>
          </w:tcPr>
          <w:p w14:paraId="37207D75" w14:textId="5CA8CDB5" w:rsidR="00B951DE" w:rsidRPr="00452D32" w:rsidRDefault="1D194F59" w:rsidP="00146214">
            <w:pPr>
              <w:spacing w:before="120" w:after="120"/>
              <w:jc w:val="right"/>
              <w:rPr>
                <w:rFonts w:cs="Arial"/>
                <w:b/>
                <w:bCs/>
              </w:rPr>
            </w:pPr>
            <w:r w:rsidRPr="00452D32">
              <w:rPr>
                <w:rFonts w:cs="Arial"/>
                <w:b/>
                <w:bCs/>
              </w:rPr>
              <w:t>$</w:t>
            </w:r>
            <w:r w:rsidR="00487B6E" w:rsidRPr="00452D32">
              <w:rPr>
                <w:rFonts w:cs="Arial"/>
                <w:b/>
                <w:bCs/>
              </w:rPr>
              <w:t>1</w:t>
            </w:r>
            <w:r w:rsidR="022C12FD" w:rsidRPr="00452D32">
              <w:rPr>
                <w:rFonts w:cs="Arial"/>
                <w:b/>
                <w:bCs/>
              </w:rPr>
              <w:t>19</w:t>
            </w:r>
            <w:r w:rsidR="00487B6E" w:rsidRPr="00452D32">
              <w:rPr>
                <w:rFonts w:cs="Arial"/>
                <w:b/>
                <w:bCs/>
              </w:rPr>
              <w:t>,</w:t>
            </w:r>
            <w:r w:rsidR="29F9120D" w:rsidRPr="00452D32">
              <w:rPr>
                <w:rFonts w:cs="Arial"/>
                <w:b/>
                <w:bCs/>
              </w:rPr>
              <w:t>8</w:t>
            </w:r>
            <w:r w:rsidR="00487B6E" w:rsidRPr="00452D32">
              <w:rPr>
                <w:rFonts w:cs="Arial"/>
                <w:b/>
                <w:bCs/>
              </w:rPr>
              <w:t>07.</w:t>
            </w:r>
            <w:r w:rsidR="7176C484" w:rsidRPr="00452D32">
              <w:rPr>
                <w:rFonts w:cs="Arial"/>
                <w:b/>
                <w:bCs/>
              </w:rPr>
              <w:t>4</w:t>
            </w:r>
            <w:r w:rsidR="00487B6E" w:rsidRPr="00452D32">
              <w:rPr>
                <w:rFonts w:cs="Arial"/>
                <w:b/>
                <w:bCs/>
              </w:rPr>
              <w:t>1</w:t>
            </w:r>
          </w:p>
        </w:tc>
      </w:tr>
    </w:tbl>
    <w:p w14:paraId="68DAC4CC" w14:textId="34D4E57E" w:rsidR="00AA4A69" w:rsidRDefault="00E94196" w:rsidP="2574BAD5">
      <w:pPr>
        <w:spacing w:before="80"/>
        <w:ind w:left="-180"/>
      </w:pPr>
      <w:r w:rsidRPr="00452D32">
        <w:t>*Pending</w:t>
      </w:r>
      <w:r w:rsidR="00563BFA" w:rsidRPr="00452D32">
        <w:t xml:space="preserve"> the</w:t>
      </w:r>
      <w:r w:rsidRPr="00452D32">
        <w:t xml:space="preserve"> completion of all contract component tasks for the </w:t>
      </w:r>
      <w:r w:rsidR="00FC7ED8" w:rsidRPr="00452D32">
        <w:t>2019–</w:t>
      </w:r>
      <w:r w:rsidR="00047A21" w:rsidRPr="00452D32">
        <w:t>20</w:t>
      </w:r>
      <w:r w:rsidR="00FC7ED8" w:rsidRPr="00452D32">
        <w:t xml:space="preserve">20 </w:t>
      </w:r>
      <w:r w:rsidRPr="00452D32">
        <w:t>CAASPP test administration through December 20</w:t>
      </w:r>
      <w:r w:rsidR="0572BCA2" w:rsidRPr="00452D32">
        <w:t>20</w:t>
      </w:r>
      <w:r w:rsidRPr="00452D32">
        <w:t>.</w:t>
      </w:r>
    </w:p>
    <w:p w14:paraId="4F579AC7" w14:textId="28F6813D" w:rsidR="00AA4A69" w:rsidRDefault="00AA4A69">
      <w:pPr>
        <w:spacing w:after="160" w:line="259" w:lineRule="auto"/>
        <w:rPr>
          <w:bCs/>
          <w:szCs w:val="20"/>
        </w:rPr>
      </w:pPr>
    </w:p>
    <w:sectPr w:rsidR="00AA4A69" w:rsidSect="0093677C">
      <w:headerReference w:type="default" r:id="rId27"/>
      <w:pgSz w:w="15840" w:h="12240" w:orient="landscape"/>
      <w:pgMar w:top="1296" w:right="1008" w:bottom="1296" w:left="1008"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C73002" w16cex:dateUtc="2020-09-17T17:46:37.145Z"/>
  <w16cex:commentExtensible w16cex:durableId="68421F15" w16cex:dateUtc="2020-09-17T17:49:17.513Z"/>
  <w16cex:commentExtensible w16cex:durableId="39A28FB3" w16cex:dateUtc="2020-10-13T17:36:06Z"/>
  <w16cex:commentExtensible w16cex:durableId="24146635" w16cex:dateUtc="2020-10-13T17:37:51Z"/>
  <w16cex:commentExtensible w16cex:durableId="04CA01D8" w16cex:dateUtc="2020-10-16T18:08:48.069Z"/>
  <w16cex:commentExtensible w16cex:durableId="0A72AACC" w16cex:dateUtc="2020-10-16T18:45:38.46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2F1B6" w16cid:durableId="54BF708D"/>
  <w16cid:commentId w16cid:paraId="72DCD2AF" w16cid:durableId="39A28FB3"/>
  <w16cid:commentId w16cid:paraId="60553BDC" w16cid:durableId="0A72AACC"/>
  <w16cid:commentId w16cid:paraId="6B363847" w16cid:durableId="3BBE2494"/>
  <w16cid:commentId w16cid:paraId="043C5668" w16cid:durableId="233440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FF371" w14:textId="77777777" w:rsidR="00A858DB" w:rsidRDefault="00A858DB" w:rsidP="000E09DC">
      <w:r>
        <w:separator/>
      </w:r>
    </w:p>
  </w:endnote>
  <w:endnote w:type="continuationSeparator" w:id="0">
    <w:p w14:paraId="2A2BC8B4" w14:textId="77777777" w:rsidR="00A858DB" w:rsidRDefault="00A858DB" w:rsidP="000E09DC">
      <w:r>
        <w:continuationSeparator/>
      </w:r>
    </w:p>
  </w:endnote>
  <w:endnote w:type="continuationNotice" w:id="1">
    <w:p w14:paraId="078E67A1" w14:textId="77777777" w:rsidR="00A858DB" w:rsidRDefault="00A85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3547" w14:textId="2BACAF98" w:rsidR="00F42EF5" w:rsidRPr="00E412FB" w:rsidRDefault="00F42EF5" w:rsidP="0021074B">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5B9C8" w14:textId="77777777" w:rsidR="00A858DB" w:rsidRDefault="00A858DB" w:rsidP="000E09DC">
      <w:r>
        <w:separator/>
      </w:r>
    </w:p>
  </w:footnote>
  <w:footnote w:type="continuationSeparator" w:id="0">
    <w:p w14:paraId="4B6A4AC7" w14:textId="77777777" w:rsidR="00A858DB" w:rsidRDefault="00A858DB" w:rsidP="000E09DC">
      <w:r>
        <w:continuationSeparator/>
      </w:r>
    </w:p>
  </w:footnote>
  <w:footnote w:type="continuationNotice" w:id="1">
    <w:p w14:paraId="327B93AF" w14:textId="77777777" w:rsidR="00A858DB" w:rsidRDefault="00A85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A2FB" w14:textId="77777777" w:rsidR="00F42EF5" w:rsidRPr="000E09DC" w:rsidRDefault="00F42E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F612438" w14:textId="77777777" w:rsidR="00F42EF5" w:rsidRDefault="00F42E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CB73230" w14:textId="77777777" w:rsidR="00F42EF5" w:rsidRPr="00527B0E" w:rsidRDefault="00F42EF5"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B098" w14:textId="1ABAE84E" w:rsidR="00F42EF5" w:rsidRDefault="00F42EF5" w:rsidP="00575DD7">
    <w:pPr>
      <w:pStyle w:val="Header"/>
      <w:jc w:val="right"/>
    </w:pPr>
    <w:r>
      <w:t>imb-adad-nov20item02</w:t>
    </w:r>
  </w:p>
  <w:p w14:paraId="5206B731" w14:textId="394474B2" w:rsidR="00F42EF5" w:rsidRPr="00575DD7" w:rsidRDefault="00194DB0" w:rsidP="00575DD7">
    <w:pPr>
      <w:pStyle w:val="Header"/>
      <w:spacing w:after="480"/>
      <w:jc w:val="right"/>
    </w:pPr>
    <w:sdt>
      <w:sdtPr>
        <w:id w:val="98381352"/>
        <w:docPartObj>
          <w:docPartGallery w:val="Page Numbers (Top of Page)"/>
          <w:docPartUnique/>
        </w:docPartObj>
      </w:sdtPr>
      <w:sdtEndPr/>
      <w:sdtContent>
        <w:r w:rsidR="00F42EF5" w:rsidRPr="00575DD7">
          <w:t xml:space="preserve">Page </w:t>
        </w:r>
        <w:r w:rsidR="00F42EF5" w:rsidRPr="00575DD7">
          <w:rPr>
            <w:bCs/>
          </w:rPr>
          <w:fldChar w:fldCharType="begin"/>
        </w:r>
        <w:r w:rsidR="00F42EF5" w:rsidRPr="00575DD7">
          <w:rPr>
            <w:bCs/>
          </w:rPr>
          <w:instrText xml:space="preserve"> PAGE </w:instrText>
        </w:r>
        <w:r w:rsidR="00F42EF5" w:rsidRPr="00575DD7">
          <w:rPr>
            <w:bCs/>
          </w:rPr>
          <w:fldChar w:fldCharType="separate"/>
        </w:r>
        <w:r>
          <w:rPr>
            <w:bCs/>
            <w:noProof/>
          </w:rPr>
          <w:t>6</w:t>
        </w:r>
        <w:r w:rsidR="00F42EF5" w:rsidRPr="00575DD7">
          <w:rPr>
            <w:bCs/>
          </w:rPr>
          <w:fldChar w:fldCharType="end"/>
        </w:r>
        <w:r w:rsidR="00F42EF5" w:rsidRPr="00575DD7">
          <w:t xml:space="preserve"> of </w:t>
        </w:r>
        <w:r w:rsidR="00F42EF5">
          <w:rPr>
            <w:bCs/>
          </w:rPr>
          <w:t>6</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74AF" w14:textId="74533F86" w:rsidR="00F42EF5" w:rsidRDefault="00F42EF5" w:rsidP="00575DD7">
    <w:pPr>
      <w:pStyle w:val="Header"/>
      <w:jc w:val="right"/>
    </w:pPr>
    <w:r>
      <w:t>imb-adad-nov20item02</w:t>
    </w:r>
  </w:p>
  <w:p w14:paraId="4737D80B" w14:textId="4467ECAC" w:rsidR="00F42EF5" w:rsidRDefault="00F42EF5" w:rsidP="00575DD7">
    <w:pPr>
      <w:pStyle w:val="Header"/>
      <w:jc w:val="right"/>
    </w:pPr>
    <w:r>
      <w:t>Attachment 1</w:t>
    </w:r>
  </w:p>
  <w:p w14:paraId="6BE24546" w14:textId="787E10D8" w:rsidR="00F42EF5" w:rsidRPr="00575DD7" w:rsidRDefault="00194DB0" w:rsidP="00281B3E">
    <w:pPr>
      <w:pStyle w:val="Header"/>
      <w:spacing w:after="360"/>
      <w:jc w:val="right"/>
    </w:pPr>
    <w:sdt>
      <w:sdtPr>
        <w:id w:val="-1161078359"/>
        <w:docPartObj>
          <w:docPartGallery w:val="Page Numbers (Top of Page)"/>
          <w:docPartUnique/>
        </w:docPartObj>
      </w:sdtPr>
      <w:sdtEndPr/>
      <w:sdtContent>
        <w:r w:rsidR="00F42EF5" w:rsidRPr="00575DD7">
          <w:t xml:space="preserve">Page </w:t>
        </w:r>
        <w:r w:rsidR="00F42EF5" w:rsidRPr="00575DD7">
          <w:rPr>
            <w:bCs/>
          </w:rPr>
          <w:fldChar w:fldCharType="begin"/>
        </w:r>
        <w:r w:rsidR="00F42EF5" w:rsidRPr="00575DD7">
          <w:rPr>
            <w:bCs/>
          </w:rPr>
          <w:instrText xml:space="preserve"> PAGE </w:instrText>
        </w:r>
        <w:r w:rsidR="00F42EF5" w:rsidRPr="00575DD7">
          <w:rPr>
            <w:bCs/>
          </w:rPr>
          <w:fldChar w:fldCharType="separate"/>
        </w:r>
        <w:r>
          <w:rPr>
            <w:bCs/>
            <w:noProof/>
          </w:rPr>
          <w:t>5</w:t>
        </w:r>
        <w:r w:rsidR="00F42EF5" w:rsidRPr="00575DD7">
          <w:rPr>
            <w:bCs/>
          </w:rPr>
          <w:fldChar w:fldCharType="end"/>
        </w:r>
        <w:r w:rsidR="00F42EF5" w:rsidRPr="00575DD7">
          <w:t xml:space="preserve"> of </w:t>
        </w:r>
        <w:r w:rsidR="00F42EF5">
          <w:t>5</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9B9D8" w14:textId="7EF9F039" w:rsidR="00F42EF5" w:rsidRDefault="00F42EF5" w:rsidP="00575DD7">
    <w:pPr>
      <w:pStyle w:val="Header"/>
      <w:jc w:val="right"/>
    </w:pPr>
    <w:r>
      <w:t>imb-adad-nov20item02</w:t>
    </w:r>
  </w:p>
  <w:p w14:paraId="234B8FB4" w14:textId="7BD00763" w:rsidR="00F42EF5" w:rsidRDefault="00F42EF5" w:rsidP="00575DD7">
    <w:pPr>
      <w:pStyle w:val="Header"/>
      <w:jc w:val="right"/>
    </w:pPr>
    <w:r w:rsidRPr="00F4123E">
      <w:t>Attachment 2</w:t>
    </w:r>
  </w:p>
  <w:p w14:paraId="24D4A62A" w14:textId="0D857D35" w:rsidR="00F42EF5" w:rsidRPr="00575DD7" w:rsidRDefault="00194DB0" w:rsidP="001852D2">
    <w:pPr>
      <w:pStyle w:val="Header"/>
      <w:spacing w:after="360"/>
      <w:jc w:val="right"/>
    </w:pPr>
    <w:sdt>
      <w:sdtPr>
        <w:id w:val="1201217122"/>
        <w:docPartObj>
          <w:docPartGallery w:val="Page Numbers (Top of Page)"/>
          <w:docPartUnique/>
        </w:docPartObj>
      </w:sdtPr>
      <w:sdtEndPr/>
      <w:sdtContent>
        <w:r w:rsidR="00F42EF5" w:rsidRPr="00575DD7">
          <w:t xml:space="preserve">Page </w:t>
        </w:r>
        <w:r w:rsidR="00F42EF5" w:rsidRPr="00575DD7">
          <w:rPr>
            <w:bCs/>
          </w:rPr>
          <w:fldChar w:fldCharType="begin"/>
        </w:r>
        <w:r w:rsidR="00F42EF5" w:rsidRPr="00575DD7">
          <w:rPr>
            <w:bCs/>
          </w:rPr>
          <w:instrText xml:space="preserve"> PAGE </w:instrText>
        </w:r>
        <w:r w:rsidR="00F42EF5" w:rsidRPr="00575DD7">
          <w:rPr>
            <w:bCs/>
          </w:rPr>
          <w:fldChar w:fldCharType="separate"/>
        </w:r>
        <w:r>
          <w:rPr>
            <w:bCs/>
            <w:noProof/>
          </w:rPr>
          <w:t>2</w:t>
        </w:r>
        <w:r w:rsidR="00F42EF5" w:rsidRPr="00575DD7">
          <w:rPr>
            <w:bCs/>
          </w:rPr>
          <w:fldChar w:fldCharType="end"/>
        </w:r>
        <w:r w:rsidR="00F42EF5" w:rsidRPr="00575DD7">
          <w:t xml:space="preserve"> of </w:t>
        </w:r>
        <w:r w:rsidR="00F42EF5">
          <w:rPr>
            <w:bCs/>
          </w:rPr>
          <w:t>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B34"/>
    <w:multiLevelType w:val="hybridMultilevel"/>
    <w:tmpl w:val="3E46774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BE1E79"/>
    <w:multiLevelType w:val="hybridMultilevel"/>
    <w:tmpl w:val="7952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327D9"/>
    <w:multiLevelType w:val="hybridMultilevel"/>
    <w:tmpl w:val="C890C6A0"/>
    <w:lvl w:ilvl="0" w:tplc="64F22F52">
      <w:start w:val="1"/>
      <w:numFmt w:val="bullet"/>
      <w:lvlText w:val=""/>
      <w:lvlJc w:val="left"/>
      <w:pPr>
        <w:ind w:left="720" w:hanging="360"/>
      </w:pPr>
      <w:rPr>
        <w:rFonts w:ascii="Symbol" w:hAnsi="Symbol" w:hint="default"/>
      </w:rPr>
    </w:lvl>
    <w:lvl w:ilvl="1" w:tplc="E6746FFE">
      <w:start w:val="1"/>
      <w:numFmt w:val="bullet"/>
      <w:lvlText w:val="o"/>
      <w:lvlJc w:val="left"/>
      <w:pPr>
        <w:ind w:left="1440" w:hanging="360"/>
      </w:pPr>
      <w:rPr>
        <w:rFonts w:ascii="Courier New" w:hAnsi="Courier New" w:hint="default"/>
      </w:rPr>
    </w:lvl>
    <w:lvl w:ilvl="2" w:tplc="D9448AD2">
      <w:start w:val="1"/>
      <w:numFmt w:val="bullet"/>
      <w:lvlText w:val=""/>
      <w:lvlJc w:val="left"/>
      <w:pPr>
        <w:ind w:left="2160" w:hanging="360"/>
      </w:pPr>
      <w:rPr>
        <w:rFonts w:ascii="Wingdings" w:hAnsi="Wingdings" w:hint="default"/>
      </w:rPr>
    </w:lvl>
    <w:lvl w:ilvl="3" w:tplc="3B74496E">
      <w:start w:val="1"/>
      <w:numFmt w:val="bullet"/>
      <w:lvlText w:val=""/>
      <w:lvlJc w:val="left"/>
      <w:pPr>
        <w:ind w:left="2880" w:hanging="360"/>
      </w:pPr>
      <w:rPr>
        <w:rFonts w:ascii="Symbol" w:hAnsi="Symbol" w:hint="default"/>
      </w:rPr>
    </w:lvl>
    <w:lvl w:ilvl="4" w:tplc="63DEC5F2">
      <w:start w:val="1"/>
      <w:numFmt w:val="bullet"/>
      <w:lvlText w:val="o"/>
      <w:lvlJc w:val="left"/>
      <w:pPr>
        <w:ind w:left="3600" w:hanging="360"/>
      </w:pPr>
      <w:rPr>
        <w:rFonts w:ascii="Courier New" w:hAnsi="Courier New" w:hint="default"/>
      </w:rPr>
    </w:lvl>
    <w:lvl w:ilvl="5" w:tplc="75500456">
      <w:start w:val="1"/>
      <w:numFmt w:val="bullet"/>
      <w:lvlText w:val=""/>
      <w:lvlJc w:val="left"/>
      <w:pPr>
        <w:ind w:left="4320" w:hanging="360"/>
      </w:pPr>
      <w:rPr>
        <w:rFonts w:ascii="Wingdings" w:hAnsi="Wingdings" w:hint="default"/>
      </w:rPr>
    </w:lvl>
    <w:lvl w:ilvl="6" w:tplc="D3B0AF74">
      <w:start w:val="1"/>
      <w:numFmt w:val="bullet"/>
      <w:lvlText w:val=""/>
      <w:lvlJc w:val="left"/>
      <w:pPr>
        <w:ind w:left="5040" w:hanging="360"/>
      </w:pPr>
      <w:rPr>
        <w:rFonts w:ascii="Symbol" w:hAnsi="Symbol" w:hint="default"/>
      </w:rPr>
    </w:lvl>
    <w:lvl w:ilvl="7" w:tplc="725E1828">
      <w:start w:val="1"/>
      <w:numFmt w:val="bullet"/>
      <w:lvlText w:val="o"/>
      <w:lvlJc w:val="left"/>
      <w:pPr>
        <w:ind w:left="5760" w:hanging="360"/>
      </w:pPr>
      <w:rPr>
        <w:rFonts w:ascii="Courier New" w:hAnsi="Courier New" w:hint="default"/>
      </w:rPr>
    </w:lvl>
    <w:lvl w:ilvl="8" w:tplc="3F063F6C">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628B"/>
    <w:multiLevelType w:val="hybridMultilevel"/>
    <w:tmpl w:val="8854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BB5C2E"/>
    <w:multiLevelType w:val="hybridMultilevel"/>
    <w:tmpl w:val="23EA10E4"/>
    <w:lvl w:ilvl="0" w:tplc="503CA316">
      <w:start w:val="1"/>
      <w:numFmt w:val="bullet"/>
      <w:lvlText w:val="·"/>
      <w:lvlJc w:val="left"/>
      <w:pPr>
        <w:ind w:left="720" w:hanging="360"/>
      </w:pPr>
      <w:rPr>
        <w:rFonts w:ascii="Symbol" w:hAnsi="Symbol" w:hint="default"/>
      </w:rPr>
    </w:lvl>
    <w:lvl w:ilvl="1" w:tplc="11F4172E">
      <w:start w:val="1"/>
      <w:numFmt w:val="bullet"/>
      <w:lvlText w:val="o"/>
      <w:lvlJc w:val="left"/>
      <w:pPr>
        <w:ind w:left="1440" w:hanging="360"/>
      </w:pPr>
      <w:rPr>
        <w:rFonts w:ascii="Courier New" w:hAnsi="Courier New" w:hint="default"/>
      </w:rPr>
    </w:lvl>
    <w:lvl w:ilvl="2" w:tplc="B6A0A79A">
      <w:start w:val="1"/>
      <w:numFmt w:val="bullet"/>
      <w:lvlText w:val=""/>
      <w:lvlJc w:val="left"/>
      <w:pPr>
        <w:ind w:left="2160" w:hanging="360"/>
      </w:pPr>
      <w:rPr>
        <w:rFonts w:ascii="Wingdings" w:hAnsi="Wingdings" w:hint="default"/>
      </w:rPr>
    </w:lvl>
    <w:lvl w:ilvl="3" w:tplc="4164ECE2">
      <w:start w:val="1"/>
      <w:numFmt w:val="bullet"/>
      <w:lvlText w:val=""/>
      <w:lvlJc w:val="left"/>
      <w:pPr>
        <w:ind w:left="2880" w:hanging="360"/>
      </w:pPr>
      <w:rPr>
        <w:rFonts w:ascii="Symbol" w:hAnsi="Symbol" w:hint="default"/>
      </w:rPr>
    </w:lvl>
    <w:lvl w:ilvl="4" w:tplc="451EF470">
      <w:start w:val="1"/>
      <w:numFmt w:val="bullet"/>
      <w:lvlText w:val="o"/>
      <w:lvlJc w:val="left"/>
      <w:pPr>
        <w:ind w:left="3600" w:hanging="360"/>
      </w:pPr>
      <w:rPr>
        <w:rFonts w:ascii="Courier New" w:hAnsi="Courier New" w:hint="default"/>
      </w:rPr>
    </w:lvl>
    <w:lvl w:ilvl="5" w:tplc="2CC4B346">
      <w:start w:val="1"/>
      <w:numFmt w:val="bullet"/>
      <w:lvlText w:val=""/>
      <w:lvlJc w:val="left"/>
      <w:pPr>
        <w:ind w:left="4320" w:hanging="360"/>
      </w:pPr>
      <w:rPr>
        <w:rFonts w:ascii="Wingdings" w:hAnsi="Wingdings" w:hint="default"/>
      </w:rPr>
    </w:lvl>
    <w:lvl w:ilvl="6" w:tplc="0124169E">
      <w:start w:val="1"/>
      <w:numFmt w:val="bullet"/>
      <w:lvlText w:val=""/>
      <w:lvlJc w:val="left"/>
      <w:pPr>
        <w:ind w:left="5040" w:hanging="360"/>
      </w:pPr>
      <w:rPr>
        <w:rFonts w:ascii="Symbol" w:hAnsi="Symbol" w:hint="default"/>
      </w:rPr>
    </w:lvl>
    <w:lvl w:ilvl="7" w:tplc="2EC83CB8">
      <w:start w:val="1"/>
      <w:numFmt w:val="bullet"/>
      <w:lvlText w:val="o"/>
      <w:lvlJc w:val="left"/>
      <w:pPr>
        <w:ind w:left="5760" w:hanging="360"/>
      </w:pPr>
      <w:rPr>
        <w:rFonts w:ascii="Courier New" w:hAnsi="Courier New" w:hint="default"/>
      </w:rPr>
    </w:lvl>
    <w:lvl w:ilvl="8" w:tplc="BBF0947E">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45897"/>
    <w:multiLevelType w:val="hybridMultilevel"/>
    <w:tmpl w:val="B2B426B6"/>
    <w:lvl w:ilvl="0" w:tplc="026892C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8FA5CBC">
      <w:start w:val="1"/>
      <w:numFmt w:val="bullet"/>
      <w:lvlText w:val=""/>
      <w:lvlJc w:val="left"/>
      <w:pPr>
        <w:ind w:left="2160" w:hanging="360"/>
      </w:pPr>
      <w:rPr>
        <w:rFonts w:ascii="Wingdings" w:hAnsi="Wingdings" w:hint="default"/>
      </w:rPr>
    </w:lvl>
    <w:lvl w:ilvl="3" w:tplc="EC04E564">
      <w:start w:val="1"/>
      <w:numFmt w:val="bullet"/>
      <w:lvlText w:val=""/>
      <w:lvlJc w:val="left"/>
      <w:pPr>
        <w:ind w:left="2880" w:hanging="360"/>
      </w:pPr>
      <w:rPr>
        <w:rFonts w:ascii="Symbol" w:hAnsi="Symbol" w:hint="default"/>
      </w:rPr>
    </w:lvl>
    <w:lvl w:ilvl="4" w:tplc="B7548B26">
      <w:start w:val="1"/>
      <w:numFmt w:val="bullet"/>
      <w:lvlText w:val="o"/>
      <w:lvlJc w:val="left"/>
      <w:pPr>
        <w:ind w:left="3600" w:hanging="360"/>
      </w:pPr>
      <w:rPr>
        <w:rFonts w:ascii="Courier New" w:hAnsi="Courier New" w:hint="default"/>
      </w:rPr>
    </w:lvl>
    <w:lvl w:ilvl="5" w:tplc="BD9C98AC">
      <w:start w:val="1"/>
      <w:numFmt w:val="bullet"/>
      <w:lvlText w:val=""/>
      <w:lvlJc w:val="left"/>
      <w:pPr>
        <w:ind w:left="4320" w:hanging="360"/>
      </w:pPr>
      <w:rPr>
        <w:rFonts w:ascii="Wingdings" w:hAnsi="Wingdings" w:hint="default"/>
      </w:rPr>
    </w:lvl>
    <w:lvl w:ilvl="6" w:tplc="8C30A69C">
      <w:start w:val="1"/>
      <w:numFmt w:val="bullet"/>
      <w:lvlText w:val=""/>
      <w:lvlJc w:val="left"/>
      <w:pPr>
        <w:ind w:left="5040" w:hanging="360"/>
      </w:pPr>
      <w:rPr>
        <w:rFonts w:ascii="Symbol" w:hAnsi="Symbol" w:hint="default"/>
      </w:rPr>
    </w:lvl>
    <w:lvl w:ilvl="7" w:tplc="3ED0207E">
      <w:start w:val="1"/>
      <w:numFmt w:val="bullet"/>
      <w:lvlText w:val="o"/>
      <w:lvlJc w:val="left"/>
      <w:pPr>
        <w:ind w:left="5760" w:hanging="360"/>
      </w:pPr>
      <w:rPr>
        <w:rFonts w:ascii="Courier New" w:hAnsi="Courier New" w:hint="default"/>
      </w:rPr>
    </w:lvl>
    <w:lvl w:ilvl="8" w:tplc="D3C00A18">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26C34"/>
    <w:multiLevelType w:val="hybridMultilevel"/>
    <w:tmpl w:val="C1709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E42EFE"/>
    <w:multiLevelType w:val="hybridMultilevel"/>
    <w:tmpl w:val="F498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A41DAE"/>
    <w:multiLevelType w:val="hybridMultilevel"/>
    <w:tmpl w:val="BC020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24C5E"/>
    <w:multiLevelType w:val="hybridMultilevel"/>
    <w:tmpl w:val="FC0C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D22A6"/>
    <w:multiLevelType w:val="hybridMultilevel"/>
    <w:tmpl w:val="E4D4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A22A29"/>
    <w:multiLevelType w:val="hybridMultilevel"/>
    <w:tmpl w:val="693C8EB2"/>
    <w:lvl w:ilvl="0" w:tplc="D23E0F62">
      <w:start w:val="1"/>
      <w:numFmt w:val="bullet"/>
      <w:lvlText w:val=""/>
      <w:lvlJc w:val="left"/>
      <w:pPr>
        <w:ind w:left="720" w:hanging="360"/>
      </w:pPr>
      <w:rPr>
        <w:rFonts w:ascii="Symbol" w:hAnsi="Symbol" w:hint="default"/>
      </w:rPr>
    </w:lvl>
    <w:lvl w:ilvl="1" w:tplc="74D6A502">
      <w:start w:val="1"/>
      <w:numFmt w:val="bullet"/>
      <w:lvlText w:val="o"/>
      <w:lvlJc w:val="left"/>
      <w:pPr>
        <w:ind w:left="1440" w:hanging="360"/>
      </w:pPr>
      <w:rPr>
        <w:rFonts w:ascii="Courier New" w:hAnsi="Courier New" w:hint="default"/>
      </w:rPr>
    </w:lvl>
    <w:lvl w:ilvl="2" w:tplc="B8505528">
      <w:start w:val="1"/>
      <w:numFmt w:val="bullet"/>
      <w:lvlText w:val=""/>
      <w:lvlJc w:val="left"/>
      <w:pPr>
        <w:ind w:left="2160" w:hanging="360"/>
      </w:pPr>
      <w:rPr>
        <w:rFonts w:ascii="Wingdings" w:hAnsi="Wingdings" w:hint="default"/>
      </w:rPr>
    </w:lvl>
    <w:lvl w:ilvl="3" w:tplc="3BDE17DC">
      <w:start w:val="1"/>
      <w:numFmt w:val="bullet"/>
      <w:lvlText w:val=""/>
      <w:lvlJc w:val="left"/>
      <w:pPr>
        <w:ind w:left="2880" w:hanging="360"/>
      </w:pPr>
      <w:rPr>
        <w:rFonts w:ascii="Symbol" w:hAnsi="Symbol" w:hint="default"/>
      </w:rPr>
    </w:lvl>
    <w:lvl w:ilvl="4" w:tplc="D052911E">
      <w:start w:val="1"/>
      <w:numFmt w:val="bullet"/>
      <w:lvlText w:val="o"/>
      <w:lvlJc w:val="left"/>
      <w:pPr>
        <w:ind w:left="3600" w:hanging="360"/>
      </w:pPr>
      <w:rPr>
        <w:rFonts w:ascii="Courier New" w:hAnsi="Courier New" w:hint="default"/>
      </w:rPr>
    </w:lvl>
    <w:lvl w:ilvl="5" w:tplc="CD340138">
      <w:start w:val="1"/>
      <w:numFmt w:val="bullet"/>
      <w:lvlText w:val=""/>
      <w:lvlJc w:val="left"/>
      <w:pPr>
        <w:ind w:left="4320" w:hanging="360"/>
      </w:pPr>
      <w:rPr>
        <w:rFonts w:ascii="Wingdings" w:hAnsi="Wingdings" w:hint="default"/>
      </w:rPr>
    </w:lvl>
    <w:lvl w:ilvl="6" w:tplc="11624E44">
      <w:start w:val="1"/>
      <w:numFmt w:val="bullet"/>
      <w:lvlText w:val=""/>
      <w:lvlJc w:val="left"/>
      <w:pPr>
        <w:ind w:left="5040" w:hanging="360"/>
      </w:pPr>
      <w:rPr>
        <w:rFonts w:ascii="Symbol" w:hAnsi="Symbol" w:hint="default"/>
      </w:rPr>
    </w:lvl>
    <w:lvl w:ilvl="7" w:tplc="EA5439AA">
      <w:start w:val="1"/>
      <w:numFmt w:val="bullet"/>
      <w:lvlText w:val="o"/>
      <w:lvlJc w:val="left"/>
      <w:pPr>
        <w:ind w:left="5760" w:hanging="360"/>
      </w:pPr>
      <w:rPr>
        <w:rFonts w:ascii="Courier New" w:hAnsi="Courier New" w:hint="default"/>
      </w:rPr>
    </w:lvl>
    <w:lvl w:ilvl="8" w:tplc="8C90DBB6">
      <w:start w:val="1"/>
      <w:numFmt w:val="bullet"/>
      <w:lvlText w:val=""/>
      <w:lvlJc w:val="left"/>
      <w:pPr>
        <w:ind w:left="6480" w:hanging="360"/>
      </w:pPr>
      <w:rPr>
        <w:rFonts w:ascii="Wingdings" w:hAnsi="Wingdings" w:hint="default"/>
      </w:r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402C8A"/>
    <w:multiLevelType w:val="hybridMultilevel"/>
    <w:tmpl w:val="C466299E"/>
    <w:lvl w:ilvl="0" w:tplc="026892C8">
      <w:start w:val="1"/>
      <w:numFmt w:val="bullet"/>
      <w:lvlText w:val=""/>
      <w:lvlJc w:val="left"/>
      <w:pPr>
        <w:ind w:left="720" w:hanging="360"/>
      </w:pPr>
      <w:rPr>
        <w:rFonts w:ascii="Symbol" w:hAnsi="Symbol" w:hint="default"/>
      </w:rPr>
    </w:lvl>
    <w:lvl w:ilvl="1" w:tplc="AB78B394">
      <w:start w:val="1"/>
      <w:numFmt w:val="bullet"/>
      <w:lvlText w:val="o"/>
      <w:lvlJc w:val="left"/>
      <w:pPr>
        <w:ind w:left="1440" w:hanging="360"/>
      </w:pPr>
      <w:rPr>
        <w:rFonts w:ascii="&quot;Courier New&quot;" w:hAnsi="&quot;Courier New&quot;" w:hint="default"/>
      </w:rPr>
    </w:lvl>
    <w:lvl w:ilvl="2" w:tplc="E8FA5CBC">
      <w:start w:val="1"/>
      <w:numFmt w:val="bullet"/>
      <w:lvlText w:val=""/>
      <w:lvlJc w:val="left"/>
      <w:pPr>
        <w:ind w:left="2160" w:hanging="360"/>
      </w:pPr>
      <w:rPr>
        <w:rFonts w:ascii="Wingdings" w:hAnsi="Wingdings" w:hint="default"/>
      </w:rPr>
    </w:lvl>
    <w:lvl w:ilvl="3" w:tplc="EC04E564">
      <w:start w:val="1"/>
      <w:numFmt w:val="bullet"/>
      <w:lvlText w:val=""/>
      <w:lvlJc w:val="left"/>
      <w:pPr>
        <w:ind w:left="2880" w:hanging="360"/>
      </w:pPr>
      <w:rPr>
        <w:rFonts w:ascii="Symbol" w:hAnsi="Symbol" w:hint="default"/>
      </w:rPr>
    </w:lvl>
    <w:lvl w:ilvl="4" w:tplc="B7548B26">
      <w:start w:val="1"/>
      <w:numFmt w:val="bullet"/>
      <w:lvlText w:val="o"/>
      <w:lvlJc w:val="left"/>
      <w:pPr>
        <w:ind w:left="3600" w:hanging="360"/>
      </w:pPr>
      <w:rPr>
        <w:rFonts w:ascii="Courier New" w:hAnsi="Courier New" w:hint="default"/>
      </w:rPr>
    </w:lvl>
    <w:lvl w:ilvl="5" w:tplc="BD9C98AC">
      <w:start w:val="1"/>
      <w:numFmt w:val="bullet"/>
      <w:lvlText w:val=""/>
      <w:lvlJc w:val="left"/>
      <w:pPr>
        <w:ind w:left="4320" w:hanging="360"/>
      </w:pPr>
      <w:rPr>
        <w:rFonts w:ascii="Wingdings" w:hAnsi="Wingdings" w:hint="default"/>
      </w:rPr>
    </w:lvl>
    <w:lvl w:ilvl="6" w:tplc="8C30A69C">
      <w:start w:val="1"/>
      <w:numFmt w:val="bullet"/>
      <w:lvlText w:val=""/>
      <w:lvlJc w:val="left"/>
      <w:pPr>
        <w:ind w:left="5040" w:hanging="360"/>
      </w:pPr>
      <w:rPr>
        <w:rFonts w:ascii="Symbol" w:hAnsi="Symbol" w:hint="default"/>
      </w:rPr>
    </w:lvl>
    <w:lvl w:ilvl="7" w:tplc="3ED0207E">
      <w:start w:val="1"/>
      <w:numFmt w:val="bullet"/>
      <w:lvlText w:val="o"/>
      <w:lvlJc w:val="left"/>
      <w:pPr>
        <w:ind w:left="5760" w:hanging="360"/>
      </w:pPr>
      <w:rPr>
        <w:rFonts w:ascii="Courier New" w:hAnsi="Courier New" w:hint="default"/>
      </w:rPr>
    </w:lvl>
    <w:lvl w:ilvl="8" w:tplc="D3C00A18">
      <w:start w:val="1"/>
      <w:numFmt w:val="bullet"/>
      <w:lvlText w:val=""/>
      <w:lvlJc w:val="left"/>
      <w:pPr>
        <w:ind w:left="6480" w:hanging="360"/>
      </w:pPr>
      <w:rPr>
        <w:rFonts w:ascii="Wingdings" w:hAnsi="Wingdings" w:hint="default"/>
      </w:rPr>
    </w:lvl>
  </w:abstractNum>
  <w:abstractNum w:abstractNumId="20" w15:restartNumberingAfterBreak="0">
    <w:nsid w:val="77A828BD"/>
    <w:multiLevelType w:val="hybridMultilevel"/>
    <w:tmpl w:val="1D6AC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331136"/>
    <w:multiLevelType w:val="hybridMultilevel"/>
    <w:tmpl w:val="60CC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35918"/>
    <w:multiLevelType w:val="hybridMultilevel"/>
    <w:tmpl w:val="5B729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5"/>
  </w:num>
  <w:num w:numId="4">
    <w:abstractNumId w:val="2"/>
  </w:num>
  <w:num w:numId="5">
    <w:abstractNumId w:val="9"/>
  </w:num>
  <w:num w:numId="6">
    <w:abstractNumId w:val="18"/>
  </w:num>
  <w:num w:numId="7">
    <w:abstractNumId w:val="6"/>
  </w:num>
  <w:num w:numId="8">
    <w:abstractNumId w:val="13"/>
  </w:num>
  <w:num w:numId="9">
    <w:abstractNumId w:val="15"/>
  </w:num>
  <w:num w:numId="10">
    <w:abstractNumId w:val="3"/>
  </w:num>
  <w:num w:numId="11">
    <w:abstractNumId w:val="7"/>
  </w:num>
  <w:num w:numId="12">
    <w:abstractNumId w:val="14"/>
  </w:num>
  <w:num w:numId="13">
    <w:abstractNumId w:val="11"/>
  </w:num>
  <w:num w:numId="14">
    <w:abstractNumId w:val="10"/>
  </w:num>
  <w:num w:numId="15">
    <w:abstractNumId w:val="22"/>
  </w:num>
  <w:num w:numId="16">
    <w:abstractNumId w:val="16"/>
  </w:num>
  <w:num w:numId="17">
    <w:abstractNumId w:val="1"/>
  </w:num>
  <w:num w:numId="18">
    <w:abstractNumId w:val="12"/>
  </w:num>
  <w:num w:numId="19">
    <w:abstractNumId w:val="4"/>
  </w:num>
  <w:num w:numId="20">
    <w:abstractNumId w:val="20"/>
  </w:num>
  <w:num w:numId="21">
    <w:abstractNumId w:val="21"/>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2D3"/>
    <w:rsid w:val="00007C8F"/>
    <w:rsid w:val="000113C6"/>
    <w:rsid w:val="0001153A"/>
    <w:rsid w:val="000246D2"/>
    <w:rsid w:val="000324AD"/>
    <w:rsid w:val="000328E6"/>
    <w:rsid w:val="000448AF"/>
    <w:rsid w:val="00047A21"/>
    <w:rsid w:val="000543A1"/>
    <w:rsid w:val="000549EF"/>
    <w:rsid w:val="000564BA"/>
    <w:rsid w:val="000639DC"/>
    <w:rsid w:val="00066F3F"/>
    <w:rsid w:val="00084D09"/>
    <w:rsid w:val="00091D6C"/>
    <w:rsid w:val="00091E9C"/>
    <w:rsid w:val="00092791"/>
    <w:rsid w:val="00097526"/>
    <w:rsid w:val="000A0308"/>
    <w:rsid w:val="000A2A37"/>
    <w:rsid w:val="000A5705"/>
    <w:rsid w:val="000A59CA"/>
    <w:rsid w:val="000C1B14"/>
    <w:rsid w:val="000C43EF"/>
    <w:rsid w:val="000D2DA5"/>
    <w:rsid w:val="000D3E02"/>
    <w:rsid w:val="000D683B"/>
    <w:rsid w:val="000E09DC"/>
    <w:rsid w:val="000F236F"/>
    <w:rsid w:val="000F7A79"/>
    <w:rsid w:val="001048F3"/>
    <w:rsid w:val="00105C29"/>
    <w:rsid w:val="00106CE2"/>
    <w:rsid w:val="00107322"/>
    <w:rsid w:val="0011214D"/>
    <w:rsid w:val="0011702B"/>
    <w:rsid w:val="00127152"/>
    <w:rsid w:val="00130059"/>
    <w:rsid w:val="00130EA7"/>
    <w:rsid w:val="00137CD6"/>
    <w:rsid w:val="00146214"/>
    <w:rsid w:val="0014637E"/>
    <w:rsid w:val="0014750B"/>
    <w:rsid w:val="00161D34"/>
    <w:rsid w:val="0018148D"/>
    <w:rsid w:val="001852D2"/>
    <w:rsid w:val="00194DB0"/>
    <w:rsid w:val="001A0CA5"/>
    <w:rsid w:val="001B3958"/>
    <w:rsid w:val="001B4FC4"/>
    <w:rsid w:val="001C455F"/>
    <w:rsid w:val="001C5B02"/>
    <w:rsid w:val="001D616A"/>
    <w:rsid w:val="001E1929"/>
    <w:rsid w:val="001E277B"/>
    <w:rsid w:val="001E4D80"/>
    <w:rsid w:val="001E7C5F"/>
    <w:rsid w:val="0020130D"/>
    <w:rsid w:val="00206E7A"/>
    <w:rsid w:val="0020B1FE"/>
    <w:rsid w:val="0021074B"/>
    <w:rsid w:val="00217F47"/>
    <w:rsid w:val="00223112"/>
    <w:rsid w:val="00233F4B"/>
    <w:rsid w:val="00240B26"/>
    <w:rsid w:val="002417D3"/>
    <w:rsid w:val="002419EF"/>
    <w:rsid w:val="00245974"/>
    <w:rsid w:val="00252CD8"/>
    <w:rsid w:val="0025441E"/>
    <w:rsid w:val="00256BDA"/>
    <w:rsid w:val="00261D5A"/>
    <w:rsid w:val="002775F6"/>
    <w:rsid w:val="00281B3E"/>
    <w:rsid w:val="002848E9"/>
    <w:rsid w:val="0029340D"/>
    <w:rsid w:val="0029726F"/>
    <w:rsid w:val="002976A1"/>
    <w:rsid w:val="002B4B14"/>
    <w:rsid w:val="002B5527"/>
    <w:rsid w:val="002C6E91"/>
    <w:rsid w:val="002C71BB"/>
    <w:rsid w:val="002D1A82"/>
    <w:rsid w:val="002D4554"/>
    <w:rsid w:val="002E4CB5"/>
    <w:rsid w:val="002E6947"/>
    <w:rsid w:val="002E6FCA"/>
    <w:rsid w:val="002F279B"/>
    <w:rsid w:val="002F7998"/>
    <w:rsid w:val="00300F02"/>
    <w:rsid w:val="003076D1"/>
    <w:rsid w:val="003115B6"/>
    <w:rsid w:val="00315131"/>
    <w:rsid w:val="0032396E"/>
    <w:rsid w:val="0032764D"/>
    <w:rsid w:val="0032CCCC"/>
    <w:rsid w:val="00333615"/>
    <w:rsid w:val="0033E249"/>
    <w:rsid w:val="003464D1"/>
    <w:rsid w:val="00351726"/>
    <w:rsid w:val="00353D7A"/>
    <w:rsid w:val="00356348"/>
    <w:rsid w:val="003578E4"/>
    <w:rsid w:val="00361838"/>
    <w:rsid w:val="00363520"/>
    <w:rsid w:val="00367205"/>
    <w:rsid w:val="003705FC"/>
    <w:rsid w:val="003741CC"/>
    <w:rsid w:val="00377412"/>
    <w:rsid w:val="003801C5"/>
    <w:rsid w:val="003805C1"/>
    <w:rsid w:val="00384ACF"/>
    <w:rsid w:val="0038674E"/>
    <w:rsid w:val="00387999"/>
    <w:rsid w:val="00393C30"/>
    <w:rsid w:val="003B6277"/>
    <w:rsid w:val="003D072D"/>
    <w:rsid w:val="003D0AB3"/>
    <w:rsid w:val="003D0C1E"/>
    <w:rsid w:val="003D1ECD"/>
    <w:rsid w:val="003E1143"/>
    <w:rsid w:val="003E1E8D"/>
    <w:rsid w:val="003E38C5"/>
    <w:rsid w:val="003E4DF7"/>
    <w:rsid w:val="003E653E"/>
    <w:rsid w:val="003E6E30"/>
    <w:rsid w:val="004068FD"/>
    <w:rsid w:val="00406F50"/>
    <w:rsid w:val="00407E9B"/>
    <w:rsid w:val="004203BC"/>
    <w:rsid w:val="00421077"/>
    <w:rsid w:val="00431A8F"/>
    <w:rsid w:val="0044670C"/>
    <w:rsid w:val="00452D32"/>
    <w:rsid w:val="00456D2E"/>
    <w:rsid w:val="00460A69"/>
    <w:rsid w:val="00463F10"/>
    <w:rsid w:val="00465D02"/>
    <w:rsid w:val="0047534A"/>
    <w:rsid w:val="00487B6E"/>
    <w:rsid w:val="00494883"/>
    <w:rsid w:val="00496054"/>
    <w:rsid w:val="004A3192"/>
    <w:rsid w:val="004B2393"/>
    <w:rsid w:val="004C4721"/>
    <w:rsid w:val="004E029B"/>
    <w:rsid w:val="004E5D19"/>
    <w:rsid w:val="004E6EF3"/>
    <w:rsid w:val="004E74DC"/>
    <w:rsid w:val="004E78E5"/>
    <w:rsid w:val="004F3840"/>
    <w:rsid w:val="004F772C"/>
    <w:rsid w:val="004F78BB"/>
    <w:rsid w:val="00517C00"/>
    <w:rsid w:val="005253A7"/>
    <w:rsid w:val="00527B0E"/>
    <w:rsid w:val="00540727"/>
    <w:rsid w:val="00541046"/>
    <w:rsid w:val="00543E31"/>
    <w:rsid w:val="0055557E"/>
    <w:rsid w:val="00563BFA"/>
    <w:rsid w:val="0056E3AA"/>
    <w:rsid w:val="00573D6D"/>
    <w:rsid w:val="00574500"/>
    <w:rsid w:val="00575DD7"/>
    <w:rsid w:val="00581CD1"/>
    <w:rsid w:val="00590BB5"/>
    <w:rsid w:val="00592BE5"/>
    <w:rsid w:val="0059320C"/>
    <w:rsid w:val="005A3C1F"/>
    <w:rsid w:val="005A4FD4"/>
    <w:rsid w:val="005A57EA"/>
    <w:rsid w:val="005A5B13"/>
    <w:rsid w:val="005B66A2"/>
    <w:rsid w:val="005C2E37"/>
    <w:rsid w:val="005C3E25"/>
    <w:rsid w:val="005D0FAA"/>
    <w:rsid w:val="005E6C71"/>
    <w:rsid w:val="005F756C"/>
    <w:rsid w:val="00602D8B"/>
    <w:rsid w:val="00605542"/>
    <w:rsid w:val="00607C32"/>
    <w:rsid w:val="00615F3A"/>
    <w:rsid w:val="0062550F"/>
    <w:rsid w:val="00642145"/>
    <w:rsid w:val="006432EA"/>
    <w:rsid w:val="00650B2E"/>
    <w:rsid w:val="00653460"/>
    <w:rsid w:val="006551A4"/>
    <w:rsid w:val="00665791"/>
    <w:rsid w:val="00670682"/>
    <w:rsid w:val="00676F0A"/>
    <w:rsid w:val="00677ED3"/>
    <w:rsid w:val="0067C893"/>
    <w:rsid w:val="00680C9D"/>
    <w:rsid w:val="00683A43"/>
    <w:rsid w:val="00692300"/>
    <w:rsid w:val="00693951"/>
    <w:rsid w:val="00695911"/>
    <w:rsid w:val="00697D1D"/>
    <w:rsid w:val="006A18B3"/>
    <w:rsid w:val="006A32A4"/>
    <w:rsid w:val="006A40EC"/>
    <w:rsid w:val="006A6EEA"/>
    <w:rsid w:val="006B2111"/>
    <w:rsid w:val="006B233A"/>
    <w:rsid w:val="006B4890"/>
    <w:rsid w:val="006B4C48"/>
    <w:rsid w:val="006B6D74"/>
    <w:rsid w:val="006B7571"/>
    <w:rsid w:val="006B786C"/>
    <w:rsid w:val="006B7C7A"/>
    <w:rsid w:val="006D0223"/>
    <w:rsid w:val="006E06C6"/>
    <w:rsid w:val="006E312B"/>
    <w:rsid w:val="006F5C1F"/>
    <w:rsid w:val="007012C9"/>
    <w:rsid w:val="00701970"/>
    <w:rsid w:val="00702F93"/>
    <w:rsid w:val="00717D68"/>
    <w:rsid w:val="00724626"/>
    <w:rsid w:val="00726EDA"/>
    <w:rsid w:val="007313A3"/>
    <w:rsid w:val="00733387"/>
    <w:rsid w:val="007428B8"/>
    <w:rsid w:val="00745D2E"/>
    <w:rsid w:val="00746164"/>
    <w:rsid w:val="0075178E"/>
    <w:rsid w:val="007678BA"/>
    <w:rsid w:val="007769E0"/>
    <w:rsid w:val="00780BB6"/>
    <w:rsid w:val="007839CC"/>
    <w:rsid w:val="007B0073"/>
    <w:rsid w:val="007B1149"/>
    <w:rsid w:val="007B12FA"/>
    <w:rsid w:val="007B5EA7"/>
    <w:rsid w:val="007B6C8A"/>
    <w:rsid w:val="007C5697"/>
    <w:rsid w:val="007C7902"/>
    <w:rsid w:val="007D22A3"/>
    <w:rsid w:val="007D6A8F"/>
    <w:rsid w:val="007E2470"/>
    <w:rsid w:val="007E39D0"/>
    <w:rsid w:val="007E4219"/>
    <w:rsid w:val="007E4267"/>
    <w:rsid w:val="007E5B17"/>
    <w:rsid w:val="007F7578"/>
    <w:rsid w:val="0080134C"/>
    <w:rsid w:val="00803DE9"/>
    <w:rsid w:val="00804713"/>
    <w:rsid w:val="00832598"/>
    <w:rsid w:val="00836292"/>
    <w:rsid w:val="0084015E"/>
    <w:rsid w:val="00846079"/>
    <w:rsid w:val="008505DB"/>
    <w:rsid w:val="00850971"/>
    <w:rsid w:val="00853AEC"/>
    <w:rsid w:val="00860E65"/>
    <w:rsid w:val="008811F3"/>
    <w:rsid w:val="00883A74"/>
    <w:rsid w:val="00884EB0"/>
    <w:rsid w:val="008909EE"/>
    <w:rsid w:val="008A0E17"/>
    <w:rsid w:val="008B65F4"/>
    <w:rsid w:val="008B6CC4"/>
    <w:rsid w:val="008D4F10"/>
    <w:rsid w:val="008E0D2B"/>
    <w:rsid w:val="008E0FFD"/>
    <w:rsid w:val="008E133E"/>
    <w:rsid w:val="0090020F"/>
    <w:rsid w:val="0091117B"/>
    <w:rsid w:val="00916C81"/>
    <w:rsid w:val="0092117F"/>
    <w:rsid w:val="009352CD"/>
    <w:rsid w:val="0093677C"/>
    <w:rsid w:val="00942B9A"/>
    <w:rsid w:val="00946A9D"/>
    <w:rsid w:val="009670FD"/>
    <w:rsid w:val="00970AC6"/>
    <w:rsid w:val="00972C54"/>
    <w:rsid w:val="0097421A"/>
    <w:rsid w:val="009754C4"/>
    <w:rsid w:val="0098787C"/>
    <w:rsid w:val="00992BBB"/>
    <w:rsid w:val="0099444E"/>
    <w:rsid w:val="00995A05"/>
    <w:rsid w:val="009977D9"/>
    <w:rsid w:val="009A4004"/>
    <w:rsid w:val="009A48D3"/>
    <w:rsid w:val="009B04E1"/>
    <w:rsid w:val="009B3416"/>
    <w:rsid w:val="009B51E3"/>
    <w:rsid w:val="009C00C6"/>
    <w:rsid w:val="009C1322"/>
    <w:rsid w:val="009D5028"/>
    <w:rsid w:val="009E5578"/>
    <w:rsid w:val="009F30AD"/>
    <w:rsid w:val="009F4807"/>
    <w:rsid w:val="009F69EF"/>
    <w:rsid w:val="009F7A08"/>
    <w:rsid w:val="00A04848"/>
    <w:rsid w:val="00A07F42"/>
    <w:rsid w:val="00A1327D"/>
    <w:rsid w:val="00A16315"/>
    <w:rsid w:val="00A16355"/>
    <w:rsid w:val="00A20AC4"/>
    <w:rsid w:val="00A2533C"/>
    <w:rsid w:val="00A30B3C"/>
    <w:rsid w:val="00A347E4"/>
    <w:rsid w:val="00A37BEA"/>
    <w:rsid w:val="00A45069"/>
    <w:rsid w:val="00A53574"/>
    <w:rsid w:val="00A57E0B"/>
    <w:rsid w:val="00A657E6"/>
    <w:rsid w:val="00A7421A"/>
    <w:rsid w:val="00A75487"/>
    <w:rsid w:val="00A756ED"/>
    <w:rsid w:val="00A858DB"/>
    <w:rsid w:val="00A87921"/>
    <w:rsid w:val="00AA01AF"/>
    <w:rsid w:val="00AA032A"/>
    <w:rsid w:val="00AA4A69"/>
    <w:rsid w:val="00AB0169"/>
    <w:rsid w:val="00AB1BE4"/>
    <w:rsid w:val="00AB29A8"/>
    <w:rsid w:val="00AC019C"/>
    <w:rsid w:val="00AD35F6"/>
    <w:rsid w:val="00AF745D"/>
    <w:rsid w:val="00B034B3"/>
    <w:rsid w:val="00B11338"/>
    <w:rsid w:val="00B11631"/>
    <w:rsid w:val="00B265A3"/>
    <w:rsid w:val="00B27458"/>
    <w:rsid w:val="00B27532"/>
    <w:rsid w:val="00B32791"/>
    <w:rsid w:val="00B4496B"/>
    <w:rsid w:val="00B521E4"/>
    <w:rsid w:val="00B723BE"/>
    <w:rsid w:val="00B74C14"/>
    <w:rsid w:val="00B82705"/>
    <w:rsid w:val="00B951DE"/>
    <w:rsid w:val="00BA058E"/>
    <w:rsid w:val="00BA66C2"/>
    <w:rsid w:val="00BB2856"/>
    <w:rsid w:val="00BB7927"/>
    <w:rsid w:val="00BD3A62"/>
    <w:rsid w:val="00BD6DA4"/>
    <w:rsid w:val="00BE54DA"/>
    <w:rsid w:val="00BF1070"/>
    <w:rsid w:val="00C10B65"/>
    <w:rsid w:val="00C120A5"/>
    <w:rsid w:val="00C21E1C"/>
    <w:rsid w:val="00C25E17"/>
    <w:rsid w:val="00C264CD"/>
    <w:rsid w:val="00C27D57"/>
    <w:rsid w:val="00C27F5D"/>
    <w:rsid w:val="00C27F99"/>
    <w:rsid w:val="00C30CF6"/>
    <w:rsid w:val="00C3226C"/>
    <w:rsid w:val="00C34857"/>
    <w:rsid w:val="00C37A5E"/>
    <w:rsid w:val="00C42DD9"/>
    <w:rsid w:val="00C52C7C"/>
    <w:rsid w:val="00C52E36"/>
    <w:rsid w:val="00C749D4"/>
    <w:rsid w:val="00C82CBA"/>
    <w:rsid w:val="00C863EB"/>
    <w:rsid w:val="00C93F52"/>
    <w:rsid w:val="00C95B78"/>
    <w:rsid w:val="00C97AF4"/>
    <w:rsid w:val="00CA2E11"/>
    <w:rsid w:val="00CB59F4"/>
    <w:rsid w:val="00CB6BEE"/>
    <w:rsid w:val="00CD13D8"/>
    <w:rsid w:val="00CD5F07"/>
    <w:rsid w:val="00CE1C84"/>
    <w:rsid w:val="00D01022"/>
    <w:rsid w:val="00D075CF"/>
    <w:rsid w:val="00D117DC"/>
    <w:rsid w:val="00D14190"/>
    <w:rsid w:val="00D165E2"/>
    <w:rsid w:val="00D26CE2"/>
    <w:rsid w:val="00D3592E"/>
    <w:rsid w:val="00D47DAB"/>
    <w:rsid w:val="00D5115F"/>
    <w:rsid w:val="00D54A9D"/>
    <w:rsid w:val="00D63DDB"/>
    <w:rsid w:val="00D85608"/>
    <w:rsid w:val="00D8667C"/>
    <w:rsid w:val="00D86AB9"/>
    <w:rsid w:val="00D86CC8"/>
    <w:rsid w:val="00D903FF"/>
    <w:rsid w:val="00DB232B"/>
    <w:rsid w:val="00DD2507"/>
    <w:rsid w:val="00DD6C3E"/>
    <w:rsid w:val="00DF1C16"/>
    <w:rsid w:val="00E00BF5"/>
    <w:rsid w:val="00E13D53"/>
    <w:rsid w:val="00E27A97"/>
    <w:rsid w:val="00E426A9"/>
    <w:rsid w:val="00E60CA6"/>
    <w:rsid w:val="00E7338C"/>
    <w:rsid w:val="00E74648"/>
    <w:rsid w:val="00E776CC"/>
    <w:rsid w:val="00E9297F"/>
    <w:rsid w:val="00E94196"/>
    <w:rsid w:val="00EA3984"/>
    <w:rsid w:val="00EA480F"/>
    <w:rsid w:val="00EA5C09"/>
    <w:rsid w:val="00EA6054"/>
    <w:rsid w:val="00EA7D4F"/>
    <w:rsid w:val="00EB16F7"/>
    <w:rsid w:val="00EB2C9F"/>
    <w:rsid w:val="00EB39D7"/>
    <w:rsid w:val="00EC504C"/>
    <w:rsid w:val="00ED5C0B"/>
    <w:rsid w:val="00EE4737"/>
    <w:rsid w:val="00EE5FA0"/>
    <w:rsid w:val="00EF1F8E"/>
    <w:rsid w:val="00F11DA4"/>
    <w:rsid w:val="00F1665D"/>
    <w:rsid w:val="00F23F5A"/>
    <w:rsid w:val="00F26E46"/>
    <w:rsid w:val="00F271BC"/>
    <w:rsid w:val="00F40510"/>
    <w:rsid w:val="00F4123E"/>
    <w:rsid w:val="00F41CF0"/>
    <w:rsid w:val="00F42EF5"/>
    <w:rsid w:val="00F43925"/>
    <w:rsid w:val="00F50F6D"/>
    <w:rsid w:val="00F561E3"/>
    <w:rsid w:val="00F6046B"/>
    <w:rsid w:val="00F779B3"/>
    <w:rsid w:val="00F80E25"/>
    <w:rsid w:val="00F95660"/>
    <w:rsid w:val="00FA2215"/>
    <w:rsid w:val="00FB3687"/>
    <w:rsid w:val="00FC1FCE"/>
    <w:rsid w:val="00FC2194"/>
    <w:rsid w:val="00FC7ED8"/>
    <w:rsid w:val="00FD0EE6"/>
    <w:rsid w:val="00FD54D7"/>
    <w:rsid w:val="00FD75CD"/>
    <w:rsid w:val="00FE0385"/>
    <w:rsid w:val="00FE1FF1"/>
    <w:rsid w:val="00FE3007"/>
    <w:rsid w:val="00FE47E2"/>
    <w:rsid w:val="00FE4BD6"/>
    <w:rsid w:val="00FF0F8C"/>
    <w:rsid w:val="00FF277C"/>
    <w:rsid w:val="00FF50F9"/>
    <w:rsid w:val="00FF5D83"/>
    <w:rsid w:val="00FF68C0"/>
    <w:rsid w:val="00FF7039"/>
    <w:rsid w:val="0152C23C"/>
    <w:rsid w:val="018C8BA8"/>
    <w:rsid w:val="0196EDB7"/>
    <w:rsid w:val="01C6C0B1"/>
    <w:rsid w:val="02003C6D"/>
    <w:rsid w:val="022C12FD"/>
    <w:rsid w:val="028ABD36"/>
    <w:rsid w:val="029887F9"/>
    <w:rsid w:val="0298A9F8"/>
    <w:rsid w:val="02DFA36A"/>
    <w:rsid w:val="02EF063C"/>
    <w:rsid w:val="0327BDC5"/>
    <w:rsid w:val="032A5B21"/>
    <w:rsid w:val="035634E7"/>
    <w:rsid w:val="038C5A57"/>
    <w:rsid w:val="03AE117B"/>
    <w:rsid w:val="03CF931D"/>
    <w:rsid w:val="03D97CA2"/>
    <w:rsid w:val="03F1A068"/>
    <w:rsid w:val="0421B9C3"/>
    <w:rsid w:val="04466ECF"/>
    <w:rsid w:val="044B5582"/>
    <w:rsid w:val="0499AB3A"/>
    <w:rsid w:val="04AEA977"/>
    <w:rsid w:val="04FFEEE5"/>
    <w:rsid w:val="050DF717"/>
    <w:rsid w:val="0524289D"/>
    <w:rsid w:val="05707396"/>
    <w:rsid w:val="0572BCA2"/>
    <w:rsid w:val="0598A405"/>
    <w:rsid w:val="05B982D4"/>
    <w:rsid w:val="05D04366"/>
    <w:rsid w:val="05E3E7A7"/>
    <w:rsid w:val="05E4E74B"/>
    <w:rsid w:val="05F988FA"/>
    <w:rsid w:val="0621935C"/>
    <w:rsid w:val="069011C1"/>
    <w:rsid w:val="06912F68"/>
    <w:rsid w:val="069DF213"/>
    <w:rsid w:val="070B5137"/>
    <w:rsid w:val="070DA8DC"/>
    <w:rsid w:val="070E04DC"/>
    <w:rsid w:val="0742E1C1"/>
    <w:rsid w:val="074476ED"/>
    <w:rsid w:val="075782C3"/>
    <w:rsid w:val="077B4B09"/>
    <w:rsid w:val="07AB05C6"/>
    <w:rsid w:val="07AF6E99"/>
    <w:rsid w:val="07CFD746"/>
    <w:rsid w:val="07DFE5A1"/>
    <w:rsid w:val="07E7E209"/>
    <w:rsid w:val="080FE7E3"/>
    <w:rsid w:val="0868AFF0"/>
    <w:rsid w:val="087340E0"/>
    <w:rsid w:val="087E20D8"/>
    <w:rsid w:val="08BBBEBE"/>
    <w:rsid w:val="08F8C232"/>
    <w:rsid w:val="09025858"/>
    <w:rsid w:val="0904A24C"/>
    <w:rsid w:val="0942B665"/>
    <w:rsid w:val="09786915"/>
    <w:rsid w:val="097CF176"/>
    <w:rsid w:val="0998C53A"/>
    <w:rsid w:val="099AFF56"/>
    <w:rsid w:val="09E6E078"/>
    <w:rsid w:val="0A116645"/>
    <w:rsid w:val="0A148964"/>
    <w:rsid w:val="0A1ED21A"/>
    <w:rsid w:val="0A5B6D8A"/>
    <w:rsid w:val="0A5D32A9"/>
    <w:rsid w:val="0A68E24A"/>
    <w:rsid w:val="0A6D315E"/>
    <w:rsid w:val="0A735D87"/>
    <w:rsid w:val="0A9E7F93"/>
    <w:rsid w:val="0AD29C2A"/>
    <w:rsid w:val="0AE113DC"/>
    <w:rsid w:val="0B23DCDA"/>
    <w:rsid w:val="0B296EAE"/>
    <w:rsid w:val="0B557696"/>
    <w:rsid w:val="0B5B5414"/>
    <w:rsid w:val="0B88D1AD"/>
    <w:rsid w:val="0B95B23D"/>
    <w:rsid w:val="0B9C6B24"/>
    <w:rsid w:val="0BAB360E"/>
    <w:rsid w:val="0BBCBD80"/>
    <w:rsid w:val="0C2025D4"/>
    <w:rsid w:val="0C267B04"/>
    <w:rsid w:val="0C514E27"/>
    <w:rsid w:val="0C935220"/>
    <w:rsid w:val="0CA1EBA7"/>
    <w:rsid w:val="0CB9BB5C"/>
    <w:rsid w:val="0CE355BF"/>
    <w:rsid w:val="0CEE51C4"/>
    <w:rsid w:val="0CF2E442"/>
    <w:rsid w:val="0CF52265"/>
    <w:rsid w:val="0D12EE0B"/>
    <w:rsid w:val="0D7BAD7F"/>
    <w:rsid w:val="0D999A6A"/>
    <w:rsid w:val="0D9ABA1B"/>
    <w:rsid w:val="0DA7101E"/>
    <w:rsid w:val="0DC16FD8"/>
    <w:rsid w:val="0DD223B5"/>
    <w:rsid w:val="0E0D740A"/>
    <w:rsid w:val="0E0EA866"/>
    <w:rsid w:val="0E335E76"/>
    <w:rsid w:val="0E38B06A"/>
    <w:rsid w:val="0E4132AD"/>
    <w:rsid w:val="0E7FEB1A"/>
    <w:rsid w:val="0EAA8F82"/>
    <w:rsid w:val="0EB8AF4E"/>
    <w:rsid w:val="0F0118F2"/>
    <w:rsid w:val="0F0420A6"/>
    <w:rsid w:val="0F16B234"/>
    <w:rsid w:val="0F411EF2"/>
    <w:rsid w:val="0F61F84E"/>
    <w:rsid w:val="0F6C8684"/>
    <w:rsid w:val="0F8DC8E2"/>
    <w:rsid w:val="0F9D0EFE"/>
    <w:rsid w:val="1018D0EC"/>
    <w:rsid w:val="10460A51"/>
    <w:rsid w:val="10650D23"/>
    <w:rsid w:val="1069BC89"/>
    <w:rsid w:val="1091671F"/>
    <w:rsid w:val="10ADA8A2"/>
    <w:rsid w:val="10D0F8CD"/>
    <w:rsid w:val="10DD08BC"/>
    <w:rsid w:val="11AF650D"/>
    <w:rsid w:val="11CB8AF5"/>
    <w:rsid w:val="11F03277"/>
    <w:rsid w:val="11F8036E"/>
    <w:rsid w:val="1217EEBB"/>
    <w:rsid w:val="121F8DD5"/>
    <w:rsid w:val="125E6A87"/>
    <w:rsid w:val="1274DC88"/>
    <w:rsid w:val="1276E784"/>
    <w:rsid w:val="128793F6"/>
    <w:rsid w:val="12B63EEB"/>
    <w:rsid w:val="12BDF239"/>
    <w:rsid w:val="131A535A"/>
    <w:rsid w:val="133459F1"/>
    <w:rsid w:val="133C8269"/>
    <w:rsid w:val="1363F41F"/>
    <w:rsid w:val="1364992C"/>
    <w:rsid w:val="137F4E32"/>
    <w:rsid w:val="13F000C1"/>
    <w:rsid w:val="14194720"/>
    <w:rsid w:val="1419B0C4"/>
    <w:rsid w:val="1459FCF1"/>
    <w:rsid w:val="1461A277"/>
    <w:rsid w:val="1463BC90"/>
    <w:rsid w:val="146FA6AE"/>
    <w:rsid w:val="14798A9D"/>
    <w:rsid w:val="14832D2D"/>
    <w:rsid w:val="148BBD98"/>
    <w:rsid w:val="149AA58F"/>
    <w:rsid w:val="149BD13B"/>
    <w:rsid w:val="1508F028"/>
    <w:rsid w:val="151E052F"/>
    <w:rsid w:val="15365058"/>
    <w:rsid w:val="154348C0"/>
    <w:rsid w:val="156450BA"/>
    <w:rsid w:val="1564C49E"/>
    <w:rsid w:val="158054A5"/>
    <w:rsid w:val="15A8CEF2"/>
    <w:rsid w:val="15B7FED6"/>
    <w:rsid w:val="15C7FD2B"/>
    <w:rsid w:val="1600328C"/>
    <w:rsid w:val="168180D7"/>
    <w:rsid w:val="16EC65F4"/>
    <w:rsid w:val="1705BA97"/>
    <w:rsid w:val="1719D97A"/>
    <w:rsid w:val="173C0DB8"/>
    <w:rsid w:val="17506C6F"/>
    <w:rsid w:val="1767A48E"/>
    <w:rsid w:val="177A4A01"/>
    <w:rsid w:val="17BB3091"/>
    <w:rsid w:val="17E86A86"/>
    <w:rsid w:val="180061B5"/>
    <w:rsid w:val="18174912"/>
    <w:rsid w:val="18442518"/>
    <w:rsid w:val="184D0B56"/>
    <w:rsid w:val="18500FA6"/>
    <w:rsid w:val="185BCC39"/>
    <w:rsid w:val="187265A0"/>
    <w:rsid w:val="1896D9F6"/>
    <w:rsid w:val="18DC1D7E"/>
    <w:rsid w:val="18DEC866"/>
    <w:rsid w:val="190AAD40"/>
    <w:rsid w:val="19101EB4"/>
    <w:rsid w:val="194F51B4"/>
    <w:rsid w:val="197A92FF"/>
    <w:rsid w:val="19829FCC"/>
    <w:rsid w:val="19954349"/>
    <w:rsid w:val="1A07CD04"/>
    <w:rsid w:val="1A5A8200"/>
    <w:rsid w:val="1A6F34CE"/>
    <w:rsid w:val="1A7736E2"/>
    <w:rsid w:val="1A7D6B60"/>
    <w:rsid w:val="1AA9FDDF"/>
    <w:rsid w:val="1AD4F4C8"/>
    <w:rsid w:val="1B581730"/>
    <w:rsid w:val="1B826C89"/>
    <w:rsid w:val="1BFF4DE9"/>
    <w:rsid w:val="1C482583"/>
    <w:rsid w:val="1C62E3DF"/>
    <w:rsid w:val="1C65F289"/>
    <w:rsid w:val="1C775515"/>
    <w:rsid w:val="1C7F9325"/>
    <w:rsid w:val="1C830E0C"/>
    <w:rsid w:val="1CEC71F6"/>
    <w:rsid w:val="1CEF18BF"/>
    <w:rsid w:val="1D141B7C"/>
    <w:rsid w:val="1D194F59"/>
    <w:rsid w:val="1D1ADF52"/>
    <w:rsid w:val="1D4966F2"/>
    <w:rsid w:val="1D6B2D8A"/>
    <w:rsid w:val="1D8039A3"/>
    <w:rsid w:val="1D977F70"/>
    <w:rsid w:val="1D978F04"/>
    <w:rsid w:val="1DB5300C"/>
    <w:rsid w:val="1DC635A9"/>
    <w:rsid w:val="1DC8D33A"/>
    <w:rsid w:val="1E23D445"/>
    <w:rsid w:val="1E27C778"/>
    <w:rsid w:val="1E29C65C"/>
    <w:rsid w:val="1E64AC47"/>
    <w:rsid w:val="1E66345A"/>
    <w:rsid w:val="1E6C2067"/>
    <w:rsid w:val="1E72B076"/>
    <w:rsid w:val="1E7401F7"/>
    <w:rsid w:val="1E74743A"/>
    <w:rsid w:val="1E89B200"/>
    <w:rsid w:val="1E9E0B4C"/>
    <w:rsid w:val="1EAF925A"/>
    <w:rsid w:val="1ECF58A5"/>
    <w:rsid w:val="1F0859E1"/>
    <w:rsid w:val="1F5373FE"/>
    <w:rsid w:val="1F8F1847"/>
    <w:rsid w:val="1F99D11F"/>
    <w:rsid w:val="1FB8D248"/>
    <w:rsid w:val="1FD8572D"/>
    <w:rsid w:val="20232A69"/>
    <w:rsid w:val="20413324"/>
    <w:rsid w:val="204D1D28"/>
    <w:rsid w:val="2087ABF7"/>
    <w:rsid w:val="20B906D3"/>
    <w:rsid w:val="20B93F7E"/>
    <w:rsid w:val="20B9DBFA"/>
    <w:rsid w:val="20C4D42F"/>
    <w:rsid w:val="20E881BF"/>
    <w:rsid w:val="213D52D6"/>
    <w:rsid w:val="214F25C4"/>
    <w:rsid w:val="217E7BBD"/>
    <w:rsid w:val="218EC908"/>
    <w:rsid w:val="21B05C53"/>
    <w:rsid w:val="21EB2030"/>
    <w:rsid w:val="2205E5DA"/>
    <w:rsid w:val="226784E2"/>
    <w:rsid w:val="22B10BD5"/>
    <w:rsid w:val="23080BC4"/>
    <w:rsid w:val="23335BA5"/>
    <w:rsid w:val="233374DD"/>
    <w:rsid w:val="2373EA3D"/>
    <w:rsid w:val="2396B9CA"/>
    <w:rsid w:val="23A5D76A"/>
    <w:rsid w:val="23DA17FC"/>
    <w:rsid w:val="2428E07B"/>
    <w:rsid w:val="242C068D"/>
    <w:rsid w:val="24577512"/>
    <w:rsid w:val="249412CE"/>
    <w:rsid w:val="24CA38B8"/>
    <w:rsid w:val="24CB9400"/>
    <w:rsid w:val="250F6CE7"/>
    <w:rsid w:val="2519A8F2"/>
    <w:rsid w:val="25598D15"/>
    <w:rsid w:val="255C1ADF"/>
    <w:rsid w:val="2574BAD5"/>
    <w:rsid w:val="257E20AF"/>
    <w:rsid w:val="25A92E23"/>
    <w:rsid w:val="25C04511"/>
    <w:rsid w:val="25C8331A"/>
    <w:rsid w:val="260998C5"/>
    <w:rsid w:val="26154747"/>
    <w:rsid w:val="2621EAA9"/>
    <w:rsid w:val="2627C012"/>
    <w:rsid w:val="26464601"/>
    <w:rsid w:val="2648494F"/>
    <w:rsid w:val="26713830"/>
    <w:rsid w:val="268B21FB"/>
    <w:rsid w:val="26B38426"/>
    <w:rsid w:val="26BE5336"/>
    <w:rsid w:val="26D08C1F"/>
    <w:rsid w:val="26D2474A"/>
    <w:rsid w:val="26D40E35"/>
    <w:rsid w:val="27528C71"/>
    <w:rsid w:val="2754337F"/>
    <w:rsid w:val="278D18E3"/>
    <w:rsid w:val="27ABF59B"/>
    <w:rsid w:val="27ACE263"/>
    <w:rsid w:val="27E30726"/>
    <w:rsid w:val="27F92307"/>
    <w:rsid w:val="2804CBB0"/>
    <w:rsid w:val="28485209"/>
    <w:rsid w:val="28A8ADDD"/>
    <w:rsid w:val="28C3F22D"/>
    <w:rsid w:val="28CCEDE9"/>
    <w:rsid w:val="28D537CE"/>
    <w:rsid w:val="28ECDB89"/>
    <w:rsid w:val="290B7EB3"/>
    <w:rsid w:val="2947E8D7"/>
    <w:rsid w:val="295A267D"/>
    <w:rsid w:val="295CCA49"/>
    <w:rsid w:val="29B5856B"/>
    <w:rsid w:val="29D47F67"/>
    <w:rsid w:val="29F9120D"/>
    <w:rsid w:val="2A050D7A"/>
    <w:rsid w:val="2A21A308"/>
    <w:rsid w:val="2A21BC0F"/>
    <w:rsid w:val="2A3B411C"/>
    <w:rsid w:val="2A5F8C85"/>
    <w:rsid w:val="2AC2E06D"/>
    <w:rsid w:val="2AEACCC1"/>
    <w:rsid w:val="2AECF400"/>
    <w:rsid w:val="2B683DFC"/>
    <w:rsid w:val="2BFEFEB6"/>
    <w:rsid w:val="2C659B9E"/>
    <w:rsid w:val="2C818465"/>
    <w:rsid w:val="2C821B0F"/>
    <w:rsid w:val="2C9971B4"/>
    <w:rsid w:val="2CFF2E9C"/>
    <w:rsid w:val="2D05421F"/>
    <w:rsid w:val="2D3B325F"/>
    <w:rsid w:val="2D437F62"/>
    <w:rsid w:val="2D486836"/>
    <w:rsid w:val="2D71A584"/>
    <w:rsid w:val="2D812D4D"/>
    <w:rsid w:val="2D99B26A"/>
    <w:rsid w:val="2D9B5C51"/>
    <w:rsid w:val="2DC503A8"/>
    <w:rsid w:val="2DC5C6D9"/>
    <w:rsid w:val="2DD9BFDB"/>
    <w:rsid w:val="2DF1E7E3"/>
    <w:rsid w:val="2E09895C"/>
    <w:rsid w:val="2E0B165B"/>
    <w:rsid w:val="2E251E1D"/>
    <w:rsid w:val="2E5D19E4"/>
    <w:rsid w:val="2E66C6DF"/>
    <w:rsid w:val="2E709B91"/>
    <w:rsid w:val="2E9C607D"/>
    <w:rsid w:val="2EAB7B0E"/>
    <w:rsid w:val="2EB035DC"/>
    <w:rsid w:val="2EE6B8A3"/>
    <w:rsid w:val="2EE8CFA3"/>
    <w:rsid w:val="2F175CE5"/>
    <w:rsid w:val="2F3532B0"/>
    <w:rsid w:val="2F89E591"/>
    <w:rsid w:val="2FCA160E"/>
    <w:rsid w:val="2FE7CBCB"/>
    <w:rsid w:val="3026A5E4"/>
    <w:rsid w:val="30661BE2"/>
    <w:rsid w:val="308083E5"/>
    <w:rsid w:val="30934A84"/>
    <w:rsid w:val="3096A33D"/>
    <w:rsid w:val="30F12A0D"/>
    <w:rsid w:val="30F20914"/>
    <w:rsid w:val="311AAE36"/>
    <w:rsid w:val="3124955A"/>
    <w:rsid w:val="31AE63D8"/>
    <w:rsid w:val="31C5BBA8"/>
    <w:rsid w:val="320828A8"/>
    <w:rsid w:val="320E8C5F"/>
    <w:rsid w:val="32529536"/>
    <w:rsid w:val="325C8605"/>
    <w:rsid w:val="3289D9FF"/>
    <w:rsid w:val="32A01D61"/>
    <w:rsid w:val="32E9475D"/>
    <w:rsid w:val="33114388"/>
    <w:rsid w:val="338F6EFE"/>
    <w:rsid w:val="339389A9"/>
    <w:rsid w:val="33A94A1D"/>
    <w:rsid w:val="33D586D2"/>
    <w:rsid w:val="33F64370"/>
    <w:rsid w:val="33FD12BD"/>
    <w:rsid w:val="34036AEE"/>
    <w:rsid w:val="3408FF20"/>
    <w:rsid w:val="3431CC39"/>
    <w:rsid w:val="343D9E97"/>
    <w:rsid w:val="34E64C10"/>
    <w:rsid w:val="351B3A02"/>
    <w:rsid w:val="35328DCA"/>
    <w:rsid w:val="3532D8F2"/>
    <w:rsid w:val="3532FA81"/>
    <w:rsid w:val="3570C9D3"/>
    <w:rsid w:val="358BABF6"/>
    <w:rsid w:val="35A9E815"/>
    <w:rsid w:val="3600C9F4"/>
    <w:rsid w:val="363D0AEE"/>
    <w:rsid w:val="363E06CB"/>
    <w:rsid w:val="36A10434"/>
    <w:rsid w:val="36C7A841"/>
    <w:rsid w:val="36F735F3"/>
    <w:rsid w:val="370825B1"/>
    <w:rsid w:val="371ED89B"/>
    <w:rsid w:val="372726CE"/>
    <w:rsid w:val="3730CAB7"/>
    <w:rsid w:val="3735C278"/>
    <w:rsid w:val="373BFB2C"/>
    <w:rsid w:val="3746BA04"/>
    <w:rsid w:val="374D4026"/>
    <w:rsid w:val="374F3E34"/>
    <w:rsid w:val="375BC534"/>
    <w:rsid w:val="375EA0B1"/>
    <w:rsid w:val="3768E2E2"/>
    <w:rsid w:val="376E3D72"/>
    <w:rsid w:val="377AA281"/>
    <w:rsid w:val="3787F613"/>
    <w:rsid w:val="382F521A"/>
    <w:rsid w:val="3831F383"/>
    <w:rsid w:val="384FCF0B"/>
    <w:rsid w:val="386C8321"/>
    <w:rsid w:val="386E0424"/>
    <w:rsid w:val="387BD819"/>
    <w:rsid w:val="392B84D4"/>
    <w:rsid w:val="392F24A6"/>
    <w:rsid w:val="39443AF0"/>
    <w:rsid w:val="396D6F34"/>
    <w:rsid w:val="398CBE99"/>
    <w:rsid w:val="3A031C6F"/>
    <w:rsid w:val="3A04A4A8"/>
    <w:rsid w:val="3A12A78D"/>
    <w:rsid w:val="3A16CA99"/>
    <w:rsid w:val="3A9E7876"/>
    <w:rsid w:val="3AA46419"/>
    <w:rsid w:val="3AD6ECC5"/>
    <w:rsid w:val="3B0FB828"/>
    <w:rsid w:val="3B34AC64"/>
    <w:rsid w:val="3B42492A"/>
    <w:rsid w:val="3B428E7A"/>
    <w:rsid w:val="3B685958"/>
    <w:rsid w:val="3B7334A4"/>
    <w:rsid w:val="3B7ED8B7"/>
    <w:rsid w:val="3BB88D42"/>
    <w:rsid w:val="3BD25915"/>
    <w:rsid w:val="3BE3C5C7"/>
    <w:rsid w:val="3BECFFE7"/>
    <w:rsid w:val="3BF09670"/>
    <w:rsid w:val="3BF3AF9C"/>
    <w:rsid w:val="3C17EC2E"/>
    <w:rsid w:val="3C37E3AE"/>
    <w:rsid w:val="3C4C0AF2"/>
    <w:rsid w:val="3C99DEA1"/>
    <w:rsid w:val="3CB498E9"/>
    <w:rsid w:val="3CC6648F"/>
    <w:rsid w:val="3CCC9442"/>
    <w:rsid w:val="3CDE23BE"/>
    <w:rsid w:val="3CE2D130"/>
    <w:rsid w:val="3CF708AE"/>
    <w:rsid w:val="3D2A9604"/>
    <w:rsid w:val="3D33C81D"/>
    <w:rsid w:val="3D3E2BF0"/>
    <w:rsid w:val="3D7A63C1"/>
    <w:rsid w:val="3D8CC057"/>
    <w:rsid w:val="3E32FD8E"/>
    <w:rsid w:val="3E3D2A33"/>
    <w:rsid w:val="3E48FFF6"/>
    <w:rsid w:val="3E75FC2C"/>
    <w:rsid w:val="3E82F629"/>
    <w:rsid w:val="3E91DA84"/>
    <w:rsid w:val="3E91FD22"/>
    <w:rsid w:val="3E9781D4"/>
    <w:rsid w:val="3E985C6C"/>
    <w:rsid w:val="3EA0165E"/>
    <w:rsid w:val="3EB4B3DD"/>
    <w:rsid w:val="3EC037E7"/>
    <w:rsid w:val="3EC15F04"/>
    <w:rsid w:val="3ECB7C1E"/>
    <w:rsid w:val="3EEE6289"/>
    <w:rsid w:val="3EF61742"/>
    <w:rsid w:val="3F0A0C14"/>
    <w:rsid w:val="3F4B74E4"/>
    <w:rsid w:val="3F76A983"/>
    <w:rsid w:val="3F7E6122"/>
    <w:rsid w:val="3F850103"/>
    <w:rsid w:val="3F8B1100"/>
    <w:rsid w:val="3FC0245F"/>
    <w:rsid w:val="3FCE4880"/>
    <w:rsid w:val="3FD44EFE"/>
    <w:rsid w:val="3FF3CFD8"/>
    <w:rsid w:val="4016C24F"/>
    <w:rsid w:val="402C4756"/>
    <w:rsid w:val="40803972"/>
    <w:rsid w:val="409F6E60"/>
    <w:rsid w:val="40D7991C"/>
    <w:rsid w:val="40EA4C04"/>
    <w:rsid w:val="4108E2BE"/>
    <w:rsid w:val="413C284E"/>
    <w:rsid w:val="414AB091"/>
    <w:rsid w:val="4159D254"/>
    <w:rsid w:val="41677B5B"/>
    <w:rsid w:val="41D1928A"/>
    <w:rsid w:val="41D85C76"/>
    <w:rsid w:val="41D8B43A"/>
    <w:rsid w:val="4212E225"/>
    <w:rsid w:val="42256059"/>
    <w:rsid w:val="424A6299"/>
    <w:rsid w:val="42525EED"/>
    <w:rsid w:val="42638D99"/>
    <w:rsid w:val="427821B5"/>
    <w:rsid w:val="427CD020"/>
    <w:rsid w:val="4296D264"/>
    <w:rsid w:val="42EAAAF6"/>
    <w:rsid w:val="430E21EE"/>
    <w:rsid w:val="43139CF7"/>
    <w:rsid w:val="4313DBC6"/>
    <w:rsid w:val="434093C9"/>
    <w:rsid w:val="4355E71D"/>
    <w:rsid w:val="4372EB4C"/>
    <w:rsid w:val="4387B396"/>
    <w:rsid w:val="439B364E"/>
    <w:rsid w:val="440B2D3D"/>
    <w:rsid w:val="442CB95B"/>
    <w:rsid w:val="44374290"/>
    <w:rsid w:val="444A5CDF"/>
    <w:rsid w:val="445EE9E5"/>
    <w:rsid w:val="4466FC84"/>
    <w:rsid w:val="44706E04"/>
    <w:rsid w:val="44741574"/>
    <w:rsid w:val="4475B51E"/>
    <w:rsid w:val="44C10D57"/>
    <w:rsid w:val="45076568"/>
    <w:rsid w:val="45178BDA"/>
    <w:rsid w:val="456CD364"/>
    <w:rsid w:val="456D4ECB"/>
    <w:rsid w:val="45ACD574"/>
    <w:rsid w:val="45ACFCB5"/>
    <w:rsid w:val="45AE3E01"/>
    <w:rsid w:val="45C288EE"/>
    <w:rsid w:val="45C620DF"/>
    <w:rsid w:val="45E17EC7"/>
    <w:rsid w:val="45E90FDC"/>
    <w:rsid w:val="45F6DD24"/>
    <w:rsid w:val="45FCC134"/>
    <w:rsid w:val="46319724"/>
    <w:rsid w:val="4688B06C"/>
    <w:rsid w:val="468D489E"/>
    <w:rsid w:val="46AFCB78"/>
    <w:rsid w:val="46B9DD25"/>
    <w:rsid w:val="46BECAFE"/>
    <w:rsid w:val="46C3FE2D"/>
    <w:rsid w:val="46E21978"/>
    <w:rsid w:val="46EFF616"/>
    <w:rsid w:val="474104C2"/>
    <w:rsid w:val="4746569C"/>
    <w:rsid w:val="474F6E7D"/>
    <w:rsid w:val="4758EFB6"/>
    <w:rsid w:val="47802E5E"/>
    <w:rsid w:val="47D24DD5"/>
    <w:rsid w:val="47F29CCC"/>
    <w:rsid w:val="47FB63DA"/>
    <w:rsid w:val="480F48C9"/>
    <w:rsid w:val="484CE7B7"/>
    <w:rsid w:val="484D5005"/>
    <w:rsid w:val="484D6B45"/>
    <w:rsid w:val="48612D6A"/>
    <w:rsid w:val="48B34FC9"/>
    <w:rsid w:val="492FC20B"/>
    <w:rsid w:val="49684E39"/>
    <w:rsid w:val="496CEEE7"/>
    <w:rsid w:val="4974406C"/>
    <w:rsid w:val="49A7B4EE"/>
    <w:rsid w:val="49B0B77F"/>
    <w:rsid w:val="49CD59E9"/>
    <w:rsid w:val="49D78C7F"/>
    <w:rsid w:val="4A13C2A8"/>
    <w:rsid w:val="4A16F818"/>
    <w:rsid w:val="4A38D87F"/>
    <w:rsid w:val="4A3CD342"/>
    <w:rsid w:val="4A61E053"/>
    <w:rsid w:val="4A91812B"/>
    <w:rsid w:val="4AFA30FA"/>
    <w:rsid w:val="4B0062C4"/>
    <w:rsid w:val="4B14D88A"/>
    <w:rsid w:val="4B197097"/>
    <w:rsid w:val="4B5D5061"/>
    <w:rsid w:val="4B8A1416"/>
    <w:rsid w:val="4BC837A5"/>
    <w:rsid w:val="4BFE19A7"/>
    <w:rsid w:val="4C04C6F8"/>
    <w:rsid w:val="4C168090"/>
    <w:rsid w:val="4C17FEF9"/>
    <w:rsid w:val="4C55C13C"/>
    <w:rsid w:val="4C574250"/>
    <w:rsid w:val="4C6066EC"/>
    <w:rsid w:val="4C761A86"/>
    <w:rsid w:val="4C7BFA11"/>
    <w:rsid w:val="4CD7C167"/>
    <w:rsid w:val="4CF6EAF1"/>
    <w:rsid w:val="4D26C5C6"/>
    <w:rsid w:val="4D2A5C1D"/>
    <w:rsid w:val="4D369F7C"/>
    <w:rsid w:val="4D3E8560"/>
    <w:rsid w:val="4D59A1C8"/>
    <w:rsid w:val="4D5FC0EC"/>
    <w:rsid w:val="4D65B539"/>
    <w:rsid w:val="4D970F7E"/>
    <w:rsid w:val="4DB86784"/>
    <w:rsid w:val="4DB89DB3"/>
    <w:rsid w:val="4DBA52E5"/>
    <w:rsid w:val="4DBBF696"/>
    <w:rsid w:val="4DCA54E5"/>
    <w:rsid w:val="4E5D0051"/>
    <w:rsid w:val="4E641ACE"/>
    <w:rsid w:val="4E9A9280"/>
    <w:rsid w:val="4E9C96A5"/>
    <w:rsid w:val="4EDECAD8"/>
    <w:rsid w:val="4EEE207D"/>
    <w:rsid w:val="4F04B9C5"/>
    <w:rsid w:val="4F39A403"/>
    <w:rsid w:val="4F7D1942"/>
    <w:rsid w:val="4F814342"/>
    <w:rsid w:val="4FDCE4B4"/>
    <w:rsid w:val="4FEAEC73"/>
    <w:rsid w:val="4FF6DEFA"/>
    <w:rsid w:val="502F96B3"/>
    <w:rsid w:val="505242E5"/>
    <w:rsid w:val="508CBFFF"/>
    <w:rsid w:val="509FBC5B"/>
    <w:rsid w:val="50A09762"/>
    <w:rsid w:val="5132D5BD"/>
    <w:rsid w:val="5133E42B"/>
    <w:rsid w:val="514F40DD"/>
    <w:rsid w:val="51633116"/>
    <w:rsid w:val="51AEC804"/>
    <w:rsid w:val="51B08238"/>
    <w:rsid w:val="520D4FE6"/>
    <w:rsid w:val="5219EB77"/>
    <w:rsid w:val="526C04DE"/>
    <w:rsid w:val="529E3BB0"/>
    <w:rsid w:val="52B5DA85"/>
    <w:rsid w:val="52C3477F"/>
    <w:rsid w:val="52C3E09C"/>
    <w:rsid w:val="52FD71A3"/>
    <w:rsid w:val="531411E8"/>
    <w:rsid w:val="53251126"/>
    <w:rsid w:val="534E9AD8"/>
    <w:rsid w:val="535C0F42"/>
    <w:rsid w:val="536E41CD"/>
    <w:rsid w:val="53A800CB"/>
    <w:rsid w:val="53B8FE30"/>
    <w:rsid w:val="53D28B64"/>
    <w:rsid w:val="53F625D7"/>
    <w:rsid w:val="54017BCE"/>
    <w:rsid w:val="5428579E"/>
    <w:rsid w:val="5438C7ED"/>
    <w:rsid w:val="54532B39"/>
    <w:rsid w:val="545AD0E8"/>
    <w:rsid w:val="546ECA21"/>
    <w:rsid w:val="54CF648A"/>
    <w:rsid w:val="54D1B389"/>
    <w:rsid w:val="54EF9328"/>
    <w:rsid w:val="54F0354B"/>
    <w:rsid w:val="54F4447B"/>
    <w:rsid w:val="555816F5"/>
    <w:rsid w:val="556153EB"/>
    <w:rsid w:val="55729580"/>
    <w:rsid w:val="55798FE7"/>
    <w:rsid w:val="558FA969"/>
    <w:rsid w:val="559ECBCD"/>
    <w:rsid w:val="55E2E8C5"/>
    <w:rsid w:val="561AA592"/>
    <w:rsid w:val="562D8EA1"/>
    <w:rsid w:val="562FD359"/>
    <w:rsid w:val="5656820C"/>
    <w:rsid w:val="5660400A"/>
    <w:rsid w:val="566BFEDB"/>
    <w:rsid w:val="569225C5"/>
    <w:rsid w:val="569A3A53"/>
    <w:rsid w:val="569ACBE1"/>
    <w:rsid w:val="56A7A743"/>
    <w:rsid w:val="56DA18F5"/>
    <w:rsid w:val="56DB4BD9"/>
    <w:rsid w:val="56ED5DA2"/>
    <w:rsid w:val="5706369D"/>
    <w:rsid w:val="572C7D75"/>
    <w:rsid w:val="5784678D"/>
    <w:rsid w:val="57CD6332"/>
    <w:rsid w:val="57F45C7E"/>
    <w:rsid w:val="5807265A"/>
    <w:rsid w:val="5849C7A3"/>
    <w:rsid w:val="586FD5E8"/>
    <w:rsid w:val="58822680"/>
    <w:rsid w:val="58BF529A"/>
    <w:rsid w:val="5919C08B"/>
    <w:rsid w:val="59577C47"/>
    <w:rsid w:val="59910949"/>
    <w:rsid w:val="5995FDD7"/>
    <w:rsid w:val="59C1665B"/>
    <w:rsid w:val="59DC2598"/>
    <w:rsid w:val="5A11E7A1"/>
    <w:rsid w:val="5A1729E0"/>
    <w:rsid w:val="5A5D3DB5"/>
    <w:rsid w:val="5B011822"/>
    <w:rsid w:val="5B0D0AB3"/>
    <w:rsid w:val="5B3B5F95"/>
    <w:rsid w:val="5B520096"/>
    <w:rsid w:val="5B614640"/>
    <w:rsid w:val="5B8F577A"/>
    <w:rsid w:val="5BA6C478"/>
    <w:rsid w:val="5C549843"/>
    <w:rsid w:val="5C56042C"/>
    <w:rsid w:val="5C59AF32"/>
    <w:rsid w:val="5C65B56B"/>
    <w:rsid w:val="5C94DA8C"/>
    <w:rsid w:val="5C998722"/>
    <w:rsid w:val="5CC834FD"/>
    <w:rsid w:val="5CDB09ED"/>
    <w:rsid w:val="5CF8A86C"/>
    <w:rsid w:val="5D1663A3"/>
    <w:rsid w:val="5D32BE44"/>
    <w:rsid w:val="5D3FA771"/>
    <w:rsid w:val="5D45DF1B"/>
    <w:rsid w:val="5D5C568B"/>
    <w:rsid w:val="5D9330FA"/>
    <w:rsid w:val="5DC6C753"/>
    <w:rsid w:val="5DC77A62"/>
    <w:rsid w:val="5DE566CD"/>
    <w:rsid w:val="5DFA4318"/>
    <w:rsid w:val="5E268D86"/>
    <w:rsid w:val="5E6DE644"/>
    <w:rsid w:val="5E7A338E"/>
    <w:rsid w:val="5E8246AC"/>
    <w:rsid w:val="5E8E1625"/>
    <w:rsid w:val="5E9B0657"/>
    <w:rsid w:val="5EA9BCBE"/>
    <w:rsid w:val="5ED8653C"/>
    <w:rsid w:val="5EDA8785"/>
    <w:rsid w:val="5EE3AD45"/>
    <w:rsid w:val="5EE6AD64"/>
    <w:rsid w:val="5F350E41"/>
    <w:rsid w:val="5F3F75C1"/>
    <w:rsid w:val="5F42327D"/>
    <w:rsid w:val="5F58693C"/>
    <w:rsid w:val="5FC755AD"/>
    <w:rsid w:val="5FCA544E"/>
    <w:rsid w:val="5FD9467A"/>
    <w:rsid w:val="600F77FD"/>
    <w:rsid w:val="60583F74"/>
    <w:rsid w:val="60721315"/>
    <w:rsid w:val="609B9527"/>
    <w:rsid w:val="60DE8BFF"/>
    <w:rsid w:val="60E370A6"/>
    <w:rsid w:val="60F59389"/>
    <w:rsid w:val="61052318"/>
    <w:rsid w:val="613B3B4F"/>
    <w:rsid w:val="614685E1"/>
    <w:rsid w:val="616BA7E8"/>
    <w:rsid w:val="6171103A"/>
    <w:rsid w:val="6180C2A8"/>
    <w:rsid w:val="61C48002"/>
    <w:rsid w:val="61CD6F61"/>
    <w:rsid w:val="61EC1D22"/>
    <w:rsid w:val="61FBF073"/>
    <w:rsid w:val="61FC8F30"/>
    <w:rsid w:val="61FD209C"/>
    <w:rsid w:val="621F3A7A"/>
    <w:rsid w:val="6240165E"/>
    <w:rsid w:val="625849A4"/>
    <w:rsid w:val="6278CF56"/>
    <w:rsid w:val="628A705A"/>
    <w:rsid w:val="62BF9A56"/>
    <w:rsid w:val="63250D6D"/>
    <w:rsid w:val="6357BC24"/>
    <w:rsid w:val="63D2CE28"/>
    <w:rsid w:val="63EE904D"/>
    <w:rsid w:val="640EF947"/>
    <w:rsid w:val="640F6A0E"/>
    <w:rsid w:val="6428F362"/>
    <w:rsid w:val="6439FA4A"/>
    <w:rsid w:val="644E32E1"/>
    <w:rsid w:val="646AEDD4"/>
    <w:rsid w:val="64762425"/>
    <w:rsid w:val="647FBC82"/>
    <w:rsid w:val="64B96450"/>
    <w:rsid w:val="64C5B0EA"/>
    <w:rsid w:val="64DC293B"/>
    <w:rsid w:val="64ED0695"/>
    <w:rsid w:val="6532BA25"/>
    <w:rsid w:val="6561B712"/>
    <w:rsid w:val="656E14FD"/>
    <w:rsid w:val="65859B5F"/>
    <w:rsid w:val="660F811A"/>
    <w:rsid w:val="6628ACC8"/>
    <w:rsid w:val="663E8116"/>
    <w:rsid w:val="66A74CD8"/>
    <w:rsid w:val="66A97503"/>
    <w:rsid w:val="66B6DC2E"/>
    <w:rsid w:val="66E57550"/>
    <w:rsid w:val="6745FBF6"/>
    <w:rsid w:val="67A7DD1F"/>
    <w:rsid w:val="67AB882C"/>
    <w:rsid w:val="67B35BAF"/>
    <w:rsid w:val="67EFDED9"/>
    <w:rsid w:val="680A5C62"/>
    <w:rsid w:val="680B1006"/>
    <w:rsid w:val="683F40ED"/>
    <w:rsid w:val="686D0691"/>
    <w:rsid w:val="68A0443D"/>
    <w:rsid w:val="68A519DB"/>
    <w:rsid w:val="68B97703"/>
    <w:rsid w:val="68CF8EA2"/>
    <w:rsid w:val="68FEB057"/>
    <w:rsid w:val="6901A539"/>
    <w:rsid w:val="691BBFFE"/>
    <w:rsid w:val="6926D4E7"/>
    <w:rsid w:val="696CD96C"/>
    <w:rsid w:val="69A41064"/>
    <w:rsid w:val="69C01113"/>
    <w:rsid w:val="69DB991D"/>
    <w:rsid w:val="69E981DE"/>
    <w:rsid w:val="6A444E75"/>
    <w:rsid w:val="6A5A7991"/>
    <w:rsid w:val="6A654D19"/>
    <w:rsid w:val="6A7D4656"/>
    <w:rsid w:val="6A915E0C"/>
    <w:rsid w:val="6A92382D"/>
    <w:rsid w:val="6AB0BEF7"/>
    <w:rsid w:val="6AB18044"/>
    <w:rsid w:val="6AB5ECA8"/>
    <w:rsid w:val="6ABC606F"/>
    <w:rsid w:val="6B4E9852"/>
    <w:rsid w:val="6B79878F"/>
    <w:rsid w:val="6BC069B4"/>
    <w:rsid w:val="6BD01C7C"/>
    <w:rsid w:val="6C0B0BCB"/>
    <w:rsid w:val="6C1AF615"/>
    <w:rsid w:val="6C3BCC9C"/>
    <w:rsid w:val="6C41AB8B"/>
    <w:rsid w:val="6C43D857"/>
    <w:rsid w:val="6CC934CD"/>
    <w:rsid w:val="6CE3990A"/>
    <w:rsid w:val="6CE61A8A"/>
    <w:rsid w:val="6CF329CE"/>
    <w:rsid w:val="6D0B2B48"/>
    <w:rsid w:val="6D147CAE"/>
    <w:rsid w:val="6D1E3937"/>
    <w:rsid w:val="6D1F0456"/>
    <w:rsid w:val="6D31AD45"/>
    <w:rsid w:val="6D33FF10"/>
    <w:rsid w:val="6D40FBF0"/>
    <w:rsid w:val="6D43B3B2"/>
    <w:rsid w:val="6D589EFE"/>
    <w:rsid w:val="6D9B31E7"/>
    <w:rsid w:val="6DAB9C36"/>
    <w:rsid w:val="6DFD7A26"/>
    <w:rsid w:val="6E02191B"/>
    <w:rsid w:val="6E094B3C"/>
    <w:rsid w:val="6E0BCE95"/>
    <w:rsid w:val="6E1413D6"/>
    <w:rsid w:val="6E270ECA"/>
    <w:rsid w:val="6E28D2FD"/>
    <w:rsid w:val="6E52ABB0"/>
    <w:rsid w:val="6E6E092E"/>
    <w:rsid w:val="6EA970A7"/>
    <w:rsid w:val="6EDFF58F"/>
    <w:rsid w:val="6F0FBDD2"/>
    <w:rsid w:val="6F10491D"/>
    <w:rsid w:val="6F1F18D8"/>
    <w:rsid w:val="6F324704"/>
    <w:rsid w:val="6F42DA11"/>
    <w:rsid w:val="6F524781"/>
    <w:rsid w:val="6FD81634"/>
    <w:rsid w:val="708DC0F9"/>
    <w:rsid w:val="70E0C67E"/>
    <w:rsid w:val="70F9F43C"/>
    <w:rsid w:val="71187E9C"/>
    <w:rsid w:val="7153696F"/>
    <w:rsid w:val="7176C484"/>
    <w:rsid w:val="71C8F505"/>
    <w:rsid w:val="721525C6"/>
    <w:rsid w:val="722165A7"/>
    <w:rsid w:val="7236CCE7"/>
    <w:rsid w:val="726FFFA5"/>
    <w:rsid w:val="7289B3A7"/>
    <w:rsid w:val="728E7D7E"/>
    <w:rsid w:val="7296EC68"/>
    <w:rsid w:val="72ACDFE1"/>
    <w:rsid w:val="72CD31BB"/>
    <w:rsid w:val="730A2D2F"/>
    <w:rsid w:val="733247D2"/>
    <w:rsid w:val="733351B3"/>
    <w:rsid w:val="73340B67"/>
    <w:rsid w:val="73790F35"/>
    <w:rsid w:val="737ACB47"/>
    <w:rsid w:val="739DE5DA"/>
    <w:rsid w:val="73AFA713"/>
    <w:rsid w:val="73DEE51E"/>
    <w:rsid w:val="73E30486"/>
    <w:rsid w:val="7429D823"/>
    <w:rsid w:val="74453125"/>
    <w:rsid w:val="7469E127"/>
    <w:rsid w:val="749D0F4F"/>
    <w:rsid w:val="74EBFE7C"/>
    <w:rsid w:val="74F9B9B7"/>
    <w:rsid w:val="7506B44F"/>
    <w:rsid w:val="7522EFB1"/>
    <w:rsid w:val="75C9351E"/>
    <w:rsid w:val="75E32EBA"/>
    <w:rsid w:val="75F158CA"/>
    <w:rsid w:val="760DA2FA"/>
    <w:rsid w:val="76210991"/>
    <w:rsid w:val="765D88EB"/>
    <w:rsid w:val="76690088"/>
    <w:rsid w:val="7670248B"/>
    <w:rsid w:val="76884FA7"/>
    <w:rsid w:val="768BA671"/>
    <w:rsid w:val="76A4F7EA"/>
    <w:rsid w:val="76E9050E"/>
    <w:rsid w:val="771D89E8"/>
    <w:rsid w:val="772F3C22"/>
    <w:rsid w:val="77558EB6"/>
    <w:rsid w:val="77A2E7F2"/>
    <w:rsid w:val="77A466F0"/>
    <w:rsid w:val="77C8C4A8"/>
    <w:rsid w:val="783526BF"/>
    <w:rsid w:val="788DC841"/>
    <w:rsid w:val="78C8CC19"/>
    <w:rsid w:val="78CC1B62"/>
    <w:rsid w:val="78D7C1DF"/>
    <w:rsid w:val="78FE446C"/>
    <w:rsid w:val="790A8775"/>
    <w:rsid w:val="792F2071"/>
    <w:rsid w:val="796BA2B8"/>
    <w:rsid w:val="798C632C"/>
    <w:rsid w:val="799513DC"/>
    <w:rsid w:val="79E30205"/>
    <w:rsid w:val="7A129B54"/>
    <w:rsid w:val="7A78414B"/>
    <w:rsid w:val="7A7F4CC9"/>
    <w:rsid w:val="7AA782FF"/>
    <w:rsid w:val="7AB7CC92"/>
    <w:rsid w:val="7AFDE0B0"/>
    <w:rsid w:val="7B060619"/>
    <w:rsid w:val="7B0E3754"/>
    <w:rsid w:val="7B3443C1"/>
    <w:rsid w:val="7B4E5864"/>
    <w:rsid w:val="7B56FA9A"/>
    <w:rsid w:val="7B703659"/>
    <w:rsid w:val="7B8BE5BD"/>
    <w:rsid w:val="7B96C9FA"/>
    <w:rsid w:val="7BFED971"/>
    <w:rsid w:val="7C01E9EE"/>
    <w:rsid w:val="7C58EFF6"/>
    <w:rsid w:val="7C5990A6"/>
    <w:rsid w:val="7C618167"/>
    <w:rsid w:val="7C97FD09"/>
    <w:rsid w:val="7C99BD69"/>
    <w:rsid w:val="7C9F9BC5"/>
    <w:rsid w:val="7CD013C6"/>
    <w:rsid w:val="7CFAAFC2"/>
    <w:rsid w:val="7D23DAC9"/>
    <w:rsid w:val="7D89CEF7"/>
    <w:rsid w:val="7D94EAB1"/>
    <w:rsid w:val="7DAA2E61"/>
    <w:rsid w:val="7DAC4F88"/>
    <w:rsid w:val="7DB1972D"/>
    <w:rsid w:val="7DE61876"/>
    <w:rsid w:val="7E26AF3A"/>
    <w:rsid w:val="7E3EBA98"/>
    <w:rsid w:val="7E788A57"/>
    <w:rsid w:val="7E7E0D2A"/>
    <w:rsid w:val="7E806AA2"/>
    <w:rsid w:val="7EC45873"/>
    <w:rsid w:val="7EC80DEA"/>
    <w:rsid w:val="7ED81BC2"/>
    <w:rsid w:val="7EDE332B"/>
    <w:rsid w:val="7EED519C"/>
    <w:rsid w:val="7F501CF5"/>
    <w:rsid w:val="7F79EE8B"/>
    <w:rsid w:val="7FA58A38"/>
    <w:rsid w:val="7FC983FC"/>
    <w:rsid w:val="7FCACBBB"/>
    <w:rsid w:val="7FD2A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37AA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uiPriority w:val="99"/>
    <w:rsid w:val="00860E65"/>
    <w:rPr>
      <w:sz w:val="16"/>
      <w:szCs w:val="16"/>
    </w:rPr>
  </w:style>
  <w:style w:type="paragraph" w:styleId="CommentText">
    <w:name w:val="annotation text"/>
    <w:basedOn w:val="Normal"/>
    <w:link w:val="CommentTextChar"/>
    <w:rsid w:val="00860E65"/>
    <w:rPr>
      <w:sz w:val="20"/>
      <w:szCs w:val="20"/>
    </w:rPr>
  </w:style>
  <w:style w:type="character" w:customStyle="1" w:styleId="CommentTextChar">
    <w:name w:val="Comment Text Char"/>
    <w:basedOn w:val="DefaultParagraphFont"/>
    <w:link w:val="CommentText"/>
    <w:rsid w:val="00860E65"/>
    <w:rPr>
      <w:rFonts w:ascii="Arial" w:eastAsia="Times New Roman" w:hAnsi="Arial" w:cs="Times New Roman"/>
      <w:sz w:val="20"/>
      <w:szCs w:val="20"/>
    </w:rPr>
  </w:style>
  <w:style w:type="paragraph" w:customStyle="1" w:styleId="Default">
    <w:name w:val="Default"/>
    <w:rsid w:val="00860E65"/>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113C6"/>
    <w:rPr>
      <w:color w:val="954F72" w:themeColor="followedHyperlink"/>
      <w:u w:val="single"/>
    </w:rPr>
  </w:style>
  <w:style w:type="table" w:styleId="TableGrid">
    <w:name w:val="Table Grid"/>
    <w:basedOn w:val="TableNormal"/>
    <w:rsid w:val="009C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5D83"/>
    <w:rPr>
      <w:b/>
      <w:bCs/>
    </w:rPr>
  </w:style>
  <w:style w:type="character" w:customStyle="1" w:styleId="CommentSubjectChar">
    <w:name w:val="Comment Subject Char"/>
    <w:basedOn w:val="CommentTextChar"/>
    <w:link w:val="CommentSubject"/>
    <w:uiPriority w:val="99"/>
    <w:semiHidden/>
    <w:rsid w:val="00FF5D83"/>
    <w:rPr>
      <w:rFonts w:ascii="Arial" w:eastAsia="Times New Roman" w:hAnsi="Arial" w:cs="Times New Roman"/>
      <w:b/>
      <w:bCs/>
      <w:sz w:val="20"/>
      <w:szCs w:val="20"/>
    </w:rPr>
  </w:style>
  <w:style w:type="character" w:customStyle="1" w:styleId="st1">
    <w:name w:val="st1"/>
    <w:basedOn w:val="DefaultParagraphFont"/>
    <w:rsid w:val="007E4219"/>
  </w:style>
  <w:style w:type="paragraph" w:styleId="Revision">
    <w:name w:val="Revision"/>
    <w:hidden/>
    <w:uiPriority w:val="99"/>
    <w:semiHidden/>
    <w:rsid w:val="001D616A"/>
    <w:pPr>
      <w:spacing w:after="0" w:line="240" w:lineRule="auto"/>
    </w:pPr>
    <w:rPr>
      <w:rFonts w:ascii="Arial" w:eastAsia="Times New Roman" w:hAnsi="Arial" w:cs="Times New Roman"/>
      <w:sz w:val="24"/>
      <w:szCs w:val="24"/>
    </w:rPr>
  </w:style>
  <w:style w:type="character" w:customStyle="1" w:styleId="ListParagraphChar">
    <w:name w:val="List Paragraph Char"/>
    <w:aliases w:val="Indented Paragraph Char,list Char,List1 Char"/>
    <w:link w:val="ListParagraph"/>
    <w:uiPriority w:val="34"/>
    <w:rsid w:val="002C6E91"/>
    <w:rPr>
      <w:rFonts w:ascii="Arial" w:eastAsia="Times New Roman" w:hAnsi="Arial" w:cs="Times New Roman"/>
      <w:sz w:val="24"/>
      <w:szCs w:val="24"/>
    </w:rPr>
  </w:style>
  <w:style w:type="character" w:styleId="Emphasis">
    <w:name w:val="Emphasis"/>
    <w:basedOn w:val="DefaultParagraphFont"/>
    <w:uiPriority w:val="20"/>
    <w:qFormat/>
    <w:rsid w:val="002C6E91"/>
    <w:rPr>
      <w:i/>
      <w:iCs/>
    </w:rPr>
  </w:style>
  <w:style w:type="character" w:customStyle="1" w:styleId="UnresolvedMention1">
    <w:name w:val="Unresolved Mention1"/>
    <w:basedOn w:val="DefaultParagraphFont"/>
    <w:uiPriority w:val="99"/>
    <w:semiHidden/>
    <w:unhideWhenUsed/>
    <w:rsid w:val="002417D3"/>
    <w:rPr>
      <w:color w:val="605E5C"/>
      <w:shd w:val="clear" w:color="auto" w:fill="E1DFDD"/>
    </w:rPr>
  </w:style>
  <w:style w:type="character" w:customStyle="1" w:styleId="UnresolvedMention">
    <w:name w:val="Unresolved Mention"/>
    <w:basedOn w:val="DefaultParagraphFont"/>
    <w:uiPriority w:val="99"/>
    <w:semiHidden/>
    <w:unhideWhenUsed/>
    <w:rsid w:val="00FE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e.ca.gov/be/pn/im/documents/feb20memoadad03.docx" TargetMode="External"/><Relationship Id="rId18" Type="http://schemas.openxmlformats.org/officeDocument/2006/relationships/hyperlink" Target="https://www.cde.ca.gov/be/ag/ag/yr18/documents/nov18item15.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e.ca.gov/be/ag/ag/yr17/documents/jul17item04.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9/documents/sep19item06.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e.ca.gov/be/pn/im/documents/feb20memoadad03.docx" TargetMode="External"/><Relationship Id="rId20" Type="http://schemas.openxmlformats.org/officeDocument/2006/relationships/hyperlink" Target="https://www.cde.ca.gov/be/ag/ag/yr18/documents/jan18item07.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e.ca.gov/be/pn/im/documents/memo-imb-adad-jun20item01.docx" TargetMode="External"/><Relationship Id="rId23" Type="http://schemas.openxmlformats.org/officeDocument/2006/relationships/hyperlink" Target="https://www.cde.ca.gov/be/ag/ag/yr17/documents/mar17item06.do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ag/ag/yr18/documents/jul18item03.docx" TargetMode="External"/><Relationship Id="R6a04d4acd10b4c8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e.ca.gov/be/pn/im/documents/memo-imb-adad-jun20item01.docx" TargetMode="External"/><Relationship Id="rId22" Type="http://schemas.openxmlformats.org/officeDocument/2006/relationships/hyperlink" Target="https://www.cde.ca.gov/be/ag/ag/yr17/documents/may17item02.doc" TargetMode="External"/><Relationship Id="rId27" Type="http://schemas.openxmlformats.org/officeDocument/2006/relationships/header" Target="header4.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77C7-70F9-44E6-A3EE-DAE4DEFDE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6CBAE-8959-4D8F-8727-F3EEC97FA351}">
  <ds:schemaRefs>
    <ds:schemaRef ds:uri="http://schemas.microsoft.com/sharepoint/v3/contenttype/forms"/>
  </ds:schemaRefs>
</ds:datastoreItem>
</file>

<file path=customXml/itemProps3.xml><?xml version="1.0" encoding="utf-8"?>
<ds:datastoreItem xmlns:ds="http://schemas.openxmlformats.org/officeDocument/2006/customXml" ds:itemID="{613A5F0B-FF8C-4ECD-A27A-E91CA57832FC}">
  <ds:schemaRefs>
    <ds:schemaRef ds:uri="http://schemas.microsoft.com/office/2006/documentManagement/types"/>
    <ds:schemaRef ds:uri="http://purl.org/dc/terms/"/>
    <ds:schemaRef ds:uri="f89dec18-d0c2-45d2-8a15-31051f2519f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aae30ff-d7bc-47e3-882e-cd3423d00d62"/>
    <ds:schemaRef ds:uri="http://www.w3.org/XML/1998/namespace"/>
  </ds:schemaRefs>
</ds:datastoreItem>
</file>

<file path=customXml/itemProps4.xml><?xml version="1.0" encoding="utf-8"?>
<ds:datastoreItem xmlns:ds="http://schemas.openxmlformats.org/officeDocument/2006/customXml" ds:itemID="{F9BE1D39-872A-46BD-B19C-E78DD061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13</Pages>
  <Words>3374</Words>
  <Characters>19236</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November 2020 Agenda Item XX - Meeting Agendas (CA State Board of Education)</vt:lpstr>
    </vt:vector>
  </TitlesOfParts>
  <Company>California State Board of Education</Company>
  <LinksUpToDate>false</LinksUpToDate>
  <CharactersWithSpaces>22565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06 - Meeting Agendas (CA State Board of Education)</dc:title>
  <dc:subject>California Assessment of Student Performance and Progress System and English Language Proficiency Assessments for California.</dc:subject>
  <dc:creator/>
  <cp:keywords/>
  <dc:description/>
  <cp:lastPrinted>2019-07-12T18:16:00Z</cp:lastPrinted>
  <dcterms:created xsi:type="dcterms:W3CDTF">2020-08-11T17:26:00Z</dcterms:created>
  <dcterms:modified xsi:type="dcterms:W3CDTF">2020-10-20T15:40:00Z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