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E06C6" w:rsidRPr="00BA2C9C" w:rsidRDefault="527F6531" w:rsidP="00B723BE">
      <w:r>
        <w:rPr>
          <w:noProof/>
        </w:rPr>
        <w:drawing>
          <wp:inline distT="0" distB="0" distL="0" distR="0" wp14:anchorId="11E64018" wp14:editId="4FC16E7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BA2C9C" w:rsidRDefault="00FC1FCE" w:rsidP="00B723BE">
      <w:pPr>
        <w:jc w:val="right"/>
      </w:pPr>
      <w:r w:rsidRPr="00BA2C9C">
        <w:t>California Department of Education</w:t>
      </w:r>
    </w:p>
    <w:p w14:paraId="1CAF1CB7" w14:textId="77777777" w:rsidR="00B723BE" w:rsidRPr="00BA2C9C" w:rsidRDefault="00FC1FCE" w:rsidP="00B723BE">
      <w:pPr>
        <w:jc w:val="right"/>
      </w:pPr>
      <w:r w:rsidRPr="00BA2C9C">
        <w:t>Executive Office</w:t>
      </w:r>
    </w:p>
    <w:p w14:paraId="18A2FE91" w14:textId="77777777" w:rsidR="002B4B14" w:rsidRPr="00BA2C9C" w:rsidRDefault="00692300" w:rsidP="00B723BE">
      <w:pPr>
        <w:jc w:val="right"/>
      </w:pPr>
      <w:r w:rsidRPr="009854A4">
        <w:t>SBE-00</w:t>
      </w:r>
      <w:r w:rsidR="000324AD" w:rsidRPr="009854A4">
        <w:t>3</w:t>
      </w:r>
      <w:r w:rsidRPr="009854A4">
        <w:t xml:space="preserve"> (REV. 1</w:t>
      </w:r>
      <w:r w:rsidR="00C27D57" w:rsidRPr="009854A4">
        <w:t>1</w:t>
      </w:r>
      <w:r w:rsidRPr="009854A4">
        <w:t>/2017</w:t>
      </w:r>
      <w:r w:rsidR="00FC1FCE">
        <w:t>)</w:t>
      </w:r>
    </w:p>
    <w:p w14:paraId="56C455A1" w14:textId="5F70CEF1" w:rsidR="00B723BE" w:rsidRPr="00BA2C9C" w:rsidRDefault="001B5A73" w:rsidP="00B723BE">
      <w:pPr>
        <w:jc w:val="right"/>
      </w:pPr>
      <w:r>
        <w:t>imb</w:t>
      </w:r>
      <w:r w:rsidR="00BD3A62">
        <w:t>-adad-</w:t>
      </w:r>
      <w:r w:rsidR="009920B4">
        <w:t>nov</w:t>
      </w:r>
      <w:r w:rsidR="7D3398D5">
        <w:t>20</w:t>
      </w:r>
      <w:r w:rsidR="00B037A1">
        <w:t>i</w:t>
      </w:r>
      <w:r w:rsidR="00DF1C16">
        <w:t>tem0</w:t>
      </w:r>
      <w:r w:rsidR="4544CF31">
        <w:t>3</w:t>
      </w:r>
    </w:p>
    <w:p w14:paraId="0A37501D" w14:textId="77777777" w:rsidR="00B723BE" w:rsidRPr="00BA2C9C" w:rsidRDefault="00B723BE" w:rsidP="00FC1FCE">
      <w:pPr>
        <w:pStyle w:val="Heading1"/>
        <w:jc w:val="center"/>
        <w:rPr>
          <w:sz w:val="40"/>
          <w:szCs w:val="40"/>
        </w:rPr>
        <w:sectPr w:rsidR="00B723BE" w:rsidRPr="00BA2C9C"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BA2C9C" w:rsidRDefault="006E06C6" w:rsidP="00FC1FCE">
      <w:pPr>
        <w:pStyle w:val="Heading1"/>
        <w:jc w:val="center"/>
        <w:rPr>
          <w:sz w:val="40"/>
          <w:szCs w:val="40"/>
        </w:rPr>
        <w:sectPr w:rsidR="006E06C6" w:rsidRPr="00BA2C9C" w:rsidSect="0091117B">
          <w:type w:val="continuous"/>
          <w:pgSz w:w="12240" w:h="15840"/>
          <w:pgMar w:top="720" w:right="1440" w:bottom="1440" w:left="1440" w:header="720" w:footer="720" w:gutter="0"/>
          <w:cols w:space="720"/>
          <w:docGrid w:linePitch="360"/>
        </w:sectPr>
      </w:pPr>
    </w:p>
    <w:p w14:paraId="1D866338" w14:textId="7870E0DB" w:rsidR="00FC1FCE" w:rsidRPr="00BA2C9C" w:rsidRDefault="0091117B" w:rsidP="002B4B14">
      <w:pPr>
        <w:pStyle w:val="Heading1"/>
        <w:spacing w:before="240" w:after="240"/>
        <w:jc w:val="center"/>
        <w:rPr>
          <w:sz w:val="40"/>
          <w:szCs w:val="40"/>
        </w:rPr>
      </w:pPr>
      <w:r w:rsidRPr="3E567043">
        <w:rPr>
          <w:sz w:val="40"/>
          <w:szCs w:val="40"/>
        </w:rPr>
        <w:t>Californ</w:t>
      </w:r>
      <w:r w:rsidR="00693951" w:rsidRPr="3E567043">
        <w:rPr>
          <w:sz w:val="40"/>
          <w:szCs w:val="40"/>
        </w:rPr>
        <w:t>ia State Board of Education</w:t>
      </w:r>
      <w:r>
        <w:br/>
      </w:r>
      <w:r w:rsidR="001C563E" w:rsidRPr="3E567043">
        <w:rPr>
          <w:sz w:val="40"/>
          <w:szCs w:val="40"/>
        </w:rPr>
        <w:t>Nov</w:t>
      </w:r>
      <w:r w:rsidR="001E277B" w:rsidRPr="3E567043">
        <w:rPr>
          <w:sz w:val="40"/>
          <w:szCs w:val="40"/>
        </w:rPr>
        <w:t>ember 20</w:t>
      </w:r>
      <w:r w:rsidR="419FADEC" w:rsidRPr="3E567043">
        <w:rPr>
          <w:sz w:val="40"/>
          <w:szCs w:val="40"/>
        </w:rPr>
        <w:t>20</w:t>
      </w:r>
      <w:r w:rsidRPr="3E567043">
        <w:rPr>
          <w:sz w:val="40"/>
          <w:szCs w:val="40"/>
        </w:rPr>
        <w:t xml:space="preserve"> Agenda</w:t>
      </w:r>
      <w:r>
        <w:br/>
      </w:r>
      <w:r w:rsidR="00FC1FCE" w:rsidRPr="3E567043">
        <w:rPr>
          <w:sz w:val="40"/>
          <w:szCs w:val="40"/>
        </w:rPr>
        <w:t>Item</w:t>
      </w:r>
      <w:r w:rsidR="00692300" w:rsidRPr="3E567043">
        <w:rPr>
          <w:sz w:val="40"/>
          <w:szCs w:val="40"/>
        </w:rPr>
        <w:t xml:space="preserve"> </w:t>
      </w:r>
      <w:r w:rsidR="00431A8F" w:rsidRPr="3E567043">
        <w:rPr>
          <w:sz w:val="40"/>
          <w:szCs w:val="40"/>
        </w:rPr>
        <w:t>#</w:t>
      </w:r>
      <w:r w:rsidR="00CF5127">
        <w:rPr>
          <w:sz w:val="40"/>
          <w:szCs w:val="40"/>
        </w:rPr>
        <w:t>07</w:t>
      </w:r>
      <w:bookmarkStart w:id="0" w:name="_GoBack"/>
      <w:bookmarkEnd w:id="0"/>
    </w:p>
    <w:p w14:paraId="27B6226E" w14:textId="77777777" w:rsidR="00FC1FCE" w:rsidRPr="00BA2C9C" w:rsidRDefault="00FC1FCE" w:rsidP="002B4B14">
      <w:pPr>
        <w:pStyle w:val="Heading2"/>
        <w:spacing w:before="240" w:after="240"/>
        <w:rPr>
          <w:sz w:val="36"/>
          <w:szCs w:val="36"/>
        </w:rPr>
      </w:pPr>
      <w:r w:rsidRPr="00BA2C9C">
        <w:rPr>
          <w:sz w:val="36"/>
          <w:szCs w:val="36"/>
        </w:rPr>
        <w:t>Subject</w:t>
      </w:r>
    </w:p>
    <w:p w14:paraId="669D4EC8" w14:textId="4658C5ED" w:rsidR="007B5EA7" w:rsidRPr="00BA2C9C" w:rsidRDefault="009920B4" w:rsidP="42D00B55">
      <w:pPr>
        <w:spacing w:after="480"/>
        <w:rPr>
          <w:b/>
          <w:bCs/>
        </w:rPr>
      </w:pPr>
      <w:r>
        <w:t>California Assessment of Student Performance and Progress</w:t>
      </w:r>
      <w:r w:rsidR="2EE05C64">
        <w:t xml:space="preserve"> and English Language Proficiency Assessments for California</w:t>
      </w:r>
      <w:r>
        <w:t>: Determination of the Release of Up to 10 Percent Withheld for the 201</w:t>
      </w:r>
      <w:r w:rsidR="5D3A6E03">
        <w:t>9</w:t>
      </w:r>
      <w:r>
        <w:t>–</w:t>
      </w:r>
      <w:r w:rsidR="47D2D033">
        <w:t>20</w:t>
      </w:r>
      <w:r w:rsidR="00F935BA">
        <w:t>20</w:t>
      </w:r>
      <w:r>
        <w:t xml:space="preserve"> Regents of the University of California</w:t>
      </w:r>
      <w:r w:rsidR="528DCDBE">
        <w:t>, Santa Cruz</w:t>
      </w:r>
      <w:r>
        <w:t xml:space="preserve"> Contract.</w:t>
      </w:r>
    </w:p>
    <w:p w14:paraId="19FA46C3" w14:textId="77777777" w:rsidR="00FC1FCE" w:rsidRPr="00BA2C9C" w:rsidRDefault="00FC1FCE" w:rsidP="002B4B14">
      <w:pPr>
        <w:pStyle w:val="Heading2"/>
        <w:spacing w:before="240" w:after="240"/>
        <w:rPr>
          <w:sz w:val="36"/>
          <w:szCs w:val="36"/>
        </w:rPr>
      </w:pPr>
      <w:r w:rsidRPr="00BA2C9C">
        <w:rPr>
          <w:sz w:val="36"/>
          <w:szCs w:val="36"/>
        </w:rPr>
        <w:t>Type of Action</w:t>
      </w:r>
    </w:p>
    <w:p w14:paraId="56BDB2BB" w14:textId="2CA05C6B" w:rsidR="0091117B" w:rsidRPr="00BA2C9C" w:rsidRDefault="00860E65" w:rsidP="000E09DC">
      <w:pPr>
        <w:spacing w:after="480"/>
      </w:pPr>
      <w:r w:rsidRPr="00BA2C9C">
        <w:t>Action,</w:t>
      </w:r>
      <w:r w:rsidR="00A2533C" w:rsidRPr="00BA2C9C">
        <w:t xml:space="preserve"> </w:t>
      </w:r>
      <w:r w:rsidR="001C563E" w:rsidRPr="00BA2C9C">
        <w:t>I</w:t>
      </w:r>
      <w:r w:rsidR="008909EE" w:rsidRPr="00BA2C9C">
        <w:t>nformation</w:t>
      </w:r>
    </w:p>
    <w:p w14:paraId="2F54E36F" w14:textId="77777777" w:rsidR="00FC1FCE" w:rsidRPr="00BA2C9C" w:rsidRDefault="00FC1FCE" w:rsidP="002B4B14">
      <w:pPr>
        <w:pStyle w:val="Heading2"/>
        <w:spacing w:before="240" w:after="240"/>
        <w:rPr>
          <w:sz w:val="36"/>
          <w:szCs w:val="36"/>
        </w:rPr>
      </w:pPr>
      <w:r w:rsidRPr="00BA2C9C">
        <w:rPr>
          <w:sz w:val="36"/>
          <w:szCs w:val="36"/>
        </w:rPr>
        <w:t>Summary of the Issue(s)</w:t>
      </w:r>
    </w:p>
    <w:p w14:paraId="440A8EE4" w14:textId="77777777" w:rsidR="00860E65" w:rsidRPr="00BA2C9C" w:rsidRDefault="00860E65" w:rsidP="005875DC">
      <w:pPr>
        <w:spacing w:after="480"/>
      </w:pPr>
      <w:r>
        <w:t>California</w:t>
      </w:r>
      <w:r w:rsidRPr="4A79A52D">
        <w:rPr>
          <w:i/>
          <w:iCs/>
        </w:rPr>
        <w:t xml:space="preserve"> Education Code</w:t>
      </w:r>
      <w:r>
        <w:t xml:space="preserve"> Section 60643 </w:t>
      </w:r>
      <w:r w:rsidR="00C24F74">
        <w:t xml:space="preserve">requires </w:t>
      </w:r>
      <w:r>
        <w:t xml:space="preserve">the </w:t>
      </w:r>
      <w:r w:rsidR="004E239D">
        <w:t>California Department of Education (</w:t>
      </w:r>
      <w:r>
        <w:t>CDE</w:t>
      </w:r>
      <w:r w:rsidR="004E239D">
        <w:t>)</w:t>
      </w:r>
      <w:r>
        <w:t xml:space="preserve"> </w:t>
      </w:r>
      <w:r w:rsidR="00C24F74">
        <w:t>to</w:t>
      </w:r>
      <w:r>
        <w:t xml:space="preserve"> withhold 10 percent from progress payments invoiced for </w:t>
      </w:r>
      <w:r w:rsidR="00E63DD1">
        <w:t xml:space="preserve">each </w:t>
      </w:r>
      <w:r>
        <w:t xml:space="preserve">component </w:t>
      </w:r>
      <w:r w:rsidR="00E63DD1">
        <w:t>t</w:t>
      </w:r>
      <w:r>
        <w:t>ask</w:t>
      </w:r>
      <w:r w:rsidR="00E63DD1">
        <w:t xml:space="preserve"> for</w:t>
      </w:r>
      <w:r w:rsidR="00E35315">
        <w:t xml:space="preserve"> the</w:t>
      </w:r>
      <w:r w:rsidR="00E63DD1">
        <w:t xml:space="preserve"> </w:t>
      </w:r>
      <w:r w:rsidR="004E239D">
        <w:t xml:space="preserve">California Assessment of Student Performance and Progress (CAASPP) and </w:t>
      </w:r>
      <w:r w:rsidR="001557E5">
        <w:t xml:space="preserve">English Language Proficiency Assessments for California (ELPAC) </w:t>
      </w:r>
      <w:r w:rsidR="00E63DD1">
        <w:t xml:space="preserve">contracts. </w:t>
      </w:r>
      <w:r>
        <w:t xml:space="preserve">The contract </w:t>
      </w:r>
      <w:r w:rsidR="00E63DD1">
        <w:t xml:space="preserve">with the Regents of the University of California, Santa Cruz (UCSC) </w:t>
      </w:r>
      <w:r>
        <w:t xml:space="preserve">establishes the process by which the CDE </w:t>
      </w:r>
      <w:r w:rsidR="00E63DD1">
        <w:t>approves invoices on services successfully rendered</w:t>
      </w:r>
      <w:r w:rsidR="004E239D">
        <w:t xml:space="preserve"> for component </w:t>
      </w:r>
      <w:r w:rsidR="00E35315">
        <w:t>t</w:t>
      </w:r>
      <w:r w:rsidR="004E239D">
        <w:t>asks 1, 2, and 4 of the contract</w:t>
      </w:r>
      <w:r w:rsidR="001C563E">
        <w:t>, which was approved by the California State Board of Education</w:t>
      </w:r>
      <w:r w:rsidR="00621B1D">
        <w:t xml:space="preserve"> (SBE)</w:t>
      </w:r>
      <w:r w:rsidR="001C563E">
        <w:t xml:space="preserve"> in November 2018</w:t>
      </w:r>
      <w:r>
        <w:t xml:space="preserve">. </w:t>
      </w:r>
    </w:p>
    <w:p w14:paraId="08BF9F4B" w14:textId="77777777" w:rsidR="003E4DF7" w:rsidRPr="00BA2C9C" w:rsidRDefault="003E4DF7" w:rsidP="002B4B14">
      <w:pPr>
        <w:pStyle w:val="Heading2"/>
        <w:spacing w:before="240" w:after="240"/>
        <w:rPr>
          <w:sz w:val="36"/>
          <w:szCs w:val="36"/>
        </w:rPr>
      </w:pPr>
      <w:r w:rsidRPr="00BA2C9C">
        <w:rPr>
          <w:sz w:val="36"/>
          <w:szCs w:val="36"/>
        </w:rPr>
        <w:t>Recommendation</w:t>
      </w:r>
    </w:p>
    <w:p w14:paraId="4DD2BF3C" w14:textId="60344557" w:rsidR="00290186" w:rsidRPr="00BA2C9C" w:rsidRDefault="5AB99E68" w:rsidP="4B77DCDD">
      <w:pPr>
        <w:spacing w:after="480"/>
        <w:rPr>
          <w:rFonts w:cs="Arial"/>
          <w:spacing w:val="-1"/>
        </w:rPr>
      </w:pPr>
      <w:r w:rsidRPr="42D00B55">
        <w:rPr>
          <w:rFonts w:cs="Arial"/>
        </w:rPr>
        <w:t xml:space="preserve">The CDE recommends releasing the full amount of </w:t>
      </w:r>
      <w:r w:rsidRPr="00BA2C9C">
        <w:rPr>
          <w:rFonts w:cs="Arial"/>
          <w:spacing w:val="-1"/>
        </w:rPr>
        <w:t>$</w:t>
      </w:r>
      <w:r w:rsidR="3AA8370D" w:rsidRPr="4B77DCDD">
        <w:rPr>
          <w:rFonts w:eastAsia="Arial" w:cs="Arial"/>
          <w:color w:val="000000" w:themeColor="text1"/>
        </w:rPr>
        <w:t>72,216.51</w:t>
      </w:r>
      <w:r w:rsidRPr="00BA2C9C">
        <w:rPr>
          <w:rFonts w:cs="Arial"/>
          <w:spacing w:val="-1"/>
        </w:rPr>
        <w:t xml:space="preserve"> of funds withheld from the UCSC contract for activities to develop the California Educator Reporting System (CERS) for </w:t>
      </w:r>
      <w:r w:rsidR="2CE8F28E" w:rsidRPr="00BA2C9C">
        <w:rPr>
          <w:rFonts w:cs="Arial"/>
          <w:spacing w:val="-1"/>
        </w:rPr>
        <w:t xml:space="preserve">the </w:t>
      </w:r>
      <w:r w:rsidRPr="00BA2C9C">
        <w:rPr>
          <w:rFonts w:cs="Arial"/>
          <w:spacing w:val="-1"/>
        </w:rPr>
        <w:t xml:space="preserve">CAASPP and </w:t>
      </w:r>
      <w:r w:rsidR="2CE8F28E" w:rsidRPr="00BA2C9C">
        <w:rPr>
          <w:rFonts w:cs="Arial"/>
          <w:spacing w:val="-1"/>
        </w:rPr>
        <w:t xml:space="preserve">the </w:t>
      </w:r>
      <w:r w:rsidRPr="00BA2C9C">
        <w:rPr>
          <w:rFonts w:cs="Arial"/>
          <w:spacing w:val="-1"/>
        </w:rPr>
        <w:t xml:space="preserve">ELPAC. These funds were withheld during fiscal year (FY) </w:t>
      </w:r>
      <w:r w:rsidRPr="00C40944">
        <w:rPr>
          <w:rFonts w:cs="Arial"/>
          <w:spacing w:val="-1"/>
        </w:rPr>
        <w:t>201</w:t>
      </w:r>
      <w:r w:rsidR="2A504027">
        <w:rPr>
          <w:rFonts w:cs="Arial"/>
          <w:spacing w:val="-1"/>
        </w:rPr>
        <w:t>9</w:t>
      </w:r>
      <w:r w:rsidRPr="00C40944">
        <w:rPr>
          <w:rFonts w:cs="Arial"/>
          <w:spacing w:val="-1"/>
        </w:rPr>
        <w:t>–</w:t>
      </w:r>
      <w:r w:rsidR="2A504027">
        <w:rPr>
          <w:rFonts w:cs="Arial"/>
          <w:spacing w:val="-1"/>
        </w:rPr>
        <w:t>20</w:t>
      </w:r>
      <w:r w:rsidR="7835B270">
        <w:rPr>
          <w:rFonts w:cs="Arial"/>
          <w:spacing w:val="-1"/>
        </w:rPr>
        <w:t>20</w:t>
      </w:r>
      <w:r w:rsidRPr="00BA2C9C">
        <w:rPr>
          <w:rFonts w:cs="Arial"/>
          <w:spacing w:val="-1"/>
        </w:rPr>
        <w:t xml:space="preserve"> from invoices paid with existing CAASPP and ELPAC System contract funding.</w:t>
      </w:r>
      <w:r w:rsidRPr="42D00B55">
        <w:rPr>
          <w:rFonts w:cs="Arial"/>
        </w:rPr>
        <w:t xml:space="preserve"> </w:t>
      </w:r>
      <w:r w:rsidRPr="42D00B55">
        <w:rPr>
          <w:rFonts w:cs="Arial"/>
          <w:spacing w:val="-1"/>
        </w:rPr>
        <w:t xml:space="preserve">The amounts per task are listed in Attachment </w:t>
      </w:r>
      <w:r w:rsidR="3C7B0C41" w:rsidRPr="42D00B55">
        <w:rPr>
          <w:rFonts w:cs="Arial"/>
          <w:spacing w:val="-1"/>
        </w:rPr>
        <w:t>1</w:t>
      </w:r>
      <w:r w:rsidRPr="42D00B55">
        <w:rPr>
          <w:rFonts w:cs="Arial"/>
          <w:spacing w:val="-1"/>
        </w:rPr>
        <w:t>.</w:t>
      </w:r>
    </w:p>
    <w:p w14:paraId="28788C28" w14:textId="77777777" w:rsidR="00F40510" w:rsidRPr="00BA2C9C" w:rsidRDefault="003E4DF7" w:rsidP="002B4B14">
      <w:pPr>
        <w:pStyle w:val="Heading2"/>
        <w:spacing w:before="240" w:after="240"/>
        <w:rPr>
          <w:sz w:val="36"/>
          <w:szCs w:val="36"/>
        </w:rPr>
      </w:pPr>
      <w:r w:rsidRPr="00BA2C9C">
        <w:rPr>
          <w:sz w:val="36"/>
          <w:szCs w:val="36"/>
        </w:rPr>
        <w:lastRenderedPageBreak/>
        <w:t>Brief History of Key Issues</w:t>
      </w:r>
    </w:p>
    <w:p w14:paraId="4E21CBD8" w14:textId="7FBE3D2F" w:rsidR="005B49AE" w:rsidRPr="009573D0" w:rsidRDefault="0014324B" w:rsidP="517D57F0">
      <w:pPr>
        <w:spacing w:before="240" w:after="240"/>
        <w:rPr>
          <w:rFonts w:eastAsiaTheme="minorEastAsia" w:cstheme="minorBidi"/>
        </w:rPr>
      </w:pPr>
      <w:r>
        <w:t xml:space="preserve">The CDE has an interagency agreement with the </w:t>
      </w:r>
      <w:r w:rsidRPr="4FC16E7D">
        <w:rPr>
          <w:color w:val="000000" w:themeColor="text1"/>
        </w:rPr>
        <w:t xml:space="preserve">UCSC </w:t>
      </w:r>
      <w:r>
        <w:t xml:space="preserve">for services associated with membership in the Smarter Balanced Assessment Consortium. Incorporated </w:t>
      </w:r>
      <w:r w:rsidR="0009667F">
        <w:t xml:space="preserve">into </w:t>
      </w:r>
      <w:r w:rsidR="30B118B6">
        <w:t xml:space="preserve">this membership agreement </w:t>
      </w:r>
      <w:r w:rsidR="001B1651">
        <w:t>are</w:t>
      </w:r>
      <w:r w:rsidR="30B118B6">
        <w:t xml:space="preserve"> the development, implementation, maintenance</w:t>
      </w:r>
      <w:r w:rsidR="0009667F">
        <w:t>,</w:t>
      </w:r>
      <w:r w:rsidR="30B118B6">
        <w:t xml:space="preserve"> and hosting of</w:t>
      </w:r>
      <w:r>
        <w:t xml:space="preserve"> </w:t>
      </w:r>
      <w:r w:rsidR="00E50327">
        <w:t xml:space="preserve">an educator reporting system </w:t>
      </w:r>
      <w:r>
        <w:t xml:space="preserve">for Smarter Balanced assessments. </w:t>
      </w:r>
      <w:r w:rsidR="003C42BB">
        <w:t xml:space="preserve">In November 2018, the SBE approved a contract amendment </w:t>
      </w:r>
      <w:r w:rsidR="00745432">
        <w:t xml:space="preserve">to </w:t>
      </w:r>
      <w:r w:rsidR="003C42BB">
        <w:t xml:space="preserve">the UCSC interagency agreement to </w:t>
      </w:r>
      <w:r w:rsidR="00E50327">
        <w:t>build out the</w:t>
      </w:r>
      <w:r w:rsidR="00E4618E" w:rsidRPr="4FC16E7D">
        <w:rPr>
          <w:rFonts w:eastAsiaTheme="minorEastAsia" w:cs="Arial"/>
        </w:rPr>
        <w:t xml:space="preserve"> educator reporting system</w:t>
      </w:r>
      <w:r w:rsidR="00DA4E85" w:rsidRPr="4FC16E7D">
        <w:rPr>
          <w:rFonts w:eastAsiaTheme="minorEastAsia" w:cs="Arial"/>
        </w:rPr>
        <w:t xml:space="preserve"> </w:t>
      </w:r>
      <w:r w:rsidR="00BE6963" w:rsidRPr="4FC16E7D">
        <w:rPr>
          <w:rFonts w:eastAsiaTheme="minorEastAsia" w:cs="Arial"/>
        </w:rPr>
        <w:t>to include results from all CAASPP</w:t>
      </w:r>
      <w:r w:rsidR="00E4618E" w:rsidRPr="4FC16E7D">
        <w:rPr>
          <w:rFonts w:eastAsiaTheme="minorEastAsia" w:cs="Arial"/>
        </w:rPr>
        <w:t xml:space="preserve"> </w:t>
      </w:r>
      <w:r w:rsidR="00BE6963" w:rsidRPr="4FC16E7D">
        <w:rPr>
          <w:rFonts w:eastAsiaTheme="minorEastAsia" w:cs="Arial"/>
        </w:rPr>
        <w:t xml:space="preserve">and </w:t>
      </w:r>
      <w:r w:rsidR="00E4618E" w:rsidRPr="4FC16E7D">
        <w:rPr>
          <w:rFonts w:eastAsiaTheme="minorEastAsia" w:cs="Arial"/>
        </w:rPr>
        <w:t xml:space="preserve">ELPAC </w:t>
      </w:r>
      <w:r w:rsidR="00BE6963" w:rsidRPr="4FC16E7D">
        <w:rPr>
          <w:rFonts w:eastAsiaTheme="minorEastAsia" w:cs="Arial"/>
        </w:rPr>
        <w:t>summative assessments</w:t>
      </w:r>
      <w:r w:rsidR="0BD56251" w:rsidRPr="4FC16E7D">
        <w:rPr>
          <w:rFonts w:eastAsiaTheme="minorEastAsia" w:cs="Arial"/>
        </w:rPr>
        <w:t>.</w:t>
      </w:r>
    </w:p>
    <w:p w14:paraId="6C6AD934" w14:textId="3459AC1E" w:rsidR="005B49AE" w:rsidRDefault="006F7B22" w:rsidP="005875DC">
      <w:pPr>
        <w:pStyle w:val="Heading2"/>
        <w:spacing w:before="240" w:after="240"/>
        <w:rPr>
          <w:b w:val="0"/>
          <w:sz w:val="24"/>
          <w:szCs w:val="24"/>
        </w:rPr>
      </w:pPr>
      <w:r w:rsidRPr="4FC16E7D">
        <w:rPr>
          <w:b w:val="0"/>
          <w:sz w:val="24"/>
          <w:szCs w:val="24"/>
        </w:rPr>
        <w:t>The original reporting system</w:t>
      </w:r>
      <w:r w:rsidR="007729C7" w:rsidRPr="4FC16E7D">
        <w:rPr>
          <w:b w:val="0"/>
          <w:sz w:val="24"/>
          <w:szCs w:val="24"/>
        </w:rPr>
        <w:t xml:space="preserve"> allowed educators to view detailed student results from the Smarter Balanced Interim Assessments at the group and individual student levels to help educators identify what students know and can do and where they might need additional support to master the content. </w:t>
      </w:r>
      <w:r w:rsidR="00026BBE" w:rsidRPr="4FC16E7D">
        <w:rPr>
          <w:b w:val="0"/>
          <w:sz w:val="24"/>
          <w:szCs w:val="24"/>
        </w:rPr>
        <w:t>Through this contract</w:t>
      </w:r>
      <w:r w:rsidR="00DA4E85" w:rsidRPr="4FC16E7D">
        <w:rPr>
          <w:b w:val="0"/>
          <w:sz w:val="24"/>
          <w:szCs w:val="24"/>
        </w:rPr>
        <w:t>,</w:t>
      </w:r>
      <w:r w:rsidR="00026BBE" w:rsidRPr="4FC16E7D">
        <w:rPr>
          <w:b w:val="0"/>
          <w:sz w:val="24"/>
          <w:szCs w:val="24"/>
        </w:rPr>
        <w:t xml:space="preserve"> </w:t>
      </w:r>
      <w:r w:rsidRPr="4FC16E7D">
        <w:rPr>
          <w:b w:val="0"/>
          <w:sz w:val="24"/>
          <w:szCs w:val="24"/>
        </w:rPr>
        <w:t>th</w:t>
      </w:r>
      <w:r w:rsidR="00DA4E85" w:rsidRPr="4FC16E7D">
        <w:rPr>
          <w:b w:val="0"/>
          <w:sz w:val="24"/>
          <w:szCs w:val="24"/>
        </w:rPr>
        <w:t>at</w:t>
      </w:r>
      <w:r w:rsidRPr="4FC16E7D">
        <w:rPr>
          <w:b w:val="0"/>
          <w:sz w:val="24"/>
          <w:szCs w:val="24"/>
        </w:rPr>
        <w:t xml:space="preserve"> original reporting system</w:t>
      </w:r>
      <w:r w:rsidR="00DA4E85" w:rsidRPr="004F0084">
        <w:rPr>
          <w:rFonts w:eastAsiaTheme="minorEastAsia" w:cs="Arial"/>
          <w:b w:val="0"/>
          <w:sz w:val="24"/>
          <w:szCs w:val="24"/>
        </w:rPr>
        <w:t>—subsequently renamed CERS—</w:t>
      </w:r>
      <w:r w:rsidRPr="4FC16E7D">
        <w:rPr>
          <w:b w:val="0"/>
          <w:sz w:val="24"/>
          <w:szCs w:val="24"/>
        </w:rPr>
        <w:t>was built out</w:t>
      </w:r>
      <w:r w:rsidR="00BA0235" w:rsidRPr="4FC16E7D">
        <w:rPr>
          <w:b w:val="0"/>
          <w:sz w:val="24"/>
          <w:szCs w:val="24"/>
        </w:rPr>
        <w:t xml:space="preserve">. </w:t>
      </w:r>
      <w:r w:rsidR="0014324B" w:rsidRPr="4FC16E7D">
        <w:rPr>
          <w:b w:val="0"/>
          <w:sz w:val="24"/>
          <w:szCs w:val="24"/>
        </w:rPr>
        <w:t xml:space="preserve">CERS </w:t>
      </w:r>
      <w:r w:rsidR="02607F6C" w:rsidRPr="4FC16E7D">
        <w:rPr>
          <w:b w:val="0"/>
          <w:sz w:val="24"/>
          <w:szCs w:val="24"/>
        </w:rPr>
        <w:t>has</w:t>
      </w:r>
      <w:r w:rsidR="0014324B" w:rsidRPr="4FC16E7D">
        <w:rPr>
          <w:b w:val="0"/>
          <w:sz w:val="24"/>
          <w:szCs w:val="24"/>
        </w:rPr>
        <w:t xml:space="preserve"> become the “one stop shop” for </w:t>
      </w:r>
      <w:r w:rsidR="00061CA7" w:rsidRPr="4FC16E7D">
        <w:rPr>
          <w:b w:val="0"/>
          <w:sz w:val="24"/>
          <w:szCs w:val="24"/>
        </w:rPr>
        <w:t>local educational agency</w:t>
      </w:r>
      <w:r w:rsidR="0022799B" w:rsidRPr="4FC16E7D">
        <w:rPr>
          <w:b w:val="0"/>
          <w:sz w:val="24"/>
          <w:szCs w:val="24"/>
        </w:rPr>
        <w:t xml:space="preserve"> (LEA)</w:t>
      </w:r>
      <w:r w:rsidR="0014324B" w:rsidRPr="4FC16E7D">
        <w:rPr>
          <w:b w:val="0"/>
          <w:sz w:val="24"/>
          <w:szCs w:val="24"/>
        </w:rPr>
        <w:t xml:space="preserve"> staff to view student results from all </w:t>
      </w:r>
      <w:r w:rsidR="00AF2608" w:rsidRPr="4FC16E7D">
        <w:rPr>
          <w:b w:val="0"/>
          <w:sz w:val="24"/>
          <w:szCs w:val="24"/>
        </w:rPr>
        <w:t xml:space="preserve">Smarter Balanced Interim Assessments as well as all </w:t>
      </w:r>
      <w:r w:rsidR="0014324B" w:rsidRPr="4FC16E7D">
        <w:rPr>
          <w:b w:val="0"/>
          <w:sz w:val="24"/>
          <w:szCs w:val="24"/>
        </w:rPr>
        <w:t>CAASPP and ELPAC</w:t>
      </w:r>
      <w:r w:rsidR="00AF2608" w:rsidRPr="4FC16E7D">
        <w:rPr>
          <w:b w:val="0"/>
          <w:sz w:val="24"/>
          <w:szCs w:val="24"/>
        </w:rPr>
        <w:t xml:space="preserve"> summative</w:t>
      </w:r>
      <w:r w:rsidR="0014324B" w:rsidRPr="4FC16E7D">
        <w:rPr>
          <w:b w:val="0"/>
          <w:sz w:val="24"/>
          <w:szCs w:val="24"/>
        </w:rPr>
        <w:t xml:space="preserve"> assessments.</w:t>
      </w:r>
      <w:r w:rsidR="00EF40B2" w:rsidRPr="4FC16E7D">
        <w:rPr>
          <w:b w:val="0"/>
          <w:sz w:val="24"/>
          <w:szCs w:val="24"/>
        </w:rPr>
        <w:t xml:space="preserve"> </w:t>
      </w:r>
    </w:p>
    <w:p w14:paraId="62701048" w14:textId="06C717BA" w:rsidR="00A41F49" w:rsidRDefault="3D15B6FA" w:rsidP="003E040B">
      <w:pPr>
        <w:pStyle w:val="Heading2"/>
        <w:spacing w:before="240" w:after="480"/>
        <w:rPr>
          <w:b w:val="0"/>
          <w:sz w:val="24"/>
          <w:szCs w:val="24"/>
        </w:rPr>
      </w:pPr>
      <w:r w:rsidRPr="4FC16E7D">
        <w:rPr>
          <w:b w:val="0"/>
          <w:sz w:val="24"/>
          <w:szCs w:val="24"/>
        </w:rPr>
        <w:t xml:space="preserve">The CDE has provided updates to the </w:t>
      </w:r>
      <w:r w:rsidR="3F6688A3" w:rsidRPr="4FC16E7D">
        <w:rPr>
          <w:b w:val="0"/>
          <w:sz w:val="24"/>
          <w:szCs w:val="24"/>
        </w:rPr>
        <w:t xml:space="preserve">SBE as </w:t>
      </w:r>
      <w:r w:rsidR="0869F588" w:rsidRPr="4FC16E7D">
        <w:rPr>
          <w:b w:val="0"/>
          <w:sz w:val="24"/>
          <w:szCs w:val="24"/>
        </w:rPr>
        <w:t xml:space="preserve">CAASPP </w:t>
      </w:r>
      <w:r w:rsidR="1C40DD6E" w:rsidRPr="4FC16E7D">
        <w:rPr>
          <w:b w:val="0"/>
          <w:sz w:val="24"/>
          <w:szCs w:val="24"/>
        </w:rPr>
        <w:t xml:space="preserve">student </w:t>
      </w:r>
      <w:r w:rsidR="0869F588" w:rsidRPr="4FC16E7D">
        <w:rPr>
          <w:b w:val="0"/>
          <w:sz w:val="24"/>
          <w:szCs w:val="24"/>
        </w:rPr>
        <w:t>results through 2018–2019</w:t>
      </w:r>
      <w:r w:rsidR="3F6688A3" w:rsidRPr="4FC16E7D">
        <w:rPr>
          <w:b w:val="0"/>
          <w:sz w:val="24"/>
          <w:szCs w:val="24"/>
        </w:rPr>
        <w:t xml:space="preserve"> </w:t>
      </w:r>
      <w:r w:rsidR="0869F588" w:rsidRPr="4FC16E7D">
        <w:rPr>
          <w:b w:val="0"/>
          <w:sz w:val="24"/>
          <w:szCs w:val="24"/>
        </w:rPr>
        <w:t xml:space="preserve">and ELPAC results through 2019–2020 </w:t>
      </w:r>
      <w:r w:rsidR="0BB75DD4" w:rsidRPr="4FC16E7D">
        <w:rPr>
          <w:b w:val="0"/>
          <w:sz w:val="24"/>
          <w:szCs w:val="24"/>
        </w:rPr>
        <w:t>have become</w:t>
      </w:r>
      <w:r w:rsidR="0869F588" w:rsidRPr="4FC16E7D">
        <w:rPr>
          <w:b w:val="0"/>
          <w:sz w:val="24"/>
          <w:szCs w:val="24"/>
        </w:rPr>
        <w:t xml:space="preserve"> available in CERS.</w:t>
      </w:r>
      <w:r w:rsidR="3D47109B" w:rsidRPr="4FC16E7D">
        <w:rPr>
          <w:b w:val="0"/>
          <w:sz w:val="24"/>
          <w:szCs w:val="24"/>
        </w:rPr>
        <w:t xml:space="preserve"> </w:t>
      </w:r>
      <w:r w:rsidR="0869F588" w:rsidRPr="4FC16E7D">
        <w:rPr>
          <w:b w:val="0"/>
          <w:sz w:val="24"/>
          <w:szCs w:val="24"/>
        </w:rPr>
        <w:t xml:space="preserve">The </w:t>
      </w:r>
      <w:r w:rsidR="0106233D" w:rsidRPr="4FC16E7D">
        <w:rPr>
          <w:b w:val="0"/>
          <w:sz w:val="24"/>
          <w:szCs w:val="24"/>
        </w:rPr>
        <w:t xml:space="preserve">2019–2020 </w:t>
      </w:r>
      <w:r w:rsidR="0869F588" w:rsidRPr="4FC16E7D">
        <w:rPr>
          <w:b w:val="0"/>
          <w:sz w:val="24"/>
          <w:szCs w:val="24"/>
        </w:rPr>
        <w:t>summative E</w:t>
      </w:r>
      <w:r w:rsidR="61B4ACC5" w:rsidRPr="4FC16E7D">
        <w:rPr>
          <w:b w:val="0"/>
          <w:sz w:val="24"/>
          <w:szCs w:val="24"/>
        </w:rPr>
        <w:t>nglish language arts (E</w:t>
      </w:r>
      <w:r w:rsidR="0869F588" w:rsidRPr="4FC16E7D">
        <w:rPr>
          <w:b w:val="0"/>
          <w:sz w:val="24"/>
          <w:szCs w:val="24"/>
        </w:rPr>
        <w:t>LA</w:t>
      </w:r>
      <w:r w:rsidR="61B4ACC5" w:rsidRPr="4FC16E7D">
        <w:rPr>
          <w:b w:val="0"/>
          <w:sz w:val="24"/>
          <w:szCs w:val="24"/>
        </w:rPr>
        <w:t>)</w:t>
      </w:r>
      <w:r w:rsidR="0869F588" w:rsidRPr="4FC16E7D">
        <w:rPr>
          <w:b w:val="0"/>
          <w:sz w:val="24"/>
          <w:szCs w:val="24"/>
        </w:rPr>
        <w:t xml:space="preserve"> and math</w:t>
      </w:r>
      <w:r w:rsidR="0022799B" w:rsidRPr="4FC16E7D">
        <w:rPr>
          <w:b w:val="0"/>
          <w:sz w:val="24"/>
          <w:szCs w:val="24"/>
        </w:rPr>
        <w:t>ematics</w:t>
      </w:r>
      <w:r w:rsidR="0869F588" w:rsidRPr="4FC16E7D">
        <w:rPr>
          <w:b w:val="0"/>
          <w:sz w:val="24"/>
          <w:szCs w:val="24"/>
        </w:rPr>
        <w:t>, C</w:t>
      </w:r>
      <w:r w:rsidR="61B4ACC5" w:rsidRPr="4FC16E7D">
        <w:rPr>
          <w:b w:val="0"/>
          <w:sz w:val="24"/>
          <w:szCs w:val="24"/>
        </w:rPr>
        <w:t xml:space="preserve">alifornia </w:t>
      </w:r>
      <w:r w:rsidR="0869F588" w:rsidRPr="4FC16E7D">
        <w:rPr>
          <w:b w:val="0"/>
          <w:sz w:val="24"/>
          <w:szCs w:val="24"/>
        </w:rPr>
        <w:t>A</w:t>
      </w:r>
      <w:r w:rsidR="61B4ACC5" w:rsidRPr="4FC16E7D">
        <w:rPr>
          <w:b w:val="0"/>
          <w:sz w:val="24"/>
          <w:szCs w:val="24"/>
        </w:rPr>
        <w:t xml:space="preserve">lternate </w:t>
      </w:r>
      <w:r w:rsidR="0869F588" w:rsidRPr="4FC16E7D">
        <w:rPr>
          <w:b w:val="0"/>
          <w:sz w:val="24"/>
          <w:szCs w:val="24"/>
        </w:rPr>
        <w:t>A</w:t>
      </w:r>
      <w:r w:rsidR="61B4ACC5" w:rsidRPr="4FC16E7D">
        <w:rPr>
          <w:b w:val="0"/>
          <w:sz w:val="24"/>
          <w:szCs w:val="24"/>
        </w:rPr>
        <w:t>ssessment</w:t>
      </w:r>
      <w:r w:rsidR="0022034C">
        <w:rPr>
          <w:b w:val="0"/>
          <w:sz w:val="24"/>
          <w:szCs w:val="24"/>
        </w:rPr>
        <w:t>s</w:t>
      </w:r>
      <w:r w:rsidR="61B4ACC5" w:rsidRPr="4FC16E7D">
        <w:rPr>
          <w:b w:val="0"/>
          <w:sz w:val="24"/>
          <w:szCs w:val="24"/>
        </w:rPr>
        <w:t xml:space="preserve"> (CAA</w:t>
      </w:r>
      <w:r w:rsidR="0022034C">
        <w:rPr>
          <w:b w:val="0"/>
          <w:sz w:val="24"/>
          <w:szCs w:val="24"/>
        </w:rPr>
        <w:t>s</w:t>
      </w:r>
      <w:r w:rsidR="61B4ACC5" w:rsidRPr="4FC16E7D">
        <w:rPr>
          <w:b w:val="0"/>
          <w:sz w:val="24"/>
          <w:szCs w:val="24"/>
        </w:rPr>
        <w:t xml:space="preserve">) </w:t>
      </w:r>
      <w:r w:rsidR="0022034C">
        <w:rPr>
          <w:b w:val="0"/>
          <w:sz w:val="24"/>
          <w:szCs w:val="24"/>
        </w:rPr>
        <w:t>for</w:t>
      </w:r>
      <w:r w:rsidR="0022034C" w:rsidRPr="4FC16E7D">
        <w:rPr>
          <w:b w:val="0"/>
          <w:sz w:val="24"/>
          <w:szCs w:val="24"/>
        </w:rPr>
        <w:t xml:space="preserve"> </w:t>
      </w:r>
      <w:r w:rsidR="0869F588" w:rsidRPr="4FC16E7D">
        <w:rPr>
          <w:b w:val="0"/>
          <w:sz w:val="24"/>
          <w:szCs w:val="24"/>
        </w:rPr>
        <w:t xml:space="preserve">ELA and </w:t>
      </w:r>
      <w:r w:rsidR="0022799B" w:rsidRPr="4FC16E7D">
        <w:rPr>
          <w:b w:val="0"/>
          <w:sz w:val="24"/>
          <w:szCs w:val="24"/>
        </w:rPr>
        <w:t>mathematics</w:t>
      </w:r>
      <w:r w:rsidR="0869F588" w:rsidRPr="4FC16E7D">
        <w:rPr>
          <w:b w:val="0"/>
          <w:sz w:val="24"/>
          <w:szCs w:val="24"/>
        </w:rPr>
        <w:t>, and C</w:t>
      </w:r>
      <w:r w:rsidR="61B4ACC5" w:rsidRPr="4FC16E7D">
        <w:rPr>
          <w:b w:val="0"/>
          <w:sz w:val="24"/>
          <w:szCs w:val="24"/>
        </w:rPr>
        <w:t>alifornia Science Test (C</w:t>
      </w:r>
      <w:r w:rsidR="0869F588" w:rsidRPr="4FC16E7D">
        <w:rPr>
          <w:b w:val="0"/>
          <w:sz w:val="24"/>
          <w:szCs w:val="24"/>
        </w:rPr>
        <w:t>AST</w:t>
      </w:r>
      <w:r w:rsidR="61B4ACC5" w:rsidRPr="4FC16E7D">
        <w:rPr>
          <w:b w:val="0"/>
          <w:sz w:val="24"/>
          <w:szCs w:val="24"/>
        </w:rPr>
        <w:t>)</w:t>
      </w:r>
      <w:r w:rsidR="0869F588" w:rsidRPr="4FC16E7D">
        <w:rPr>
          <w:b w:val="0"/>
          <w:sz w:val="24"/>
          <w:szCs w:val="24"/>
        </w:rPr>
        <w:t xml:space="preserve"> student r</w:t>
      </w:r>
      <w:r w:rsidR="3F6688A3" w:rsidRPr="4FC16E7D">
        <w:rPr>
          <w:b w:val="0"/>
          <w:sz w:val="24"/>
          <w:szCs w:val="24"/>
        </w:rPr>
        <w:t>esults are scheduled to be available</w:t>
      </w:r>
      <w:r w:rsidR="0869F588" w:rsidRPr="4FC16E7D">
        <w:rPr>
          <w:b w:val="0"/>
          <w:sz w:val="24"/>
          <w:szCs w:val="24"/>
        </w:rPr>
        <w:t xml:space="preserve"> </w:t>
      </w:r>
      <w:r w:rsidR="0022799B" w:rsidRPr="4FC16E7D">
        <w:rPr>
          <w:b w:val="0"/>
          <w:sz w:val="24"/>
          <w:szCs w:val="24"/>
        </w:rPr>
        <w:t xml:space="preserve">in </w:t>
      </w:r>
      <w:r w:rsidR="0869F588" w:rsidRPr="4FC16E7D">
        <w:rPr>
          <w:b w:val="0"/>
          <w:sz w:val="24"/>
          <w:szCs w:val="24"/>
        </w:rPr>
        <w:t xml:space="preserve">January 2021. </w:t>
      </w:r>
      <w:r w:rsidR="2DCA65F5" w:rsidRPr="4FC16E7D">
        <w:rPr>
          <w:b w:val="0"/>
          <w:sz w:val="24"/>
          <w:szCs w:val="24"/>
        </w:rPr>
        <w:t>I</w:t>
      </w:r>
      <w:r w:rsidR="0869F588" w:rsidRPr="4FC16E7D">
        <w:rPr>
          <w:b w:val="0"/>
          <w:sz w:val="24"/>
          <w:szCs w:val="24"/>
        </w:rPr>
        <w:t xml:space="preserve">n </w:t>
      </w:r>
      <w:r w:rsidR="1DFBA43A" w:rsidRPr="4FC16E7D">
        <w:rPr>
          <w:b w:val="0"/>
          <w:sz w:val="24"/>
          <w:szCs w:val="24"/>
        </w:rPr>
        <w:t>spring 2021,</w:t>
      </w:r>
      <w:r w:rsidR="1C40DD6E" w:rsidRPr="4FC16E7D">
        <w:rPr>
          <w:b w:val="0"/>
          <w:sz w:val="24"/>
          <w:szCs w:val="24"/>
        </w:rPr>
        <w:t xml:space="preserve"> the </w:t>
      </w:r>
      <w:r w:rsidR="61B4ACC5" w:rsidRPr="4FC16E7D">
        <w:rPr>
          <w:b w:val="0"/>
          <w:sz w:val="24"/>
          <w:szCs w:val="24"/>
        </w:rPr>
        <w:t>2020–2021</w:t>
      </w:r>
      <w:r w:rsidR="0BB75DD4" w:rsidRPr="4FC16E7D">
        <w:rPr>
          <w:b w:val="0"/>
          <w:sz w:val="24"/>
          <w:szCs w:val="24"/>
        </w:rPr>
        <w:t xml:space="preserve"> student </w:t>
      </w:r>
      <w:r w:rsidR="1C40DD6E" w:rsidRPr="4FC16E7D">
        <w:rPr>
          <w:b w:val="0"/>
          <w:sz w:val="24"/>
          <w:szCs w:val="24"/>
        </w:rPr>
        <w:t xml:space="preserve">results for summative ELA and </w:t>
      </w:r>
      <w:r w:rsidR="0022799B" w:rsidRPr="4FC16E7D">
        <w:rPr>
          <w:b w:val="0"/>
          <w:sz w:val="24"/>
          <w:szCs w:val="24"/>
        </w:rPr>
        <w:t>mathematics</w:t>
      </w:r>
      <w:r w:rsidR="1C40DD6E" w:rsidRPr="4FC16E7D">
        <w:rPr>
          <w:b w:val="0"/>
          <w:sz w:val="24"/>
          <w:szCs w:val="24"/>
        </w:rPr>
        <w:t>,</w:t>
      </w:r>
      <w:r w:rsidR="0BB75DD4" w:rsidRPr="4FC16E7D">
        <w:rPr>
          <w:b w:val="0"/>
          <w:sz w:val="24"/>
          <w:szCs w:val="24"/>
        </w:rPr>
        <w:t xml:space="preserve"> CAA</w:t>
      </w:r>
      <w:r w:rsidR="009A7B82">
        <w:rPr>
          <w:b w:val="0"/>
          <w:sz w:val="24"/>
          <w:szCs w:val="24"/>
        </w:rPr>
        <w:t>s</w:t>
      </w:r>
      <w:r w:rsidR="0BB75DD4" w:rsidRPr="4FC16E7D">
        <w:rPr>
          <w:b w:val="0"/>
          <w:sz w:val="24"/>
          <w:szCs w:val="24"/>
        </w:rPr>
        <w:t xml:space="preserve"> </w:t>
      </w:r>
      <w:r w:rsidR="1C40DD6E" w:rsidRPr="4FC16E7D">
        <w:rPr>
          <w:b w:val="0"/>
          <w:sz w:val="24"/>
          <w:szCs w:val="24"/>
        </w:rPr>
        <w:t xml:space="preserve">ELA and </w:t>
      </w:r>
      <w:r w:rsidR="0022799B" w:rsidRPr="4FC16E7D">
        <w:rPr>
          <w:b w:val="0"/>
          <w:sz w:val="24"/>
          <w:szCs w:val="24"/>
        </w:rPr>
        <w:t>mathematics</w:t>
      </w:r>
      <w:r w:rsidR="1C40DD6E" w:rsidRPr="4FC16E7D">
        <w:rPr>
          <w:b w:val="0"/>
          <w:sz w:val="24"/>
          <w:szCs w:val="24"/>
        </w:rPr>
        <w:t xml:space="preserve">, </w:t>
      </w:r>
      <w:r w:rsidR="0022799B" w:rsidRPr="4FC16E7D">
        <w:rPr>
          <w:b w:val="0"/>
          <w:sz w:val="24"/>
          <w:szCs w:val="24"/>
        </w:rPr>
        <w:t xml:space="preserve">the </w:t>
      </w:r>
      <w:r w:rsidR="1C40DD6E" w:rsidRPr="4FC16E7D">
        <w:rPr>
          <w:b w:val="0"/>
          <w:sz w:val="24"/>
          <w:szCs w:val="24"/>
        </w:rPr>
        <w:t>C</w:t>
      </w:r>
      <w:r w:rsidR="61B4ACC5" w:rsidRPr="4FC16E7D">
        <w:rPr>
          <w:b w:val="0"/>
          <w:sz w:val="24"/>
          <w:szCs w:val="24"/>
        </w:rPr>
        <w:t xml:space="preserve">alifornia </w:t>
      </w:r>
      <w:r w:rsidR="1C40DD6E" w:rsidRPr="4FC16E7D">
        <w:rPr>
          <w:b w:val="0"/>
          <w:sz w:val="24"/>
          <w:szCs w:val="24"/>
        </w:rPr>
        <w:t>S</w:t>
      </w:r>
      <w:r w:rsidR="61B4ACC5" w:rsidRPr="4FC16E7D">
        <w:rPr>
          <w:b w:val="0"/>
          <w:sz w:val="24"/>
          <w:szCs w:val="24"/>
        </w:rPr>
        <w:t xml:space="preserve">panish </w:t>
      </w:r>
      <w:r w:rsidR="1C40DD6E" w:rsidRPr="4FC16E7D">
        <w:rPr>
          <w:b w:val="0"/>
          <w:sz w:val="24"/>
          <w:szCs w:val="24"/>
        </w:rPr>
        <w:t>A</w:t>
      </w:r>
      <w:r w:rsidR="61B4ACC5" w:rsidRPr="4FC16E7D">
        <w:rPr>
          <w:b w:val="0"/>
          <w:sz w:val="24"/>
          <w:szCs w:val="24"/>
        </w:rPr>
        <w:t>ssessment</w:t>
      </w:r>
      <w:r w:rsidR="1C40DD6E" w:rsidRPr="4FC16E7D">
        <w:rPr>
          <w:b w:val="0"/>
          <w:sz w:val="24"/>
          <w:szCs w:val="24"/>
        </w:rPr>
        <w:t xml:space="preserve">, and </w:t>
      </w:r>
      <w:r w:rsidR="0022799B" w:rsidRPr="4FC16E7D">
        <w:rPr>
          <w:b w:val="0"/>
          <w:sz w:val="24"/>
          <w:szCs w:val="24"/>
        </w:rPr>
        <w:t xml:space="preserve">the </w:t>
      </w:r>
      <w:r w:rsidR="0BB75DD4" w:rsidRPr="4FC16E7D">
        <w:rPr>
          <w:b w:val="0"/>
          <w:sz w:val="24"/>
          <w:szCs w:val="24"/>
        </w:rPr>
        <w:t xml:space="preserve">CAST </w:t>
      </w:r>
      <w:r w:rsidR="3F6688A3" w:rsidRPr="4FC16E7D">
        <w:rPr>
          <w:b w:val="0"/>
          <w:sz w:val="24"/>
          <w:szCs w:val="24"/>
        </w:rPr>
        <w:t>will be available</w:t>
      </w:r>
      <w:r w:rsidR="1C40DD6E" w:rsidRPr="4FC16E7D">
        <w:rPr>
          <w:b w:val="0"/>
          <w:sz w:val="24"/>
          <w:szCs w:val="24"/>
        </w:rPr>
        <w:t xml:space="preserve">. The </w:t>
      </w:r>
      <w:r w:rsidR="61B4ACC5" w:rsidRPr="4FC16E7D">
        <w:rPr>
          <w:b w:val="0"/>
          <w:sz w:val="24"/>
          <w:szCs w:val="24"/>
        </w:rPr>
        <w:t>2020–2021</w:t>
      </w:r>
      <w:r w:rsidR="0D58BD21" w:rsidRPr="4FC16E7D">
        <w:rPr>
          <w:b w:val="0"/>
          <w:sz w:val="24"/>
          <w:szCs w:val="24"/>
        </w:rPr>
        <w:t xml:space="preserve"> </w:t>
      </w:r>
      <w:r w:rsidR="1DFBA43A" w:rsidRPr="4FC16E7D">
        <w:rPr>
          <w:b w:val="0"/>
          <w:sz w:val="24"/>
          <w:szCs w:val="24"/>
        </w:rPr>
        <w:t xml:space="preserve">CAA </w:t>
      </w:r>
      <w:r w:rsidR="5597F578" w:rsidRPr="4FC16E7D">
        <w:rPr>
          <w:b w:val="0"/>
          <w:sz w:val="24"/>
          <w:szCs w:val="24"/>
        </w:rPr>
        <w:t xml:space="preserve">for </w:t>
      </w:r>
      <w:r w:rsidR="1DFBA43A" w:rsidRPr="4FC16E7D">
        <w:rPr>
          <w:b w:val="0"/>
          <w:sz w:val="24"/>
          <w:szCs w:val="24"/>
        </w:rPr>
        <w:t>Science and Alternate ELPAC student results will be available</w:t>
      </w:r>
      <w:r w:rsidR="1C40DD6E" w:rsidRPr="4FC16E7D">
        <w:rPr>
          <w:b w:val="0"/>
          <w:sz w:val="24"/>
          <w:szCs w:val="24"/>
        </w:rPr>
        <w:t xml:space="preserve"> in </w:t>
      </w:r>
      <w:r w:rsidR="0869F588" w:rsidRPr="4FC16E7D">
        <w:rPr>
          <w:b w:val="0"/>
          <w:sz w:val="24"/>
          <w:szCs w:val="24"/>
        </w:rPr>
        <w:t>spring 2022</w:t>
      </w:r>
      <w:r w:rsidR="1DFBA43A" w:rsidRPr="4FC16E7D">
        <w:rPr>
          <w:b w:val="0"/>
          <w:sz w:val="24"/>
          <w:szCs w:val="24"/>
        </w:rPr>
        <w:t>.</w:t>
      </w:r>
      <w:r w:rsidR="009849C9" w:rsidRPr="4FC16E7D">
        <w:rPr>
          <w:b w:val="0"/>
          <w:sz w:val="24"/>
          <w:szCs w:val="24"/>
        </w:rPr>
        <w:t xml:space="preserve"> </w:t>
      </w:r>
      <w:r w:rsidR="00C325FB" w:rsidRPr="4FC16E7D">
        <w:rPr>
          <w:b w:val="0"/>
          <w:sz w:val="24"/>
          <w:szCs w:val="24"/>
        </w:rPr>
        <w:t xml:space="preserve">The import of assessment results into CERS has </w:t>
      </w:r>
      <w:r w:rsidR="0022799B" w:rsidRPr="4FC16E7D">
        <w:rPr>
          <w:b w:val="0"/>
          <w:sz w:val="24"/>
          <w:szCs w:val="24"/>
        </w:rPr>
        <w:t xml:space="preserve">taken place </w:t>
      </w:r>
      <w:r w:rsidR="00C325FB" w:rsidRPr="4FC16E7D">
        <w:rPr>
          <w:b w:val="0"/>
          <w:sz w:val="24"/>
          <w:szCs w:val="24"/>
        </w:rPr>
        <w:t xml:space="preserve">on schedule and within scope. </w:t>
      </w:r>
      <w:r w:rsidR="001D2E60" w:rsidRPr="4FC16E7D">
        <w:rPr>
          <w:b w:val="0"/>
          <w:sz w:val="24"/>
          <w:szCs w:val="24"/>
        </w:rPr>
        <w:t xml:space="preserve">In addition, </w:t>
      </w:r>
      <w:r w:rsidR="00662D0A" w:rsidRPr="4FC16E7D">
        <w:rPr>
          <w:b w:val="0"/>
          <w:sz w:val="24"/>
          <w:szCs w:val="24"/>
        </w:rPr>
        <w:t xml:space="preserve">CERS has been well received by California </w:t>
      </w:r>
      <w:r w:rsidR="001D2E60" w:rsidRPr="4FC16E7D">
        <w:rPr>
          <w:b w:val="0"/>
          <w:sz w:val="24"/>
          <w:szCs w:val="24"/>
        </w:rPr>
        <w:t>LEA</w:t>
      </w:r>
      <w:r w:rsidR="00590C4A" w:rsidRPr="4FC16E7D">
        <w:rPr>
          <w:b w:val="0"/>
          <w:sz w:val="24"/>
          <w:szCs w:val="24"/>
        </w:rPr>
        <w:t xml:space="preserve"> staff who use it</w:t>
      </w:r>
      <w:r w:rsidR="00662D0A" w:rsidRPr="4FC16E7D">
        <w:rPr>
          <w:b w:val="0"/>
          <w:sz w:val="24"/>
          <w:szCs w:val="24"/>
        </w:rPr>
        <w:t xml:space="preserve"> to access </w:t>
      </w:r>
      <w:r w:rsidR="00590C4A" w:rsidRPr="4FC16E7D">
        <w:rPr>
          <w:b w:val="0"/>
          <w:sz w:val="24"/>
          <w:szCs w:val="24"/>
        </w:rPr>
        <w:t>individual and aggregate</w:t>
      </w:r>
      <w:r w:rsidR="00662D0A" w:rsidRPr="4FC16E7D">
        <w:rPr>
          <w:b w:val="0"/>
          <w:sz w:val="24"/>
          <w:szCs w:val="24"/>
        </w:rPr>
        <w:t xml:space="preserve"> student results. This contract is being fulfilled </w:t>
      </w:r>
      <w:r w:rsidR="00C63134" w:rsidRPr="4FC16E7D">
        <w:rPr>
          <w:b w:val="0"/>
          <w:sz w:val="24"/>
          <w:szCs w:val="24"/>
        </w:rPr>
        <w:t xml:space="preserve">with no </w:t>
      </w:r>
      <w:r w:rsidR="00662D0A" w:rsidRPr="4FC16E7D">
        <w:rPr>
          <w:b w:val="0"/>
          <w:sz w:val="24"/>
          <w:szCs w:val="24"/>
        </w:rPr>
        <w:t xml:space="preserve">issues </w:t>
      </w:r>
      <w:r w:rsidR="00C63134" w:rsidRPr="4FC16E7D">
        <w:rPr>
          <w:b w:val="0"/>
          <w:sz w:val="24"/>
          <w:szCs w:val="24"/>
        </w:rPr>
        <w:t xml:space="preserve">that would warrant </w:t>
      </w:r>
      <w:r w:rsidR="00662D0A" w:rsidRPr="4FC16E7D">
        <w:rPr>
          <w:b w:val="0"/>
          <w:sz w:val="24"/>
          <w:szCs w:val="24"/>
        </w:rPr>
        <w:t>retain</w:t>
      </w:r>
      <w:r w:rsidR="00C325FB" w:rsidRPr="4FC16E7D">
        <w:rPr>
          <w:b w:val="0"/>
          <w:sz w:val="24"/>
          <w:szCs w:val="24"/>
        </w:rPr>
        <w:t>ing</w:t>
      </w:r>
      <w:r w:rsidR="00662D0A" w:rsidRPr="4FC16E7D">
        <w:rPr>
          <w:b w:val="0"/>
          <w:sz w:val="24"/>
          <w:szCs w:val="24"/>
        </w:rPr>
        <w:t xml:space="preserve"> the withheld funds.</w:t>
      </w:r>
    </w:p>
    <w:p w14:paraId="3D47E909" w14:textId="002D974A" w:rsidR="005875DC" w:rsidRPr="0012077B" w:rsidRDefault="003E4DF7" w:rsidP="005875DC">
      <w:pPr>
        <w:pStyle w:val="Heading2"/>
        <w:spacing w:before="240" w:after="240"/>
        <w:rPr>
          <w:sz w:val="36"/>
          <w:szCs w:val="36"/>
        </w:rPr>
      </w:pPr>
      <w:r w:rsidRPr="0012077B">
        <w:rPr>
          <w:sz w:val="36"/>
          <w:szCs w:val="36"/>
        </w:rPr>
        <w:t>Summary of Previous State Board of Education Discussion and Action</w:t>
      </w:r>
    </w:p>
    <w:p w14:paraId="12DD922C" w14:textId="45228098" w:rsidR="00AD23F5" w:rsidRDefault="00A41F49" w:rsidP="001F34FC">
      <w:pPr>
        <w:spacing w:after="240"/>
      </w:pPr>
      <w:r>
        <w:t xml:space="preserve">In November 2019, the SBE approved the release of up to 10 percent withheld for the </w:t>
      </w:r>
      <w:r w:rsidR="00061CA7">
        <w:t>2018–2019</w:t>
      </w:r>
      <w:r>
        <w:t xml:space="preserve"> </w:t>
      </w:r>
      <w:r w:rsidR="0025585C">
        <w:t>Regents of the Uni</w:t>
      </w:r>
      <w:r>
        <w:t xml:space="preserve">versity of California </w:t>
      </w:r>
      <w:r w:rsidR="0046743C">
        <w:t>c</w:t>
      </w:r>
      <w:r>
        <w:t xml:space="preserve">ontract </w:t>
      </w:r>
      <w:r w:rsidR="001F34FC">
        <w:t>(</w:t>
      </w:r>
      <w:hyperlink r:id="rId13" w:tooltip="This link opens the November 2019 SBE Agenda Item.">
        <w:r w:rsidR="001F34FC" w:rsidRPr="4FC16E7D">
          <w:rPr>
            <w:rStyle w:val="Hyperlink"/>
          </w:rPr>
          <w:t>https://www.cde.ca.gov/be/ag/ag/yr19/documents/nov19item07.docx</w:t>
        </w:r>
      </w:hyperlink>
      <w:r w:rsidR="001F34FC" w:rsidRPr="4FC16E7D">
        <w:rPr>
          <w:rStyle w:val="Hyperlink"/>
          <w:color w:val="auto"/>
          <w:u w:val="none"/>
        </w:rPr>
        <w:t>).</w:t>
      </w:r>
    </w:p>
    <w:p w14:paraId="3BBEB701" w14:textId="21B91CD7" w:rsidR="004E78E5" w:rsidRPr="00BA2C9C" w:rsidRDefault="004E78E5" w:rsidP="005875DC">
      <w:pPr>
        <w:spacing w:after="480"/>
      </w:pPr>
      <w:r w:rsidRPr="00BA2C9C">
        <w:t xml:space="preserve">In November 2018, the SBE </w:t>
      </w:r>
      <w:r w:rsidR="00A04848" w:rsidRPr="00BA2C9C">
        <w:t xml:space="preserve">approved the </w:t>
      </w:r>
      <w:r w:rsidR="00E80F73" w:rsidRPr="00BA2C9C">
        <w:t xml:space="preserve">contract amendment with the </w:t>
      </w:r>
      <w:r w:rsidR="00621B1D" w:rsidRPr="00BA2C9C">
        <w:t>UCSC</w:t>
      </w:r>
      <w:r w:rsidR="00E80F73" w:rsidRPr="00BA2C9C">
        <w:t xml:space="preserve"> interagency agreement to provide an educator reporting system, increasing the overall contract with UCSC by $2,593,819 </w:t>
      </w:r>
      <w:r w:rsidR="00A04848" w:rsidRPr="00BA2C9C">
        <w:t>(</w:t>
      </w:r>
      <w:hyperlink r:id="rId14" w:tooltip="This link opens the November 2018 SBE Agenda Item." w:history="1">
        <w:r w:rsidR="00E80F73" w:rsidRPr="00BA2C9C">
          <w:rPr>
            <w:rStyle w:val="Hyperlink"/>
            <w:rFonts w:cs="Arial"/>
          </w:rPr>
          <w:t>https://www.cde.ca.gov/be/ag/ag/yr18/documents/nov18item08.docx</w:t>
        </w:r>
      </w:hyperlink>
      <w:r w:rsidR="00A04848" w:rsidRPr="00BA2C9C">
        <w:t>)</w:t>
      </w:r>
      <w:r w:rsidRPr="00BA2C9C">
        <w:t>.</w:t>
      </w:r>
    </w:p>
    <w:p w14:paraId="5E6B385F" w14:textId="77777777" w:rsidR="003E4DF7" w:rsidRPr="00BA2C9C" w:rsidRDefault="003E4DF7" w:rsidP="002B4B14">
      <w:pPr>
        <w:pStyle w:val="Heading2"/>
        <w:spacing w:before="240" w:after="240"/>
        <w:rPr>
          <w:sz w:val="36"/>
          <w:szCs w:val="36"/>
        </w:rPr>
      </w:pPr>
      <w:r w:rsidRPr="00BA2C9C">
        <w:rPr>
          <w:sz w:val="36"/>
          <w:szCs w:val="36"/>
        </w:rPr>
        <w:lastRenderedPageBreak/>
        <w:t>Fiscal Analysis (as appropriate)</w:t>
      </w:r>
    </w:p>
    <w:p w14:paraId="45A04F35" w14:textId="694DE101" w:rsidR="004E6EF3" w:rsidRPr="00BA2C9C" w:rsidRDefault="5AB99E68" w:rsidP="4B77DCDD">
      <w:pPr>
        <w:spacing w:after="480"/>
        <w:rPr>
          <w:rFonts w:cs="Arial"/>
        </w:rPr>
      </w:pPr>
      <w:r w:rsidRPr="00BA2C9C">
        <w:rPr>
          <w:rFonts w:cs="Arial"/>
          <w:spacing w:val="-1"/>
        </w:rPr>
        <w:t>The funds to be released for the UCSC CERS contract activities were withheld during FY 201</w:t>
      </w:r>
      <w:r w:rsidR="3F992930">
        <w:rPr>
          <w:rFonts w:cs="Arial"/>
          <w:spacing w:val="-1"/>
        </w:rPr>
        <w:t>9</w:t>
      </w:r>
      <w:r w:rsidRPr="00BA2C9C">
        <w:rPr>
          <w:rFonts w:cs="Arial"/>
          <w:spacing w:val="-1"/>
        </w:rPr>
        <w:t>–</w:t>
      </w:r>
      <w:r w:rsidR="3F992930">
        <w:rPr>
          <w:rFonts w:cs="Arial"/>
          <w:spacing w:val="-1"/>
        </w:rPr>
        <w:t>2020</w:t>
      </w:r>
      <w:r w:rsidRPr="00BA2C9C">
        <w:rPr>
          <w:rFonts w:cs="Arial"/>
          <w:spacing w:val="-1"/>
        </w:rPr>
        <w:t xml:space="preserve"> from invoices paid with existing contract funding as shown in Attachment </w:t>
      </w:r>
      <w:r w:rsidR="6B171CF2" w:rsidRPr="00BA2C9C">
        <w:rPr>
          <w:rFonts w:cs="Arial"/>
          <w:spacing w:val="-1"/>
        </w:rPr>
        <w:t>1</w:t>
      </w:r>
      <w:r w:rsidRPr="00BA2C9C">
        <w:rPr>
          <w:rFonts w:cs="Arial"/>
          <w:spacing w:val="-1"/>
        </w:rPr>
        <w:t>. The CDE recommends the release of $</w:t>
      </w:r>
      <w:r w:rsidR="77873118" w:rsidRPr="4B77DCDD">
        <w:rPr>
          <w:rFonts w:eastAsia="Arial" w:cs="Arial"/>
          <w:color w:val="000000" w:themeColor="text1"/>
        </w:rPr>
        <w:t>72,216.51</w:t>
      </w:r>
      <w:r w:rsidRPr="00BA2C9C">
        <w:rPr>
          <w:rFonts w:cs="Arial"/>
          <w:spacing w:val="-1"/>
        </w:rPr>
        <w:t>, which is the full 10 percent of funds withheld.</w:t>
      </w:r>
      <w:r w:rsidR="37E4F479" w:rsidRPr="00BA2C9C">
        <w:rPr>
          <w:rFonts w:cs="Arial"/>
        </w:rPr>
        <w:t xml:space="preserve"> </w:t>
      </w:r>
    </w:p>
    <w:p w14:paraId="679B1EC2" w14:textId="77777777" w:rsidR="001B5A73" w:rsidRPr="00BA2C9C" w:rsidRDefault="001B5A73" w:rsidP="001B5A73">
      <w:pPr>
        <w:pStyle w:val="Heading2"/>
        <w:spacing w:before="240" w:after="240"/>
        <w:rPr>
          <w:sz w:val="36"/>
          <w:szCs w:val="36"/>
        </w:rPr>
      </w:pPr>
      <w:r w:rsidRPr="00BA2C9C">
        <w:rPr>
          <w:sz w:val="36"/>
          <w:szCs w:val="36"/>
        </w:rPr>
        <w:t>Attachment(s)</w:t>
      </w:r>
    </w:p>
    <w:p w14:paraId="7EC99ACE" w14:textId="625D2DAF" w:rsidR="001B5A73" w:rsidRPr="001F34FC" w:rsidRDefault="001B5A73" w:rsidP="001F34FC">
      <w:pPr>
        <w:pStyle w:val="ListParagraph"/>
        <w:numPr>
          <w:ilvl w:val="0"/>
          <w:numId w:val="20"/>
        </w:numPr>
        <w:spacing w:after="480"/>
        <w:rPr>
          <w:rFonts w:cs="Arial"/>
        </w:rPr>
      </w:pPr>
      <w:r w:rsidRPr="001F34FC">
        <w:rPr>
          <w:rFonts w:cs="Arial"/>
        </w:rPr>
        <w:t xml:space="preserve">Attachment 1: </w:t>
      </w:r>
      <w:r w:rsidR="001557E5" w:rsidRPr="001F34FC">
        <w:rPr>
          <w:rFonts w:cs="Arial"/>
        </w:rPr>
        <w:t>Regents of the University of California, Santa Cruz Contract 201</w:t>
      </w:r>
      <w:r w:rsidR="00A41F49" w:rsidRPr="001F34FC">
        <w:rPr>
          <w:rFonts w:cs="Arial"/>
        </w:rPr>
        <w:t>9</w:t>
      </w:r>
      <w:r w:rsidR="001557E5" w:rsidRPr="001F34FC">
        <w:rPr>
          <w:rFonts w:cs="Arial"/>
        </w:rPr>
        <w:t>–</w:t>
      </w:r>
      <w:r w:rsidR="00A41F49" w:rsidRPr="001F34FC">
        <w:rPr>
          <w:rFonts w:cs="Arial"/>
        </w:rPr>
        <w:t>2020</w:t>
      </w:r>
      <w:r w:rsidR="001557E5" w:rsidRPr="001F34FC">
        <w:rPr>
          <w:rFonts w:cs="Arial"/>
        </w:rPr>
        <w:t xml:space="preserve"> Task Budget and Recommended Release </w:t>
      </w:r>
      <w:r w:rsidRPr="001F34FC">
        <w:rPr>
          <w:rFonts w:cs="Arial"/>
        </w:rPr>
        <w:t>(1 Page)</w:t>
      </w:r>
    </w:p>
    <w:p w14:paraId="6A05A809" w14:textId="77777777" w:rsidR="00D05E78" w:rsidRPr="00BA2C9C" w:rsidRDefault="00D05E78" w:rsidP="00281B3E">
      <w:pPr>
        <w:spacing w:after="480"/>
        <w:rPr>
          <w:rFonts w:cs="Arial"/>
        </w:rPr>
      </w:pPr>
    </w:p>
    <w:p w14:paraId="5A39BBE3" w14:textId="77777777" w:rsidR="00D05E78" w:rsidRPr="00BA2C9C" w:rsidRDefault="00D05E78" w:rsidP="00281B3E">
      <w:pPr>
        <w:spacing w:after="480"/>
        <w:rPr>
          <w:rFonts w:cs="Arial"/>
        </w:rPr>
        <w:sectPr w:rsidR="00D05E78" w:rsidRPr="00BA2C9C" w:rsidSect="00575DD7">
          <w:headerReference w:type="default" r:id="rId15"/>
          <w:footerReference w:type="default" r:id="rId16"/>
          <w:type w:val="continuous"/>
          <w:pgSz w:w="12240" w:h="15840"/>
          <w:pgMar w:top="720" w:right="1440" w:bottom="1440" w:left="1440" w:header="720" w:footer="720" w:gutter="0"/>
          <w:cols w:space="720"/>
          <w:docGrid w:linePitch="360"/>
        </w:sectPr>
      </w:pPr>
    </w:p>
    <w:p w14:paraId="7E07BF4C" w14:textId="19305F48" w:rsidR="00290186" w:rsidRPr="00BA2C9C" w:rsidRDefault="00290186" w:rsidP="00C30760">
      <w:pPr>
        <w:pStyle w:val="Heading1"/>
        <w:spacing w:before="240" w:after="240"/>
        <w:jc w:val="center"/>
        <w:rPr>
          <w:sz w:val="36"/>
          <w:szCs w:val="36"/>
        </w:rPr>
      </w:pPr>
      <w:r w:rsidRPr="00BA2C9C">
        <w:rPr>
          <w:sz w:val="36"/>
          <w:szCs w:val="36"/>
        </w:rPr>
        <w:lastRenderedPageBreak/>
        <w:t>Regents of the University of California, Santa Cruz Contract 201</w:t>
      </w:r>
      <w:r w:rsidR="00A41F49">
        <w:rPr>
          <w:sz w:val="36"/>
          <w:szCs w:val="36"/>
        </w:rPr>
        <w:t>9</w:t>
      </w:r>
      <w:r w:rsidRPr="00BA2C9C">
        <w:rPr>
          <w:sz w:val="36"/>
          <w:szCs w:val="36"/>
        </w:rPr>
        <w:t>–</w:t>
      </w:r>
      <w:r w:rsidR="00A41F49">
        <w:rPr>
          <w:sz w:val="36"/>
          <w:szCs w:val="36"/>
        </w:rPr>
        <w:t>2020</w:t>
      </w:r>
      <w:r w:rsidRPr="00BA2C9C">
        <w:rPr>
          <w:sz w:val="36"/>
          <w:szCs w:val="36"/>
        </w:rPr>
        <w:t xml:space="preserve"> Task Budget</w:t>
      </w:r>
      <w:r w:rsidR="001557E5" w:rsidRPr="00BA2C9C">
        <w:rPr>
          <w:sz w:val="36"/>
          <w:szCs w:val="36"/>
        </w:rPr>
        <w:t xml:space="preserve"> and Recommended Release</w:t>
      </w:r>
    </w:p>
    <w:p w14:paraId="16E22453" w14:textId="44CBF867" w:rsidR="00290186" w:rsidRPr="00BA2C9C" w:rsidRDefault="5AB99E68" w:rsidP="00290186">
      <w:pPr>
        <w:spacing w:after="240"/>
        <w:rPr>
          <w:rFonts w:cs="Arial"/>
          <w:sz w:val="16"/>
          <w:szCs w:val="16"/>
        </w:rPr>
      </w:pPr>
      <w:r w:rsidRPr="00BA2C9C">
        <w:rPr>
          <w:rFonts w:cs="Arial"/>
        </w:rPr>
        <w:t>The California Department of Education (CDE) recommends releasing a total of $</w:t>
      </w:r>
      <w:r w:rsidR="155CEE88" w:rsidRPr="00BA2C9C">
        <w:rPr>
          <w:rFonts w:cs="Arial"/>
        </w:rPr>
        <w:t>72,216.51</w:t>
      </w:r>
      <w:r w:rsidRPr="00BA2C9C">
        <w:rPr>
          <w:rFonts w:cs="Arial"/>
        </w:rPr>
        <w:t xml:space="preserve"> to </w:t>
      </w:r>
      <w:r w:rsidR="2CE8F28E" w:rsidRPr="00BA2C9C">
        <w:rPr>
          <w:rFonts w:cs="Arial"/>
        </w:rPr>
        <w:t xml:space="preserve">the </w:t>
      </w:r>
      <w:r w:rsidRPr="00BA2C9C">
        <w:rPr>
          <w:rFonts w:cs="Arial"/>
        </w:rPr>
        <w:t>Regents of the University of California, Santa Cruz</w:t>
      </w:r>
      <w:r w:rsidR="75253F85" w:rsidRPr="00BA2C9C">
        <w:rPr>
          <w:rFonts w:cs="Arial"/>
        </w:rPr>
        <w:t xml:space="preserve"> (UCSC)</w:t>
      </w:r>
      <w:r w:rsidRPr="00BA2C9C">
        <w:rPr>
          <w:rFonts w:cs="Arial"/>
        </w:rPr>
        <w:t xml:space="preserve"> from funds withheld during the 201</w:t>
      </w:r>
      <w:r w:rsidR="3F992930">
        <w:rPr>
          <w:rFonts w:cs="Arial"/>
        </w:rPr>
        <w:t>9</w:t>
      </w:r>
      <w:r w:rsidRPr="00BA2C9C">
        <w:rPr>
          <w:rFonts w:cs="Arial"/>
        </w:rPr>
        <w:t>–</w:t>
      </w:r>
      <w:r w:rsidR="3F992930">
        <w:rPr>
          <w:rFonts w:cs="Arial"/>
        </w:rPr>
        <w:t>2020</w:t>
      </w:r>
      <w:r w:rsidRPr="00BA2C9C">
        <w:rPr>
          <w:rFonts w:cs="Arial"/>
        </w:rPr>
        <w:t xml:space="preserve"> fiscal year</w:t>
      </w:r>
      <w:r w:rsidRPr="00BA2C9C">
        <w:rPr>
          <w:rFonts w:cs="Arial"/>
          <w:spacing w:val="-1"/>
        </w:rPr>
        <w:t xml:space="preserve"> </w:t>
      </w:r>
      <w:r w:rsidRPr="00BA2C9C">
        <w:rPr>
          <w:rFonts w:cs="Arial"/>
        </w:rPr>
        <w:t xml:space="preserve">for activities to develop the California Educator Reporting System for </w:t>
      </w:r>
      <w:r w:rsidR="6772E40F" w:rsidRPr="00BA2C9C">
        <w:rPr>
          <w:rFonts w:cs="Arial"/>
        </w:rPr>
        <w:t xml:space="preserve">the </w:t>
      </w:r>
      <w:r w:rsidR="325CE077" w:rsidRPr="00BA2C9C">
        <w:rPr>
          <w:rFonts w:cs="Arial"/>
        </w:rPr>
        <w:t>English Language Proficiency Assessments for California (ELPAC)</w:t>
      </w:r>
      <w:r w:rsidR="325CE077" w:rsidRPr="00BA2C9C">
        <w:rPr>
          <w:rFonts w:ascii="Helvetica" w:hAnsi="Helvetica" w:cs="Helvetica"/>
          <w:color w:val="000000"/>
          <w:sz w:val="21"/>
          <w:szCs w:val="21"/>
          <w:lang w:val="en"/>
        </w:rPr>
        <w:t xml:space="preserve"> </w:t>
      </w:r>
      <w:r w:rsidR="6772E40F" w:rsidRPr="00BA2C9C">
        <w:rPr>
          <w:rFonts w:cs="Arial"/>
        </w:rPr>
        <w:t xml:space="preserve">and </w:t>
      </w:r>
      <w:r w:rsidRPr="00BA2C9C">
        <w:rPr>
          <w:rFonts w:cs="Arial"/>
          <w:color w:val="000000"/>
        </w:rPr>
        <w:t>the California Assessment of Student Performance and Progress (CAASPP)</w:t>
      </w:r>
      <w:r w:rsidR="6772E40F" w:rsidRPr="00BA2C9C">
        <w:rPr>
          <w:rFonts w:cs="Arial"/>
        </w:rPr>
        <w:t>.</w:t>
      </w:r>
    </w:p>
    <w:tbl>
      <w:tblPr>
        <w:tblStyle w:val="TableGrid6"/>
        <w:tblW w:w="5535" w:type="pct"/>
        <w:jc w:val="center"/>
        <w:tblLayout w:type="fixed"/>
        <w:tblLook w:val="00A0" w:firstRow="1" w:lastRow="0" w:firstColumn="1" w:lastColumn="0" w:noHBand="0" w:noVBand="0"/>
        <w:tblCaption w:val="CAASPP Contract 2017-18 Test Administration Component Task Budget"/>
        <w:tblDescription w:val="California Assessment of Student Performance and Progress Contract&#10;2017–18 Test Administration Component Task Budget"/>
      </w:tblPr>
      <w:tblGrid>
        <w:gridCol w:w="2335"/>
        <w:gridCol w:w="1805"/>
        <w:gridCol w:w="2070"/>
        <w:gridCol w:w="2070"/>
        <w:gridCol w:w="2070"/>
      </w:tblGrid>
      <w:tr w:rsidR="00290186" w:rsidRPr="004B1693" w14:paraId="212C9332" w14:textId="77777777" w:rsidTr="1BE9B5F2">
        <w:trPr>
          <w:cantSplit/>
          <w:trHeight w:val="389"/>
          <w:tblHeader/>
          <w:jc w:val="center"/>
        </w:trPr>
        <w:tc>
          <w:tcPr>
            <w:tcW w:w="1128" w:type="pct"/>
            <w:shd w:val="clear" w:color="auto" w:fill="D9D9D9" w:themeFill="background1" w:themeFillShade="D9"/>
            <w:vAlign w:val="center"/>
          </w:tcPr>
          <w:p w14:paraId="3DCDBB1A" w14:textId="7799797D" w:rsidR="00290186" w:rsidRPr="004B1693" w:rsidRDefault="00290186" w:rsidP="004B1693">
            <w:pPr>
              <w:spacing w:before="120" w:after="120"/>
              <w:ind w:left="-32"/>
              <w:jc w:val="center"/>
              <w:rPr>
                <w:rFonts w:cs="Arial"/>
                <w:b/>
              </w:rPr>
            </w:pPr>
            <w:r w:rsidRPr="004B1693">
              <w:rPr>
                <w:rFonts w:cs="Arial"/>
                <w:b/>
              </w:rPr>
              <w:t>Component Task</w:t>
            </w:r>
            <w:r w:rsidR="004B1693" w:rsidRPr="004B1693">
              <w:rPr>
                <w:rFonts w:cs="Arial"/>
                <w:b/>
              </w:rPr>
              <w:br/>
            </w:r>
            <w:r w:rsidRPr="004B1693">
              <w:rPr>
                <w:rFonts w:cs="Arial"/>
                <w:b/>
              </w:rPr>
              <w:t>Scope of Work A</w:t>
            </w:r>
          </w:p>
        </w:tc>
        <w:tc>
          <w:tcPr>
            <w:tcW w:w="872" w:type="pct"/>
            <w:shd w:val="clear" w:color="auto" w:fill="D9D9D9" w:themeFill="background1" w:themeFillShade="D9"/>
            <w:vAlign w:val="center"/>
          </w:tcPr>
          <w:p w14:paraId="7FC24629" w14:textId="45103FDD" w:rsidR="00290186" w:rsidRPr="004B1693" w:rsidRDefault="00290186" w:rsidP="004B1693">
            <w:pPr>
              <w:spacing w:before="120" w:after="120"/>
              <w:ind w:left="-108" w:right="-108"/>
              <w:jc w:val="center"/>
              <w:rPr>
                <w:rFonts w:cs="Arial"/>
                <w:b/>
              </w:rPr>
            </w:pPr>
            <w:r w:rsidRPr="004B1693">
              <w:rPr>
                <w:rFonts w:cs="Arial"/>
                <w:b/>
              </w:rPr>
              <w:t>Total</w:t>
            </w:r>
            <w:r w:rsidR="004B1693" w:rsidRPr="004B1693">
              <w:rPr>
                <w:rFonts w:cs="Arial"/>
                <w:b/>
              </w:rPr>
              <w:br/>
            </w:r>
            <w:r w:rsidRPr="004B1693">
              <w:rPr>
                <w:rFonts w:cs="Arial"/>
                <w:b/>
              </w:rPr>
              <w:t>201</w:t>
            </w:r>
            <w:r w:rsidR="00A41F49" w:rsidRPr="004B1693">
              <w:rPr>
                <w:rFonts w:cs="Arial"/>
                <w:b/>
              </w:rPr>
              <w:t>9</w:t>
            </w:r>
            <w:r w:rsidRPr="004B1693">
              <w:rPr>
                <w:rFonts w:cs="Arial"/>
                <w:b/>
              </w:rPr>
              <w:t>–</w:t>
            </w:r>
            <w:r w:rsidR="00A41F49" w:rsidRPr="004B1693">
              <w:rPr>
                <w:rFonts w:cs="Arial"/>
                <w:b/>
              </w:rPr>
              <w:t>2020</w:t>
            </w:r>
            <w:r w:rsidR="004B1693" w:rsidRPr="004B1693">
              <w:rPr>
                <w:rFonts w:cs="Arial"/>
                <w:b/>
              </w:rPr>
              <w:br/>
            </w:r>
            <w:r w:rsidRPr="004B1693">
              <w:rPr>
                <w:rFonts w:cs="Arial"/>
                <w:b/>
              </w:rPr>
              <w:t>Test Administration Budget</w:t>
            </w:r>
          </w:p>
        </w:tc>
        <w:tc>
          <w:tcPr>
            <w:tcW w:w="1000" w:type="pct"/>
            <w:shd w:val="clear" w:color="auto" w:fill="D9D9D9" w:themeFill="background1" w:themeFillShade="D9"/>
            <w:vAlign w:val="center"/>
          </w:tcPr>
          <w:p w14:paraId="5529181A" w14:textId="37A6CD75" w:rsidR="00290186" w:rsidRPr="004B1693" w:rsidRDefault="00290186" w:rsidP="004B1693">
            <w:pPr>
              <w:spacing w:before="120" w:after="120"/>
              <w:ind w:left="-108" w:right="-132"/>
              <w:jc w:val="center"/>
              <w:rPr>
                <w:rFonts w:cs="Arial"/>
                <w:b/>
              </w:rPr>
            </w:pPr>
            <w:r w:rsidRPr="004B1693">
              <w:rPr>
                <w:rFonts w:cs="Arial"/>
                <w:b/>
              </w:rPr>
              <w:t>Amount Paid/</w:t>
            </w:r>
            <w:r w:rsidR="004B1693" w:rsidRPr="004B1693">
              <w:rPr>
                <w:rFonts w:cs="Arial"/>
                <w:b/>
              </w:rPr>
              <w:br/>
            </w:r>
            <w:r w:rsidR="007816CC" w:rsidRPr="004B1693">
              <w:rPr>
                <w:rFonts w:cs="Arial"/>
                <w:b/>
                <w:bCs/>
              </w:rPr>
              <w:t>t</w:t>
            </w:r>
            <w:r w:rsidRPr="004B1693">
              <w:rPr>
                <w:rFonts w:cs="Arial"/>
                <w:b/>
                <w:bCs/>
              </w:rPr>
              <w:t>o Be Paid from Progress Payments</w:t>
            </w:r>
          </w:p>
        </w:tc>
        <w:tc>
          <w:tcPr>
            <w:tcW w:w="1000" w:type="pct"/>
            <w:shd w:val="clear" w:color="auto" w:fill="D9D9D9" w:themeFill="background1" w:themeFillShade="D9"/>
            <w:vAlign w:val="center"/>
          </w:tcPr>
          <w:p w14:paraId="2B7264F3" w14:textId="6EDE6F82" w:rsidR="00290186" w:rsidRPr="004B1693" w:rsidRDefault="00290186" w:rsidP="004B1693">
            <w:pPr>
              <w:spacing w:before="120" w:after="120"/>
              <w:ind w:left="-108" w:right="-132"/>
              <w:jc w:val="center"/>
              <w:rPr>
                <w:rFonts w:cs="Arial"/>
                <w:b/>
              </w:rPr>
            </w:pPr>
            <w:r w:rsidRPr="004B1693">
              <w:rPr>
                <w:rFonts w:cs="Arial"/>
                <w:b/>
              </w:rPr>
              <w:t>10 Percent Withheld</w:t>
            </w:r>
            <w:r w:rsidR="004B1693" w:rsidRPr="004B1693">
              <w:rPr>
                <w:rFonts w:cs="Arial"/>
                <w:b/>
              </w:rPr>
              <w:t xml:space="preserve"> </w:t>
            </w:r>
            <w:r w:rsidRPr="004B1693">
              <w:rPr>
                <w:rFonts w:cs="Arial"/>
                <w:b/>
              </w:rPr>
              <w:t>(Pending</w:t>
            </w:r>
            <w:r w:rsidR="004B1693" w:rsidRPr="004B1693">
              <w:rPr>
                <w:rFonts w:cs="Arial"/>
                <w:b/>
              </w:rPr>
              <w:br/>
            </w:r>
            <w:r w:rsidRPr="004B1693">
              <w:rPr>
                <w:rFonts w:cs="Arial"/>
                <w:b/>
              </w:rPr>
              <w:t>Release)</w:t>
            </w:r>
          </w:p>
        </w:tc>
        <w:tc>
          <w:tcPr>
            <w:tcW w:w="1000" w:type="pct"/>
            <w:shd w:val="clear" w:color="auto" w:fill="D9D9D9" w:themeFill="background1" w:themeFillShade="D9"/>
            <w:vAlign w:val="center"/>
          </w:tcPr>
          <w:p w14:paraId="4B8912A0" w14:textId="69815643" w:rsidR="00290186" w:rsidRPr="004B1693" w:rsidRDefault="00290186" w:rsidP="004B1693">
            <w:pPr>
              <w:spacing w:before="120" w:after="120"/>
              <w:ind w:left="-108" w:right="-132"/>
              <w:jc w:val="center"/>
              <w:rPr>
                <w:rFonts w:cs="Arial"/>
                <w:b/>
              </w:rPr>
            </w:pPr>
            <w:r w:rsidRPr="004B1693">
              <w:rPr>
                <w:rFonts w:cs="Arial"/>
                <w:b/>
              </w:rPr>
              <w:t>Recommended</w:t>
            </w:r>
            <w:r w:rsidR="004B1693" w:rsidRPr="004B1693">
              <w:rPr>
                <w:rFonts w:cs="Arial"/>
                <w:b/>
              </w:rPr>
              <w:br/>
            </w:r>
            <w:r w:rsidRPr="004B1693">
              <w:rPr>
                <w:rFonts w:cs="Arial"/>
                <w:b/>
              </w:rPr>
              <w:t>(Release)</w:t>
            </w:r>
          </w:p>
        </w:tc>
      </w:tr>
      <w:tr w:rsidR="001C2669" w:rsidRPr="004B1693" w14:paraId="25C3E94F" w14:textId="77777777" w:rsidTr="1BE9B5F2">
        <w:trPr>
          <w:cantSplit/>
          <w:trHeight w:val="389"/>
          <w:jc w:val="center"/>
        </w:trPr>
        <w:tc>
          <w:tcPr>
            <w:tcW w:w="1128" w:type="pct"/>
            <w:vAlign w:val="center"/>
          </w:tcPr>
          <w:p w14:paraId="763F68C2" w14:textId="77777777" w:rsidR="001C2669" w:rsidRPr="004B1693" w:rsidRDefault="468D4927" w:rsidP="004B1693">
            <w:pPr>
              <w:spacing w:before="120" w:after="120"/>
              <w:ind w:left="67" w:right="-108" w:firstLine="5"/>
              <w:rPr>
                <w:rFonts w:eastAsia="Arial" w:cs="Arial"/>
              </w:rPr>
            </w:pPr>
            <w:r w:rsidRPr="004B1693">
              <w:rPr>
                <w:rFonts w:eastAsia="Arial" w:cs="Arial"/>
              </w:rPr>
              <w:t>Task 1: Summative and Alternate ELPAC Educator Reporting</w:t>
            </w:r>
          </w:p>
        </w:tc>
        <w:tc>
          <w:tcPr>
            <w:tcW w:w="872" w:type="pct"/>
            <w:vAlign w:val="center"/>
          </w:tcPr>
          <w:p w14:paraId="67C0515A" w14:textId="6D3C0083"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26046A5D" w:rsidRPr="004B1693">
              <w:rPr>
                <w:rFonts w:eastAsia="Arial" w:cs="Arial"/>
              </w:rPr>
              <w:t>274,335.71</w:t>
            </w:r>
          </w:p>
        </w:tc>
        <w:tc>
          <w:tcPr>
            <w:tcW w:w="1000" w:type="pct"/>
            <w:vAlign w:val="center"/>
          </w:tcPr>
          <w:p w14:paraId="3DF0D468" w14:textId="6FB4435E"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1006C12D" w:rsidRPr="004B1693">
              <w:rPr>
                <w:rFonts w:eastAsia="Arial" w:cs="Arial"/>
              </w:rPr>
              <w:t xml:space="preserve">274,335.71  </w:t>
            </w:r>
            <w:r w:rsidRPr="004B1693">
              <w:rPr>
                <w:rFonts w:eastAsia="Arial" w:cs="Arial"/>
                <w:color w:val="000000" w:themeColor="text1"/>
              </w:rPr>
              <w:t xml:space="preserve"> </w:t>
            </w:r>
          </w:p>
        </w:tc>
        <w:tc>
          <w:tcPr>
            <w:tcW w:w="1000" w:type="pct"/>
            <w:vAlign w:val="center"/>
          </w:tcPr>
          <w:p w14:paraId="14C971BD" w14:textId="6FB4435E"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4BFD611E" w:rsidRPr="004B1693">
              <w:rPr>
                <w:rFonts w:eastAsia="Arial" w:cs="Arial"/>
              </w:rPr>
              <w:t xml:space="preserve">27,433.57 </w:t>
            </w:r>
            <w:r w:rsidRPr="004B1693">
              <w:rPr>
                <w:rFonts w:eastAsia="Arial" w:cs="Arial"/>
                <w:color w:val="000000" w:themeColor="text1"/>
              </w:rPr>
              <w:t xml:space="preserve"> </w:t>
            </w:r>
          </w:p>
        </w:tc>
        <w:tc>
          <w:tcPr>
            <w:tcW w:w="1000" w:type="pct"/>
            <w:vAlign w:val="center"/>
          </w:tcPr>
          <w:p w14:paraId="1CE57853" w14:textId="6FB4435E"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3F8405F8" w:rsidRPr="004B1693">
              <w:rPr>
                <w:rFonts w:eastAsia="Arial" w:cs="Arial"/>
              </w:rPr>
              <w:t xml:space="preserve">27,433.57 </w:t>
            </w:r>
            <w:r w:rsidRPr="004B1693">
              <w:rPr>
                <w:rFonts w:eastAsia="Arial" w:cs="Arial"/>
                <w:color w:val="000000" w:themeColor="text1"/>
              </w:rPr>
              <w:t xml:space="preserve"> </w:t>
            </w:r>
          </w:p>
        </w:tc>
      </w:tr>
      <w:tr w:rsidR="001C2669" w:rsidRPr="004B1693" w14:paraId="6780ECC4" w14:textId="77777777" w:rsidTr="1BE9B5F2">
        <w:trPr>
          <w:cantSplit/>
          <w:trHeight w:val="389"/>
          <w:jc w:val="center"/>
        </w:trPr>
        <w:tc>
          <w:tcPr>
            <w:tcW w:w="1128" w:type="pct"/>
            <w:vAlign w:val="center"/>
          </w:tcPr>
          <w:p w14:paraId="73585A61" w14:textId="6FB4435E" w:rsidR="001C2669" w:rsidRPr="004B1693" w:rsidRDefault="468D4927" w:rsidP="004B1693">
            <w:pPr>
              <w:spacing w:before="120" w:after="120"/>
              <w:ind w:left="67" w:right="-108" w:firstLine="5"/>
              <w:rPr>
                <w:rFonts w:eastAsia="Arial" w:cs="Arial"/>
              </w:rPr>
            </w:pPr>
            <w:r w:rsidRPr="004B1693">
              <w:rPr>
                <w:rFonts w:eastAsia="Arial" w:cs="Arial"/>
              </w:rPr>
              <w:t>Task 2: CAASPP Non-Smarter Balanced Assessment Educator Reporting</w:t>
            </w:r>
          </w:p>
        </w:tc>
        <w:tc>
          <w:tcPr>
            <w:tcW w:w="872" w:type="pct"/>
            <w:vAlign w:val="center"/>
          </w:tcPr>
          <w:p w14:paraId="6E25A96E" w14:textId="5A13E804"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0030EC65" w:rsidRPr="004B1693">
              <w:rPr>
                <w:rFonts w:eastAsia="Arial" w:cs="Arial"/>
              </w:rPr>
              <w:t>243,196.13</w:t>
            </w:r>
          </w:p>
        </w:tc>
        <w:tc>
          <w:tcPr>
            <w:tcW w:w="1000" w:type="pct"/>
            <w:vAlign w:val="center"/>
          </w:tcPr>
          <w:p w14:paraId="3B18F3A3" w14:textId="6FB4435E"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6D9F559F" w:rsidRPr="004B1693">
              <w:rPr>
                <w:rFonts w:eastAsia="Arial" w:cs="Arial"/>
              </w:rPr>
              <w:t xml:space="preserve">243,196.13 </w:t>
            </w:r>
            <w:r w:rsidRPr="004B1693">
              <w:rPr>
                <w:rFonts w:eastAsia="Arial" w:cs="Arial"/>
                <w:color w:val="000000" w:themeColor="text1"/>
              </w:rPr>
              <w:t xml:space="preserve"> </w:t>
            </w:r>
          </w:p>
        </w:tc>
        <w:tc>
          <w:tcPr>
            <w:tcW w:w="1000" w:type="pct"/>
            <w:vAlign w:val="center"/>
          </w:tcPr>
          <w:p w14:paraId="629D792A" w14:textId="6FB4435E" w:rsidR="001C2669" w:rsidRPr="004B1693" w:rsidRDefault="548C3CC3" w:rsidP="004B1693">
            <w:pPr>
              <w:spacing w:before="120" w:after="120"/>
              <w:jc w:val="right"/>
              <w:rPr>
                <w:rFonts w:eastAsia="Arial" w:cs="Arial"/>
                <w:color w:val="000000" w:themeColor="text1"/>
              </w:rPr>
            </w:pPr>
            <w:r w:rsidRPr="004B1693">
              <w:rPr>
                <w:rFonts w:eastAsia="Arial" w:cs="Arial"/>
              </w:rPr>
              <w:t xml:space="preserve">$24,319.61 </w:t>
            </w:r>
          </w:p>
        </w:tc>
        <w:tc>
          <w:tcPr>
            <w:tcW w:w="1000" w:type="pct"/>
            <w:vAlign w:val="center"/>
          </w:tcPr>
          <w:p w14:paraId="0BAEB016" w14:textId="6FB4435E"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2009E009" w:rsidRPr="004B1693">
              <w:rPr>
                <w:rFonts w:eastAsia="Arial" w:cs="Arial"/>
              </w:rPr>
              <w:t xml:space="preserve">24,319.61 </w:t>
            </w:r>
            <w:r w:rsidRPr="004B1693">
              <w:rPr>
                <w:rFonts w:eastAsia="Arial" w:cs="Arial"/>
                <w:color w:val="000000" w:themeColor="text1"/>
              </w:rPr>
              <w:t xml:space="preserve"> </w:t>
            </w:r>
          </w:p>
        </w:tc>
      </w:tr>
      <w:tr w:rsidR="001C2669" w:rsidRPr="004B1693" w14:paraId="483D116A" w14:textId="77777777" w:rsidTr="1BE9B5F2">
        <w:trPr>
          <w:cantSplit/>
          <w:trHeight w:val="389"/>
          <w:jc w:val="center"/>
        </w:trPr>
        <w:tc>
          <w:tcPr>
            <w:tcW w:w="1128" w:type="pct"/>
            <w:vAlign w:val="center"/>
          </w:tcPr>
          <w:p w14:paraId="5F8B405E" w14:textId="77777777" w:rsidR="001C2669" w:rsidRPr="004B1693" w:rsidRDefault="468D4927" w:rsidP="004B1693">
            <w:pPr>
              <w:spacing w:before="120" w:after="120"/>
              <w:ind w:left="72" w:right="-108"/>
              <w:rPr>
                <w:rFonts w:eastAsia="Arial" w:cs="Arial"/>
              </w:rPr>
            </w:pPr>
            <w:r w:rsidRPr="004B1693">
              <w:rPr>
                <w:rFonts w:eastAsia="Arial" w:cs="Arial"/>
              </w:rPr>
              <w:t>Task 4: Coordination and Communication with the CDE</w:t>
            </w:r>
          </w:p>
        </w:tc>
        <w:tc>
          <w:tcPr>
            <w:tcW w:w="872" w:type="pct"/>
            <w:vAlign w:val="center"/>
          </w:tcPr>
          <w:p w14:paraId="0CB13BD6" w14:textId="71DC1F14"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72E2B09B" w:rsidRPr="004B1693">
              <w:rPr>
                <w:rFonts w:eastAsia="Arial" w:cs="Arial"/>
              </w:rPr>
              <w:t>204,633.25</w:t>
            </w:r>
          </w:p>
        </w:tc>
        <w:tc>
          <w:tcPr>
            <w:tcW w:w="1000" w:type="pct"/>
            <w:vAlign w:val="center"/>
          </w:tcPr>
          <w:p w14:paraId="155C97ED" w14:textId="1DA19617"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7A5B3C11" w:rsidRPr="004B1693">
              <w:rPr>
                <w:rFonts w:eastAsia="Arial" w:cs="Arial"/>
              </w:rPr>
              <w:t xml:space="preserve">204,633.25  </w:t>
            </w:r>
            <w:r w:rsidRPr="004B1693">
              <w:rPr>
                <w:rFonts w:eastAsia="Arial" w:cs="Arial"/>
                <w:color w:val="000000" w:themeColor="text1"/>
              </w:rPr>
              <w:t xml:space="preserve"> </w:t>
            </w:r>
          </w:p>
        </w:tc>
        <w:tc>
          <w:tcPr>
            <w:tcW w:w="1000" w:type="pct"/>
            <w:vAlign w:val="center"/>
          </w:tcPr>
          <w:p w14:paraId="6B1F9767" w14:textId="1DA19617"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4AEDFA65" w:rsidRPr="004B1693">
              <w:rPr>
                <w:rFonts w:eastAsia="Arial" w:cs="Arial"/>
              </w:rPr>
              <w:t xml:space="preserve">20,463.33 </w:t>
            </w:r>
            <w:r w:rsidRPr="004B1693">
              <w:rPr>
                <w:rFonts w:eastAsia="Arial" w:cs="Arial"/>
                <w:color w:val="000000" w:themeColor="text1"/>
              </w:rPr>
              <w:t xml:space="preserve"> </w:t>
            </w:r>
          </w:p>
        </w:tc>
        <w:tc>
          <w:tcPr>
            <w:tcW w:w="1000" w:type="pct"/>
            <w:vAlign w:val="center"/>
          </w:tcPr>
          <w:p w14:paraId="7C0EE010" w14:textId="1DA19617" w:rsidR="001C2669" w:rsidRPr="004B1693" w:rsidRDefault="7E72061C" w:rsidP="004B1693">
            <w:pPr>
              <w:spacing w:before="120" w:after="120"/>
              <w:jc w:val="right"/>
              <w:rPr>
                <w:rFonts w:eastAsia="Arial" w:cs="Arial"/>
              </w:rPr>
            </w:pPr>
            <w:r w:rsidRPr="004B1693">
              <w:rPr>
                <w:rFonts w:eastAsia="Arial" w:cs="Arial"/>
                <w:color w:val="000000" w:themeColor="text1"/>
              </w:rPr>
              <w:t>$</w:t>
            </w:r>
            <w:r w:rsidR="62D0D425" w:rsidRPr="004B1693">
              <w:rPr>
                <w:rFonts w:eastAsia="Arial" w:cs="Arial"/>
              </w:rPr>
              <w:t xml:space="preserve">20,463.33 </w:t>
            </w:r>
            <w:r w:rsidRPr="004B1693">
              <w:rPr>
                <w:rFonts w:eastAsia="Arial" w:cs="Arial"/>
                <w:color w:val="000000" w:themeColor="text1"/>
              </w:rPr>
              <w:t xml:space="preserve"> </w:t>
            </w:r>
          </w:p>
        </w:tc>
      </w:tr>
      <w:tr w:rsidR="001C2669" w:rsidRPr="004B1693" w14:paraId="02E0D256" w14:textId="77777777" w:rsidTr="1BE9B5F2">
        <w:trPr>
          <w:cantSplit/>
          <w:trHeight w:val="389"/>
          <w:jc w:val="center"/>
        </w:trPr>
        <w:tc>
          <w:tcPr>
            <w:tcW w:w="1128" w:type="pct"/>
            <w:vAlign w:val="center"/>
          </w:tcPr>
          <w:p w14:paraId="46FE0C09" w14:textId="77777777" w:rsidR="001C2669" w:rsidRPr="004F0084" w:rsidRDefault="468D4927" w:rsidP="004B1693">
            <w:pPr>
              <w:spacing w:before="120" w:after="120"/>
              <w:ind w:right="-108"/>
              <w:rPr>
                <w:rFonts w:eastAsia="Arial" w:cs="Arial"/>
                <w:b/>
              </w:rPr>
            </w:pPr>
            <w:r w:rsidRPr="004F0084">
              <w:rPr>
                <w:rFonts w:eastAsia="Arial" w:cs="Arial"/>
                <w:b/>
              </w:rPr>
              <w:t>Total</w:t>
            </w:r>
          </w:p>
        </w:tc>
        <w:tc>
          <w:tcPr>
            <w:tcW w:w="872" w:type="pct"/>
            <w:vAlign w:val="center"/>
          </w:tcPr>
          <w:p w14:paraId="3646C307" w14:textId="2DB8D19C" w:rsidR="001C2669" w:rsidRPr="004F0084" w:rsidRDefault="036510BE" w:rsidP="004B1693">
            <w:pPr>
              <w:spacing w:before="120" w:after="120"/>
              <w:jc w:val="right"/>
              <w:rPr>
                <w:rFonts w:eastAsia="Arial" w:cs="Arial"/>
                <w:b/>
              </w:rPr>
            </w:pPr>
            <w:r w:rsidRPr="004F0084">
              <w:rPr>
                <w:rFonts w:eastAsia="Arial" w:cs="Arial"/>
                <w:b/>
                <w:color w:val="000000" w:themeColor="text1"/>
              </w:rPr>
              <w:t>$</w:t>
            </w:r>
            <w:r w:rsidR="1094FE86" w:rsidRPr="004F0084">
              <w:rPr>
                <w:rFonts w:eastAsia="Arial" w:cs="Arial"/>
                <w:b/>
              </w:rPr>
              <w:t>722,165.09</w:t>
            </w:r>
          </w:p>
        </w:tc>
        <w:tc>
          <w:tcPr>
            <w:tcW w:w="1000" w:type="pct"/>
            <w:vAlign w:val="center"/>
          </w:tcPr>
          <w:p w14:paraId="206D486E" w14:textId="1DA19617" w:rsidR="001C2669" w:rsidRPr="004F0084" w:rsidRDefault="7E72061C" w:rsidP="004B1693">
            <w:pPr>
              <w:spacing w:before="120" w:after="120"/>
              <w:jc w:val="right"/>
              <w:rPr>
                <w:rFonts w:eastAsia="Arial" w:cs="Arial"/>
                <w:b/>
              </w:rPr>
            </w:pPr>
            <w:r w:rsidRPr="004F0084">
              <w:rPr>
                <w:rFonts w:eastAsia="Arial" w:cs="Arial"/>
                <w:b/>
                <w:color w:val="000000" w:themeColor="text1"/>
              </w:rPr>
              <w:t>$</w:t>
            </w:r>
            <w:r w:rsidR="4241D4FE" w:rsidRPr="004F0084">
              <w:rPr>
                <w:rFonts w:eastAsia="Arial" w:cs="Arial"/>
                <w:b/>
              </w:rPr>
              <w:t xml:space="preserve">722,165.09  </w:t>
            </w:r>
            <w:r w:rsidRPr="004F0084">
              <w:rPr>
                <w:rFonts w:eastAsia="Arial" w:cs="Arial"/>
                <w:b/>
                <w:color w:val="000000" w:themeColor="text1"/>
              </w:rPr>
              <w:t xml:space="preserve"> </w:t>
            </w:r>
          </w:p>
        </w:tc>
        <w:tc>
          <w:tcPr>
            <w:tcW w:w="1000" w:type="pct"/>
            <w:vAlign w:val="center"/>
          </w:tcPr>
          <w:p w14:paraId="2BECE493" w14:textId="1DA19617" w:rsidR="001C2669" w:rsidRPr="004F0084" w:rsidRDefault="7E72061C" w:rsidP="004B1693">
            <w:pPr>
              <w:spacing w:before="120" w:after="120"/>
              <w:jc w:val="right"/>
              <w:rPr>
                <w:rFonts w:eastAsia="Arial" w:cs="Arial"/>
                <w:b/>
              </w:rPr>
            </w:pPr>
            <w:r w:rsidRPr="004F0084">
              <w:rPr>
                <w:rFonts w:eastAsia="Arial" w:cs="Arial"/>
                <w:b/>
                <w:color w:val="000000" w:themeColor="text1"/>
              </w:rPr>
              <w:t>$</w:t>
            </w:r>
            <w:r w:rsidR="3DF7A700" w:rsidRPr="004F0084">
              <w:rPr>
                <w:rFonts w:eastAsia="Arial" w:cs="Arial"/>
                <w:b/>
              </w:rPr>
              <w:t xml:space="preserve">72,216.51 </w:t>
            </w:r>
            <w:r w:rsidRPr="004F0084">
              <w:rPr>
                <w:rFonts w:eastAsia="Arial" w:cs="Arial"/>
                <w:b/>
                <w:color w:val="000000" w:themeColor="text1"/>
              </w:rPr>
              <w:t xml:space="preserve"> </w:t>
            </w:r>
          </w:p>
        </w:tc>
        <w:tc>
          <w:tcPr>
            <w:tcW w:w="1000" w:type="pct"/>
            <w:vAlign w:val="center"/>
          </w:tcPr>
          <w:p w14:paraId="59A3E06A" w14:textId="1DA19617" w:rsidR="001C2669" w:rsidRPr="004F0084" w:rsidRDefault="7E72061C" w:rsidP="004B1693">
            <w:pPr>
              <w:spacing w:before="120" w:after="120"/>
              <w:jc w:val="right"/>
              <w:rPr>
                <w:rFonts w:eastAsia="Arial" w:cs="Arial"/>
                <w:b/>
              </w:rPr>
            </w:pPr>
            <w:r w:rsidRPr="004F0084">
              <w:rPr>
                <w:rFonts w:eastAsia="Arial" w:cs="Arial"/>
                <w:b/>
                <w:color w:val="000000" w:themeColor="text1"/>
              </w:rPr>
              <w:t>$</w:t>
            </w:r>
            <w:r w:rsidR="2210035F" w:rsidRPr="004F0084">
              <w:rPr>
                <w:rFonts w:eastAsia="Arial" w:cs="Arial"/>
                <w:b/>
              </w:rPr>
              <w:t xml:space="preserve">72,216.51 </w:t>
            </w:r>
            <w:r w:rsidRPr="004F0084">
              <w:rPr>
                <w:rFonts w:eastAsia="Arial" w:cs="Arial"/>
                <w:b/>
                <w:color w:val="000000" w:themeColor="text1"/>
              </w:rPr>
              <w:t xml:space="preserve"> </w:t>
            </w:r>
          </w:p>
        </w:tc>
      </w:tr>
    </w:tbl>
    <w:p w14:paraId="76A4FDA4" w14:textId="6FB4435E" w:rsidR="74778B4F" w:rsidRPr="00EA5A33" w:rsidRDefault="74778B4F" w:rsidP="5F7DE9D1">
      <w:pPr>
        <w:spacing w:after="120"/>
        <w:rPr>
          <w:rFonts w:eastAsia="Arial" w:cs="Arial"/>
          <w:vertAlign w:val="superscript"/>
        </w:rPr>
      </w:pPr>
    </w:p>
    <w:p w14:paraId="5F7953AF" w14:textId="45B75EE3" w:rsidR="16E4035C" w:rsidRPr="00EA5A33" w:rsidRDefault="16E4035C" w:rsidP="5F7DE9D1">
      <w:pPr>
        <w:spacing w:after="120"/>
        <w:rPr>
          <w:rFonts w:eastAsia="Arial" w:cs="Arial"/>
          <w:vertAlign w:val="superscript"/>
        </w:rPr>
      </w:pPr>
    </w:p>
    <w:sectPr w:rsidR="16E4035C" w:rsidRPr="00EA5A33" w:rsidSect="00C24F74">
      <w:headerReference w:type="default" r:id="rId17"/>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0E0202" w16cex:dateUtc="2020-09-17T22:40:00Z"/>
  <w16cex:commentExtensible w16cex:durableId="230E0121" w16cex:dateUtc="2020-09-17T22:37:00Z"/>
  <w16cex:commentExtensible w16cex:durableId="230E00DA" w16cex:dateUtc="2020-09-17T22:35:00Z"/>
  <w16cex:commentExtensible w16cex:durableId="230E0138" w16cex:dateUtc="2020-09-17T22:37:00Z"/>
  <w16cex:commentExtensible w16cex:durableId="230E0148" w16cex:dateUtc="2020-09-17T22:37:00Z"/>
  <w16cex:commentExtensible w16cex:durableId="230E00E3" w16cex:dateUtc="2020-09-17T22:3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5F472" w14:textId="77777777" w:rsidR="00084C56" w:rsidRDefault="00084C56" w:rsidP="000E09DC">
      <w:r>
        <w:separator/>
      </w:r>
    </w:p>
  </w:endnote>
  <w:endnote w:type="continuationSeparator" w:id="0">
    <w:p w14:paraId="4E586206" w14:textId="77777777" w:rsidR="00084C56" w:rsidRDefault="00084C56" w:rsidP="000E09DC">
      <w:r>
        <w:continuationSeparator/>
      </w:r>
    </w:p>
  </w:endnote>
  <w:endnote w:type="continuationNotice" w:id="1">
    <w:p w14:paraId="5E59204F" w14:textId="77777777" w:rsidR="00084C56" w:rsidRDefault="00084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D3EC" w14:textId="77777777" w:rsidR="004E239D" w:rsidRPr="00E412FB" w:rsidRDefault="004E239D" w:rsidP="0021074B">
    <w:pPr>
      <w:pStyle w:val="Footer"/>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65767" w14:textId="77777777" w:rsidR="00084C56" w:rsidRDefault="00084C56" w:rsidP="000E09DC">
      <w:r>
        <w:separator/>
      </w:r>
    </w:p>
  </w:footnote>
  <w:footnote w:type="continuationSeparator" w:id="0">
    <w:p w14:paraId="4F52790A" w14:textId="77777777" w:rsidR="00084C56" w:rsidRDefault="00084C56" w:rsidP="000E09DC">
      <w:r>
        <w:continuationSeparator/>
      </w:r>
    </w:p>
  </w:footnote>
  <w:footnote w:type="continuationNotice" w:id="1">
    <w:p w14:paraId="0153D8A3" w14:textId="77777777" w:rsidR="00084C56" w:rsidRDefault="00084C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7CFA" w14:textId="77777777" w:rsidR="00D05E78" w:rsidRPr="000E09DC" w:rsidRDefault="00D05E7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D05E78" w:rsidRDefault="00D05E7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0D0B940D" w14:textId="77777777" w:rsidR="00D05E78" w:rsidRPr="00527B0E" w:rsidRDefault="00D05E78"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F843" w14:textId="2593019A" w:rsidR="004E239D" w:rsidRDefault="001B5A73" w:rsidP="00575DD7">
    <w:pPr>
      <w:pStyle w:val="Header"/>
      <w:jc w:val="right"/>
    </w:pPr>
    <w:r>
      <w:t>imb</w:t>
    </w:r>
    <w:r w:rsidR="004E239D">
      <w:t>-adad-nov</w:t>
    </w:r>
    <w:r w:rsidR="001F34FC">
      <w:t>20</w:t>
    </w:r>
    <w:r w:rsidR="004E239D">
      <w:t>item0</w:t>
    </w:r>
    <w:r w:rsidR="001F34FC">
      <w:t>3</w:t>
    </w:r>
  </w:p>
  <w:p w14:paraId="28DF009A" w14:textId="3560A4E5" w:rsidR="004E239D" w:rsidRPr="00575DD7" w:rsidRDefault="00CF5127" w:rsidP="00575DD7">
    <w:pPr>
      <w:pStyle w:val="Header"/>
      <w:spacing w:after="480"/>
      <w:jc w:val="right"/>
    </w:pPr>
    <w:sdt>
      <w:sdtPr>
        <w:id w:val="-342544849"/>
        <w:docPartObj>
          <w:docPartGallery w:val="Page Numbers (Top of Page)"/>
          <w:docPartUnique/>
        </w:docPartObj>
      </w:sdtPr>
      <w:sdtEndPr/>
      <w:sdtContent>
        <w:r w:rsidR="004E239D" w:rsidRPr="00575DD7">
          <w:t xml:space="preserve">Page </w:t>
        </w:r>
        <w:r w:rsidR="004E239D" w:rsidRPr="00575DD7">
          <w:rPr>
            <w:bCs/>
          </w:rPr>
          <w:fldChar w:fldCharType="begin"/>
        </w:r>
        <w:r w:rsidR="004E239D" w:rsidRPr="00575DD7">
          <w:rPr>
            <w:bCs/>
          </w:rPr>
          <w:instrText xml:space="preserve"> PAGE </w:instrText>
        </w:r>
        <w:r w:rsidR="004E239D" w:rsidRPr="00575DD7">
          <w:rPr>
            <w:bCs/>
          </w:rPr>
          <w:fldChar w:fldCharType="separate"/>
        </w:r>
        <w:r>
          <w:rPr>
            <w:bCs/>
            <w:noProof/>
          </w:rPr>
          <w:t>3</w:t>
        </w:r>
        <w:r w:rsidR="004E239D" w:rsidRPr="00575DD7">
          <w:rPr>
            <w:bCs/>
          </w:rPr>
          <w:fldChar w:fldCharType="end"/>
        </w:r>
        <w:r w:rsidR="004E239D" w:rsidRPr="00575DD7">
          <w:t xml:space="preserve"> of </w:t>
        </w:r>
        <w:r w:rsidR="00B037A1">
          <w:t>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312F" w14:textId="4E8E9E24" w:rsidR="00D05E78" w:rsidRPr="00BC6F43" w:rsidRDefault="00D05E78" w:rsidP="00C24F74">
    <w:pPr>
      <w:pStyle w:val="Header"/>
      <w:jc w:val="right"/>
    </w:pPr>
    <w:r>
      <w:t>imb-adad-nov</w:t>
    </w:r>
    <w:r w:rsidR="00FB3DC2">
      <w:t>20</w:t>
    </w:r>
    <w:r>
      <w:t>item0</w:t>
    </w:r>
    <w:r w:rsidR="00FB3DC2">
      <w:t>3</w:t>
    </w:r>
  </w:p>
  <w:sdt>
    <w:sdtPr>
      <w:id w:val="1877502448"/>
      <w:docPartObj>
        <w:docPartGallery w:val="Page Numbers (Top of Page)"/>
        <w:docPartUnique/>
      </w:docPartObj>
    </w:sdtPr>
    <w:sdtEndPr/>
    <w:sdtContent>
      <w:p w14:paraId="7D985487" w14:textId="39813AC2" w:rsidR="00D05E78" w:rsidRDefault="00D05E78" w:rsidP="00C24F74">
        <w:pPr>
          <w:pStyle w:val="Header"/>
          <w:jc w:val="right"/>
        </w:pPr>
        <w:r>
          <w:t>Attachment 1</w:t>
        </w:r>
      </w:p>
    </w:sdtContent>
  </w:sdt>
  <w:p w14:paraId="78076B74" w14:textId="77777777" w:rsidR="00D05E78" w:rsidRPr="005712A9" w:rsidRDefault="00D05E78" w:rsidP="00C24F74">
    <w:pPr>
      <w:pStyle w:val="Header"/>
      <w:spacing w:after="480"/>
      <w:jc w:val="right"/>
    </w:pPr>
    <w:r w:rsidRPr="005712A9">
      <w:t xml:space="preserve">Page </w:t>
    </w:r>
    <w:r w:rsidRPr="005712A9">
      <w:rPr>
        <w:bCs/>
      </w:rPr>
      <w:fldChar w:fldCharType="begin"/>
    </w:r>
    <w:r w:rsidRPr="005712A9">
      <w:rPr>
        <w:bCs/>
      </w:rPr>
      <w:instrText xml:space="preserve"> PAGE  \* Arabic  \* MERGEFORMAT </w:instrText>
    </w:r>
    <w:r w:rsidRPr="005712A9">
      <w:rPr>
        <w:bCs/>
      </w:rPr>
      <w:fldChar w:fldCharType="separate"/>
    </w:r>
    <w:r w:rsidR="00CF5127">
      <w:rPr>
        <w:bCs/>
        <w:noProof/>
      </w:rPr>
      <w:t>1</w:t>
    </w:r>
    <w:r w:rsidRPr="005712A9">
      <w:rPr>
        <w:bCs/>
      </w:rPr>
      <w:fldChar w:fldCharType="end"/>
    </w:r>
    <w:r w:rsidRPr="005712A9">
      <w:t xml:space="preserve"> of </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B34"/>
    <w:multiLevelType w:val="hybridMultilevel"/>
    <w:tmpl w:val="3E46774C"/>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BE1E79"/>
    <w:multiLevelType w:val="hybridMultilevel"/>
    <w:tmpl w:val="7952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628B"/>
    <w:multiLevelType w:val="hybridMultilevel"/>
    <w:tmpl w:val="8854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26C34"/>
    <w:multiLevelType w:val="hybridMultilevel"/>
    <w:tmpl w:val="C1709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42EFE"/>
    <w:multiLevelType w:val="hybridMultilevel"/>
    <w:tmpl w:val="F498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E373AB"/>
    <w:multiLevelType w:val="hybridMultilevel"/>
    <w:tmpl w:val="D02C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41DAE"/>
    <w:multiLevelType w:val="hybridMultilevel"/>
    <w:tmpl w:val="BC020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24C5E"/>
    <w:multiLevelType w:val="hybridMultilevel"/>
    <w:tmpl w:val="50A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32D50"/>
    <w:multiLevelType w:val="hybridMultilevel"/>
    <w:tmpl w:val="25B6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2D22A6"/>
    <w:multiLevelType w:val="hybridMultilevel"/>
    <w:tmpl w:val="E4D4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A828BD"/>
    <w:multiLevelType w:val="hybridMultilevel"/>
    <w:tmpl w:val="1D6AC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331136"/>
    <w:multiLevelType w:val="hybridMultilevel"/>
    <w:tmpl w:val="60CC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C35918"/>
    <w:multiLevelType w:val="hybridMultilevel"/>
    <w:tmpl w:val="5B729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4"/>
  </w:num>
  <w:num w:numId="4">
    <w:abstractNumId w:val="11"/>
  </w:num>
  <w:num w:numId="5">
    <w:abstractNumId w:val="14"/>
  </w:num>
  <w:num w:numId="6">
    <w:abstractNumId w:val="2"/>
  </w:num>
  <w:num w:numId="7">
    <w:abstractNumId w:val="5"/>
  </w:num>
  <w:num w:numId="8">
    <w:abstractNumId w:val="12"/>
  </w:num>
  <w:num w:numId="9">
    <w:abstractNumId w:val="8"/>
  </w:num>
  <w:num w:numId="10">
    <w:abstractNumId w:val="7"/>
  </w:num>
  <w:num w:numId="11">
    <w:abstractNumId w:val="19"/>
  </w:num>
  <w:num w:numId="12">
    <w:abstractNumId w:val="15"/>
  </w:num>
  <w:num w:numId="13">
    <w:abstractNumId w:val="1"/>
  </w:num>
  <w:num w:numId="14">
    <w:abstractNumId w:val="10"/>
  </w:num>
  <w:num w:numId="15">
    <w:abstractNumId w:val="3"/>
  </w:num>
  <w:num w:numId="16">
    <w:abstractNumId w:val="17"/>
  </w:num>
  <w:num w:numId="17">
    <w:abstractNumId w:val="18"/>
  </w:num>
  <w:num w:numId="18">
    <w:abstractNumId w:val="0"/>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997"/>
    <w:rsid w:val="000040D5"/>
    <w:rsid w:val="000052D3"/>
    <w:rsid w:val="000113C6"/>
    <w:rsid w:val="0001153A"/>
    <w:rsid w:val="000246D2"/>
    <w:rsid w:val="00026757"/>
    <w:rsid w:val="00026BBE"/>
    <w:rsid w:val="000324AD"/>
    <w:rsid w:val="000448AF"/>
    <w:rsid w:val="000543A1"/>
    <w:rsid w:val="000549EF"/>
    <w:rsid w:val="00061CA7"/>
    <w:rsid w:val="000639DC"/>
    <w:rsid w:val="0007529A"/>
    <w:rsid w:val="00084C56"/>
    <w:rsid w:val="00084D09"/>
    <w:rsid w:val="00091E9C"/>
    <w:rsid w:val="00092791"/>
    <w:rsid w:val="0009667F"/>
    <w:rsid w:val="000A0308"/>
    <w:rsid w:val="000A5705"/>
    <w:rsid w:val="000A59CA"/>
    <w:rsid w:val="000C1B14"/>
    <w:rsid w:val="000C43EF"/>
    <w:rsid w:val="000D2DA5"/>
    <w:rsid w:val="000D3E02"/>
    <w:rsid w:val="000D683B"/>
    <w:rsid w:val="000E09DC"/>
    <w:rsid w:val="000F236F"/>
    <w:rsid w:val="000F7A79"/>
    <w:rsid w:val="001048F3"/>
    <w:rsid w:val="00105C29"/>
    <w:rsid w:val="0011702B"/>
    <w:rsid w:val="0012077B"/>
    <w:rsid w:val="00123F47"/>
    <w:rsid w:val="00127152"/>
    <w:rsid w:val="00130059"/>
    <w:rsid w:val="00130EA7"/>
    <w:rsid w:val="0014324B"/>
    <w:rsid w:val="0014637E"/>
    <w:rsid w:val="0014750B"/>
    <w:rsid w:val="001557E5"/>
    <w:rsid w:val="0016080B"/>
    <w:rsid w:val="00161D34"/>
    <w:rsid w:val="0018148D"/>
    <w:rsid w:val="001852D2"/>
    <w:rsid w:val="001A0CA5"/>
    <w:rsid w:val="001A14F5"/>
    <w:rsid w:val="001B15C4"/>
    <w:rsid w:val="001B1651"/>
    <w:rsid w:val="001B3958"/>
    <w:rsid w:val="001B4FC4"/>
    <w:rsid w:val="001B5A73"/>
    <w:rsid w:val="001BFF73"/>
    <w:rsid w:val="001C2669"/>
    <w:rsid w:val="001C455F"/>
    <w:rsid w:val="001C563E"/>
    <w:rsid w:val="001C5B02"/>
    <w:rsid w:val="001D2E60"/>
    <w:rsid w:val="001D616A"/>
    <w:rsid w:val="001E1929"/>
    <w:rsid w:val="001E277B"/>
    <w:rsid w:val="001E4D80"/>
    <w:rsid w:val="001E7C5F"/>
    <w:rsid w:val="001F34FC"/>
    <w:rsid w:val="002050C8"/>
    <w:rsid w:val="00206E7A"/>
    <w:rsid w:val="0021074B"/>
    <w:rsid w:val="00217F47"/>
    <w:rsid w:val="0022034C"/>
    <w:rsid w:val="00223112"/>
    <w:rsid w:val="0022799B"/>
    <w:rsid w:val="00233F4B"/>
    <w:rsid w:val="00240B26"/>
    <w:rsid w:val="002419EF"/>
    <w:rsid w:val="00245974"/>
    <w:rsid w:val="00246892"/>
    <w:rsid w:val="0025441E"/>
    <w:rsid w:val="0025585C"/>
    <w:rsid w:val="00256BDA"/>
    <w:rsid w:val="002630B2"/>
    <w:rsid w:val="002775F6"/>
    <w:rsid w:val="00281B3E"/>
    <w:rsid w:val="002848E9"/>
    <w:rsid w:val="00290186"/>
    <w:rsid w:val="0029340D"/>
    <w:rsid w:val="0029726F"/>
    <w:rsid w:val="002976A1"/>
    <w:rsid w:val="002A4883"/>
    <w:rsid w:val="002A5537"/>
    <w:rsid w:val="002B4B14"/>
    <w:rsid w:val="002B5527"/>
    <w:rsid w:val="002C6E91"/>
    <w:rsid w:val="002D1A82"/>
    <w:rsid w:val="002D4554"/>
    <w:rsid w:val="002E4CB5"/>
    <w:rsid w:val="002E6947"/>
    <w:rsid w:val="002E6FCA"/>
    <w:rsid w:val="002F279B"/>
    <w:rsid w:val="00300F02"/>
    <w:rsid w:val="00301C14"/>
    <w:rsid w:val="0030EC65"/>
    <w:rsid w:val="00315131"/>
    <w:rsid w:val="00317923"/>
    <w:rsid w:val="003229FA"/>
    <w:rsid w:val="00333615"/>
    <w:rsid w:val="003464D1"/>
    <w:rsid w:val="00351726"/>
    <w:rsid w:val="00353D7A"/>
    <w:rsid w:val="003578E4"/>
    <w:rsid w:val="00361838"/>
    <w:rsid w:val="00363520"/>
    <w:rsid w:val="003705FC"/>
    <w:rsid w:val="003741CC"/>
    <w:rsid w:val="003801C5"/>
    <w:rsid w:val="003805C1"/>
    <w:rsid w:val="00384ACF"/>
    <w:rsid w:val="00393C30"/>
    <w:rsid w:val="003A2055"/>
    <w:rsid w:val="003A258C"/>
    <w:rsid w:val="003A2AFC"/>
    <w:rsid w:val="003C42BB"/>
    <w:rsid w:val="003D04BA"/>
    <w:rsid w:val="003D072D"/>
    <w:rsid w:val="003D0AB3"/>
    <w:rsid w:val="003D0C1E"/>
    <w:rsid w:val="003D1ECD"/>
    <w:rsid w:val="003E040B"/>
    <w:rsid w:val="003E1143"/>
    <w:rsid w:val="003E1E8D"/>
    <w:rsid w:val="003E38C5"/>
    <w:rsid w:val="003E4DF7"/>
    <w:rsid w:val="003E653E"/>
    <w:rsid w:val="003F1B77"/>
    <w:rsid w:val="003F56BF"/>
    <w:rsid w:val="004068FD"/>
    <w:rsid w:val="00406F50"/>
    <w:rsid w:val="00407E9B"/>
    <w:rsid w:val="004203BC"/>
    <w:rsid w:val="00431A8F"/>
    <w:rsid w:val="0044670C"/>
    <w:rsid w:val="00456D2E"/>
    <w:rsid w:val="00460A69"/>
    <w:rsid w:val="004628DB"/>
    <w:rsid w:val="00463F10"/>
    <w:rsid w:val="00465D02"/>
    <w:rsid w:val="0046743C"/>
    <w:rsid w:val="00473470"/>
    <w:rsid w:val="0047534A"/>
    <w:rsid w:val="004833D1"/>
    <w:rsid w:val="00483E36"/>
    <w:rsid w:val="00487B6E"/>
    <w:rsid w:val="00494883"/>
    <w:rsid w:val="004A3192"/>
    <w:rsid w:val="004B1693"/>
    <w:rsid w:val="004C292A"/>
    <w:rsid w:val="004C4721"/>
    <w:rsid w:val="004E029B"/>
    <w:rsid w:val="004E239D"/>
    <w:rsid w:val="004E6EF3"/>
    <w:rsid w:val="004E78E5"/>
    <w:rsid w:val="004F0084"/>
    <w:rsid w:val="004F0953"/>
    <w:rsid w:val="004F3840"/>
    <w:rsid w:val="004F772C"/>
    <w:rsid w:val="004F78BB"/>
    <w:rsid w:val="00500CB3"/>
    <w:rsid w:val="00512731"/>
    <w:rsid w:val="00517C00"/>
    <w:rsid w:val="00517F96"/>
    <w:rsid w:val="00520ABE"/>
    <w:rsid w:val="00527B0E"/>
    <w:rsid w:val="00531797"/>
    <w:rsid w:val="00541046"/>
    <w:rsid w:val="00543E31"/>
    <w:rsid w:val="00546E58"/>
    <w:rsid w:val="0055557E"/>
    <w:rsid w:val="00575DD7"/>
    <w:rsid w:val="00576868"/>
    <w:rsid w:val="005815BD"/>
    <w:rsid w:val="005875DC"/>
    <w:rsid w:val="00590C4A"/>
    <w:rsid w:val="00592BE5"/>
    <w:rsid w:val="0059320C"/>
    <w:rsid w:val="005A3C1F"/>
    <w:rsid w:val="005A57EA"/>
    <w:rsid w:val="005A5B13"/>
    <w:rsid w:val="005B23EA"/>
    <w:rsid w:val="005B49AE"/>
    <w:rsid w:val="005B66A2"/>
    <w:rsid w:val="005C642E"/>
    <w:rsid w:val="005D0FAA"/>
    <w:rsid w:val="005E2261"/>
    <w:rsid w:val="006019EE"/>
    <w:rsid w:val="00602D8B"/>
    <w:rsid w:val="00605542"/>
    <w:rsid w:val="00621B1D"/>
    <w:rsid w:val="0062550F"/>
    <w:rsid w:val="00642145"/>
    <w:rsid w:val="00650B2E"/>
    <w:rsid w:val="006551A4"/>
    <w:rsid w:val="00662D0A"/>
    <w:rsid w:val="00665791"/>
    <w:rsid w:val="00670682"/>
    <w:rsid w:val="00676F0A"/>
    <w:rsid w:val="00677ED3"/>
    <w:rsid w:val="00683A43"/>
    <w:rsid w:val="00692300"/>
    <w:rsid w:val="00693951"/>
    <w:rsid w:val="006A18B3"/>
    <w:rsid w:val="006A40EC"/>
    <w:rsid w:val="006A5E7D"/>
    <w:rsid w:val="006A6EEA"/>
    <w:rsid w:val="006B2111"/>
    <w:rsid w:val="006B233A"/>
    <w:rsid w:val="006B6D74"/>
    <w:rsid w:val="006B7571"/>
    <w:rsid w:val="006B786C"/>
    <w:rsid w:val="006B7C7A"/>
    <w:rsid w:val="006C23FD"/>
    <w:rsid w:val="006D0223"/>
    <w:rsid w:val="006E06C6"/>
    <w:rsid w:val="006F7B22"/>
    <w:rsid w:val="006F7CAF"/>
    <w:rsid w:val="00702F93"/>
    <w:rsid w:val="00717D68"/>
    <w:rsid w:val="00724626"/>
    <w:rsid w:val="00726EDA"/>
    <w:rsid w:val="007313A3"/>
    <w:rsid w:val="00733387"/>
    <w:rsid w:val="007428B8"/>
    <w:rsid w:val="00745432"/>
    <w:rsid w:val="00746164"/>
    <w:rsid w:val="00765FE4"/>
    <w:rsid w:val="007678BA"/>
    <w:rsid w:val="007729C7"/>
    <w:rsid w:val="00775B21"/>
    <w:rsid w:val="007769E0"/>
    <w:rsid w:val="00780BB6"/>
    <w:rsid w:val="007816CC"/>
    <w:rsid w:val="007839CC"/>
    <w:rsid w:val="007B12FA"/>
    <w:rsid w:val="007B3A73"/>
    <w:rsid w:val="007B5EA7"/>
    <w:rsid w:val="007B5F49"/>
    <w:rsid w:val="007C5697"/>
    <w:rsid w:val="007C7902"/>
    <w:rsid w:val="007D083F"/>
    <w:rsid w:val="007D22A3"/>
    <w:rsid w:val="007D6A8F"/>
    <w:rsid w:val="007E2470"/>
    <w:rsid w:val="007E39D0"/>
    <w:rsid w:val="007E4219"/>
    <w:rsid w:val="007E4267"/>
    <w:rsid w:val="007F59FD"/>
    <w:rsid w:val="007F7578"/>
    <w:rsid w:val="0080134C"/>
    <w:rsid w:val="00803DE9"/>
    <w:rsid w:val="00804713"/>
    <w:rsid w:val="00836292"/>
    <w:rsid w:val="00842FAC"/>
    <w:rsid w:val="00846079"/>
    <w:rsid w:val="00850971"/>
    <w:rsid w:val="00853AEC"/>
    <w:rsid w:val="008549BE"/>
    <w:rsid w:val="00860E65"/>
    <w:rsid w:val="0086110E"/>
    <w:rsid w:val="00883A74"/>
    <w:rsid w:val="00884631"/>
    <w:rsid w:val="00884EB0"/>
    <w:rsid w:val="008909EE"/>
    <w:rsid w:val="00894E4E"/>
    <w:rsid w:val="008B65F4"/>
    <w:rsid w:val="008D4F10"/>
    <w:rsid w:val="008E0FFD"/>
    <w:rsid w:val="008E133E"/>
    <w:rsid w:val="008E315C"/>
    <w:rsid w:val="0091117B"/>
    <w:rsid w:val="00916C81"/>
    <w:rsid w:val="0092117F"/>
    <w:rsid w:val="0093449A"/>
    <w:rsid w:val="009352CD"/>
    <w:rsid w:val="0093677C"/>
    <w:rsid w:val="009573D0"/>
    <w:rsid w:val="0096539A"/>
    <w:rsid w:val="009670FD"/>
    <w:rsid w:val="00970AC6"/>
    <w:rsid w:val="0097421A"/>
    <w:rsid w:val="009754C4"/>
    <w:rsid w:val="0098316C"/>
    <w:rsid w:val="009849C9"/>
    <w:rsid w:val="009854A4"/>
    <w:rsid w:val="009920B4"/>
    <w:rsid w:val="00992BBB"/>
    <w:rsid w:val="0099444E"/>
    <w:rsid w:val="00995A05"/>
    <w:rsid w:val="009A4004"/>
    <w:rsid w:val="009A48D3"/>
    <w:rsid w:val="009A7B82"/>
    <w:rsid w:val="009B04E1"/>
    <w:rsid w:val="009B3416"/>
    <w:rsid w:val="009C00C6"/>
    <w:rsid w:val="009C1322"/>
    <w:rsid w:val="009D2A07"/>
    <w:rsid w:val="009D44E1"/>
    <w:rsid w:val="009D5028"/>
    <w:rsid w:val="009F30AD"/>
    <w:rsid w:val="00A04848"/>
    <w:rsid w:val="00A07F42"/>
    <w:rsid w:val="00A16315"/>
    <w:rsid w:val="00A20AC4"/>
    <w:rsid w:val="00A2533C"/>
    <w:rsid w:val="00A2549D"/>
    <w:rsid w:val="00A30B3C"/>
    <w:rsid w:val="00A36D9A"/>
    <w:rsid w:val="00A37BEA"/>
    <w:rsid w:val="00A41F49"/>
    <w:rsid w:val="00A53574"/>
    <w:rsid w:val="00A57E0B"/>
    <w:rsid w:val="00A7421A"/>
    <w:rsid w:val="00A75487"/>
    <w:rsid w:val="00A839B9"/>
    <w:rsid w:val="00A95DA5"/>
    <w:rsid w:val="00AA01AF"/>
    <w:rsid w:val="00AA032A"/>
    <w:rsid w:val="00AA0A27"/>
    <w:rsid w:val="00AA4A69"/>
    <w:rsid w:val="00AB0169"/>
    <w:rsid w:val="00AB29A8"/>
    <w:rsid w:val="00AC019C"/>
    <w:rsid w:val="00AD2114"/>
    <w:rsid w:val="00AD23F5"/>
    <w:rsid w:val="00AF2608"/>
    <w:rsid w:val="00AF745D"/>
    <w:rsid w:val="00B034B3"/>
    <w:rsid w:val="00B037A1"/>
    <w:rsid w:val="00B11338"/>
    <w:rsid w:val="00B11631"/>
    <w:rsid w:val="00B145A8"/>
    <w:rsid w:val="00B265A3"/>
    <w:rsid w:val="00B27458"/>
    <w:rsid w:val="00B32791"/>
    <w:rsid w:val="00B4496B"/>
    <w:rsid w:val="00B644EA"/>
    <w:rsid w:val="00B723BE"/>
    <w:rsid w:val="00B74C14"/>
    <w:rsid w:val="00B81798"/>
    <w:rsid w:val="00B82705"/>
    <w:rsid w:val="00B85067"/>
    <w:rsid w:val="00B951DE"/>
    <w:rsid w:val="00BA0235"/>
    <w:rsid w:val="00BA0BE0"/>
    <w:rsid w:val="00BA14C4"/>
    <w:rsid w:val="00BA2C9C"/>
    <w:rsid w:val="00BB2856"/>
    <w:rsid w:val="00BB7B21"/>
    <w:rsid w:val="00BD3A62"/>
    <w:rsid w:val="00BD6DA4"/>
    <w:rsid w:val="00BE6963"/>
    <w:rsid w:val="00BE7BE9"/>
    <w:rsid w:val="00BF0B07"/>
    <w:rsid w:val="00BF1070"/>
    <w:rsid w:val="00C10B65"/>
    <w:rsid w:val="00C120A5"/>
    <w:rsid w:val="00C171A0"/>
    <w:rsid w:val="00C2137E"/>
    <w:rsid w:val="00C24F74"/>
    <w:rsid w:val="00C264CD"/>
    <w:rsid w:val="00C27D57"/>
    <w:rsid w:val="00C30760"/>
    <w:rsid w:val="00C30CF6"/>
    <w:rsid w:val="00C3226C"/>
    <w:rsid w:val="00C325FB"/>
    <w:rsid w:val="00C34857"/>
    <w:rsid w:val="00C40944"/>
    <w:rsid w:val="00C42DD9"/>
    <w:rsid w:val="00C43EB1"/>
    <w:rsid w:val="00C576C1"/>
    <w:rsid w:val="00C63134"/>
    <w:rsid w:val="00C82CBA"/>
    <w:rsid w:val="00C863EB"/>
    <w:rsid w:val="00C86E87"/>
    <w:rsid w:val="00C93F52"/>
    <w:rsid w:val="00C97AF4"/>
    <w:rsid w:val="00CA130E"/>
    <w:rsid w:val="00CA2E11"/>
    <w:rsid w:val="00CA76D6"/>
    <w:rsid w:val="00CB59F4"/>
    <w:rsid w:val="00CB6BEE"/>
    <w:rsid w:val="00CC393D"/>
    <w:rsid w:val="00CE1C84"/>
    <w:rsid w:val="00CF5127"/>
    <w:rsid w:val="00D01022"/>
    <w:rsid w:val="00D05E78"/>
    <w:rsid w:val="00D0604B"/>
    <w:rsid w:val="00D064B2"/>
    <w:rsid w:val="00D075CF"/>
    <w:rsid w:val="00D15A7A"/>
    <w:rsid w:val="00D165E2"/>
    <w:rsid w:val="00D20D4E"/>
    <w:rsid w:val="00D26CE2"/>
    <w:rsid w:val="00D35362"/>
    <w:rsid w:val="00D3592E"/>
    <w:rsid w:val="00D47DAB"/>
    <w:rsid w:val="00D5115F"/>
    <w:rsid w:val="00D54A9D"/>
    <w:rsid w:val="00D63DDB"/>
    <w:rsid w:val="00D80BE8"/>
    <w:rsid w:val="00D8667C"/>
    <w:rsid w:val="00D86AB9"/>
    <w:rsid w:val="00D86CC8"/>
    <w:rsid w:val="00D903FF"/>
    <w:rsid w:val="00DA4E85"/>
    <w:rsid w:val="00DB041B"/>
    <w:rsid w:val="00DB232B"/>
    <w:rsid w:val="00DC5B9C"/>
    <w:rsid w:val="00DD2507"/>
    <w:rsid w:val="00DD6C3E"/>
    <w:rsid w:val="00DF1C16"/>
    <w:rsid w:val="00DF2994"/>
    <w:rsid w:val="00E00BF5"/>
    <w:rsid w:val="00E14BA6"/>
    <w:rsid w:val="00E27A97"/>
    <w:rsid w:val="00E3126E"/>
    <w:rsid w:val="00E35315"/>
    <w:rsid w:val="00E426A9"/>
    <w:rsid w:val="00E4618E"/>
    <w:rsid w:val="00E50327"/>
    <w:rsid w:val="00E63DD1"/>
    <w:rsid w:val="00E7009A"/>
    <w:rsid w:val="00E7338C"/>
    <w:rsid w:val="00E776CC"/>
    <w:rsid w:val="00E80F73"/>
    <w:rsid w:val="00E87458"/>
    <w:rsid w:val="00E87A09"/>
    <w:rsid w:val="00E9297F"/>
    <w:rsid w:val="00E938EA"/>
    <w:rsid w:val="00E94196"/>
    <w:rsid w:val="00EA3AF4"/>
    <w:rsid w:val="00EA480F"/>
    <w:rsid w:val="00EA5A33"/>
    <w:rsid w:val="00EA6054"/>
    <w:rsid w:val="00EA7D4F"/>
    <w:rsid w:val="00EB16F7"/>
    <w:rsid w:val="00EB2C9F"/>
    <w:rsid w:val="00EC504C"/>
    <w:rsid w:val="00ED5C0B"/>
    <w:rsid w:val="00EE4737"/>
    <w:rsid w:val="00EE5FA0"/>
    <w:rsid w:val="00EF1F8E"/>
    <w:rsid w:val="00EF31B5"/>
    <w:rsid w:val="00EF40B2"/>
    <w:rsid w:val="00F1665D"/>
    <w:rsid w:val="00F23F5A"/>
    <w:rsid w:val="00F26E46"/>
    <w:rsid w:val="00F271BC"/>
    <w:rsid w:val="00F334A1"/>
    <w:rsid w:val="00F40510"/>
    <w:rsid w:val="00F4123E"/>
    <w:rsid w:val="00F41CF0"/>
    <w:rsid w:val="00F43925"/>
    <w:rsid w:val="00F50F6D"/>
    <w:rsid w:val="00F561E3"/>
    <w:rsid w:val="00F779B3"/>
    <w:rsid w:val="00F80E25"/>
    <w:rsid w:val="00F93085"/>
    <w:rsid w:val="00F935BA"/>
    <w:rsid w:val="00F95660"/>
    <w:rsid w:val="00FA2215"/>
    <w:rsid w:val="00FB1ACA"/>
    <w:rsid w:val="00FB3687"/>
    <w:rsid w:val="00FB3DC2"/>
    <w:rsid w:val="00FC1FCE"/>
    <w:rsid w:val="00FC2194"/>
    <w:rsid w:val="00FD54D7"/>
    <w:rsid w:val="00FD75CD"/>
    <w:rsid w:val="00FE0385"/>
    <w:rsid w:val="00FE3007"/>
    <w:rsid w:val="00FE47E2"/>
    <w:rsid w:val="00FE4BD6"/>
    <w:rsid w:val="00FE5E67"/>
    <w:rsid w:val="00FF0F8C"/>
    <w:rsid w:val="00FF277C"/>
    <w:rsid w:val="00FF50F9"/>
    <w:rsid w:val="00FF5D83"/>
    <w:rsid w:val="00FF68C0"/>
    <w:rsid w:val="0106233D"/>
    <w:rsid w:val="01207BD4"/>
    <w:rsid w:val="02607F6C"/>
    <w:rsid w:val="02836603"/>
    <w:rsid w:val="036510BE"/>
    <w:rsid w:val="052A16C9"/>
    <w:rsid w:val="0585678D"/>
    <w:rsid w:val="05C1B9A0"/>
    <w:rsid w:val="05FC44F2"/>
    <w:rsid w:val="06A76BB0"/>
    <w:rsid w:val="06B5727F"/>
    <w:rsid w:val="079EBB47"/>
    <w:rsid w:val="0869F588"/>
    <w:rsid w:val="0BB75DD4"/>
    <w:rsid w:val="0BD56251"/>
    <w:rsid w:val="0D3DA8BD"/>
    <w:rsid w:val="0D58BD21"/>
    <w:rsid w:val="0FC10BC2"/>
    <w:rsid w:val="1006C12D"/>
    <w:rsid w:val="10255EC1"/>
    <w:rsid w:val="1094FE86"/>
    <w:rsid w:val="11E38850"/>
    <w:rsid w:val="12A561ED"/>
    <w:rsid w:val="12B44FBC"/>
    <w:rsid w:val="13FCF251"/>
    <w:rsid w:val="14E210E5"/>
    <w:rsid w:val="155CEE88"/>
    <w:rsid w:val="16E4035C"/>
    <w:rsid w:val="1768B9C1"/>
    <w:rsid w:val="18309328"/>
    <w:rsid w:val="1835D813"/>
    <w:rsid w:val="1988D05D"/>
    <w:rsid w:val="1B462C4C"/>
    <w:rsid w:val="1BE9B5F2"/>
    <w:rsid w:val="1C40DD6E"/>
    <w:rsid w:val="1D8EFC4A"/>
    <w:rsid w:val="1DA73BC4"/>
    <w:rsid w:val="1DFBA43A"/>
    <w:rsid w:val="1EB2DA08"/>
    <w:rsid w:val="1EBA1E5E"/>
    <w:rsid w:val="1FEE5EEE"/>
    <w:rsid w:val="2009E009"/>
    <w:rsid w:val="2120157D"/>
    <w:rsid w:val="21822D0B"/>
    <w:rsid w:val="2210035F"/>
    <w:rsid w:val="22AFEB5C"/>
    <w:rsid w:val="23447A4A"/>
    <w:rsid w:val="242D8144"/>
    <w:rsid w:val="248A87FD"/>
    <w:rsid w:val="2495EEFE"/>
    <w:rsid w:val="25A3D2DE"/>
    <w:rsid w:val="26046A5D"/>
    <w:rsid w:val="26A89FD7"/>
    <w:rsid w:val="26F9A0B6"/>
    <w:rsid w:val="286C1B7D"/>
    <w:rsid w:val="28C6FF85"/>
    <w:rsid w:val="28E89E21"/>
    <w:rsid w:val="29E2AAEC"/>
    <w:rsid w:val="2A3FAD01"/>
    <w:rsid w:val="2A4CCEA4"/>
    <w:rsid w:val="2A504027"/>
    <w:rsid w:val="2BD58242"/>
    <w:rsid w:val="2BF3DF14"/>
    <w:rsid w:val="2C116543"/>
    <w:rsid w:val="2CE8F28E"/>
    <w:rsid w:val="2DCA65F5"/>
    <w:rsid w:val="2E8EBB07"/>
    <w:rsid w:val="2EE05C64"/>
    <w:rsid w:val="2F4B2E0B"/>
    <w:rsid w:val="3043E0DF"/>
    <w:rsid w:val="30B118B6"/>
    <w:rsid w:val="315ADCC8"/>
    <w:rsid w:val="324024E1"/>
    <w:rsid w:val="325CE077"/>
    <w:rsid w:val="33C08C4A"/>
    <w:rsid w:val="3486D55A"/>
    <w:rsid w:val="353C7296"/>
    <w:rsid w:val="35D6B7AE"/>
    <w:rsid w:val="3683E8EF"/>
    <w:rsid w:val="36E2450E"/>
    <w:rsid w:val="374A984E"/>
    <w:rsid w:val="3769FC2A"/>
    <w:rsid w:val="379358FE"/>
    <w:rsid w:val="37E4F479"/>
    <w:rsid w:val="398256A6"/>
    <w:rsid w:val="3AA0A9D0"/>
    <w:rsid w:val="3AA8370D"/>
    <w:rsid w:val="3B21B8BA"/>
    <w:rsid w:val="3BEC84AB"/>
    <w:rsid w:val="3C7B0C41"/>
    <w:rsid w:val="3D15B6FA"/>
    <w:rsid w:val="3D47109B"/>
    <w:rsid w:val="3D6F8BEA"/>
    <w:rsid w:val="3DF7A700"/>
    <w:rsid w:val="3E567043"/>
    <w:rsid w:val="3F23B5F9"/>
    <w:rsid w:val="3F47633E"/>
    <w:rsid w:val="3F6688A3"/>
    <w:rsid w:val="3F8405F8"/>
    <w:rsid w:val="3F992930"/>
    <w:rsid w:val="401CADA0"/>
    <w:rsid w:val="417FBAAD"/>
    <w:rsid w:val="418D42FB"/>
    <w:rsid w:val="419FADEC"/>
    <w:rsid w:val="41D7298C"/>
    <w:rsid w:val="4241D4FE"/>
    <w:rsid w:val="42D00B55"/>
    <w:rsid w:val="42E20895"/>
    <w:rsid w:val="430370B5"/>
    <w:rsid w:val="4544CF31"/>
    <w:rsid w:val="468D4927"/>
    <w:rsid w:val="47D2D033"/>
    <w:rsid w:val="480580F6"/>
    <w:rsid w:val="49AF5BE4"/>
    <w:rsid w:val="4A26BA79"/>
    <w:rsid w:val="4A73F2AE"/>
    <w:rsid w:val="4A79A52D"/>
    <w:rsid w:val="4AEDFA65"/>
    <w:rsid w:val="4B77DCDD"/>
    <w:rsid w:val="4BFD611E"/>
    <w:rsid w:val="4D563AA9"/>
    <w:rsid w:val="4E7C5209"/>
    <w:rsid w:val="4F265897"/>
    <w:rsid w:val="4F43E24C"/>
    <w:rsid w:val="4F8276BC"/>
    <w:rsid w:val="4FC16E7D"/>
    <w:rsid w:val="4FD270F0"/>
    <w:rsid w:val="504B89AA"/>
    <w:rsid w:val="517D57F0"/>
    <w:rsid w:val="527F6531"/>
    <w:rsid w:val="528DCDBE"/>
    <w:rsid w:val="52DAF5A6"/>
    <w:rsid w:val="52F62DD9"/>
    <w:rsid w:val="535B33D3"/>
    <w:rsid w:val="54485C87"/>
    <w:rsid w:val="548C3CC3"/>
    <w:rsid w:val="5513CB3D"/>
    <w:rsid w:val="5513FDA9"/>
    <w:rsid w:val="5597F578"/>
    <w:rsid w:val="5756C042"/>
    <w:rsid w:val="58B5CF3B"/>
    <w:rsid w:val="58D593FD"/>
    <w:rsid w:val="5A648852"/>
    <w:rsid w:val="5AB99E68"/>
    <w:rsid w:val="5B38C92E"/>
    <w:rsid w:val="5D2A120C"/>
    <w:rsid w:val="5D3A6E03"/>
    <w:rsid w:val="5D69B164"/>
    <w:rsid w:val="5D93C58E"/>
    <w:rsid w:val="5F7DE9D1"/>
    <w:rsid w:val="60613CDE"/>
    <w:rsid w:val="61155500"/>
    <w:rsid w:val="61B4ACC5"/>
    <w:rsid w:val="62D0D425"/>
    <w:rsid w:val="62F5F096"/>
    <w:rsid w:val="6404D6DF"/>
    <w:rsid w:val="664848A7"/>
    <w:rsid w:val="67654A9D"/>
    <w:rsid w:val="6772E40F"/>
    <w:rsid w:val="683B2DE3"/>
    <w:rsid w:val="6843808C"/>
    <w:rsid w:val="69DDB77F"/>
    <w:rsid w:val="69EAD902"/>
    <w:rsid w:val="6A2890AD"/>
    <w:rsid w:val="6B171CF2"/>
    <w:rsid w:val="6B779703"/>
    <w:rsid w:val="6CF5F4D7"/>
    <w:rsid w:val="6D587F20"/>
    <w:rsid w:val="6D9F559F"/>
    <w:rsid w:val="6DA20504"/>
    <w:rsid w:val="6E4A0551"/>
    <w:rsid w:val="6EC3769B"/>
    <w:rsid w:val="6F8AA359"/>
    <w:rsid w:val="7083B1F5"/>
    <w:rsid w:val="70A4D3EC"/>
    <w:rsid w:val="71AFE507"/>
    <w:rsid w:val="71D942E7"/>
    <w:rsid w:val="72E2B09B"/>
    <w:rsid w:val="74778B4F"/>
    <w:rsid w:val="74D343D5"/>
    <w:rsid w:val="750FF222"/>
    <w:rsid w:val="75253F85"/>
    <w:rsid w:val="77873118"/>
    <w:rsid w:val="7835B270"/>
    <w:rsid w:val="7993A7B8"/>
    <w:rsid w:val="799F153D"/>
    <w:rsid w:val="79E09A56"/>
    <w:rsid w:val="7A5B3C11"/>
    <w:rsid w:val="7A991A3B"/>
    <w:rsid w:val="7AD57556"/>
    <w:rsid w:val="7AE0B5AE"/>
    <w:rsid w:val="7BCFAB99"/>
    <w:rsid w:val="7C74CCE8"/>
    <w:rsid w:val="7D3398D5"/>
    <w:rsid w:val="7DE6CFA8"/>
    <w:rsid w:val="7E72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070F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uiPriority w:val="99"/>
    <w:rsid w:val="00860E65"/>
    <w:rPr>
      <w:sz w:val="16"/>
      <w:szCs w:val="16"/>
    </w:rPr>
  </w:style>
  <w:style w:type="paragraph" w:styleId="CommentText">
    <w:name w:val="annotation text"/>
    <w:basedOn w:val="Normal"/>
    <w:link w:val="CommentTextChar"/>
    <w:rsid w:val="00860E65"/>
    <w:rPr>
      <w:sz w:val="20"/>
      <w:szCs w:val="20"/>
    </w:rPr>
  </w:style>
  <w:style w:type="character" w:customStyle="1" w:styleId="CommentTextChar">
    <w:name w:val="Comment Text Char"/>
    <w:basedOn w:val="DefaultParagraphFont"/>
    <w:link w:val="CommentText"/>
    <w:rsid w:val="00860E65"/>
    <w:rPr>
      <w:rFonts w:ascii="Arial" w:eastAsia="Times New Roman" w:hAnsi="Arial" w:cs="Times New Roman"/>
      <w:sz w:val="20"/>
      <w:szCs w:val="20"/>
    </w:rPr>
  </w:style>
  <w:style w:type="paragraph" w:customStyle="1" w:styleId="Default">
    <w:name w:val="Default"/>
    <w:rsid w:val="00860E65"/>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0113C6"/>
    <w:rPr>
      <w:color w:val="954F72" w:themeColor="followedHyperlink"/>
      <w:u w:val="single"/>
    </w:rPr>
  </w:style>
  <w:style w:type="table" w:styleId="TableGrid">
    <w:name w:val="Table Grid"/>
    <w:basedOn w:val="TableNormal"/>
    <w:rsid w:val="009C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5D83"/>
    <w:rPr>
      <w:b/>
      <w:bCs/>
    </w:rPr>
  </w:style>
  <w:style w:type="character" w:customStyle="1" w:styleId="CommentSubjectChar">
    <w:name w:val="Comment Subject Char"/>
    <w:basedOn w:val="CommentTextChar"/>
    <w:link w:val="CommentSubject"/>
    <w:uiPriority w:val="99"/>
    <w:semiHidden/>
    <w:rsid w:val="00FF5D83"/>
    <w:rPr>
      <w:rFonts w:ascii="Arial" w:eastAsia="Times New Roman" w:hAnsi="Arial" w:cs="Times New Roman"/>
      <w:b/>
      <w:bCs/>
      <w:sz w:val="20"/>
      <w:szCs w:val="20"/>
    </w:rPr>
  </w:style>
  <w:style w:type="character" w:customStyle="1" w:styleId="st1">
    <w:name w:val="st1"/>
    <w:basedOn w:val="DefaultParagraphFont"/>
    <w:rsid w:val="007E4219"/>
  </w:style>
  <w:style w:type="paragraph" w:styleId="Revision">
    <w:name w:val="Revision"/>
    <w:hidden/>
    <w:uiPriority w:val="99"/>
    <w:semiHidden/>
    <w:rsid w:val="001D616A"/>
    <w:pPr>
      <w:spacing w:after="0" w:line="240" w:lineRule="auto"/>
    </w:pPr>
    <w:rPr>
      <w:rFonts w:ascii="Arial" w:eastAsia="Times New Roman" w:hAnsi="Arial" w:cs="Times New Roman"/>
      <w:sz w:val="24"/>
      <w:szCs w:val="24"/>
    </w:rPr>
  </w:style>
  <w:style w:type="character" w:customStyle="1" w:styleId="ListParagraphChar">
    <w:name w:val="List Paragraph Char"/>
    <w:aliases w:val="Indented Paragraph Char,list Char,List1 Char"/>
    <w:link w:val="ListParagraph"/>
    <w:uiPriority w:val="34"/>
    <w:rsid w:val="002C6E91"/>
    <w:rPr>
      <w:rFonts w:ascii="Arial" w:eastAsia="Times New Roman" w:hAnsi="Arial" w:cs="Times New Roman"/>
      <w:sz w:val="24"/>
      <w:szCs w:val="24"/>
    </w:rPr>
  </w:style>
  <w:style w:type="character" w:styleId="Emphasis">
    <w:name w:val="Emphasis"/>
    <w:basedOn w:val="DefaultParagraphFont"/>
    <w:uiPriority w:val="20"/>
    <w:qFormat/>
    <w:rsid w:val="002C6E91"/>
    <w:rPr>
      <w:i/>
      <w:iCs/>
    </w:rPr>
  </w:style>
  <w:style w:type="paragraph" w:customStyle="1" w:styleId="BodyText2">
    <w:name w:val="Body Text2"/>
    <w:basedOn w:val="Normal"/>
    <w:link w:val="BodytextChar"/>
    <w:qFormat/>
    <w:rsid w:val="00290186"/>
    <w:pPr>
      <w:spacing w:after="240"/>
    </w:pPr>
    <w:rPr>
      <w:rFonts w:eastAsia="Calibri" w:cs="Arial"/>
    </w:rPr>
  </w:style>
  <w:style w:type="character" w:customStyle="1" w:styleId="BodytextChar">
    <w:name w:val="Body text Char"/>
    <w:link w:val="BodyText2"/>
    <w:locked/>
    <w:rsid w:val="00290186"/>
    <w:rPr>
      <w:rFonts w:ascii="Arial" w:eastAsia="Calibri" w:hAnsi="Arial" w:cs="Arial"/>
      <w:sz w:val="24"/>
      <w:szCs w:val="24"/>
    </w:rPr>
  </w:style>
  <w:style w:type="table" w:customStyle="1" w:styleId="TableGrid6">
    <w:name w:val="Table Grid6"/>
    <w:basedOn w:val="TableNormal"/>
    <w:next w:val="TableGrid"/>
    <w:rsid w:val="0029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557E5"/>
    <w:rPr>
      <w:sz w:val="20"/>
      <w:szCs w:val="20"/>
    </w:rPr>
  </w:style>
  <w:style w:type="character" w:customStyle="1" w:styleId="EndnoteTextChar">
    <w:name w:val="Endnote Text Char"/>
    <w:basedOn w:val="DefaultParagraphFont"/>
    <w:link w:val="EndnoteText"/>
    <w:uiPriority w:val="99"/>
    <w:semiHidden/>
    <w:rsid w:val="001557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557E5"/>
    <w:rPr>
      <w:vertAlign w:val="superscript"/>
    </w:rPr>
  </w:style>
  <w:style w:type="paragraph" w:styleId="FootnoteText">
    <w:name w:val="footnote text"/>
    <w:basedOn w:val="Normal"/>
    <w:link w:val="FootnoteTextChar"/>
    <w:uiPriority w:val="99"/>
    <w:semiHidden/>
    <w:unhideWhenUsed/>
    <w:rsid w:val="003D04BA"/>
    <w:rPr>
      <w:sz w:val="20"/>
      <w:szCs w:val="20"/>
    </w:rPr>
  </w:style>
  <w:style w:type="character" w:customStyle="1" w:styleId="FootnoteTextChar">
    <w:name w:val="Footnote Text Char"/>
    <w:basedOn w:val="DefaultParagraphFont"/>
    <w:link w:val="FootnoteText"/>
    <w:uiPriority w:val="99"/>
    <w:semiHidden/>
    <w:rsid w:val="003D04B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D04BA"/>
    <w:rPr>
      <w:vertAlign w:val="superscript"/>
    </w:rPr>
  </w:style>
  <w:style w:type="character" w:customStyle="1" w:styleId="UnresolvedMention1">
    <w:name w:val="Unresolved Mention1"/>
    <w:basedOn w:val="DefaultParagraphFont"/>
    <w:uiPriority w:val="99"/>
    <w:semiHidden/>
    <w:unhideWhenUsed/>
    <w:rsid w:val="0046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809">
      <w:bodyDiv w:val="1"/>
      <w:marLeft w:val="0"/>
      <w:marRight w:val="0"/>
      <w:marTop w:val="0"/>
      <w:marBottom w:val="0"/>
      <w:divBdr>
        <w:top w:val="none" w:sz="0" w:space="0" w:color="auto"/>
        <w:left w:val="none" w:sz="0" w:space="0" w:color="auto"/>
        <w:bottom w:val="none" w:sz="0" w:space="0" w:color="auto"/>
        <w:right w:val="none" w:sz="0" w:space="0" w:color="auto"/>
      </w:divBdr>
    </w:div>
    <w:div w:id="9020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documents/nov19item07.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documents/nov18item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0CAF-353C-47B1-B400-B3456705E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6CBAE-8959-4D8F-8727-F3EEC97FA351}">
  <ds:schemaRefs>
    <ds:schemaRef ds:uri="http://schemas.microsoft.com/sharepoint/v3/contenttype/forms"/>
  </ds:schemaRefs>
</ds:datastoreItem>
</file>

<file path=customXml/itemProps3.xml><?xml version="1.0" encoding="utf-8"?>
<ds:datastoreItem xmlns:ds="http://schemas.openxmlformats.org/officeDocument/2006/customXml" ds:itemID="{613A5F0B-FF8C-4ECD-A27A-E91CA57832FC}">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B82F1896-9003-4232-9B43-C12B252C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895</Words>
  <Characters>5103</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November 2020 Agenda Item 07 - Meeting Agendas (CA State Board of Education)</vt:lpstr>
    </vt:vector>
  </TitlesOfParts>
  <Company>California State Board of Education</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07 - Meeting Agendas (CA State Board of Education)</dc:title>
  <dc:subject>California Assessment of Student Performance and Progress and English Language Proficiency Assessments for California.</dc:subject>
  <dc:creator/>
  <cp:keywords/>
  <dc:description/>
  <cp:lastPrinted>2019-09-20T20:49:00Z</cp:lastPrinted>
  <dcterms:created xsi:type="dcterms:W3CDTF">2020-09-16T22:16:00Z</dcterms:created>
  <dcterms:modified xsi:type="dcterms:W3CDTF">2020-10-20T15:54:00Z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