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069" w:rsidRDefault="00685069" w:rsidP="00685069"/>
    <w:p w:rsidR="00685069" w:rsidRPr="004C7830" w:rsidRDefault="58322DE1" w:rsidP="00685069">
      <w:pPr>
        <w:rPr>
          <w:rFonts w:cs="Arial"/>
        </w:rPr>
      </w:pPr>
      <w:r>
        <w:rPr>
          <w:noProof/>
        </w:rPr>
        <w:drawing>
          <wp:inline distT="0" distB="0" distL="0" distR="0" wp14:anchorId="4911CF52" wp14:editId="7098E47B">
            <wp:extent cx="941731" cy="942975"/>
            <wp:effectExtent l="0" t="0" r="0" b="0"/>
            <wp:docPr id="179231294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rsidR="00685069" w:rsidRPr="004C7830" w:rsidRDefault="00685069" w:rsidP="00685069">
      <w:pPr>
        <w:jc w:val="right"/>
        <w:rPr>
          <w:rFonts w:cs="Arial"/>
        </w:rPr>
      </w:pPr>
      <w:bookmarkStart w:id="0" w:name="_GoBack"/>
      <w:bookmarkEnd w:id="0"/>
      <w:r w:rsidRPr="004C7830">
        <w:rPr>
          <w:rFonts w:cs="Arial"/>
        </w:rPr>
        <w:t>California Department of Education</w:t>
      </w:r>
    </w:p>
    <w:p w:rsidR="00685069" w:rsidRPr="004C7830" w:rsidRDefault="00685069" w:rsidP="00685069">
      <w:pPr>
        <w:jc w:val="right"/>
        <w:rPr>
          <w:rFonts w:cs="Arial"/>
        </w:rPr>
      </w:pPr>
      <w:r w:rsidRPr="004C7830">
        <w:rPr>
          <w:rFonts w:cs="Arial"/>
        </w:rPr>
        <w:t>Executive Office</w:t>
      </w:r>
    </w:p>
    <w:p w:rsidR="00685069" w:rsidRPr="004C7830" w:rsidRDefault="00685069" w:rsidP="00685069">
      <w:pPr>
        <w:jc w:val="right"/>
        <w:rPr>
          <w:rFonts w:cs="Arial"/>
        </w:rPr>
      </w:pPr>
      <w:r w:rsidRPr="004C7830">
        <w:rPr>
          <w:rFonts w:cs="Arial"/>
        </w:rPr>
        <w:t>SBE-003 (REV. 11/2017)</w:t>
      </w:r>
    </w:p>
    <w:p w:rsidR="00685069" w:rsidRPr="004C7830" w:rsidRDefault="00685069" w:rsidP="00685069">
      <w:pPr>
        <w:jc w:val="right"/>
        <w:rPr>
          <w:rFonts w:cs="Arial"/>
        </w:rPr>
      </w:pPr>
      <w:r w:rsidRPr="004C7830">
        <w:rPr>
          <w:rFonts w:cs="Arial"/>
        </w:rPr>
        <w:t>imb-amard-sept20item0</w:t>
      </w:r>
      <w:r w:rsidR="00C2764C" w:rsidRPr="004C7830">
        <w:rPr>
          <w:rFonts w:cs="Arial"/>
        </w:rPr>
        <w:t>2</w:t>
      </w:r>
    </w:p>
    <w:p w:rsidR="00685069" w:rsidRPr="004C7830" w:rsidRDefault="00685069" w:rsidP="00685069">
      <w:pPr>
        <w:keepNext/>
        <w:keepLines/>
        <w:spacing w:before="120" w:after="120"/>
        <w:jc w:val="center"/>
        <w:outlineLvl w:val="0"/>
        <w:rPr>
          <w:rFonts w:cs="Arial"/>
          <w:b/>
          <w:sz w:val="40"/>
        </w:rPr>
        <w:sectPr w:rsidR="00685069" w:rsidRPr="004C7830" w:rsidSect="000B1725">
          <w:headerReference w:type="default" r:id="rId11"/>
          <w:footerReference w:type="default" r:id="rId12"/>
          <w:pgSz w:w="12240" w:h="15840"/>
          <w:pgMar w:top="720" w:right="1440" w:bottom="1440" w:left="1440" w:header="720" w:footer="720" w:gutter="0"/>
          <w:cols w:num="2" w:space="720"/>
          <w:titlePg/>
          <w:docGrid w:linePitch="360"/>
        </w:sectPr>
      </w:pPr>
    </w:p>
    <w:p w:rsidR="00685069" w:rsidRPr="004C7830" w:rsidRDefault="00685069" w:rsidP="00685069">
      <w:pPr>
        <w:sectPr w:rsidR="00685069" w:rsidRPr="004C7830" w:rsidSect="000B1725">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rsidR="00685069" w:rsidRPr="004C7830" w:rsidRDefault="00685069" w:rsidP="00685069">
      <w:pPr>
        <w:keepNext/>
        <w:keepLines/>
        <w:spacing w:before="240" w:after="240"/>
        <w:jc w:val="center"/>
        <w:outlineLvl w:val="0"/>
        <w:rPr>
          <w:rFonts w:cs="Arial"/>
          <w:b/>
          <w:bCs/>
          <w:sz w:val="40"/>
          <w:szCs w:val="40"/>
        </w:rPr>
      </w:pPr>
      <w:r w:rsidRPr="004C7830">
        <w:rPr>
          <w:rStyle w:val="Heading1Char"/>
          <w:sz w:val="40"/>
          <w:szCs w:val="40"/>
        </w:rPr>
        <w:t>California State Board of Education</w:t>
      </w:r>
      <w:r w:rsidRPr="004C7830">
        <w:br/>
      </w:r>
      <w:r w:rsidRPr="004C7830">
        <w:rPr>
          <w:rFonts w:cs="Arial"/>
          <w:b/>
          <w:bCs/>
          <w:sz w:val="40"/>
          <w:szCs w:val="40"/>
        </w:rPr>
        <w:t>September 2020 Agenda</w:t>
      </w:r>
      <w:r w:rsidRPr="004C7830">
        <w:br/>
      </w:r>
      <w:r w:rsidRPr="004C7830">
        <w:rPr>
          <w:rFonts w:cs="Arial"/>
          <w:b/>
          <w:bCs/>
          <w:sz w:val="40"/>
          <w:szCs w:val="40"/>
        </w:rPr>
        <w:t>Item #</w:t>
      </w:r>
      <w:r w:rsidR="00971F2C">
        <w:rPr>
          <w:rFonts w:cs="Arial"/>
          <w:b/>
          <w:bCs/>
          <w:sz w:val="40"/>
          <w:szCs w:val="40"/>
        </w:rPr>
        <w:t>02</w:t>
      </w:r>
    </w:p>
    <w:p w:rsidR="00685069" w:rsidRPr="004C7830" w:rsidRDefault="00685069" w:rsidP="00685069">
      <w:pPr>
        <w:pStyle w:val="Heading2"/>
        <w:spacing w:before="240" w:after="240"/>
        <w:rPr>
          <w:rFonts w:cs="Arial"/>
          <w:szCs w:val="36"/>
        </w:rPr>
      </w:pPr>
      <w:r w:rsidRPr="004C7830">
        <w:rPr>
          <w:rFonts w:cs="Arial"/>
        </w:rPr>
        <w:t>Subject</w:t>
      </w:r>
    </w:p>
    <w:p w:rsidR="003A6002" w:rsidRPr="004C7830" w:rsidRDefault="003A6002" w:rsidP="003A6002">
      <w:pPr>
        <w:rPr>
          <w:rFonts w:ascii="Times New Roman" w:hAnsi="Times New Roman"/>
        </w:rPr>
      </w:pPr>
      <w:r w:rsidRPr="004C7830">
        <w:rPr>
          <w:rFonts w:cs="Arial"/>
          <w:color w:val="212121"/>
          <w:shd w:val="clear" w:color="auto" w:fill="FFFFFF"/>
        </w:rPr>
        <w:t>Update on the Implementation of the Integrated Local, State, and Federal Accountability and Continuous Improvement System:</w:t>
      </w:r>
      <w:r w:rsidR="003D0696" w:rsidRPr="004C7830">
        <w:rPr>
          <w:rFonts w:cs="Arial"/>
          <w:color w:val="212121"/>
          <w:shd w:val="clear" w:color="auto" w:fill="FFFFFF"/>
        </w:rPr>
        <w:t xml:space="preserve"> </w:t>
      </w:r>
      <w:r w:rsidRPr="006B735C">
        <w:rPr>
          <w:rFonts w:cs="Arial"/>
          <w:color w:val="212121"/>
          <w:shd w:val="clear" w:color="auto" w:fill="FFFFFF"/>
        </w:rPr>
        <w:t>Recommended Action on the Inclusion of New Career Measures in the College/Career Indicator an</w:t>
      </w:r>
      <w:r w:rsidR="003D0696" w:rsidRPr="006B735C">
        <w:rPr>
          <w:rFonts w:cs="Arial"/>
          <w:color w:val="212121"/>
          <w:shd w:val="clear" w:color="auto" w:fill="FFFFFF"/>
        </w:rPr>
        <w:t xml:space="preserve">d </w:t>
      </w:r>
      <w:r w:rsidRPr="002E3ADA">
        <w:rPr>
          <w:rFonts w:cs="Arial"/>
          <w:color w:val="212121"/>
          <w:shd w:val="clear" w:color="auto" w:fill="FFFFFF"/>
        </w:rPr>
        <w:t>Update</w:t>
      </w:r>
      <w:r w:rsidRPr="004C7830">
        <w:rPr>
          <w:rFonts w:cs="Arial"/>
          <w:color w:val="212121"/>
          <w:shd w:val="clear" w:color="auto" w:fill="FFFFFF"/>
        </w:rPr>
        <w:t xml:space="preserve"> on the Student Growth Model, and Implementation of California</w:t>
      </w:r>
      <w:r w:rsidR="003D0696" w:rsidRPr="004C7830">
        <w:rPr>
          <w:rFonts w:cs="Arial"/>
          <w:color w:val="212121"/>
          <w:shd w:val="clear" w:color="auto" w:fill="FFFFFF"/>
        </w:rPr>
        <w:t xml:space="preserve"> </w:t>
      </w:r>
      <w:r w:rsidRPr="1E863734">
        <w:rPr>
          <w:rFonts w:cs="Arial"/>
          <w:i/>
          <w:iCs/>
          <w:color w:val="212121"/>
        </w:rPr>
        <w:t>Education Code</w:t>
      </w:r>
      <w:r w:rsidR="003D0696" w:rsidRPr="004C7830">
        <w:rPr>
          <w:rFonts w:cs="Arial"/>
          <w:color w:val="212121"/>
          <w:shd w:val="clear" w:color="auto" w:fill="FFFFFF"/>
        </w:rPr>
        <w:t xml:space="preserve"> </w:t>
      </w:r>
      <w:r w:rsidRPr="004C7830">
        <w:rPr>
          <w:rFonts w:cs="Arial"/>
          <w:color w:val="212121"/>
          <w:shd w:val="clear" w:color="auto" w:fill="FFFFFF"/>
        </w:rPr>
        <w:t>Section 52064.5.</w:t>
      </w:r>
    </w:p>
    <w:p w:rsidR="003A6002" w:rsidRPr="004C7830" w:rsidRDefault="003A6002" w:rsidP="00F0001A">
      <w:pPr>
        <w:spacing w:after="240"/>
        <w:rPr>
          <w:rFonts w:ascii="Times New Roman" w:hAnsi="Times New Roman"/>
        </w:rPr>
      </w:pPr>
    </w:p>
    <w:p w:rsidR="00685069" w:rsidRPr="004C7830" w:rsidRDefault="00685069" w:rsidP="00685069">
      <w:pPr>
        <w:pStyle w:val="Heading2"/>
        <w:spacing w:before="0" w:after="240"/>
        <w:rPr>
          <w:rFonts w:cs="Arial"/>
          <w:szCs w:val="36"/>
        </w:rPr>
      </w:pPr>
      <w:r w:rsidRPr="004C7830">
        <w:rPr>
          <w:rFonts w:cs="Arial"/>
          <w:szCs w:val="36"/>
        </w:rPr>
        <w:t>Type of Action</w:t>
      </w:r>
    </w:p>
    <w:p w:rsidR="00685069" w:rsidRPr="004C7830" w:rsidRDefault="003A6002" w:rsidP="00685069">
      <w:pPr>
        <w:spacing w:after="240"/>
        <w:rPr>
          <w:rFonts w:cs="Arial"/>
        </w:rPr>
      </w:pPr>
      <w:r w:rsidRPr="004C7830">
        <w:rPr>
          <w:rFonts w:cs="Arial"/>
        </w:rPr>
        <w:t xml:space="preserve">Action, </w:t>
      </w:r>
      <w:r w:rsidR="00CA7047" w:rsidRPr="004C7830">
        <w:rPr>
          <w:rFonts w:cs="Arial"/>
        </w:rPr>
        <w:t>I</w:t>
      </w:r>
      <w:r w:rsidR="00685069" w:rsidRPr="004C7830">
        <w:rPr>
          <w:rFonts w:cs="Arial"/>
        </w:rPr>
        <w:t>nformation</w:t>
      </w:r>
    </w:p>
    <w:p w:rsidR="004A6613" w:rsidRPr="004C7830" w:rsidRDefault="00685069" w:rsidP="004A6613">
      <w:pPr>
        <w:pStyle w:val="Heading2"/>
        <w:spacing w:before="0" w:after="240"/>
        <w:rPr>
          <w:rFonts w:cs="Arial"/>
          <w:szCs w:val="36"/>
        </w:rPr>
      </w:pPr>
      <w:bookmarkStart w:id="1" w:name="_Hlk49414924"/>
      <w:r w:rsidRPr="004C7830">
        <w:rPr>
          <w:rFonts w:cs="Arial"/>
          <w:szCs w:val="36"/>
        </w:rPr>
        <w:t>Summary of the Issue(s)</w:t>
      </w:r>
    </w:p>
    <w:p w:rsidR="00CB325F" w:rsidRPr="004C7830" w:rsidRDefault="003A6002" w:rsidP="003A6002">
      <w:pPr>
        <w:rPr>
          <w:rFonts w:cs="Arial"/>
        </w:rPr>
      </w:pPr>
      <w:r w:rsidRPr="004C7830">
        <w:rPr>
          <w:rFonts w:cs="Arial"/>
        </w:rPr>
        <w:t>In May 2020, the California Department of Education (CDE) presented its progress on improving and expanding the measures used to determine the progress made by schools and local educational agencies (LEAs) in serving their students, as reported on the California School Dashboard (the Dashboard)</w:t>
      </w:r>
      <w:r w:rsidR="00645EDA" w:rsidRPr="004C7830">
        <w:rPr>
          <w:rFonts w:cs="Arial"/>
        </w:rPr>
        <w:t xml:space="preserve"> in the College/Career Indicator (CCI)</w:t>
      </w:r>
      <w:r w:rsidRPr="004C7830">
        <w:rPr>
          <w:rFonts w:cs="Arial"/>
        </w:rPr>
        <w:t xml:space="preserve">. The update included data </w:t>
      </w:r>
      <w:r w:rsidR="00CA7047" w:rsidRPr="004C7830">
        <w:rPr>
          <w:rFonts w:cs="Arial"/>
        </w:rPr>
        <w:t xml:space="preserve">on </w:t>
      </w:r>
      <w:r w:rsidRPr="004C7830">
        <w:rPr>
          <w:rFonts w:cs="Arial"/>
        </w:rPr>
        <w:t xml:space="preserve">additional career measures collected in 2018–19 for inclusion in </w:t>
      </w:r>
      <w:r w:rsidR="00645914" w:rsidRPr="004C7830">
        <w:rPr>
          <w:rFonts w:cs="Arial"/>
        </w:rPr>
        <w:t>CCI</w:t>
      </w:r>
      <w:r w:rsidRPr="004C7830">
        <w:rPr>
          <w:rFonts w:cs="Arial"/>
        </w:rPr>
        <w:t xml:space="preserve">. This item provides additional data </w:t>
      </w:r>
      <w:r w:rsidR="00E4296F" w:rsidRPr="004C7830">
        <w:rPr>
          <w:rFonts w:cs="Arial"/>
        </w:rPr>
        <w:t>and analys</w:t>
      </w:r>
      <w:r w:rsidR="00F51EE2" w:rsidRPr="004C7830">
        <w:rPr>
          <w:rFonts w:cs="Arial"/>
        </w:rPr>
        <w:t>i</w:t>
      </w:r>
      <w:r w:rsidR="00E4296F" w:rsidRPr="004C7830">
        <w:rPr>
          <w:rFonts w:cs="Arial"/>
        </w:rPr>
        <w:t xml:space="preserve">s </w:t>
      </w:r>
      <w:r w:rsidRPr="004C7830">
        <w:rPr>
          <w:rFonts w:cs="Arial"/>
        </w:rPr>
        <w:t xml:space="preserve">on these </w:t>
      </w:r>
      <w:r w:rsidR="00CA7047" w:rsidRPr="004C7830">
        <w:rPr>
          <w:rFonts w:cs="Arial"/>
        </w:rPr>
        <w:t>measures</w:t>
      </w:r>
      <w:r w:rsidR="00645914" w:rsidRPr="004C7830">
        <w:rPr>
          <w:rFonts w:cs="Arial"/>
        </w:rPr>
        <w:t>, including stakeholder feedback,</w:t>
      </w:r>
      <w:r w:rsidR="00CA7047" w:rsidRPr="004C7830">
        <w:rPr>
          <w:rFonts w:cs="Arial"/>
        </w:rPr>
        <w:t xml:space="preserve"> </w:t>
      </w:r>
      <w:r w:rsidRPr="004C7830">
        <w:rPr>
          <w:rFonts w:cs="Arial"/>
        </w:rPr>
        <w:t>and recommendations for State Board of Education (SBE) action.</w:t>
      </w:r>
      <w:r w:rsidR="00525E64" w:rsidRPr="004C7830">
        <w:rPr>
          <w:rFonts w:cs="Arial"/>
        </w:rPr>
        <w:t xml:space="preserve"> </w:t>
      </w:r>
    </w:p>
    <w:p w:rsidR="00CB325F" w:rsidRPr="004C7830" w:rsidRDefault="00CB325F" w:rsidP="003A6002">
      <w:pPr>
        <w:rPr>
          <w:rFonts w:cs="Arial"/>
        </w:rPr>
      </w:pPr>
    </w:p>
    <w:p w:rsidR="003A6002" w:rsidRPr="004C7830" w:rsidRDefault="00A5244B" w:rsidP="003A6002">
      <w:r w:rsidRPr="004C7830">
        <w:rPr>
          <w:rFonts w:cs="Arial"/>
        </w:rPr>
        <w:t xml:space="preserve">This item is before the SBE for action in order to allow the CDE to </w:t>
      </w:r>
      <w:r w:rsidR="00681746" w:rsidRPr="004C7830">
        <w:rPr>
          <w:rFonts w:cs="Arial"/>
        </w:rPr>
        <w:t>report out on</w:t>
      </w:r>
      <w:r w:rsidRPr="004C7830">
        <w:rPr>
          <w:rFonts w:cs="Arial"/>
        </w:rPr>
        <w:t xml:space="preserve"> these new career measures publicly </w:t>
      </w:r>
      <w:r w:rsidR="00681746" w:rsidRPr="004C7830">
        <w:rPr>
          <w:rFonts w:cs="Arial"/>
        </w:rPr>
        <w:t xml:space="preserve">this fall. While this information will not be used to determine a color performance on the Dashboard, the CDE and stakeholders agree that it is important to demonstrate how schools are performing in the areas of </w:t>
      </w:r>
      <w:r w:rsidRPr="004C7830">
        <w:rPr>
          <w:rFonts w:cs="Arial"/>
        </w:rPr>
        <w:t xml:space="preserve">career readiness and to recognize the success of schools that are implementing these career programs. Pursuant to the provisions of </w:t>
      </w:r>
      <w:r w:rsidR="00525E64" w:rsidRPr="004C7830">
        <w:rPr>
          <w:rFonts w:cs="Arial"/>
        </w:rPr>
        <w:t>Senate Bill 98</w:t>
      </w:r>
      <w:r w:rsidR="005250F1" w:rsidRPr="004C7830">
        <w:rPr>
          <w:rFonts w:cs="Arial"/>
        </w:rPr>
        <w:t xml:space="preserve"> (Chapter </w:t>
      </w:r>
      <w:r w:rsidR="00896EE6" w:rsidRPr="004C7830">
        <w:rPr>
          <w:rFonts w:cs="Arial"/>
        </w:rPr>
        <w:t>24, Statutes of 2020)</w:t>
      </w:r>
      <w:r w:rsidRPr="004C7830">
        <w:rPr>
          <w:rFonts w:cs="Arial"/>
        </w:rPr>
        <w:t>,</w:t>
      </w:r>
      <w:r w:rsidR="00525E64" w:rsidRPr="004C7830">
        <w:rPr>
          <w:rFonts w:cs="Arial"/>
        </w:rPr>
        <w:t xml:space="preserve"> </w:t>
      </w:r>
      <w:r w:rsidRPr="004C7830">
        <w:rPr>
          <w:rFonts w:cs="Arial"/>
        </w:rPr>
        <w:t xml:space="preserve">the </w:t>
      </w:r>
      <w:r w:rsidR="00525E64" w:rsidRPr="004C7830">
        <w:rPr>
          <w:rFonts w:cs="Arial"/>
        </w:rPr>
        <w:t xml:space="preserve">CDE </w:t>
      </w:r>
      <w:r w:rsidRPr="004C7830">
        <w:rPr>
          <w:rFonts w:cs="Arial"/>
        </w:rPr>
        <w:t xml:space="preserve">is </w:t>
      </w:r>
      <w:r w:rsidR="00681746" w:rsidRPr="004C7830">
        <w:rPr>
          <w:rFonts w:cs="Arial"/>
        </w:rPr>
        <w:t xml:space="preserve">also </w:t>
      </w:r>
      <w:r w:rsidRPr="004C7830">
        <w:rPr>
          <w:rFonts w:cs="Arial"/>
        </w:rPr>
        <w:t xml:space="preserve">required </w:t>
      </w:r>
      <w:r w:rsidR="00525E64" w:rsidRPr="004C7830">
        <w:rPr>
          <w:rFonts w:cs="Arial"/>
        </w:rPr>
        <w:t>to report valid and reliable data collected in 2019–20</w:t>
      </w:r>
      <w:r w:rsidR="005B0542" w:rsidRPr="004C7830">
        <w:rPr>
          <w:rFonts w:cs="Arial"/>
        </w:rPr>
        <w:t xml:space="preserve"> </w:t>
      </w:r>
      <w:r w:rsidR="00525E64" w:rsidRPr="004C7830">
        <w:rPr>
          <w:rFonts w:cs="Arial"/>
        </w:rPr>
        <w:t xml:space="preserve">that would have been included in the 2020 Dashboard. </w:t>
      </w:r>
      <w:r w:rsidR="00681746" w:rsidRPr="004C7830">
        <w:rPr>
          <w:rFonts w:cs="Arial"/>
        </w:rPr>
        <w:t>Accordingly, t</w:t>
      </w:r>
      <w:r w:rsidR="00525E64" w:rsidRPr="004C7830">
        <w:rPr>
          <w:rFonts w:cs="Arial"/>
        </w:rPr>
        <w:t>he</w:t>
      </w:r>
      <w:r w:rsidRPr="004C7830">
        <w:rPr>
          <w:rFonts w:cs="Arial"/>
        </w:rPr>
        <w:t xml:space="preserve"> CDE intends to evaluate the</w:t>
      </w:r>
      <w:r w:rsidR="0099689C" w:rsidRPr="004C7830">
        <w:rPr>
          <w:rFonts w:cs="Arial"/>
        </w:rPr>
        <w:t xml:space="preserve"> 2019–20 course work and assessment data </w:t>
      </w:r>
      <w:r w:rsidRPr="004C7830">
        <w:rPr>
          <w:rFonts w:cs="Arial"/>
        </w:rPr>
        <w:t xml:space="preserve">(based on the 2018–19 administration for grade 11 students) </w:t>
      </w:r>
      <w:r w:rsidR="0099689C" w:rsidRPr="004C7830">
        <w:rPr>
          <w:rFonts w:cs="Arial"/>
        </w:rPr>
        <w:t xml:space="preserve">needed to produce the </w:t>
      </w:r>
      <w:r w:rsidR="00525E64" w:rsidRPr="004C7830">
        <w:rPr>
          <w:rFonts w:cs="Arial"/>
        </w:rPr>
        <w:t>CCI</w:t>
      </w:r>
      <w:r w:rsidR="00681746" w:rsidRPr="004C7830">
        <w:rPr>
          <w:rFonts w:cs="Arial"/>
        </w:rPr>
        <w:t>, and will make all valid and reliable data available on its website</w:t>
      </w:r>
      <w:r w:rsidRPr="004C7830">
        <w:rPr>
          <w:rFonts w:cs="Arial"/>
        </w:rPr>
        <w:t xml:space="preserve"> </w:t>
      </w:r>
      <w:r w:rsidR="0099689C" w:rsidRPr="004C7830">
        <w:rPr>
          <w:rFonts w:cs="Arial"/>
        </w:rPr>
        <w:t>in December 2020</w:t>
      </w:r>
      <w:r w:rsidR="00525E64" w:rsidRPr="004C7830">
        <w:rPr>
          <w:rFonts w:cs="Arial"/>
        </w:rPr>
        <w:t>.</w:t>
      </w:r>
    </w:p>
    <w:bookmarkEnd w:id="1"/>
    <w:p w:rsidR="00CA7047" w:rsidRPr="004C7830" w:rsidRDefault="00CA7047" w:rsidP="79ED0307">
      <w:pPr>
        <w:rPr>
          <w:rFonts w:cs="Arial"/>
        </w:rPr>
      </w:pPr>
    </w:p>
    <w:p w:rsidR="00CA7047" w:rsidRPr="004C7830" w:rsidRDefault="00CA7047" w:rsidP="79ED0307">
      <w:pPr>
        <w:rPr>
          <w:rFonts w:cs="Arial"/>
        </w:rPr>
      </w:pPr>
      <w:r w:rsidRPr="004C7830">
        <w:rPr>
          <w:rFonts w:cs="Arial"/>
        </w:rPr>
        <w:t>In addition, t</w:t>
      </w:r>
      <w:r w:rsidR="004A6613" w:rsidRPr="004C7830">
        <w:rPr>
          <w:rFonts w:cs="Arial"/>
        </w:rPr>
        <w:t xml:space="preserve">his item provides an update on the progress by the CDE on refining the statistical methodology used to develop a Student Growth Model and the implementation of </w:t>
      </w:r>
      <w:r w:rsidR="004A6613" w:rsidRPr="004C7830">
        <w:rPr>
          <w:rFonts w:cs="Arial"/>
          <w:i/>
          <w:iCs/>
        </w:rPr>
        <w:t>Education Code</w:t>
      </w:r>
      <w:r w:rsidR="004A6613" w:rsidRPr="004C7830">
        <w:rPr>
          <w:rFonts w:cs="Arial"/>
        </w:rPr>
        <w:t xml:space="preserve"> (</w:t>
      </w:r>
      <w:r w:rsidR="004A6613" w:rsidRPr="004C7830">
        <w:rPr>
          <w:rFonts w:cs="Arial"/>
          <w:i/>
          <w:iCs/>
        </w:rPr>
        <w:t>EC</w:t>
      </w:r>
      <w:r w:rsidR="004A6613" w:rsidRPr="004C7830">
        <w:rPr>
          <w:rFonts w:cs="Arial"/>
        </w:rPr>
        <w:t>) Section 52064.5, related to local indicators.</w:t>
      </w:r>
    </w:p>
    <w:p w:rsidR="00685069" w:rsidRPr="004C7830" w:rsidRDefault="00685069" w:rsidP="00685069">
      <w:pPr>
        <w:pStyle w:val="Heading2"/>
        <w:spacing w:before="240" w:after="240"/>
        <w:rPr>
          <w:rFonts w:cs="Arial"/>
        </w:rPr>
      </w:pPr>
      <w:r w:rsidRPr="004C7830">
        <w:rPr>
          <w:rFonts w:cs="Arial"/>
        </w:rPr>
        <w:t>Recommendation</w:t>
      </w:r>
    </w:p>
    <w:p w:rsidR="00CA7047" w:rsidRPr="004C7830" w:rsidRDefault="00CA7047" w:rsidP="00CA7047">
      <w:pPr>
        <w:spacing w:after="240"/>
        <w:rPr>
          <w:rFonts w:cs="Arial"/>
        </w:rPr>
      </w:pPr>
      <w:r w:rsidRPr="004C7830">
        <w:rPr>
          <w:rFonts w:cs="Arial"/>
        </w:rPr>
        <w:t>The CDE recommends that the SBE adopt the following new career measures for inclusion in the CCI:</w:t>
      </w:r>
    </w:p>
    <w:p w:rsidR="00CA7047" w:rsidRPr="004C7830" w:rsidRDefault="00CA7047" w:rsidP="00CA7047">
      <w:pPr>
        <w:pStyle w:val="ListParagraph"/>
        <w:numPr>
          <w:ilvl w:val="0"/>
          <w:numId w:val="25"/>
        </w:numPr>
        <w:rPr>
          <w:rFonts w:cs="Arial"/>
        </w:rPr>
      </w:pPr>
      <w:r w:rsidRPr="004C7830">
        <w:rPr>
          <w:rFonts w:cs="Arial"/>
        </w:rPr>
        <w:t>Pre-apprenticeships</w:t>
      </w:r>
    </w:p>
    <w:p w:rsidR="00CA7047" w:rsidRPr="004C7830" w:rsidRDefault="00CA7047" w:rsidP="00CA7047">
      <w:pPr>
        <w:pStyle w:val="ListParagraph"/>
        <w:rPr>
          <w:rFonts w:cs="Arial"/>
        </w:rPr>
      </w:pPr>
    </w:p>
    <w:p w:rsidR="00CA7047" w:rsidRPr="004C7830" w:rsidRDefault="00CA7047" w:rsidP="00CA7047">
      <w:pPr>
        <w:pStyle w:val="ListParagraph"/>
        <w:numPr>
          <w:ilvl w:val="0"/>
          <w:numId w:val="25"/>
        </w:numPr>
        <w:rPr>
          <w:rFonts w:cs="Arial"/>
        </w:rPr>
      </w:pPr>
      <w:r w:rsidRPr="004C7830">
        <w:rPr>
          <w:rFonts w:cs="Arial"/>
        </w:rPr>
        <w:t>State and Federal Job Programs</w:t>
      </w:r>
    </w:p>
    <w:p w:rsidR="00CA7047" w:rsidRPr="004C7830" w:rsidRDefault="00CA7047" w:rsidP="00CA7047">
      <w:pPr>
        <w:pStyle w:val="ListParagraph"/>
        <w:rPr>
          <w:rFonts w:cs="Arial"/>
        </w:rPr>
      </w:pPr>
    </w:p>
    <w:p w:rsidR="00CA7047" w:rsidRPr="004C7830" w:rsidRDefault="00CA7047" w:rsidP="00CA7047">
      <w:pPr>
        <w:pStyle w:val="ListParagraph"/>
        <w:numPr>
          <w:ilvl w:val="0"/>
          <w:numId w:val="25"/>
        </w:numPr>
        <w:ind w:right="720"/>
        <w:rPr>
          <w:rFonts w:cs="Arial"/>
          <w:color w:val="000000" w:themeColor="text1"/>
        </w:rPr>
      </w:pPr>
      <w:r w:rsidRPr="004C7830">
        <w:rPr>
          <w:rFonts w:cs="Arial"/>
          <w:color w:val="000000" w:themeColor="text1"/>
        </w:rPr>
        <w:t>Transition Work-Based Learning Experiences (available only to students with Individualized Education Programs [IEPs])</w:t>
      </w:r>
    </w:p>
    <w:p w:rsidR="00CA7047" w:rsidRPr="004C7830" w:rsidRDefault="00CA7047" w:rsidP="00CA7047">
      <w:pPr>
        <w:pStyle w:val="ListParagraph"/>
        <w:ind w:right="720"/>
        <w:rPr>
          <w:rFonts w:cs="Arial"/>
          <w:color w:val="000000" w:themeColor="text1"/>
        </w:rPr>
      </w:pPr>
    </w:p>
    <w:p w:rsidR="00CA7047" w:rsidRPr="004C7830" w:rsidRDefault="00CA7047" w:rsidP="00CA7047">
      <w:pPr>
        <w:pStyle w:val="ListParagraph"/>
        <w:numPr>
          <w:ilvl w:val="0"/>
          <w:numId w:val="25"/>
        </w:numPr>
        <w:ind w:right="720"/>
        <w:rPr>
          <w:rFonts w:cs="Arial"/>
          <w:color w:val="000000" w:themeColor="text1"/>
        </w:rPr>
      </w:pPr>
      <w:r w:rsidRPr="004C7830">
        <w:rPr>
          <w:rFonts w:cs="Arial"/>
          <w:color w:val="000000" w:themeColor="text1"/>
        </w:rPr>
        <w:t>Transition Classroom-Based Learning Experiences (available only to students with IEPs)</w:t>
      </w:r>
    </w:p>
    <w:p w:rsidR="00923CDB" w:rsidRPr="004C7830" w:rsidRDefault="00923CDB" w:rsidP="00685069"/>
    <w:p w:rsidR="00685069" w:rsidRPr="004C7830" w:rsidRDefault="00685069" w:rsidP="00685069">
      <w:pPr>
        <w:pStyle w:val="Heading2"/>
        <w:spacing w:before="0" w:after="240"/>
        <w:rPr>
          <w:rFonts w:cs="Arial"/>
        </w:rPr>
      </w:pPr>
      <w:r w:rsidRPr="004C7830">
        <w:rPr>
          <w:rFonts w:cs="Arial"/>
        </w:rPr>
        <w:t>Brief History of Key Issues</w:t>
      </w:r>
    </w:p>
    <w:p w:rsidR="00CA7047" w:rsidRPr="004C7830" w:rsidRDefault="00CA7047" w:rsidP="00CA7047">
      <w:pPr>
        <w:pStyle w:val="Heading3"/>
        <w:rPr>
          <w:sz w:val="32"/>
          <w:szCs w:val="32"/>
        </w:rPr>
      </w:pPr>
      <w:r w:rsidRPr="004C7830">
        <w:rPr>
          <w:sz w:val="32"/>
          <w:szCs w:val="32"/>
        </w:rPr>
        <w:t>College/Career Indicator</w:t>
      </w:r>
    </w:p>
    <w:p w:rsidR="00CA7047" w:rsidRPr="004C7830" w:rsidRDefault="00CA7047" w:rsidP="00CA7047">
      <w:pPr>
        <w:pStyle w:val="NoSpacing"/>
      </w:pPr>
      <w:r w:rsidRPr="004C7830">
        <w:t>In response to SBE direction to include more career measures in the CCI</w:t>
      </w:r>
      <w:r w:rsidR="00F83A33" w:rsidRPr="004C7830">
        <w:t xml:space="preserve"> and ultimately build out the indicator to serve as a measure of college </w:t>
      </w:r>
      <w:r w:rsidR="00F83A33" w:rsidRPr="004C7830">
        <w:rPr>
          <w:b/>
        </w:rPr>
        <w:t>and</w:t>
      </w:r>
      <w:r w:rsidR="00F83A33" w:rsidRPr="004C7830">
        <w:t xml:space="preserve"> career preparedness</w:t>
      </w:r>
      <w:r w:rsidRPr="004C7830">
        <w:t>, the CDE has worked with interested stakeholders including, but not limited to, the Alternative Schools Task Force, the Technical Design Group (TDG), the CCI Work Group, and the Advisory Commission on Special Education to identify additional career measures for potential inclusion in the Dashboard. These include:</w:t>
      </w:r>
    </w:p>
    <w:p w:rsidR="00CA7047" w:rsidRPr="004C7830" w:rsidRDefault="00CA7047" w:rsidP="00CA7047">
      <w:pPr>
        <w:numPr>
          <w:ilvl w:val="0"/>
          <w:numId w:val="26"/>
        </w:numPr>
        <w:spacing w:beforeAutospacing="1" w:afterAutospacing="1"/>
        <w:rPr>
          <w:rFonts w:cs="Arial"/>
          <w:color w:val="000000" w:themeColor="text1"/>
        </w:rPr>
      </w:pPr>
      <w:r w:rsidRPr="004C7830">
        <w:rPr>
          <w:rFonts w:cs="Arial"/>
          <w:color w:val="000000" w:themeColor="text1"/>
        </w:rPr>
        <w:t>Workforce Readiness Certificate Program Completion</w:t>
      </w:r>
    </w:p>
    <w:p w:rsidR="00CA7047" w:rsidRPr="004C7830" w:rsidRDefault="00CA7047" w:rsidP="00CA7047">
      <w:pPr>
        <w:numPr>
          <w:ilvl w:val="0"/>
          <w:numId w:val="26"/>
        </w:numPr>
        <w:spacing w:beforeAutospacing="1" w:afterAutospacing="1"/>
        <w:rPr>
          <w:rFonts w:cs="Arial"/>
          <w:color w:val="000000" w:themeColor="text1"/>
        </w:rPr>
      </w:pPr>
      <w:r w:rsidRPr="004C7830">
        <w:rPr>
          <w:rFonts w:cs="Arial"/>
          <w:color w:val="000000" w:themeColor="text1"/>
        </w:rPr>
        <w:t>Food Handler Certification Program Completion</w:t>
      </w:r>
    </w:p>
    <w:p w:rsidR="00CA7047" w:rsidRPr="004C7830" w:rsidRDefault="00CA7047" w:rsidP="00CA7047">
      <w:pPr>
        <w:numPr>
          <w:ilvl w:val="0"/>
          <w:numId w:val="26"/>
        </w:numPr>
        <w:spacing w:beforeAutospacing="1" w:afterAutospacing="1"/>
        <w:rPr>
          <w:rFonts w:cs="Arial"/>
          <w:color w:val="000000" w:themeColor="text1"/>
        </w:rPr>
      </w:pPr>
      <w:r w:rsidRPr="004C7830">
        <w:rPr>
          <w:rFonts w:cs="Arial"/>
          <w:color w:val="000000" w:themeColor="text1"/>
        </w:rPr>
        <w:t>Pre-Apprenticeship Program Completion</w:t>
      </w:r>
    </w:p>
    <w:p w:rsidR="00CA7047" w:rsidRPr="004C7830" w:rsidRDefault="00CA7047" w:rsidP="00CA7047">
      <w:pPr>
        <w:numPr>
          <w:ilvl w:val="0"/>
          <w:numId w:val="26"/>
        </w:numPr>
        <w:spacing w:beforeAutospacing="1" w:afterAutospacing="1"/>
        <w:rPr>
          <w:rFonts w:cs="Arial"/>
          <w:color w:val="000000" w:themeColor="text1"/>
        </w:rPr>
      </w:pPr>
      <w:r w:rsidRPr="004C7830">
        <w:rPr>
          <w:rFonts w:cs="Arial"/>
          <w:color w:val="000000" w:themeColor="text1"/>
        </w:rPr>
        <w:t>State or Federal Job Program Completion</w:t>
      </w:r>
    </w:p>
    <w:p w:rsidR="00CA7047" w:rsidRPr="004C7830" w:rsidRDefault="00CA7047" w:rsidP="00CA7047">
      <w:pPr>
        <w:numPr>
          <w:ilvl w:val="0"/>
          <w:numId w:val="26"/>
        </w:numPr>
        <w:shd w:val="clear" w:color="auto" w:fill="FFFFFF" w:themeFill="background1"/>
        <w:spacing w:beforeAutospacing="1" w:afterAutospacing="1"/>
        <w:rPr>
          <w:rFonts w:cs="Arial"/>
          <w:color w:val="000000" w:themeColor="text1"/>
          <w:lang w:val="en"/>
        </w:rPr>
      </w:pPr>
      <w:r w:rsidRPr="004C7830">
        <w:rPr>
          <w:rFonts w:cs="Arial"/>
          <w:color w:val="000000" w:themeColor="text1"/>
          <w:lang w:val="en"/>
        </w:rPr>
        <w:t>Transition Program: Classroom-Based Learning Experiences</w:t>
      </w:r>
    </w:p>
    <w:p w:rsidR="00CA7047" w:rsidRPr="004C7830" w:rsidRDefault="00CA7047" w:rsidP="00CA7047">
      <w:pPr>
        <w:numPr>
          <w:ilvl w:val="0"/>
          <w:numId w:val="26"/>
        </w:numPr>
        <w:shd w:val="clear" w:color="auto" w:fill="FFFFFF" w:themeFill="background1"/>
        <w:spacing w:beforeAutospacing="1" w:afterAutospacing="1"/>
        <w:rPr>
          <w:rFonts w:cs="Arial"/>
          <w:color w:val="000000" w:themeColor="text1"/>
        </w:rPr>
      </w:pPr>
      <w:r w:rsidRPr="004C7830">
        <w:rPr>
          <w:rFonts w:cs="Arial"/>
          <w:color w:val="000000" w:themeColor="text1"/>
          <w:lang w:val="en"/>
        </w:rPr>
        <w:t xml:space="preserve">Transition Program: Work-Based Learning Experiences </w:t>
      </w:r>
    </w:p>
    <w:p w:rsidR="00CA7047" w:rsidRPr="004C7830" w:rsidRDefault="00CA7047" w:rsidP="00CA7047">
      <w:pPr>
        <w:rPr>
          <w:rFonts w:cs="Arial"/>
          <w:color w:val="000000" w:themeColor="text1"/>
        </w:rPr>
      </w:pPr>
      <w:r w:rsidRPr="004C7830">
        <w:rPr>
          <w:rFonts w:cs="Arial"/>
          <w:color w:val="000000" w:themeColor="text1"/>
        </w:rPr>
        <w:t>In February 2020, the CDE met with the Alternative Schools Task Force and the CCI Subcommittee to review these new measures, discuss their appropriateness for inclusion in the Dashboard, and develop criteria for placement in the Prepared and Approaching Prepared levels of the CCI. In April, May, and August 2020, additional simulations were conducted and shared with the two groups, as well as with the TDG</w:t>
      </w:r>
      <w:r w:rsidR="00D86B0E" w:rsidRPr="004C7830">
        <w:rPr>
          <w:rFonts w:cs="Arial"/>
          <w:color w:val="000000" w:themeColor="text1"/>
        </w:rPr>
        <w:t xml:space="preserve"> and the California </w:t>
      </w:r>
      <w:r w:rsidR="001237A5" w:rsidRPr="004C7830">
        <w:rPr>
          <w:rFonts w:cs="Arial"/>
          <w:color w:val="000000"/>
        </w:rPr>
        <w:t>Practitioners Advisory Group (CPAG)</w:t>
      </w:r>
      <w:r w:rsidRPr="004C7830">
        <w:rPr>
          <w:rFonts w:cs="Arial"/>
          <w:color w:val="000000" w:themeColor="text1"/>
        </w:rPr>
        <w:t xml:space="preserve">. These analyses, along with their recommendations, are provided in Attachment 1. </w:t>
      </w:r>
    </w:p>
    <w:p w:rsidR="00685069" w:rsidRPr="004C7830" w:rsidRDefault="00C2764C" w:rsidP="00685069">
      <w:pPr>
        <w:pStyle w:val="Heading3"/>
        <w:spacing w:before="100" w:beforeAutospacing="1" w:after="100" w:afterAutospacing="1"/>
        <w:rPr>
          <w:rFonts w:cs="Arial"/>
          <w:sz w:val="32"/>
          <w:szCs w:val="32"/>
        </w:rPr>
      </w:pPr>
      <w:r w:rsidRPr="004C7830">
        <w:rPr>
          <w:rFonts w:cs="Arial"/>
          <w:sz w:val="32"/>
          <w:szCs w:val="32"/>
        </w:rPr>
        <w:lastRenderedPageBreak/>
        <w:t xml:space="preserve">Student </w:t>
      </w:r>
      <w:r w:rsidR="00685069" w:rsidRPr="004C7830">
        <w:rPr>
          <w:rFonts w:cs="Arial"/>
          <w:sz w:val="32"/>
          <w:szCs w:val="32"/>
        </w:rPr>
        <w:t>Growth Model</w:t>
      </w:r>
    </w:p>
    <w:p w:rsidR="004A6613" w:rsidRPr="004C7830" w:rsidRDefault="004A6613" w:rsidP="2B9B922F">
      <w:pPr>
        <w:spacing w:after="100" w:afterAutospacing="1"/>
        <w:rPr>
          <w:rFonts w:cs="Arial"/>
        </w:rPr>
      </w:pPr>
      <w:r w:rsidRPr="004C7830">
        <w:rPr>
          <w:rFonts w:cs="Arial"/>
        </w:rPr>
        <w:t xml:space="preserve">In March 2020, Governor Gavin Newsom issued an Executive Order that cancelled the California Assessment of Student Performance and Progress (CAASPP) </w:t>
      </w:r>
      <w:r w:rsidR="00F83A33" w:rsidRPr="004C7830">
        <w:rPr>
          <w:rFonts w:cs="Arial"/>
        </w:rPr>
        <w:t>f</w:t>
      </w:r>
      <w:r w:rsidRPr="004C7830">
        <w:rPr>
          <w:rFonts w:cs="Arial"/>
        </w:rPr>
        <w:t>or the 2019–2020 school year due to the COVID-19 pandemic. As a result, no statewide assessment results are available for the 2019</w:t>
      </w:r>
      <w:r w:rsidR="006C58B4" w:rsidRPr="004C7830">
        <w:rPr>
          <w:rFonts w:cs="Arial"/>
        </w:rPr>
        <w:t>–</w:t>
      </w:r>
      <w:r w:rsidRPr="004C7830">
        <w:rPr>
          <w:rFonts w:cs="Arial"/>
        </w:rPr>
        <w:t xml:space="preserve">20 school year. However, the CDE is committed to producing a growth model in early 2021, using prior-year assessment results for informational purposes. </w:t>
      </w:r>
    </w:p>
    <w:p w:rsidR="00633404" w:rsidRPr="004C7830" w:rsidRDefault="00633404" w:rsidP="00633404">
      <w:pPr>
        <w:spacing w:after="100" w:afterAutospacing="1"/>
        <w:rPr>
          <w:rFonts w:cs="Arial"/>
        </w:rPr>
      </w:pPr>
      <w:r w:rsidRPr="004C7830">
        <w:rPr>
          <w:rFonts w:cs="Arial"/>
        </w:rPr>
        <w:t xml:space="preserve">At the March 2020 State Board of Education (SBE) meeting, the SBE requested that the CDE discuss its progress on developing a growth model. The CDE </w:t>
      </w:r>
      <w:r w:rsidR="006B6514" w:rsidRPr="004C7830">
        <w:rPr>
          <w:rFonts w:cs="Arial"/>
        </w:rPr>
        <w:t>continues to</w:t>
      </w:r>
      <w:r w:rsidRPr="004C7830">
        <w:rPr>
          <w:rFonts w:cs="Arial"/>
        </w:rPr>
        <w:t xml:space="preserve"> work closely with national experts from Educational Testing Service (ETS), CDE’s testing vendor, on various growth models and the types of information each model is </w:t>
      </w:r>
      <w:r w:rsidR="005774E9" w:rsidRPr="004C7830">
        <w:rPr>
          <w:rFonts w:cs="Arial"/>
        </w:rPr>
        <w:t>ab</w:t>
      </w:r>
      <w:r w:rsidRPr="004C7830">
        <w:rPr>
          <w:rFonts w:cs="Arial"/>
        </w:rPr>
        <w:t xml:space="preserve">le to convey since April 2017. These experts have also facilitated conversations at the Growth Model Stakeholder Work Group meetings convened by the California Comprehensive Center (CCC), now known as the </w:t>
      </w:r>
      <w:r w:rsidRPr="004C7830">
        <w:rPr>
          <w:rFonts w:cs="Arial"/>
          <w:bCs/>
        </w:rPr>
        <w:t>Region 15 Comprehensive Center</w:t>
      </w:r>
      <w:r w:rsidRPr="004C7830">
        <w:rPr>
          <w:rFonts w:cs="Arial"/>
        </w:rPr>
        <w:t>.</w:t>
      </w:r>
    </w:p>
    <w:p w:rsidR="00633404" w:rsidRPr="004C7830" w:rsidRDefault="00633404" w:rsidP="00633404">
      <w:pPr>
        <w:spacing w:after="240"/>
        <w:rPr>
          <w:rFonts w:cs="Arial"/>
        </w:rPr>
      </w:pPr>
      <w:r w:rsidRPr="004C7830">
        <w:rPr>
          <w:rFonts w:cs="Arial"/>
        </w:rPr>
        <w:t>In April of 2017, CDE requested that ETS</w:t>
      </w:r>
      <w:r w:rsidR="0056770F" w:rsidRPr="004C7830">
        <w:rPr>
          <w:rFonts w:cs="Arial"/>
        </w:rPr>
        <w:t xml:space="preserve"> </w:t>
      </w:r>
      <w:r w:rsidRPr="004C7830">
        <w:rPr>
          <w:rFonts w:cs="Arial"/>
        </w:rPr>
        <w:t>conduct a statistical analysis of three growth models based on a review of the various growth models by stakeholder groups,</w:t>
      </w:r>
      <w:r w:rsidR="0056770F" w:rsidRPr="004C7830">
        <w:rPr>
          <w:rFonts w:cs="Arial"/>
        </w:rPr>
        <w:t xml:space="preserve"> including, but not limited to,</w:t>
      </w:r>
      <w:r w:rsidRPr="004C7830">
        <w:rPr>
          <w:rFonts w:cs="Arial"/>
        </w:rPr>
        <w:t xml:space="preserve"> the Technical Design Group (TDG) and the CAASPP Technical Advisory Group.</w:t>
      </w:r>
    </w:p>
    <w:p w:rsidR="008D2F03" w:rsidRPr="004C7830" w:rsidRDefault="001C71DB" w:rsidP="008D2F03">
      <w:pPr>
        <w:pStyle w:val="ListParagraph"/>
        <w:numPr>
          <w:ilvl w:val="0"/>
          <w:numId w:val="18"/>
        </w:numPr>
        <w:spacing w:after="240"/>
        <w:rPr>
          <w:rFonts w:cs="Arial"/>
        </w:rPr>
      </w:pPr>
      <w:r w:rsidRPr="004C7830">
        <w:rPr>
          <w:rFonts w:cs="Arial"/>
        </w:rPr>
        <w:t xml:space="preserve"> </w:t>
      </w:r>
      <w:r w:rsidR="00622949" w:rsidRPr="004C7830">
        <w:rPr>
          <w:rFonts w:cs="Arial"/>
        </w:rPr>
        <w:t>“Change-in-Distance-to-M</w:t>
      </w:r>
      <w:r w:rsidR="00AB0839" w:rsidRPr="004C7830">
        <w:rPr>
          <w:rFonts w:cs="Arial"/>
        </w:rPr>
        <w:t xml:space="preserve">et” </w:t>
      </w:r>
      <w:r w:rsidR="00E74C3C" w:rsidRPr="004C7830">
        <w:rPr>
          <w:rFonts w:cs="Arial"/>
        </w:rPr>
        <w:t xml:space="preserve">(CDTM) </w:t>
      </w:r>
      <w:r w:rsidR="00AB0839" w:rsidRPr="004C7830">
        <w:rPr>
          <w:rFonts w:cs="Arial"/>
        </w:rPr>
        <w:t>measures absolute growth of each student from the prior year to the current year using Distance from Level 3 as the measurement threshold.</w:t>
      </w:r>
    </w:p>
    <w:p w:rsidR="008D2F03" w:rsidRPr="004C7830" w:rsidRDefault="008D2F03" w:rsidP="008D2F03">
      <w:pPr>
        <w:pStyle w:val="ListParagraph"/>
        <w:spacing w:after="240"/>
        <w:rPr>
          <w:rFonts w:cs="Arial"/>
        </w:rPr>
      </w:pPr>
    </w:p>
    <w:p w:rsidR="008D2F03" w:rsidRPr="004C7830" w:rsidRDefault="00AB0839" w:rsidP="008D2F03">
      <w:pPr>
        <w:pStyle w:val="ListParagraph"/>
        <w:numPr>
          <w:ilvl w:val="0"/>
          <w:numId w:val="18"/>
        </w:numPr>
        <w:spacing w:after="240"/>
        <w:rPr>
          <w:rFonts w:cs="Arial"/>
        </w:rPr>
      </w:pPr>
      <w:r w:rsidRPr="004C7830">
        <w:rPr>
          <w:rFonts w:cs="Arial"/>
        </w:rPr>
        <w:t xml:space="preserve">“Conditional percentile rank of the gain” </w:t>
      </w:r>
      <w:r w:rsidR="00E74C3C" w:rsidRPr="004C7830">
        <w:rPr>
          <w:rFonts w:cs="Arial"/>
        </w:rPr>
        <w:t xml:space="preserve">(CPR) </w:t>
      </w:r>
      <w:r w:rsidRPr="004C7830">
        <w:rPr>
          <w:rFonts w:cs="Arial"/>
        </w:rPr>
        <w:t>ranks the growth of students who are grouped together, as a result of having the same prior year test scores, in the same subject and grade.</w:t>
      </w:r>
    </w:p>
    <w:p w:rsidR="008D2F03" w:rsidRPr="004C7830" w:rsidRDefault="008D2F03" w:rsidP="008D2F03">
      <w:pPr>
        <w:pStyle w:val="ListParagraph"/>
        <w:rPr>
          <w:rFonts w:cs="Arial"/>
        </w:rPr>
      </w:pPr>
    </w:p>
    <w:p w:rsidR="00AB0839" w:rsidRPr="004C7830" w:rsidRDefault="00AB0839" w:rsidP="008D2F03">
      <w:pPr>
        <w:pStyle w:val="ListParagraph"/>
        <w:numPr>
          <w:ilvl w:val="0"/>
          <w:numId w:val="18"/>
        </w:numPr>
        <w:spacing w:after="240"/>
        <w:rPr>
          <w:rFonts w:cs="Arial"/>
        </w:rPr>
      </w:pPr>
      <w:r w:rsidRPr="004C7830">
        <w:rPr>
          <w:rFonts w:cs="Arial"/>
        </w:rPr>
        <w:t xml:space="preserve">“Residual gain” </w:t>
      </w:r>
      <w:r w:rsidR="00E74C3C" w:rsidRPr="004C7830">
        <w:rPr>
          <w:rFonts w:cs="Arial"/>
        </w:rPr>
        <w:t xml:space="preserve">(RG) </w:t>
      </w:r>
      <w:r w:rsidRPr="004C7830">
        <w:rPr>
          <w:rFonts w:cs="Arial"/>
        </w:rPr>
        <w:t>is the difference between a student</w:t>
      </w:r>
      <w:r w:rsidR="008D2F03" w:rsidRPr="004C7830">
        <w:rPr>
          <w:rFonts w:cs="Arial"/>
        </w:rPr>
        <w:t>’</w:t>
      </w:r>
      <w:r w:rsidRPr="004C7830">
        <w:rPr>
          <w:rFonts w:cs="Arial"/>
        </w:rPr>
        <w:t>s predicted test score and actual test score. Note: the predicted test score is based on both prior English language arts/literacy (ELA) and mathematics test scores, as well as the scores of all other students in the same grade.</w:t>
      </w:r>
    </w:p>
    <w:p w:rsidR="00E865F5" w:rsidRPr="004C7830" w:rsidRDefault="00E865F5" w:rsidP="00E865F5">
      <w:pPr>
        <w:spacing w:before="240"/>
        <w:rPr>
          <w:rFonts w:cs="Arial"/>
        </w:rPr>
      </w:pPr>
      <w:r w:rsidRPr="004C7830">
        <w:rPr>
          <w:rFonts w:cs="Arial"/>
        </w:rPr>
        <w:t>All three models were compared against three criteria discussed at the January 2017 SBE meeting: (1) strength or relationship with background characteristics, (2) sensitivity to school configuration and assessment content area, and (3) statistical precision.</w:t>
      </w:r>
    </w:p>
    <w:p w:rsidR="00E865F5" w:rsidRPr="004C7830" w:rsidRDefault="00E865F5" w:rsidP="00E865F5">
      <w:pPr>
        <w:spacing w:before="240" w:after="240"/>
        <w:rPr>
          <w:rFonts w:cs="Arial"/>
        </w:rPr>
      </w:pPr>
      <w:r w:rsidRPr="004C7830">
        <w:rPr>
          <w:rFonts w:cs="Arial"/>
        </w:rPr>
        <w:t>When looking at the strength of relationships of each model with background characteristics, the C</w:t>
      </w:r>
      <w:r w:rsidR="00A84585" w:rsidRPr="004C7830">
        <w:rPr>
          <w:rFonts w:cs="Arial"/>
        </w:rPr>
        <w:t>PR</w:t>
      </w:r>
      <w:r w:rsidR="008E1EE1" w:rsidRPr="004C7830">
        <w:rPr>
          <w:rFonts w:cs="Arial"/>
        </w:rPr>
        <w:t xml:space="preserve"> </w:t>
      </w:r>
      <w:r w:rsidRPr="004C7830">
        <w:rPr>
          <w:rFonts w:cs="Arial"/>
        </w:rPr>
        <w:t xml:space="preserve">performed the poorest of all three models. The </w:t>
      </w:r>
      <w:r w:rsidR="002D5813" w:rsidRPr="004C7830">
        <w:rPr>
          <w:rFonts w:cs="Arial"/>
        </w:rPr>
        <w:t>C</w:t>
      </w:r>
      <w:r w:rsidR="00A84585" w:rsidRPr="004C7830">
        <w:rPr>
          <w:rFonts w:cs="Arial"/>
        </w:rPr>
        <w:t>DTM</w:t>
      </w:r>
      <w:r w:rsidR="002D5813" w:rsidRPr="004C7830">
        <w:rPr>
          <w:rFonts w:cs="Arial"/>
        </w:rPr>
        <w:t xml:space="preserve"> </w:t>
      </w:r>
      <w:r w:rsidRPr="004C7830">
        <w:rPr>
          <w:rFonts w:cs="Arial"/>
        </w:rPr>
        <w:t>was the most sensitive to school configuration and assessment content areas (ELA and mathematics) and had the least statistical precision. In the end, the R</w:t>
      </w:r>
      <w:r w:rsidR="00A84585" w:rsidRPr="004C7830">
        <w:rPr>
          <w:rFonts w:cs="Arial"/>
        </w:rPr>
        <w:t>G</w:t>
      </w:r>
      <w:r w:rsidRPr="004C7830">
        <w:rPr>
          <w:rFonts w:cs="Arial"/>
        </w:rPr>
        <w:t xml:space="preserve"> model had the most promising results from the evaluation of these statistical attributes (see Table 1).</w:t>
      </w:r>
    </w:p>
    <w:p w:rsidR="002A289D" w:rsidRPr="004C7830" w:rsidRDefault="00E865F5" w:rsidP="00E865F5">
      <w:pPr>
        <w:spacing w:after="160" w:line="259" w:lineRule="auto"/>
        <w:rPr>
          <w:rFonts w:cs="Arial"/>
          <w:b/>
        </w:rPr>
      </w:pPr>
      <w:r w:rsidRPr="004C7830">
        <w:rPr>
          <w:rFonts w:cs="Arial"/>
          <w:b/>
        </w:rPr>
        <w:lastRenderedPageBreak/>
        <w:t xml:space="preserve">Table 1 </w:t>
      </w:r>
    </w:p>
    <w:p w:rsidR="00E865F5" w:rsidRPr="004C7830" w:rsidRDefault="00E865F5" w:rsidP="00E865F5">
      <w:pPr>
        <w:spacing w:after="160" w:line="259" w:lineRule="auto"/>
        <w:rPr>
          <w:rFonts w:cs="Arial"/>
        </w:rPr>
      </w:pPr>
      <w:r w:rsidRPr="004C7830">
        <w:rPr>
          <w:rFonts w:cs="Arial"/>
        </w:rPr>
        <w:t>(Note: the “X</w:t>
      </w:r>
      <w:r w:rsidRPr="004C7830">
        <w:rPr>
          <w:rFonts w:cs="Arial"/>
          <w:noProof/>
        </w:rPr>
        <w:t>” i</w:t>
      </w:r>
      <w:r w:rsidRPr="004C7830">
        <w:rPr>
          <w:rFonts w:cs="Arial"/>
        </w:rPr>
        <w:t>ndicates the growth measure performed the poorest of the three modes)</w:t>
      </w:r>
    </w:p>
    <w:tbl>
      <w:tblPr>
        <w:tblStyle w:val="TableGrid"/>
        <w:tblW w:w="0" w:type="auto"/>
        <w:tblLook w:val="04A0" w:firstRow="1" w:lastRow="0" w:firstColumn="1" w:lastColumn="0" w:noHBand="0" w:noVBand="1"/>
        <w:tblDescription w:val="Table 1. Looks at strength of relationships of each model with background characteristics,"/>
      </w:tblPr>
      <w:tblGrid>
        <w:gridCol w:w="4855"/>
        <w:gridCol w:w="1440"/>
        <w:gridCol w:w="1440"/>
        <w:gridCol w:w="1440"/>
      </w:tblGrid>
      <w:tr w:rsidR="00E865F5" w:rsidRPr="004C7830" w:rsidTr="00C475F4">
        <w:trPr>
          <w:tblHeader/>
        </w:trPr>
        <w:tc>
          <w:tcPr>
            <w:tcW w:w="4855" w:type="dxa"/>
          </w:tcPr>
          <w:p w:rsidR="00E865F5" w:rsidRPr="004C7830" w:rsidRDefault="00E865F5" w:rsidP="000B1725">
            <w:pPr>
              <w:rPr>
                <w:rFonts w:cs="Arial"/>
                <w:b/>
                <w:sz w:val="24"/>
                <w:szCs w:val="24"/>
              </w:rPr>
            </w:pPr>
            <w:r w:rsidRPr="004C7830">
              <w:rPr>
                <w:rFonts w:cs="Arial"/>
                <w:b/>
                <w:sz w:val="24"/>
                <w:szCs w:val="24"/>
              </w:rPr>
              <w:t xml:space="preserve">Criteria </w:t>
            </w:r>
          </w:p>
        </w:tc>
        <w:tc>
          <w:tcPr>
            <w:tcW w:w="1440" w:type="dxa"/>
            <w:vAlign w:val="center"/>
          </w:tcPr>
          <w:p w:rsidR="00E865F5" w:rsidRPr="004C7830" w:rsidRDefault="00E865F5" w:rsidP="000B1725">
            <w:pPr>
              <w:jc w:val="center"/>
              <w:rPr>
                <w:rFonts w:cs="Arial"/>
                <w:b/>
                <w:sz w:val="24"/>
                <w:szCs w:val="24"/>
              </w:rPr>
            </w:pPr>
            <w:r w:rsidRPr="004C7830">
              <w:rPr>
                <w:rFonts w:cs="Arial"/>
                <w:b/>
                <w:sz w:val="24"/>
                <w:szCs w:val="24"/>
              </w:rPr>
              <w:t>CDTM</w:t>
            </w:r>
          </w:p>
        </w:tc>
        <w:tc>
          <w:tcPr>
            <w:tcW w:w="1440" w:type="dxa"/>
            <w:vAlign w:val="center"/>
          </w:tcPr>
          <w:p w:rsidR="00E865F5" w:rsidRPr="004C7830" w:rsidRDefault="00E865F5" w:rsidP="000B1725">
            <w:pPr>
              <w:jc w:val="center"/>
              <w:rPr>
                <w:rFonts w:cs="Arial"/>
                <w:b/>
                <w:sz w:val="24"/>
                <w:szCs w:val="24"/>
              </w:rPr>
            </w:pPr>
            <w:r w:rsidRPr="004C7830">
              <w:rPr>
                <w:rFonts w:cs="Arial"/>
                <w:b/>
                <w:sz w:val="24"/>
                <w:szCs w:val="24"/>
              </w:rPr>
              <w:t>CPR</w:t>
            </w:r>
          </w:p>
        </w:tc>
        <w:tc>
          <w:tcPr>
            <w:tcW w:w="1440" w:type="dxa"/>
            <w:vAlign w:val="center"/>
          </w:tcPr>
          <w:p w:rsidR="00E865F5" w:rsidRPr="004C7830" w:rsidRDefault="00E865F5" w:rsidP="000B1725">
            <w:pPr>
              <w:jc w:val="center"/>
              <w:rPr>
                <w:rFonts w:cs="Arial"/>
                <w:b/>
                <w:sz w:val="24"/>
                <w:szCs w:val="24"/>
              </w:rPr>
            </w:pPr>
            <w:r w:rsidRPr="004C7830">
              <w:rPr>
                <w:rFonts w:cs="Arial"/>
                <w:b/>
                <w:sz w:val="24"/>
                <w:szCs w:val="24"/>
              </w:rPr>
              <w:t>RG</w:t>
            </w:r>
          </w:p>
        </w:tc>
      </w:tr>
      <w:tr w:rsidR="00E865F5" w:rsidRPr="004C7830" w:rsidTr="00C475F4">
        <w:trPr>
          <w:tblHeader/>
        </w:trPr>
        <w:tc>
          <w:tcPr>
            <w:tcW w:w="4855" w:type="dxa"/>
          </w:tcPr>
          <w:p w:rsidR="00E865F5" w:rsidRPr="004C7830" w:rsidRDefault="00E865F5" w:rsidP="000B1725">
            <w:pPr>
              <w:rPr>
                <w:rFonts w:cs="Arial"/>
                <w:sz w:val="24"/>
                <w:szCs w:val="24"/>
              </w:rPr>
            </w:pPr>
            <w:r w:rsidRPr="004C7830">
              <w:rPr>
                <w:rFonts w:cs="Arial"/>
                <w:sz w:val="24"/>
                <w:szCs w:val="24"/>
              </w:rPr>
              <w:t>Strength or relationship with background characteristics</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c>
          <w:tcPr>
            <w:tcW w:w="1440" w:type="dxa"/>
            <w:vAlign w:val="center"/>
          </w:tcPr>
          <w:p w:rsidR="00E865F5" w:rsidRPr="004C7830" w:rsidRDefault="00E865F5" w:rsidP="000B1725">
            <w:pPr>
              <w:jc w:val="center"/>
              <w:rPr>
                <w:rFonts w:cs="Arial"/>
                <w:sz w:val="24"/>
                <w:szCs w:val="24"/>
              </w:rPr>
            </w:pPr>
            <w:r w:rsidRPr="004C7830">
              <w:rPr>
                <w:rFonts w:cs="Arial"/>
                <w:sz w:val="24"/>
                <w:szCs w:val="24"/>
              </w:rPr>
              <w:t>X</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r>
      <w:tr w:rsidR="00E865F5" w:rsidRPr="004C7830" w:rsidTr="00C475F4">
        <w:trPr>
          <w:tblHeader/>
        </w:trPr>
        <w:tc>
          <w:tcPr>
            <w:tcW w:w="4855" w:type="dxa"/>
          </w:tcPr>
          <w:p w:rsidR="00E865F5" w:rsidRPr="004C7830" w:rsidRDefault="00E865F5" w:rsidP="000B1725">
            <w:pPr>
              <w:rPr>
                <w:rFonts w:cs="Arial"/>
                <w:sz w:val="24"/>
                <w:szCs w:val="24"/>
              </w:rPr>
            </w:pPr>
            <w:r w:rsidRPr="004C7830">
              <w:rPr>
                <w:rFonts w:cs="Arial"/>
                <w:sz w:val="24"/>
                <w:szCs w:val="24"/>
              </w:rPr>
              <w:t>Sensitivity to school configuration and assessment content area</w:t>
            </w:r>
          </w:p>
        </w:tc>
        <w:tc>
          <w:tcPr>
            <w:tcW w:w="1440" w:type="dxa"/>
            <w:vAlign w:val="center"/>
          </w:tcPr>
          <w:p w:rsidR="00E865F5" w:rsidRPr="004C7830" w:rsidRDefault="00E865F5" w:rsidP="000B1725">
            <w:pPr>
              <w:jc w:val="center"/>
              <w:rPr>
                <w:rFonts w:cs="Arial"/>
                <w:sz w:val="24"/>
                <w:szCs w:val="24"/>
              </w:rPr>
            </w:pPr>
            <w:r w:rsidRPr="004C7830">
              <w:rPr>
                <w:rFonts w:cs="Arial"/>
                <w:sz w:val="24"/>
                <w:szCs w:val="24"/>
              </w:rPr>
              <w:t>X</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r>
      <w:tr w:rsidR="00E865F5" w:rsidRPr="004C7830" w:rsidTr="00C475F4">
        <w:trPr>
          <w:tblHeader/>
        </w:trPr>
        <w:tc>
          <w:tcPr>
            <w:tcW w:w="4855" w:type="dxa"/>
          </w:tcPr>
          <w:p w:rsidR="00E865F5" w:rsidRPr="004C7830" w:rsidRDefault="00E865F5" w:rsidP="000B1725">
            <w:pPr>
              <w:rPr>
                <w:rFonts w:cs="Arial"/>
                <w:sz w:val="24"/>
                <w:szCs w:val="24"/>
              </w:rPr>
            </w:pPr>
            <w:r w:rsidRPr="004C7830">
              <w:rPr>
                <w:rFonts w:cs="Arial"/>
                <w:sz w:val="24"/>
                <w:szCs w:val="24"/>
              </w:rPr>
              <w:t>Statistical precision</w:t>
            </w:r>
          </w:p>
        </w:tc>
        <w:tc>
          <w:tcPr>
            <w:tcW w:w="1440" w:type="dxa"/>
            <w:vAlign w:val="center"/>
          </w:tcPr>
          <w:p w:rsidR="00E865F5" w:rsidRPr="004C7830" w:rsidRDefault="00E865F5" w:rsidP="000B1725">
            <w:pPr>
              <w:jc w:val="center"/>
              <w:rPr>
                <w:rFonts w:cs="Arial"/>
                <w:sz w:val="24"/>
                <w:szCs w:val="24"/>
              </w:rPr>
            </w:pPr>
            <w:r w:rsidRPr="004C7830">
              <w:rPr>
                <w:rFonts w:cs="Arial"/>
                <w:sz w:val="24"/>
                <w:szCs w:val="24"/>
              </w:rPr>
              <w:t>X</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c>
          <w:tcPr>
            <w:tcW w:w="1440" w:type="dxa"/>
            <w:vAlign w:val="center"/>
          </w:tcPr>
          <w:p w:rsidR="00E865F5" w:rsidRPr="004C7830" w:rsidRDefault="00646083" w:rsidP="000B1725">
            <w:pPr>
              <w:jc w:val="center"/>
              <w:rPr>
                <w:rFonts w:cs="Arial"/>
                <w:sz w:val="24"/>
                <w:szCs w:val="24"/>
              </w:rPr>
            </w:pPr>
            <w:r w:rsidRPr="004C7830">
              <w:rPr>
                <w:rFonts w:cs="Arial"/>
                <w:sz w:val="24"/>
                <w:szCs w:val="24"/>
              </w:rPr>
              <w:t>N/A</w:t>
            </w:r>
          </w:p>
        </w:tc>
      </w:tr>
    </w:tbl>
    <w:p w:rsidR="00BE72D1" w:rsidRPr="004C7830" w:rsidRDefault="00E865F5" w:rsidP="004A4FFD">
      <w:pPr>
        <w:spacing w:after="100" w:afterAutospacing="1"/>
      </w:pPr>
      <w:r w:rsidRPr="004C7830">
        <w:br/>
      </w:r>
      <w:r w:rsidR="31C9816E" w:rsidRPr="004C7830">
        <w:rPr>
          <w:rFonts w:cs="Arial"/>
        </w:rPr>
        <w:t xml:space="preserve">The ETS presented the three models at the May 2018 SBE meeting, and </w:t>
      </w:r>
      <w:r w:rsidR="4A3E2647" w:rsidRPr="004C7830">
        <w:rPr>
          <w:rFonts w:cs="Arial"/>
        </w:rPr>
        <w:t xml:space="preserve">the </w:t>
      </w:r>
      <w:r w:rsidR="192350C5" w:rsidRPr="004C7830">
        <w:rPr>
          <w:rFonts w:cs="Arial"/>
        </w:rPr>
        <w:t xml:space="preserve">SBE </w:t>
      </w:r>
      <w:r w:rsidR="00BE72D1" w:rsidRPr="004C7830">
        <w:rPr>
          <w:rFonts w:cs="Arial"/>
        </w:rPr>
        <w:t xml:space="preserve">directed </w:t>
      </w:r>
      <w:r w:rsidR="192350C5" w:rsidRPr="004C7830">
        <w:rPr>
          <w:rFonts w:cs="Arial"/>
        </w:rPr>
        <w:t>the CDE</w:t>
      </w:r>
      <w:r w:rsidR="00BE72D1" w:rsidRPr="004C7830">
        <w:rPr>
          <w:rFonts w:cs="Arial"/>
        </w:rPr>
        <w:t xml:space="preserve"> </w:t>
      </w:r>
      <w:r w:rsidR="19DB91C0" w:rsidRPr="004C7830">
        <w:rPr>
          <w:rFonts w:cs="Arial"/>
        </w:rPr>
        <w:t>and ETS</w:t>
      </w:r>
      <w:r w:rsidR="00BE72D1" w:rsidRPr="004C7830">
        <w:rPr>
          <w:rFonts w:cs="Arial"/>
        </w:rPr>
        <w:t xml:space="preserve"> to </w:t>
      </w:r>
      <w:r w:rsidR="29E695D3" w:rsidRPr="004C7830">
        <w:rPr>
          <w:rFonts w:cs="Arial"/>
        </w:rPr>
        <w:t>carry out further analysis</w:t>
      </w:r>
      <w:r w:rsidR="00BE72D1" w:rsidRPr="004C7830">
        <w:rPr>
          <w:rFonts w:cs="Arial"/>
        </w:rPr>
        <w:t xml:space="preserve"> on the RG model. </w:t>
      </w:r>
      <w:r w:rsidR="61BCF388" w:rsidRPr="004C7830">
        <w:rPr>
          <w:rFonts w:cs="Arial"/>
        </w:rPr>
        <w:t xml:space="preserve">Findings from this analysis were </w:t>
      </w:r>
      <w:r w:rsidR="1758439E" w:rsidRPr="004C7830">
        <w:rPr>
          <w:rFonts w:cs="Arial"/>
        </w:rPr>
        <w:t>summarized in</w:t>
      </w:r>
      <w:r w:rsidR="61BCF388" w:rsidRPr="004C7830">
        <w:rPr>
          <w:rFonts w:cs="Arial"/>
        </w:rPr>
        <w:t xml:space="preserve"> </w:t>
      </w:r>
      <w:r w:rsidR="7AED469C" w:rsidRPr="004C7830">
        <w:rPr>
          <w:rFonts w:cs="Arial"/>
        </w:rPr>
        <w:t>a second ETS</w:t>
      </w:r>
      <w:r w:rsidR="1758439E" w:rsidRPr="004C7830">
        <w:rPr>
          <w:rFonts w:cs="Arial"/>
        </w:rPr>
        <w:t xml:space="preserve"> </w:t>
      </w:r>
      <w:r w:rsidR="7AED469C" w:rsidRPr="004C7830">
        <w:rPr>
          <w:rFonts w:cs="Arial"/>
        </w:rPr>
        <w:t xml:space="preserve">report, which was presented in </w:t>
      </w:r>
      <w:r w:rsidR="61BCF388" w:rsidRPr="004C7830">
        <w:rPr>
          <w:rFonts w:cs="Arial"/>
        </w:rPr>
        <w:t xml:space="preserve">a June 2018 </w:t>
      </w:r>
      <w:r w:rsidR="0720BDCF" w:rsidRPr="004C7830">
        <w:rPr>
          <w:rFonts w:cs="Arial"/>
        </w:rPr>
        <w:t>SBE</w:t>
      </w:r>
      <w:r w:rsidR="00ED0480" w:rsidRPr="004C7830">
        <w:rPr>
          <w:rFonts w:cs="Arial"/>
        </w:rPr>
        <w:t xml:space="preserve"> </w:t>
      </w:r>
      <w:r w:rsidR="00F83A33" w:rsidRPr="004C7830">
        <w:rPr>
          <w:rFonts w:cs="Arial"/>
        </w:rPr>
        <w:t>I</w:t>
      </w:r>
      <w:r w:rsidR="00ED0480" w:rsidRPr="004C7830">
        <w:rPr>
          <w:rFonts w:cs="Arial"/>
        </w:rPr>
        <w:t>nformation</w:t>
      </w:r>
      <w:r w:rsidR="0720BDCF" w:rsidRPr="004C7830">
        <w:rPr>
          <w:rFonts w:cs="Arial"/>
        </w:rPr>
        <w:t xml:space="preserve"> </w:t>
      </w:r>
      <w:r w:rsidR="00F83A33" w:rsidRPr="004C7830">
        <w:rPr>
          <w:rFonts w:cs="Arial"/>
        </w:rPr>
        <w:t>M</w:t>
      </w:r>
      <w:r w:rsidR="61BCF388" w:rsidRPr="004C7830">
        <w:rPr>
          <w:rFonts w:cs="Arial"/>
        </w:rPr>
        <w:t>emorandum</w:t>
      </w:r>
      <w:r w:rsidR="7F9F0DFF" w:rsidRPr="004C7830">
        <w:rPr>
          <w:rFonts w:cs="Arial"/>
        </w:rPr>
        <w:t>. The report</w:t>
      </w:r>
      <w:r w:rsidR="3C8A6BDD" w:rsidRPr="004C7830">
        <w:rPr>
          <w:rFonts w:cs="Arial"/>
        </w:rPr>
        <w:t xml:space="preserve"> showed</w:t>
      </w:r>
      <w:r w:rsidR="00BE72D1" w:rsidRPr="004C7830">
        <w:rPr>
          <w:rFonts w:cs="Arial"/>
        </w:rPr>
        <w:t xml:space="preserve"> </w:t>
      </w:r>
      <w:r w:rsidR="00BE72D1" w:rsidRPr="004C7830">
        <w:t>that, while the RG model performed statistically similar</w:t>
      </w:r>
      <w:r w:rsidR="280B67A2" w:rsidRPr="004C7830">
        <w:t>ly</w:t>
      </w:r>
      <w:r w:rsidR="00BE72D1" w:rsidRPr="004C7830">
        <w:t xml:space="preserve"> in both years, there was low year-to-year stability within the outcomes. </w:t>
      </w:r>
      <w:r w:rsidR="00ED0480" w:rsidRPr="004C7830">
        <w:t>Specifically, t</w:t>
      </w:r>
      <w:r w:rsidR="00BE72D1" w:rsidRPr="004C7830">
        <w:t xml:space="preserve">he report stated: “Such high volatility can make it difficult for local educational agencies to use the growth data for driving decisions, as decisions made one year might be contradicted with the next year’s growth data. It may be more advisable to look for patterns in these scores over several years than to act on their values in a given year.” </w:t>
      </w:r>
      <w:r w:rsidR="00BE72D1" w:rsidRPr="004C7830">
        <w:br/>
      </w:r>
      <w:r w:rsidR="00BE72D1" w:rsidRPr="004C7830">
        <w:br/>
      </w:r>
      <w:r w:rsidR="7D295F11" w:rsidRPr="004C7830">
        <w:t>Based on these findings</w:t>
      </w:r>
      <w:r w:rsidR="00BE72D1" w:rsidRPr="004C7830">
        <w:t xml:space="preserve">, the SBE </w:t>
      </w:r>
      <w:r w:rsidR="008171A1" w:rsidRPr="004C7830">
        <w:t xml:space="preserve">voted </w:t>
      </w:r>
      <w:r w:rsidR="00BE72D1" w:rsidRPr="004C7830">
        <w:t xml:space="preserve">to delay the implementation of the RG model </w:t>
      </w:r>
      <w:r w:rsidR="457092F8" w:rsidRPr="004C7830">
        <w:t>and</w:t>
      </w:r>
      <w:r w:rsidR="00BE72D1" w:rsidRPr="004C7830">
        <w:t xml:space="preserve"> </w:t>
      </w:r>
      <w:r w:rsidR="008171A1" w:rsidRPr="004C7830">
        <w:t xml:space="preserve">directed the CDE to </w:t>
      </w:r>
      <w:r w:rsidR="00BE72D1" w:rsidRPr="004C7830">
        <w:t xml:space="preserve">explore technical adjustments </w:t>
      </w:r>
      <w:r w:rsidR="0E2A597F" w:rsidRPr="004C7830">
        <w:t>to</w:t>
      </w:r>
      <w:r w:rsidR="00BE72D1" w:rsidRPr="004C7830">
        <w:t xml:space="preserve"> </w:t>
      </w:r>
      <w:r w:rsidR="6D4E9FFE" w:rsidRPr="004C7830">
        <w:t>increase</w:t>
      </w:r>
      <w:r w:rsidR="00BE72D1" w:rsidRPr="004C7830">
        <w:t xml:space="preserve"> accuracy and year-to-year stability. </w:t>
      </w:r>
      <w:r w:rsidR="15428409" w:rsidRPr="004C7830">
        <w:t xml:space="preserve">The SBE also directed </w:t>
      </w:r>
      <w:r w:rsidR="00BE72D1" w:rsidRPr="004C7830">
        <w:t xml:space="preserve">the CDE to convene a stakeholder work group </w:t>
      </w:r>
      <w:r w:rsidR="15A4055A" w:rsidRPr="004C7830">
        <w:t>tasked with</w:t>
      </w:r>
      <w:r w:rsidR="00BE72D1" w:rsidRPr="004C7830">
        <w:t xml:space="preserve"> </w:t>
      </w:r>
      <w:r w:rsidR="15A4055A" w:rsidRPr="004C7830">
        <w:t>identifying the specific</w:t>
      </w:r>
      <w:r w:rsidR="00BE72D1" w:rsidRPr="004C7830">
        <w:t xml:space="preserve"> information </w:t>
      </w:r>
      <w:r w:rsidR="5C0C77B9" w:rsidRPr="004C7830">
        <w:t xml:space="preserve">that </w:t>
      </w:r>
      <w:r w:rsidR="00BE72D1" w:rsidRPr="004C7830">
        <w:t xml:space="preserve">stakeholders </w:t>
      </w:r>
      <w:r w:rsidR="6C8929B6" w:rsidRPr="004C7830">
        <w:t>sought in</w:t>
      </w:r>
      <w:r w:rsidR="00BE72D1" w:rsidRPr="004C7830">
        <w:t xml:space="preserve"> a growth model. The CCC facilitated the Growth Model Stakeholder Group</w:t>
      </w:r>
      <w:r w:rsidR="003800EA" w:rsidRPr="004C7830">
        <w:t>, which met four times between February and September of 2019</w:t>
      </w:r>
      <w:r w:rsidR="00BE72D1" w:rsidRPr="004C7830">
        <w:t xml:space="preserve">. </w:t>
      </w:r>
      <w:r w:rsidR="00F843D3" w:rsidRPr="004C7830">
        <w:rPr>
          <w:rFonts w:cs="Arial"/>
          <w:color w:val="000000"/>
        </w:rPr>
        <w:t>In November 2019, the SBE received an Information Memorandum, providing a summary of the growth model stakeholder feedback group process.</w:t>
      </w:r>
    </w:p>
    <w:p w:rsidR="79ED0307" w:rsidRPr="004C7830" w:rsidRDefault="00685069" w:rsidP="004A4FFD">
      <w:pPr>
        <w:spacing w:after="100" w:afterAutospacing="1"/>
        <w:rPr>
          <w:rFonts w:cs="Arial"/>
        </w:rPr>
      </w:pPr>
      <w:r w:rsidRPr="004C7830">
        <w:rPr>
          <w:rFonts w:cs="Arial"/>
        </w:rPr>
        <w:t xml:space="preserve">In July 2020, the CDE made a presentation to the SBE on the progress </w:t>
      </w:r>
      <w:r w:rsidR="008171A1" w:rsidRPr="004C7830">
        <w:rPr>
          <w:rFonts w:cs="Arial"/>
        </w:rPr>
        <w:t>toward</w:t>
      </w:r>
      <w:r w:rsidR="00EC5EB9" w:rsidRPr="004C7830">
        <w:rPr>
          <w:rFonts w:cs="Arial"/>
        </w:rPr>
        <w:t xml:space="preserve"> the development of the </w:t>
      </w:r>
      <w:r w:rsidR="008D2F03" w:rsidRPr="004C7830">
        <w:rPr>
          <w:rFonts w:cs="Arial"/>
        </w:rPr>
        <w:t xml:space="preserve">RG </w:t>
      </w:r>
      <w:r w:rsidRPr="004C7830">
        <w:rPr>
          <w:rFonts w:cs="Arial"/>
        </w:rPr>
        <w:t xml:space="preserve">growth model. </w:t>
      </w:r>
      <w:r w:rsidR="008171A1" w:rsidRPr="004C7830">
        <w:rPr>
          <w:rFonts w:cs="Arial"/>
          <w:bCs/>
        </w:rPr>
        <w:t>Region 15 Comprehensive Center</w:t>
      </w:r>
      <w:r w:rsidRPr="004C7830">
        <w:rPr>
          <w:rFonts w:cs="Arial"/>
        </w:rPr>
        <w:t xml:space="preserve"> staff shared the most recent feedback provided from the Growth Model Stakeholder group</w:t>
      </w:r>
      <w:r w:rsidR="008171A1" w:rsidRPr="004C7830">
        <w:rPr>
          <w:rFonts w:cs="Arial"/>
        </w:rPr>
        <w:t xml:space="preserve"> based on a recent meeting of the group in June 2020</w:t>
      </w:r>
      <w:r w:rsidRPr="004C7830">
        <w:rPr>
          <w:rFonts w:cs="Arial"/>
        </w:rPr>
        <w:t>. Representati</w:t>
      </w:r>
      <w:r w:rsidR="00B2322F" w:rsidRPr="004C7830">
        <w:rPr>
          <w:rFonts w:cs="Arial"/>
        </w:rPr>
        <w:t>ves from the ETS identified th</w:t>
      </w:r>
      <w:r w:rsidRPr="004C7830">
        <w:rPr>
          <w:rFonts w:cs="Arial"/>
        </w:rPr>
        <w:t>e questions that the RG model can and cannot answer and presented its proposed methodology – the Estimated Best Linear Predictor (EBLP) – to stabilize the RG model</w:t>
      </w:r>
      <w:r w:rsidR="00D73948" w:rsidRPr="004C7830">
        <w:rPr>
          <w:rFonts w:cs="Arial"/>
        </w:rPr>
        <w:t>.</w:t>
      </w:r>
      <w:r w:rsidR="008171A1" w:rsidRPr="004C7830">
        <w:rPr>
          <w:rFonts w:cs="Arial"/>
        </w:rPr>
        <w:t xml:space="preserve"> Additionally, the CDE outlined the next steps for SBE action to adopt a growth model for information purposes in the 2020–21 school year.</w:t>
      </w:r>
    </w:p>
    <w:p w:rsidR="00651AD2" w:rsidRPr="004C7830" w:rsidRDefault="00651AD2" w:rsidP="00F0001A">
      <w:pPr>
        <w:pStyle w:val="Heading3"/>
        <w:spacing w:before="240" w:after="240"/>
        <w:rPr>
          <w:rFonts w:eastAsia="Arial" w:cs="Arial"/>
          <w:sz w:val="32"/>
          <w:szCs w:val="32"/>
        </w:rPr>
      </w:pPr>
      <w:r w:rsidRPr="004C7830">
        <w:rPr>
          <w:rFonts w:eastAsia="Arial" w:cs="Arial"/>
          <w:sz w:val="32"/>
          <w:szCs w:val="32"/>
        </w:rPr>
        <w:t>Implementation of California</w:t>
      </w:r>
      <w:r w:rsidRPr="004C7830">
        <w:rPr>
          <w:rFonts w:eastAsia="Arial" w:cs="Arial"/>
          <w:i/>
          <w:iCs/>
          <w:sz w:val="32"/>
          <w:szCs w:val="32"/>
        </w:rPr>
        <w:t xml:space="preserve"> Education Code</w:t>
      </w:r>
      <w:r w:rsidRPr="004C7830">
        <w:rPr>
          <w:rFonts w:eastAsia="Arial" w:cs="Arial"/>
          <w:sz w:val="32"/>
          <w:szCs w:val="32"/>
        </w:rPr>
        <w:t xml:space="preserve"> Section 52064.5</w:t>
      </w:r>
    </w:p>
    <w:p w:rsidR="79ED0307" w:rsidRPr="004C7830" w:rsidRDefault="00D0038D" w:rsidP="7E984D5B">
      <w:pPr>
        <w:rPr>
          <w:rFonts w:eastAsia="Arial" w:cs="Arial"/>
        </w:rPr>
      </w:pPr>
      <w:r w:rsidRPr="004C7830">
        <w:rPr>
          <w:rFonts w:eastAsia="Arial" w:cs="Arial"/>
          <w:i/>
          <w:iCs/>
        </w:rPr>
        <w:t>EC</w:t>
      </w:r>
      <w:r w:rsidRPr="004C7830">
        <w:rPr>
          <w:rFonts w:eastAsia="Arial" w:cs="Arial"/>
        </w:rPr>
        <w:t xml:space="preserve"> Section 52064.5 relates to the Standards for Local Indicators and an overview of the data that may be considered for use at the statewide level. In particular, this first data set focuses on teacher and credentialing information which is collected through an exchange with the California Commission on Teacher Credentialing</w:t>
      </w:r>
      <w:r w:rsidR="008171A1" w:rsidRPr="004C7830">
        <w:rPr>
          <w:rFonts w:eastAsia="Arial" w:cs="Arial"/>
        </w:rPr>
        <w:t xml:space="preserve"> (CTC)</w:t>
      </w:r>
      <w:r w:rsidRPr="004C7830">
        <w:rPr>
          <w:rFonts w:eastAsia="Arial" w:cs="Arial"/>
        </w:rPr>
        <w:t xml:space="preserve">. Once these </w:t>
      </w:r>
      <w:r w:rsidRPr="004C7830">
        <w:rPr>
          <w:rFonts w:eastAsia="Arial" w:cs="Arial"/>
        </w:rPr>
        <w:lastRenderedPageBreak/>
        <w:t>data are received</w:t>
      </w:r>
      <w:r w:rsidR="008171A1" w:rsidRPr="004C7830">
        <w:rPr>
          <w:rFonts w:eastAsia="Arial" w:cs="Arial"/>
        </w:rPr>
        <w:t xml:space="preserve"> from the CTC</w:t>
      </w:r>
      <w:r w:rsidRPr="004C7830">
        <w:rPr>
          <w:rFonts w:eastAsia="Arial" w:cs="Arial"/>
        </w:rPr>
        <w:t xml:space="preserve">, they will be analyzed to determine if they are valid and reliable </w:t>
      </w:r>
      <w:r w:rsidR="000C5E52" w:rsidRPr="004C7830">
        <w:rPr>
          <w:rFonts w:eastAsia="Arial" w:cs="Arial"/>
        </w:rPr>
        <w:t>to use for this purpose. If the data meets th</w:t>
      </w:r>
      <w:r w:rsidR="00D57747" w:rsidRPr="004C7830">
        <w:rPr>
          <w:rFonts w:eastAsia="Arial" w:cs="Arial"/>
        </w:rPr>
        <w:t>ese</w:t>
      </w:r>
      <w:r w:rsidR="000C5E52" w:rsidRPr="004C7830">
        <w:rPr>
          <w:rFonts w:eastAsia="Arial" w:cs="Arial"/>
        </w:rPr>
        <w:t xml:space="preserve"> criteria, the CDE will then</w:t>
      </w:r>
      <w:r w:rsidRPr="004C7830">
        <w:rPr>
          <w:rFonts w:eastAsia="Arial" w:cs="Arial"/>
        </w:rPr>
        <w:t xml:space="preserve"> develop options for incorporation into the local indicator for Priority 1</w:t>
      </w:r>
      <w:r w:rsidR="000C5E52" w:rsidRPr="004C7830">
        <w:rPr>
          <w:rFonts w:eastAsia="Arial" w:cs="Arial"/>
        </w:rPr>
        <w:t xml:space="preserve"> for the SBE’s consideration</w:t>
      </w:r>
      <w:r w:rsidR="008171A1" w:rsidRPr="004C7830">
        <w:rPr>
          <w:rFonts w:eastAsia="Arial" w:cs="Arial"/>
        </w:rPr>
        <w:t xml:space="preserve"> at a later date</w:t>
      </w:r>
      <w:r w:rsidRPr="004C7830">
        <w:rPr>
          <w:rFonts w:eastAsia="Arial" w:cs="Arial"/>
        </w:rPr>
        <w:t>.</w:t>
      </w:r>
    </w:p>
    <w:p w:rsidR="00685069" w:rsidRPr="004C7830" w:rsidRDefault="00685069" w:rsidP="00685069">
      <w:pPr>
        <w:pStyle w:val="Heading2"/>
        <w:spacing w:before="100" w:beforeAutospacing="1" w:after="240"/>
        <w:rPr>
          <w:rFonts w:cs="Arial"/>
          <w:szCs w:val="36"/>
        </w:rPr>
      </w:pPr>
      <w:r w:rsidRPr="004C7830">
        <w:rPr>
          <w:rFonts w:cs="Arial"/>
          <w:szCs w:val="36"/>
        </w:rPr>
        <w:t>Summary of Previous State Board of Education Discussion and Action</w:t>
      </w:r>
    </w:p>
    <w:p w:rsidR="00CA7047" w:rsidRPr="004C7830" w:rsidRDefault="00CA7047" w:rsidP="00CA7047">
      <w:pPr>
        <w:pStyle w:val="Heading3"/>
        <w:rPr>
          <w:sz w:val="32"/>
          <w:szCs w:val="32"/>
        </w:rPr>
      </w:pPr>
      <w:r w:rsidRPr="004C7830">
        <w:rPr>
          <w:sz w:val="32"/>
          <w:szCs w:val="32"/>
        </w:rPr>
        <w:t>College/Career Indicator</w:t>
      </w:r>
    </w:p>
    <w:p w:rsidR="00CA7047" w:rsidRPr="004C7830" w:rsidRDefault="00CA7047" w:rsidP="00CA7047">
      <w:r w:rsidRPr="004C7830">
        <w:rPr>
          <w:rFonts w:cs="Arial"/>
        </w:rPr>
        <w:t>In July 2016, the SBE reviewed and approved the CCI as a state indicator to be part of the design of the local control funding formula (LCFF) evaluation rubrics (which is currently reported through the Dashboard)</w:t>
      </w:r>
      <w:r w:rsidRPr="004C7830">
        <w:t xml:space="preserve"> (</w:t>
      </w:r>
      <w:hyperlink r:id="rId16" w:tooltip="July 2016 SBE Minutes">
        <w:r w:rsidRPr="004C7830">
          <w:rPr>
            <w:rStyle w:val="Hyperlink"/>
            <w:rFonts w:cs="Arial"/>
          </w:rPr>
          <w:t>https://www.cde.ca.gov/be/mt/ms/documents/finalminutes1314jul2016.doc</w:t>
        </w:r>
      </w:hyperlink>
      <w:r w:rsidRPr="004C7830">
        <w:t>).</w:t>
      </w:r>
    </w:p>
    <w:p w:rsidR="00CA7047" w:rsidRPr="004C7830" w:rsidRDefault="00CA7047" w:rsidP="00CA7047"/>
    <w:p w:rsidR="00CA7047" w:rsidRPr="004C7830" w:rsidRDefault="00CA7047" w:rsidP="00CA7047">
      <w:pPr>
        <w:spacing w:after="240"/>
      </w:pPr>
      <w:r w:rsidRPr="004C7830">
        <w:rPr>
          <w:rFonts w:cs="Arial"/>
        </w:rPr>
        <w:t xml:space="preserve">In September 2016, the SBE reviewed and approved Status performance levels for the CCI based on the 2013–14 cohort data file, and approved the re-evaluation of the performance levels in September 2017 once the first year of results of Smarter Balanced assessment were included in the CCI. The SBE also directed the removal of the </w:t>
      </w:r>
      <w:r w:rsidRPr="004C7830">
        <w:rPr>
          <w:rFonts w:cs="Arial"/>
          <w:color w:val="000000" w:themeColor="text1"/>
        </w:rPr>
        <w:t>“Well Prepared” category until additional data on career readiness becomes available</w:t>
      </w:r>
      <w:r w:rsidRPr="004C7830">
        <w:rPr>
          <w:color w:val="000000" w:themeColor="text1"/>
        </w:rPr>
        <w:t xml:space="preserve"> </w:t>
      </w:r>
      <w:r w:rsidRPr="004C7830">
        <w:t>(</w:t>
      </w:r>
      <w:hyperlink r:id="rId17" w:tooltip="September 2016 SBE Item">
        <w:r w:rsidRPr="004C7830">
          <w:rPr>
            <w:rStyle w:val="Hyperlink"/>
            <w:rFonts w:cs="Arial"/>
          </w:rPr>
          <w:t>https://www.cde.ca.gov/be/ag/ag/yr16/documents/sep16item01.doc</w:t>
        </w:r>
      </w:hyperlink>
      <w:r w:rsidRPr="004C7830">
        <w:t>).</w:t>
      </w:r>
    </w:p>
    <w:p w:rsidR="00CA7047" w:rsidRPr="004C7830" w:rsidRDefault="00CA7047" w:rsidP="00CA7047">
      <w:pPr>
        <w:spacing w:before="240" w:after="240"/>
        <w:rPr>
          <w:rFonts w:cs="Arial"/>
        </w:rPr>
      </w:pPr>
      <w:r w:rsidRPr="004C7830">
        <w:rPr>
          <w:rFonts w:cs="Arial"/>
        </w:rPr>
        <w:t>In September 2017, the SBE reviewed a three-year implementation plan for the CCI. In addition, the SBE reviewed a clarification to one of the CCI criterion in the “Approaching Prepared” level within the CCI and the recommended revised Status cut scores based on the Class of 2016. The SBE approved the revised cut scores for Status. The SBE also reviewed the three-year plan timeline for fully building out this indicator to include additional career and college measures (</w:t>
      </w:r>
      <w:hyperlink r:id="rId18" w:tooltip="September 2017 SBE Meeting Agenda Item 02" w:history="1">
        <w:r w:rsidRPr="004C7830">
          <w:rPr>
            <w:rStyle w:val="Hyperlink"/>
            <w:rFonts w:cs="Arial"/>
          </w:rPr>
          <w:t>https://www.cde.ca.gov/be/ag/ag/yr17/documents/sep17item02.doc</w:t>
        </w:r>
      </w:hyperlink>
      <w:r w:rsidRPr="004C7830">
        <w:rPr>
          <w:rStyle w:val="Hyperlink"/>
          <w:rFonts w:cs="Arial"/>
        </w:rPr>
        <w:t>).</w:t>
      </w:r>
    </w:p>
    <w:p w:rsidR="00CA7047" w:rsidRPr="004C7830" w:rsidRDefault="00CA7047" w:rsidP="00CA7047">
      <w:pPr>
        <w:spacing w:before="240" w:after="240"/>
        <w:rPr>
          <w:rFonts w:cs="Arial"/>
        </w:rPr>
      </w:pPr>
      <w:r w:rsidRPr="004C7830">
        <w:rPr>
          <w:rFonts w:cs="Arial"/>
        </w:rPr>
        <w:t>In February 2018, the SBE received an Information Memorandum that provided an update on the status of the three-year CCI timeline and the development of new career measures, including Leadership/Military Science (</w:t>
      </w:r>
      <w:hyperlink r:id="rId19" w:tooltip="February 2018 CDE Info Memo 02" w:history="1">
        <w:r w:rsidRPr="004C7830">
          <w:rPr>
            <w:rStyle w:val="Hyperlink"/>
            <w:rFonts w:eastAsiaTheme="majorEastAsia" w:cs="Arial"/>
          </w:rPr>
          <w:t>https://www.cde.ca.gov/be/pn/im/documents/memo-pptb-amard-feb18item02.docx</w:t>
        </w:r>
      </w:hyperlink>
      <w:r w:rsidRPr="004C7830">
        <w:rPr>
          <w:rFonts w:cs="Arial"/>
        </w:rPr>
        <w:t>).</w:t>
      </w:r>
    </w:p>
    <w:p w:rsidR="00CA7047" w:rsidRPr="004C7830" w:rsidRDefault="00CA7047" w:rsidP="00CA7047">
      <w:pPr>
        <w:spacing w:before="240" w:after="240"/>
        <w:rPr>
          <w:rFonts w:cs="Arial"/>
        </w:rPr>
      </w:pPr>
      <w:r w:rsidRPr="004C7830">
        <w:rPr>
          <w:rFonts w:cs="Arial"/>
        </w:rPr>
        <w:t>In March 2018, the SBE was informed of the revisions made to the Fall 2017 Dashboard, including items that were being prepared for the 2018 Dashboard release, such as the potential use of the following three CCI measures: State Seal of Biliteracy, Golden State Seal Merit Diploma, and Articulated Career Technical Education Courses (</w:t>
      </w:r>
      <w:hyperlink r:id="rId20" w:tooltip="March 2018, SBE Agenda Item 01">
        <w:r w:rsidRPr="004C7830">
          <w:rPr>
            <w:rStyle w:val="Hyperlink"/>
            <w:rFonts w:cs="Arial"/>
          </w:rPr>
          <w:t>https://www.cde.ca.gov/be/ag/ag/yr18/documents/mar18item01.docx</w:t>
        </w:r>
      </w:hyperlink>
      <w:r w:rsidRPr="004C7830">
        <w:rPr>
          <w:rFonts w:cs="Arial"/>
        </w:rPr>
        <w:t>).</w:t>
      </w:r>
    </w:p>
    <w:p w:rsidR="00CA7047" w:rsidRPr="004C7830" w:rsidRDefault="00CA7047" w:rsidP="00CA7047">
      <w:pPr>
        <w:spacing w:before="240" w:after="240"/>
        <w:rPr>
          <w:rFonts w:eastAsiaTheme="majorEastAsia" w:cs="Arial"/>
        </w:rPr>
      </w:pPr>
      <w:r w:rsidRPr="004C7830">
        <w:rPr>
          <w:rFonts w:cs="Arial"/>
        </w:rPr>
        <w:t>In April 2018, the SBE received an Information Memorandum that provided an overview of the research conducted in the development of the CCI and the rigorous vetting criteria and processes that were applied to select CCI measures (</w:t>
      </w:r>
      <w:hyperlink r:id="rId21" w:tooltip="April 2018 CDE Info Memo 02" w:history="1">
        <w:r w:rsidRPr="004C7830">
          <w:rPr>
            <w:rStyle w:val="Hyperlink"/>
            <w:rFonts w:cs="Arial"/>
          </w:rPr>
          <w:t>https://www.cde.ca.gov/be/pn/im/documents/memo-pptb-amard-apr18item02.docx</w:t>
        </w:r>
      </w:hyperlink>
      <w:r w:rsidRPr="004C7830">
        <w:rPr>
          <w:rStyle w:val="Hyperlink"/>
          <w:rFonts w:cs="Arial"/>
        </w:rPr>
        <w:t>).</w:t>
      </w:r>
    </w:p>
    <w:p w:rsidR="00CA7047" w:rsidRPr="004C7830" w:rsidRDefault="00CA7047" w:rsidP="00CA7047">
      <w:pPr>
        <w:spacing w:before="240" w:after="240"/>
        <w:rPr>
          <w:rFonts w:cs="Arial"/>
        </w:rPr>
      </w:pPr>
      <w:r w:rsidRPr="004C7830">
        <w:rPr>
          <w:rFonts w:cs="Arial"/>
        </w:rPr>
        <w:lastRenderedPageBreak/>
        <w:t xml:space="preserve">In May 2018, the SBE </w:t>
      </w:r>
      <w:r w:rsidR="008171A1" w:rsidRPr="004C7830">
        <w:rPr>
          <w:rFonts w:cs="Arial"/>
        </w:rPr>
        <w:t xml:space="preserve">held a Study Session on the CCI and </w:t>
      </w:r>
      <w:r w:rsidRPr="004C7830">
        <w:rPr>
          <w:rFonts w:cs="Arial"/>
        </w:rPr>
        <w:t>received a</w:t>
      </w:r>
      <w:r w:rsidR="008171A1" w:rsidRPr="004C7830">
        <w:rPr>
          <w:rFonts w:cs="Arial"/>
        </w:rPr>
        <w:t xml:space="preserve">n overview of the indicator and </w:t>
      </w:r>
      <w:r w:rsidRPr="004C7830">
        <w:rPr>
          <w:rFonts w:cs="Arial"/>
        </w:rPr>
        <w:t xml:space="preserve"> presentation from an LEA on their local use of the CCI (</w:t>
      </w:r>
      <w:hyperlink r:id="rId22" w:tooltip="May 2018 Item 02 slides">
        <w:r w:rsidRPr="004C7830">
          <w:rPr>
            <w:rStyle w:val="Hyperlink"/>
            <w:rFonts w:cs="Arial"/>
          </w:rPr>
          <w:t>https://www.cde.ca.gov/be/ag/ag/yr18/documents/may18item02slides.pdf</w:t>
        </w:r>
      </w:hyperlink>
      <w:r w:rsidRPr="004C7830">
        <w:rPr>
          <w:rFonts w:cs="Arial"/>
        </w:rPr>
        <w:t xml:space="preserve">). </w:t>
      </w:r>
    </w:p>
    <w:p w:rsidR="00CA7047" w:rsidRPr="004C7830" w:rsidRDefault="00CA7047" w:rsidP="00CA7047">
      <w:pPr>
        <w:spacing w:before="240" w:after="240"/>
        <w:rPr>
          <w:rFonts w:cs="Arial"/>
        </w:rPr>
      </w:pPr>
      <w:r w:rsidRPr="004C7830">
        <w:rPr>
          <w:rFonts w:cs="Arial"/>
        </w:rPr>
        <w:t>In August 2018, the SBE received an Information Memorandum on the additional measures proposed for the CCI for the 2019 Dashboard</w:t>
      </w:r>
      <w:r w:rsidRPr="004C7830">
        <w:rPr>
          <w:rFonts w:cs="Arial"/>
        </w:rPr>
        <w:br/>
        <w:t>(</w:t>
      </w:r>
      <w:hyperlink r:id="rId23" w:tooltip="August 2018 CDE Info Memo 02" w:history="1">
        <w:r w:rsidRPr="004C7830">
          <w:rPr>
            <w:rStyle w:val="Hyperlink"/>
            <w:rFonts w:cs="Arial"/>
          </w:rPr>
          <w:t>https://www.cde.ca.gov/be/pn/im/documents/memo-pptb-amard-aug18item02.docx</w:t>
        </w:r>
      </w:hyperlink>
      <w:r w:rsidRPr="004C7830">
        <w:rPr>
          <w:rFonts w:cs="Arial"/>
        </w:rPr>
        <w:t>).</w:t>
      </w:r>
    </w:p>
    <w:p w:rsidR="00CA7047" w:rsidRPr="004C7830" w:rsidRDefault="00CA7047" w:rsidP="00CA7047">
      <w:pPr>
        <w:spacing w:before="240" w:after="240"/>
        <w:rPr>
          <w:rFonts w:cs="Arial"/>
        </w:rPr>
      </w:pPr>
      <w:r w:rsidRPr="004C7830">
        <w:rPr>
          <w:rFonts w:cs="Arial"/>
        </w:rPr>
        <w:t>In September 2018, the SBE approved the State Seal of Biliteracy and Leadership/Military Science for inclusion in the CCI. In addition, the SBE approved placement criteria for the two new measures (</w:t>
      </w:r>
      <w:hyperlink r:id="rId24" w:tooltip="September 2018 SBE Meeting Agenda Item 01" w:history="1">
        <w:r w:rsidRPr="004C7830">
          <w:rPr>
            <w:rStyle w:val="Hyperlink"/>
            <w:rFonts w:cs="Arial"/>
          </w:rPr>
          <w:t>https://www.cde.ca.gov/be/ag/ag/yr18/documents/sep18item01.docx</w:t>
        </w:r>
      </w:hyperlink>
      <w:r w:rsidRPr="004C7830">
        <w:rPr>
          <w:rFonts w:cs="Arial"/>
        </w:rPr>
        <w:t>).</w:t>
      </w:r>
    </w:p>
    <w:p w:rsidR="00CA7047" w:rsidRPr="004C7830" w:rsidRDefault="00CA7047" w:rsidP="00CA7047">
      <w:pPr>
        <w:spacing w:after="240"/>
        <w:rPr>
          <w:rStyle w:val="Hyperlink"/>
          <w:rFonts w:cs="Arial"/>
          <w:color w:val="000000" w:themeColor="text1"/>
        </w:rPr>
      </w:pPr>
      <w:r w:rsidRPr="004C7830">
        <w:rPr>
          <w:rFonts w:cs="Arial"/>
        </w:rPr>
        <w:t>In November 2018, the SBE approved Status and Change cut scores for the CCI. (</w:t>
      </w:r>
      <w:hyperlink r:id="rId25" w:tooltip="November 2018 SBE Item 04" w:history="1">
        <w:r w:rsidRPr="004C7830">
          <w:rPr>
            <w:rStyle w:val="Hyperlink"/>
            <w:rFonts w:cs="Arial"/>
          </w:rPr>
          <w:t>https://www.cde.ca.gov/be/ag/ag/yr18/documents/nov18item04.docx</w:t>
        </w:r>
      </w:hyperlink>
      <w:r w:rsidRPr="004C7830">
        <w:rPr>
          <w:rStyle w:val="Hyperlink"/>
          <w:rFonts w:cs="Arial"/>
          <w:color w:val="000000" w:themeColor="text1"/>
        </w:rPr>
        <w:t>)</w:t>
      </w:r>
    </w:p>
    <w:p w:rsidR="00CA7047" w:rsidRPr="004C7830" w:rsidRDefault="00CA7047" w:rsidP="00CA7047">
      <w:pPr>
        <w:spacing w:after="240"/>
        <w:rPr>
          <w:rFonts w:cs="Arial"/>
        </w:rPr>
      </w:pPr>
      <w:r w:rsidRPr="004C7830">
        <w:rPr>
          <w:rFonts w:cs="Arial"/>
        </w:rPr>
        <w:t>In April 2019, the CDE provided an Information Memorandum on the history, implementation, and purpose of the CCI in the Accountability System which was used for the May Study Session (</w:t>
      </w:r>
      <w:hyperlink r:id="rId26" w:tooltip="April 2019 CDE Info Memo 01" w:history="1">
        <w:r w:rsidRPr="004C7830">
          <w:rPr>
            <w:rStyle w:val="Hyperlink"/>
            <w:rFonts w:cs="Arial"/>
          </w:rPr>
          <w:t>https://www.cde.ca.gov/be/pn/im/documents/memo-pptb-amard-apr19item01.docx</w:t>
        </w:r>
      </w:hyperlink>
      <w:r w:rsidRPr="004C7830">
        <w:rPr>
          <w:rFonts w:cs="Arial"/>
        </w:rPr>
        <w:t xml:space="preserve">). </w:t>
      </w:r>
    </w:p>
    <w:p w:rsidR="00CA7047" w:rsidRPr="004C7830" w:rsidRDefault="00CA7047" w:rsidP="00CA7047">
      <w:pPr>
        <w:spacing w:after="240"/>
        <w:rPr>
          <w:rFonts w:cs="Arial"/>
        </w:rPr>
      </w:pPr>
      <w:r w:rsidRPr="004C7830">
        <w:rPr>
          <w:rFonts w:cs="Arial"/>
        </w:rPr>
        <w:t>In May 2019, the SBE held a study session on the CCI (</w:t>
      </w:r>
      <w:hyperlink r:id="rId27" w:tooltip="May 2019 CDE CCI Study Session" w:history="1">
        <w:r w:rsidRPr="004C7830">
          <w:rPr>
            <w:rStyle w:val="Hyperlink"/>
            <w:rFonts w:cs="Arial"/>
          </w:rPr>
          <w:t>https://www.cde.ca.gov/be/ag/ag/yr19/documents/may19item01studysession.docx</w:t>
        </w:r>
      </w:hyperlink>
      <w:r w:rsidRPr="004C7830">
        <w:rPr>
          <w:rFonts w:cs="Arial"/>
        </w:rPr>
        <w:t>).</w:t>
      </w:r>
    </w:p>
    <w:p w:rsidR="00CA7047" w:rsidRPr="004C7830" w:rsidRDefault="00CA7047" w:rsidP="00CA7047">
      <w:pPr>
        <w:spacing w:after="240"/>
        <w:rPr>
          <w:rFonts w:cs="Arial"/>
        </w:rPr>
      </w:pPr>
      <w:r w:rsidRPr="004C7830">
        <w:rPr>
          <w:rFonts w:cs="Arial"/>
        </w:rPr>
        <w:t>In June 2019, the SBE received an Information Memorandum providing an update on the definitions used in California Longitudinal Pupil Achievement Data System (CALPADS) and California Special Education Management Information System (CASEMIS) for career measures collected in 2018–19 and 2019–2020 for possible inclusion in the CCI (</w:t>
      </w:r>
      <w:hyperlink r:id="rId28" w:tooltip="July 2019 Information Memo" w:history="1">
        <w:r w:rsidRPr="004C7830">
          <w:rPr>
            <w:rStyle w:val="Hyperlink"/>
            <w:rFonts w:cs="Arial"/>
          </w:rPr>
          <w:t>https://www.cde.ca.gov/be/pn/im/infomemojun2019.asp</w:t>
        </w:r>
      </w:hyperlink>
      <w:r w:rsidRPr="004C7830">
        <w:rPr>
          <w:rFonts w:cs="Arial"/>
        </w:rPr>
        <w:t>).</w:t>
      </w:r>
    </w:p>
    <w:p w:rsidR="00CA7047" w:rsidRPr="004C7830" w:rsidRDefault="00CA7047" w:rsidP="00CA7047">
      <w:pPr>
        <w:spacing w:before="240" w:after="240"/>
        <w:rPr>
          <w:rFonts w:cs="Arial"/>
        </w:rPr>
      </w:pPr>
      <w:r w:rsidRPr="004C7830">
        <w:rPr>
          <w:rFonts w:cs="Arial"/>
          <w:color w:val="000000"/>
        </w:rPr>
        <w:t xml:space="preserve">At the March 2020 SBE meeting, the CDE reviewed the career measures collected in 2018–19 and its plans to conduct simulations for each of these measures to determine if the measures are valid and reliable and to set criteria that graduates must meet to be placed in the Prepared or Approaching Prepared CCI levels </w:t>
      </w:r>
      <w:r w:rsidRPr="004C7830">
        <w:rPr>
          <w:rFonts w:cs="Arial"/>
        </w:rPr>
        <w:t>(</w:t>
      </w:r>
      <w:hyperlink r:id="rId29" w:tooltip="March 2020 SBE Agenda Item 05" w:history="1">
        <w:r w:rsidRPr="004C7830">
          <w:rPr>
            <w:rStyle w:val="Hyperlink"/>
            <w:rFonts w:cs="Arial"/>
          </w:rPr>
          <w:t>https://www.cde.ca.gov/be/ag/ag/yr20/documents/mar20item05.docx</w:t>
        </w:r>
      </w:hyperlink>
      <w:r w:rsidRPr="004C7830">
        <w:rPr>
          <w:rFonts w:cs="Arial"/>
        </w:rPr>
        <w:t>).</w:t>
      </w:r>
    </w:p>
    <w:p w:rsidR="00CA7047" w:rsidRPr="004C7830" w:rsidRDefault="00CA7047" w:rsidP="00CA7047">
      <w:pPr>
        <w:spacing w:before="240" w:after="240"/>
        <w:rPr>
          <w:rFonts w:cs="Arial"/>
        </w:rPr>
      </w:pPr>
      <w:r w:rsidRPr="004C7830">
        <w:rPr>
          <w:rFonts w:cs="Arial"/>
        </w:rPr>
        <w:t>At the May 2020 SBE meeting, the CDE shared its data analyses on several new career measures currently being collected in CALPADS</w:t>
      </w:r>
      <w:r w:rsidR="008171A1" w:rsidRPr="004C7830">
        <w:rPr>
          <w:rFonts w:cs="Arial"/>
        </w:rPr>
        <w:t xml:space="preserve"> for future incorporation into the CCI</w:t>
      </w:r>
      <w:r w:rsidRPr="004C7830">
        <w:rPr>
          <w:rFonts w:cs="Arial"/>
        </w:rPr>
        <w:t>. (</w:t>
      </w:r>
      <w:hyperlink r:id="rId30" w:tooltip="May 2020 Item 02" w:history="1">
        <w:r w:rsidRPr="004C7830">
          <w:rPr>
            <w:rStyle w:val="Hyperlink"/>
            <w:rFonts w:cs="Arial"/>
          </w:rPr>
          <w:t>https://www.cde.ca.gov/be/ag/ag/yr20/documents/may20item02.docx</w:t>
        </w:r>
      </w:hyperlink>
      <w:r w:rsidRPr="004C7830">
        <w:rPr>
          <w:rFonts w:cs="Arial"/>
          <w:color w:val="000000" w:themeColor="text1"/>
        </w:rPr>
        <w:t>).</w:t>
      </w:r>
    </w:p>
    <w:p w:rsidR="00685069" w:rsidRPr="004C7830" w:rsidRDefault="00685069" w:rsidP="00685069">
      <w:pPr>
        <w:pStyle w:val="Heading3"/>
        <w:spacing w:before="0" w:after="240"/>
        <w:rPr>
          <w:rFonts w:cs="Arial"/>
          <w:sz w:val="32"/>
          <w:szCs w:val="32"/>
        </w:rPr>
      </w:pPr>
      <w:r w:rsidRPr="004C7830">
        <w:rPr>
          <w:rFonts w:cs="Arial"/>
          <w:sz w:val="32"/>
          <w:szCs w:val="32"/>
        </w:rPr>
        <w:t>Student Growth Model</w:t>
      </w:r>
    </w:p>
    <w:p w:rsidR="00685069" w:rsidRPr="004C7830" w:rsidRDefault="00685069" w:rsidP="00685069">
      <w:pPr>
        <w:spacing w:after="240"/>
        <w:rPr>
          <w:rFonts w:cs="Arial"/>
        </w:rPr>
      </w:pPr>
      <w:r w:rsidRPr="004C7830">
        <w:rPr>
          <w:rFonts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31" w:tooltip="State Board of Education June 2016 Information Memorandum" w:history="1">
        <w:r w:rsidRPr="004C7830">
          <w:rPr>
            <w:rFonts w:cs="Arial"/>
            <w:color w:val="0000FF"/>
            <w:u w:val="single"/>
          </w:rPr>
          <w:t>https://www.cde.ca.gov/be/pn/im/documents/memo-dsib-amard-jun16item01.doc</w:t>
        </w:r>
      </w:hyperlink>
      <w:r w:rsidRPr="004C7830">
        <w:rPr>
          <w:rFonts w:cs="Arial"/>
          <w:color w:val="0000FF"/>
          <w:u w:val="single"/>
        </w:rPr>
        <w:t>).</w:t>
      </w:r>
    </w:p>
    <w:p w:rsidR="00685069" w:rsidRPr="004C7830" w:rsidRDefault="00685069" w:rsidP="00685069">
      <w:pPr>
        <w:spacing w:after="240"/>
        <w:rPr>
          <w:rFonts w:cs="Arial"/>
        </w:rPr>
      </w:pPr>
      <w:r w:rsidRPr="004C7830">
        <w:rPr>
          <w:rFonts w:cs="Arial"/>
        </w:rPr>
        <w:lastRenderedPageBreak/>
        <w:t>In February 2016, the SBE received an Information Memorandum that provided an overview of student-level growth models that can be used to communicate Smarter Balanced Summative Assessment results (</w:t>
      </w:r>
      <w:hyperlink r:id="rId32" w:tooltip="State Board of Education February 2016 Information Memorandum" w:history="1">
        <w:r w:rsidRPr="004C7830">
          <w:rPr>
            <w:rFonts w:cs="Arial"/>
            <w:color w:val="0000FF"/>
            <w:u w:val="single"/>
          </w:rPr>
          <w:t>https://www.cde.ca.gov/be/pn/im/documents/memo-dsib-amard-feb16item01.doc</w:t>
        </w:r>
      </w:hyperlink>
      <w:r w:rsidRPr="004C7830">
        <w:rPr>
          <w:rFonts w:cs="Arial"/>
        </w:rPr>
        <w:t>).</w:t>
      </w:r>
    </w:p>
    <w:p w:rsidR="00685069" w:rsidRPr="004C7830" w:rsidRDefault="00685069" w:rsidP="00685069">
      <w:pPr>
        <w:spacing w:after="240"/>
        <w:rPr>
          <w:rFonts w:cs="Arial"/>
        </w:rPr>
      </w:pPr>
      <w:r w:rsidRPr="004C7830">
        <w:rPr>
          <w:rFonts w:cs="Arial"/>
        </w:rPr>
        <w:t>In January 2017, the SBE discussed criteria for selecting a growth model used for school and district accountability (</w:t>
      </w:r>
      <w:hyperlink r:id="rId33" w:tooltip="State Board of Education January 2017 Meeting Item 02" w:history="1">
        <w:r w:rsidRPr="004C7830">
          <w:rPr>
            <w:rFonts w:cs="Arial"/>
            <w:color w:val="0000FF"/>
            <w:u w:val="single"/>
          </w:rPr>
          <w:t>https://www.cde.ca.gov/be/ag/ag/yr17/documents/jan17item02.doc</w:t>
        </w:r>
      </w:hyperlink>
      <w:r w:rsidRPr="004C7830">
        <w:rPr>
          <w:rFonts w:cs="Arial"/>
        </w:rPr>
        <w:t>).</w:t>
      </w:r>
    </w:p>
    <w:p w:rsidR="00685069" w:rsidRPr="004C7830" w:rsidRDefault="00685069" w:rsidP="00685069">
      <w:pPr>
        <w:spacing w:after="240"/>
        <w:rPr>
          <w:rFonts w:cs="Arial"/>
        </w:rPr>
      </w:pPr>
      <w:r w:rsidRPr="004C7830">
        <w:rPr>
          <w:rFonts w:cs="Arial"/>
        </w:rPr>
        <w:t xml:space="preserve">Following the SBE discussion in January 2017, the CDE further consulted with ETS, the </w:t>
      </w:r>
      <w:r w:rsidR="00F003EB" w:rsidRPr="004C7830">
        <w:rPr>
          <w:rFonts w:cs="Arial"/>
        </w:rPr>
        <w:t>Technical Design Group (</w:t>
      </w:r>
      <w:r w:rsidRPr="004C7830">
        <w:rPr>
          <w:rFonts w:cs="Arial"/>
        </w:rPr>
        <w:t>TDG</w:t>
      </w:r>
      <w:r w:rsidR="00F003EB" w:rsidRPr="004C7830">
        <w:rPr>
          <w:rFonts w:cs="Arial"/>
        </w:rPr>
        <w:t>)</w:t>
      </w:r>
      <w:r w:rsidRPr="004C7830">
        <w:rPr>
          <w:rFonts w:cs="Arial"/>
        </w:rPr>
        <w:t>,</w:t>
      </w:r>
      <w:r w:rsidR="002824B8" w:rsidRPr="004C7830">
        <w:rPr>
          <w:rFonts w:cs="Arial"/>
        </w:rPr>
        <w:t xml:space="preserve"> the </w:t>
      </w:r>
      <w:r w:rsidRPr="004C7830">
        <w:rPr>
          <w:rFonts w:cs="Arial"/>
        </w:rPr>
        <w:t>CAASPP Technical Advisory Group (TAG), and the Statewide Assessment Stakeholder Group, regarding potential growth models. Three models were selected for simulation. The discussion and recommendations of the groups were summarized and presented to the SBE in a June 2017 Information Memorandum (</w:t>
      </w:r>
      <w:hyperlink r:id="rId34" w:tooltip="State Board of Education June 2017 Information Memorandum" w:history="1">
        <w:r w:rsidRPr="004C7830">
          <w:rPr>
            <w:rFonts w:cs="Arial"/>
            <w:color w:val="0000FF"/>
            <w:u w:val="single"/>
          </w:rPr>
          <w:t>https://www.cde.ca.gov/be/pn/im/documents/memo-asb-adad-jun17item03.doc</w:t>
        </w:r>
      </w:hyperlink>
      <w:r w:rsidRPr="004C7830">
        <w:rPr>
          <w:rFonts w:cs="Arial"/>
        </w:rPr>
        <w:t>).</w:t>
      </w:r>
    </w:p>
    <w:p w:rsidR="00685069" w:rsidRPr="004C7830" w:rsidRDefault="00685069" w:rsidP="00685069">
      <w:pPr>
        <w:spacing w:after="240"/>
        <w:rPr>
          <w:rFonts w:cs="Arial"/>
        </w:rPr>
      </w:pPr>
      <w:r w:rsidRPr="004C7830">
        <w:rPr>
          <w:rFonts w:cs="Arial"/>
        </w:rPr>
        <w:t>In February 2018, the SBE received an Information Memorandum with the results of the ETS Growth Study, which provided a statistical analysis of three proposed growth models (</w:t>
      </w:r>
      <w:hyperlink r:id="rId35" w:tooltip="SBE Feb 2018 AMARD Memo" w:history="1">
        <w:r w:rsidRPr="004C7830">
          <w:rPr>
            <w:rStyle w:val="Hyperlink"/>
            <w:rFonts w:cs="Arial"/>
          </w:rPr>
          <w:t>https://www.cde.ca.gov/be/pn/im/documents/memo-pptb-amard-feb18item01.docx</w:t>
        </w:r>
      </w:hyperlink>
      <w:r w:rsidRPr="004C7830">
        <w:rPr>
          <w:rFonts w:cs="Arial"/>
        </w:rPr>
        <w:t>).</w:t>
      </w:r>
    </w:p>
    <w:p w:rsidR="00685069" w:rsidRPr="004C7830" w:rsidRDefault="00685069" w:rsidP="00685069">
      <w:pPr>
        <w:spacing w:after="240"/>
        <w:rPr>
          <w:rFonts w:cs="Arial"/>
        </w:rPr>
      </w:pPr>
      <w:r w:rsidRPr="004C7830">
        <w:rPr>
          <w:rFonts w:cs="Arial"/>
        </w:rPr>
        <w:t>In May 2018, the SBE reviewed analyses of the three student-level growth models conducted by ETS and directed the CDE to further explore the Residual Gain model for possible inclusion in the Dashboard (</w:t>
      </w:r>
      <w:hyperlink r:id="rId36" w:tooltip="SBE May 2018 AMARD Item" w:history="1">
        <w:r w:rsidRPr="004C7830">
          <w:rPr>
            <w:rStyle w:val="Hyperlink"/>
            <w:rFonts w:cs="Arial"/>
          </w:rPr>
          <w:t>https://www.cde.ca.gov/be/ag/ag/yr18/documents/may18item02.docx</w:t>
        </w:r>
      </w:hyperlink>
      <w:r w:rsidRPr="004C7830">
        <w:rPr>
          <w:rFonts w:cs="Arial"/>
        </w:rPr>
        <w:t>).</w:t>
      </w:r>
    </w:p>
    <w:p w:rsidR="00685069" w:rsidRPr="004C7830" w:rsidRDefault="00685069" w:rsidP="00685069">
      <w:pPr>
        <w:spacing w:after="240"/>
        <w:rPr>
          <w:rFonts w:cs="Arial"/>
        </w:rPr>
      </w:pPr>
      <w:r w:rsidRPr="004C7830">
        <w:rPr>
          <w:rFonts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37" w:tooltip="SBE July 2018 AMARD Item 01" w:history="1">
        <w:r w:rsidRPr="004C7830">
          <w:rPr>
            <w:rStyle w:val="Hyperlink"/>
            <w:rFonts w:cs="Arial"/>
          </w:rPr>
          <w:t>https://www.cde.ca.gov/be/ag/ag/yr18/documents/jul18item01.docx</w:t>
        </w:r>
      </w:hyperlink>
      <w:r w:rsidRPr="004C7830">
        <w:rPr>
          <w:rFonts w:cs="Arial"/>
        </w:rPr>
        <w:t>).</w:t>
      </w:r>
    </w:p>
    <w:p w:rsidR="00685069" w:rsidRPr="004C7830" w:rsidRDefault="00685069" w:rsidP="00685069">
      <w:pPr>
        <w:spacing w:before="240"/>
        <w:rPr>
          <w:rFonts w:cs="Arial"/>
        </w:rPr>
      </w:pPr>
      <w:r w:rsidRPr="004C7830">
        <w:rPr>
          <w:rFonts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38" w:tooltip="February 2019 CDE Info Memo 03" w:history="1">
        <w:r w:rsidRPr="004C7830">
          <w:rPr>
            <w:rStyle w:val="Hyperlink"/>
            <w:rFonts w:eastAsiaTheme="majorEastAsia" w:cs="Arial"/>
          </w:rPr>
          <w:t>https://www.cde.ca.gov/be/pn/im/documents/memo-pptb-amard-feb19item03.docx</w:t>
        </w:r>
      </w:hyperlink>
      <w:r w:rsidRPr="004C7830">
        <w:rPr>
          <w:rFonts w:cs="Arial"/>
          <w:color w:val="000000"/>
        </w:rPr>
        <w:t>).</w:t>
      </w:r>
    </w:p>
    <w:p w:rsidR="00685069" w:rsidRPr="004C7830" w:rsidRDefault="00685069" w:rsidP="00685069">
      <w:pPr>
        <w:spacing w:before="240"/>
        <w:rPr>
          <w:rFonts w:cs="Arial"/>
          <w:color w:val="000000"/>
        </w:rPr>
      </w:pPr>
      <w:r w:rsidRPr="004C7830">
        <w:rPr>
          <w:rFonts w:cs="Arial"/>
          <w:color w:val="000000"/>
        </w:rPr>
        <w:t>In April 2019, the SBE received an Information Memorandum, providing a summary of the second growth model stakeholder feedback group meeting (</w:t>
      </w:r>
      <w:hyperlink r:id="rId39" w:tooltip="April 2019 Information Memorandum" w:history="1">
        <w:r w:rsidRPr="004C7830">
          <w:rPr>
            <w:rStyle w:val="Hyperlink"/>
            <w:rFonts w:cs="Arial"/>
          </w:rPr>
          <w:t>https://www.cde.ca.gov/be/pn/im/documents/memo-pptb-amard-apr19item02.docx</w:t>
        </w:r>
      </w:hyperlink>
      <w:r w:rsidRPr="004C7830">
        <w:rPr>
          <w:rFonts w:cs="Arial"/>
          <w:color w:val="000000"/>
        </w:rPr>
        <w:t>).</w:t>
      </w:r>
    </w:p>
    <w:p w:rsidR="00685069" w:rsidRPr="004C7830" w:rsidRDefault="00685069" w:rsidP="00685069">
      <w:pPr>
        <w:spacing w:before="240" w:after="240"/>
        <w:rPr>
          <w:rFonts w:cs="Arial"/>
          <w:color w:val="000000"/>
        </w:rPr>
      </w:pPr>
      <w:r w:rsidRPr="004C7830">
        <w:rPr>
          <w:rFonts w:cs="Arial"/>
          <w:color w:val="000000"/>
        </w:rPr>
        <w:t>In November 2019, the SBE received an Information Memorandum, providing a summary of the growth model stakeholder feedback group process (</w:t>
      </w:r>
      <w:hyperlink r:id="rId40" w:tooltip="November 2019 Information Memorandum" w:history="1">
        <w:r w:rsidRPr="004C7830">
          <w:rPr>
            <w:rStyle w:val="Hyperlink"/>
            <w:rFonts w:cs="Arial"/>
            <w:shd w:val="clear" w:color="auto" w:fill="FFFFFF"/>
          </w:rPr>
          <w:t>https://www.cde.ca.gov/be/pn/im/documents/nov19memoamard01.docx</w:t>
        </w:r>
      </w:hyperlink>
      <w:r w:rsidRPr="004C7830">
        <w:rPr>
          <w:rFonts w:cs="Arial"/>
          <w:color w:val="000000"/>
        </w:rPr>
        <w:t>).</w:t>
      </w:r>
    </w:p>
    <w:p w:rsidR="00685069" w:rsidRPr="004C7830" w:rsidRDefault="00685069" w:rsidP="00685069">
      <w:pPr>
        <w:spacing w:after="100" w:afterAutospacing="1"/>
        <w:rPr>
          <w:rFonts w:cs="Arial"/>
        </w:rPr>
      </w:pPr>
      <w:r w:rsidRPr="004C7830">
        <w:rPr>
          <w:rFonts w:cs="Arial"/>
          <w:color w:val="000000" w:themeColor="text1"/>
        </w:rPr>
        <w:lastRenderedPageBreak/>
        <w:t xml:space="preserve">At the March 2020 meeting, the SBE directed the CDE to provide a presentation at the May 2020 meeting regarding the work conducted to date on the development of a student-level growth model. Due to the national health crisis, this </w:t>
      </w:r>
      <w:r w:rsidR="008E64AD" w:rsidRPr="004C7830">
        <w:rPr>
          <w:rFonts w:cs="Arial"/>
          <w:color w:val="000000" w:themeColor="text1"/>
        </w:rPr>
        <w:t xml:space="preserve">presentation </w:t>
      </w:r>
      <w:r w:rsidRPr="004C7830">
        <w:rPr>
          <w:rFonts w:cs="Arial"/>
          <w:color w:val="000000" w:themeColor="text1"/>
        </w:rPr>
        <w:t>was postponed until the July 2020 SBE meeting (</w:t>
      </w:r>
      <w:hyperlink r:id="rId41" w:tooltip="SBE March 2020 Item 05 ">
        <w:r w:rsidRPr="004C7830">
          <w:rPr>
            <w:rStyle w:val="Hyperlink"/>
            <w:rFonts w:cs="Arial"/>
          </w:rPr>
          <w:t>https://www.cde.ca.gov/be/ag/ag/yr20/documents/mar20item05.docx</w:t>
        </w:r>
      </w:hyperlink>
      <w:r w:rsidRPr="004C7830">
        <w:rPr>
          <w:rFonts w:cs="Arial"/>
        </w:rPr>
        <w:t xml:space="preserve">). </w:t>
      </w:r>
    </w:p>
    <w:p w:rsidR="00685069" w:rsidRPr="004C7830" w:rsidRDefault="00685069" w:rsidP="00685069">
      <w:pPr>
        <w:spacing w:after="100" w:afterAutospacing="1"/>
        <w:rPr>
          <w:rFonts w:cs="Arial"/>
        </w:rPr>
      </w:pPr>
      <w:r w:rsidRPr="004C7830">
        <w:rPr>
          <w:rFonts w:cs="Arial"/>
          <w:color w:val="000000"/>
        </w:rPr>
        <w:t xml:space="preserve">In June 2020, the SBE received an Information Memorandum, </w:t>
      </w:r>
      <w:r w:rsidRPr="004C7830">
        <w:rPr>
          <w:rFonts w:cs="Arial"/>
        </w:rPr>
        <w:t>providing the history and background on the student growth model work to date. (</w:t>
      </w:r>
      <w:hyperlink r:id="rId42" w:tooltip="June 2020 SBE memo">
        <w:r w:rsidRPr="004C7830">
          <w:rPr>
            <w:rStyle w:val="Hyperlink"/>
            <w:rFonts w:cs="Arial"/>
          </w:rPr>
          <w:t>https://www.cde.ca.gov/be/pn/im/documents/memo-imb-amard-june20item01.docx</w:t>
        </w:r>
      </w:hyperlink>
      <w:r w:rsidRPr="004C7830">
        <w:rPr>
          <w:rFonts w:cs="Arial"/>
        </w:rPr>
        <w:t xml:space="preserve">). </w:t>
      </w:r>
    </w:p>
    <w:p w:rsidR="00685069" w:rsidRPr="004C7830" w:rsidRDefault="00685069" w:rsidP="00685069">
      <w:pPr>
        <w:spacing w:after="100" w:afterAutospacing="1"/>
        <w:rPr>
          <w:rFonts w:cs="Arial"/>
        </w:rPr>
      </w:pPr>
      <w:r w:rsidRPr="004C7830">
        <w:rPr>
          <w:rFonts w:cs="Arial"/>
        </w:rPr>
        <w:t>At the July 2020 SBE meeting, the CDE provided a presentation regarding the work conducted to data on the development of a student-level growth model. (</w:t>
      </w:r>
      <w:hyperlink r:id="rId43" w:tooltip="SBE July 2020 Item 02">
        <w:r w:rsidRPr="004C7830">
          <w:rPr>
            <w:rStyle w:val="Hyperlink"/>
            <w:rFonts w:cs="Arial"/>
          </w:rPr>
          <w:t>https://www.cde.ca.gov/be/ag/ag/yr20/documents/jul20item02.docx</w:t>
        </w:r>
      </w:hyperlink>
      <w:r w:rsidRPr="004C7830">
        <w:rPr>
          <w:rFonts w:cs="Arial"/>
        </w:rPr>
        <w:t>).</w:t>
      </w:r>
    </w:p>
    <w:p w:rsidR="76CACE16" w:rsidRPr="004C7830" w:rsidRDefault="5C0DA2D2" w:rsidP="7E984D5B">
      <w:pPr>
        <w:pStyle w:val="Heading3"/>
        <w:rPr>
          <w:rFonts w:eastAsia="Arial" w:cs="Arial"/>
          <w:sz w:val="28"/>
          <w:szCs w:val="32"/>
        </w:rPr>
      </w:pPr>
      <w:r w:rsidRPr="004C7830">
        <w:rPr>
          <w:rFonts w:eastAsia="Arial" w:cs="Arial"/>
          <w:sz w:val="32"/>
          <w:szCs w:val="36"/>
        </w:rPr>
        <w:t>Implementation of California</w:t>
      </w:r>
      <w:r w:rsidRPr="004C7830">
        <w:rPr>
          <w:rFonts w:eastAsia="Arial" w:cs="Arial"/>
          <w:i/>
          <w:iCs/>
          <w:sz w:val="32"/>
          <w:szCs w:val="36"/>
        </w:rPr>
        <w:t xml:space="preserve"> Education Code</w:t>
      </w:r>
      <w:r w:rsidRPr="004C7830">
        <w:rPr>
          <w:rFonts w:eastAsia="Arial" w:cs="Arial"/>
          <w:sz w:val="32"/>
          <w:szCs w:val="36"/>
        </w:rPr>
        <w:t xml:space="preserve"> Section 52064.5</w:t>
      </w:r>
    </w:p>
    <w:p w:rsidR="76CACE16" w:rsidRPr="004C7830" w:rsidRDefault="76CACE16" w:rsidP="7E984D5B">
      <w:pPr>
        <w:rPr>
          <w:rFonts w:eastAsia="Arial" w:cs="Arial"/>
        </w:rPr>
      </w:pPr>
      <w:r w:rsidRPr="004C7830">
        <w:rPr>
          <w:rFonts w:eastAsia="Arial" w:cs="Arial"/>
        </w:rPr>
        <w:t>In November 2019, the SBE adopted updated teacher equity definitions under E</w:t>
      </w:r>
      <w:r w:rsidR="00A8715B" w:rsidRPr="004C7830">
        <w:rPr>
          <w:rFonts w:eastAsia="Arial" w:cs="Arial"/>
        </w:rPr>
        <w:t xml:space="preserve">very </w:t>
      </w:r>
      <w:r w:rsidRPr="004C7830">
        <w:rPr>
          <w:rFonts w:eastAsia="Arial" w:cs="Arial"/>
        </w:rPr>
        <w:t>S</w:t>
      </w:r>
      <w:r w:rsidR="00A8715B" w:rsidRPr="004C7830">
        <w:rPr>
          <w:rFonts w:eastAsia="Arial" w:cs="Arial"/>
        </w:rPr>
        <w:t xml:space="preserve">tudent </w:t>
      </w:r>
      <w:r w:rsidRPr="004C7830">
        <w:rPr>
          <w:rFonts w:eastAsia="Arial" w:cs="Arial"/>
        </w:rPr>
        <w:t>S</w:t>
      </w:r>
      <w:r w:rsidR="00A8715B" w:rsidRPr="004C7830">
        <w:rPr>
          <w:rFonts w:eastAsia="Arial" w:cs="Arial"/>
        </w:rPr>
        <w:t xml:space="preserve">ucceeds </w:t>
      </w:r>
      <w:r w:rsidRPr="004C7830">
        <w:rPr>
          <w:rFonts w:eastAsia="Arial" w:cs="Arial"/>
        </w:rPr>
        <w:t>A</w:t>
      </w:r>
      <w:r w:rsidR="00A8715B" w:rsidRPr="004C7830">
        <w:rPr>
          <w:rFonts w:eastAsia="Arial" w:cs="Arial"/>
        </w:rPr>
        <w:t>ct</w:t>
      </w:r>
      <w:r w:rsidRPr="004C7830">
        <w:rPr>
          <w:rFonts w:eastAsia="Arial" w:cs="Arial"/>
        </w:rPr>
        <w:t xml:space="preserve"> and state reporting requirements based on feedback from LEAs (</w:t>
      </w:r>
      <w:hyperlink r:id="rId44" w:tooltip="SBE November 2019 Item 05">
        <w:r w:rsidRPr="004C7830">
          <w:rPr>
            <w:rStyle w:val="Hyperlink"/>
            <w:rFonts w:eastAsia="Arial" w:cs="Arial"/>
          </w:rPr>
          <w:t>https://www.cde.ca.gov/be/ag/ag/yr19/documents/nov19item05rev.docx</w:t>
        </w:r>
      </w:hyperlink>
      <w:r w:rsidRPr="004C7830">
        <w:rPr>
          <w:rFonts w:eastAsia="Arial" w:cs="Arial"/>
          <w:color w:val="0000FF"/>
          <w:u w:val="single"/>
        </w:rPr>
        <w:t>)</w:t>
      </w:r>
      <w:r w:rsidRPr="004C7830">
        <w:rPr>
          <w:rFonts w:eastAsia="Arial" w:cs="Arial"/>
        </w:rPr>
        <w:t xml:space="preserve">. </w:t>
      </w:r>
    </w:p>
    <w:p w:rsidR="00B9664B" w:rsidRPr="004C7830" w:rsidRDefault="00B9664B" w:rsidP="7E984D5B">
      <w:pPr>
        <w:spacing w:before="240" w:after="100" w:afterAutospacing="1"/>
        <w:rPr>
          <w:rFonts w:cs="Arial"/>
          <w:color w:val="000000" w:themeColor="text1"/>
        </w:rPr>
      </w:pPr>
      <w:r w:rsidRPr="004C7830">
        <w:rPr>
          <w:rFonts w:eastAsia="Arial" w:cs="Arial"/>
        </w:rPr>
        <w:t xml:space="preserve">In August 2020, the SBE received an Information Memorandum </w:t>
      </w:r>
      <w:r w:rsidR="00427029" w:rsidRPr="004C7830">
        <w:rPr>
          <w:rFonts w:eastAsia="Arial" w:cs="Arial"/>
        </w:rPr>
        <w:t>which provided b</w:t>
      </w:r>
      <w:r w:rsidR="00427029" w:rsidRPr="004C7830">
        <w:rPr>
          <w:rFonts w:cs="Arial"/>
          <w:color w:val="000000"/>
          <w:shd w:val="clear" w:color="auto" w:fill="FFFFFF"/>
        </w:rPr>
        <w:t xml:space="preserve">ackground information and a implementation plan for </w:t>
      </w:r>
      <w:r w:rsidR="00427029" w:rsidRPr="004C7830">
        <w:rPr>
          <w:rFonts w:cs="Arial"/>
          <w:i/>
          <w:color w:val="000000"/>
          <w:shd w:val="clear" w:color="auto" w:fill="FFFFFF"/>
        </w:rPr>
        <w:t>Education Code</w:t>
      </w:r>
      <w:r w:rsidR="00427029" w:rsidRPr="004C7830">
        <w:rPr>
          <w:rFonts w:cs="Arial"/>
          <w:color w:val="000000"/>
          <w:shd w:val="clear" w:color="auto" w:fill="FFFFFF"/>
        </w:rPr>
        <w:t xml:space="preserve"> 52064.5 r</w:t>
      </w:r>
      <w:r w:rsidR="00427029" w:rsidRPr="004C7830">
        <w:rPr>
          <w:rFonts w:cs="Arial"/>
          <w:shd w:val="clear" w:color="auto" w:fill="FFFFFF"/>
        </w:rPr>
        <w:t>elated to the Standards for Local Indicators</w:t>
      </w:r>
      <w:r w:rsidR="00427029" w:rsidRPr="004C7830" w:rsidDel="00427029">
        <w:rPr>
          <w:rFonts w:eastAsia="Arial" w:cs="Arial"/>
        </w:rPr>
        <w:t xml:space="preserve"> </w:t>
      </w:r>
      <w:r w:rsidRPr="00425CB7">
        <w:rPr>
          <w:rFonts w:eastAsia="Arial" w:cs="Arial"/>
        </w:rPr>
        <w:t>(</w:t>
      </w:r>
      <w:hyperlink r:id="rId45" w:tooltip="Link to August 2020 SBE Information Memoranda" w:history="1">
        <w:r w:rsidR="004174B1" w:rsidRPr="00425CB7">
          <w:rPr>
            <w:rStyle w:val="Hyperlink"/>
            <w:rFonts w:eastAsia="Arial" w:cs="Arial"/>
          </w:rPr>
          <w:t>https://www.cde.ca.gov/be/pn/im/documents/aug20amard01.docx</w:t>
        </w:r>
      </w:hyperlink>
      <w:r w:rsidRPr="00425CB7">
        <w:rPr>
          <w:rStyle w:val="Hyperlink"/>
          <w:rFonts w:eastAsia="Arial" w:cs="Arial"/>
        </w:rPr>
        <w:t>)</w:t>
      </w:r>
      <w:r w:rsidR="00944A47" w:rsidRPr="00425CB7">
        <w:rPr>
          <w:rStyle w:val="Hyperlink"/>
          <w:rFonts w:eastAsia="Arial" w:cs="Arial"/>
          <w:u w:val="none"/>
        </w:rPr>
        <w:t>.</w:t>
      </w:r>
    </w:p>
    <w:p w:rsidR="00685069" w:rsidRPr="004C7830" w:rsidRDefault="00685069" w:rsidP="00685069">
      <w:pPr>
        <w:pStyle w:val="Heading2"/>
        <w:spacing w:after="100" w:afterAutospacing="1"/>
      </w:pPr>
      <w:r w:rsidRPr="004C7830">
        <w:t>Fiscal Analysis (as appropriate)</w:t>
      </w:r>
    </w:p>
    <w:p w:rsidR="00923CDB" w:rsidRPr="004C7830" w:rsidRDefault="00923CDB" w:rsidP="00923CDB">
      <w:pPr>
        <w:spacing w:after="240"/>
        <w:rPr>
          <w:rFonts w:eastAsia="Arial" w:cs="Arial"/>
          <w:color w:val="212121"/>
        </w:rPr>
      </w:pPr>
      <w:r w:rsidRPr="004C7830">
        <w:rPr>
          <w:rFonts w:eastAsia="Arial" w:cs="Arial"/>
          <w:color w:val="212121"/>
        </w:rPr>
        <w:t>The 2020</w:t>
      </w:r>
      <w:r w:rsidR="002D4DAF" w:rsidRPr="004C7830">
        <w:rPr>
          <w:rFonts w:eastAsia="Arial" w:cs="Arial"/>
          <w:color w:val="212121"/>
        </w:rPr>
        <w:t>–</w:t>
      </w:r>
      <w:r w:rsidRPr="004C7830">
        <w:rPr>
          <w:rFonts w:eastAsia="Arial" w:cs="Arial"/>
          <w:color w:val="212121"/>
        </w:rPr>
        <w:t xml:space="preserve">21 state budget funds the Proposition 98 Minimum Guarantee at $70.9 billion. </w:t>
      </w:r>
      <w:r w:rsidRPr="004C7830">
        <w:rPr>
          <w:rFonts w:eastAsia="Arial" w:cs="Arial"/>
          <w:color w:val="212121"/>
          <w:lang w:val="en"/>
        </w:rPr>
        <w:t>This reflects state funding of $45.1 billion and local funding of $25.8 billion, accounting for $10,654 in transitional kindergarten through grade twelve per-pupil funding.</w:t>
      </w:r>
      <w:r w:rsidR="00B52ACC" w:rsidRPr="004C7830">
        <w:rPr>
          <w:rFonts w:eastAsia="Arial" w:cs="Arial"/>
          <w:color w:val="212121"/>
          <w:lang w:val="en"/>
        </w:rPr>
        <w:t xml:space="preserve"> In addition, this funding includes deferrals from 2019–2020 of $1.9 billion and 2020–21 of $11 billion (with $5.8 billion to be triggered off in 2020–21 if the federal government provides sufficient funding to be used for this purpose).</w:t>
      </w:r>
      <w:r w:rsidRPr="004C7830">
        <w:rPr>
          <w:rFonts w:eastAsia="Arial" w:cs="Arial"/>
          <w:color w:val="212121"/>
          <w:lang w:val="en"/>
        </w:rPr>
        <w:t xml:space="preserve"> </w:t>
      </w:r>
      <w:r w:rsidRPr="004C7830">
        <w:rPr>
          <w:rFonts w:eastAsia="Arial" w:cs="Arial"/>
          <w:color w:val="000000" w:themeColor="text1"/>
          <w:lang w:val="en"/>
        </w:rPr>
        <w:t xml:space="preserve">Additionally, the state budget </w:t>
      </w:r>
      <w:r w:rsidRPr="004C7830">
        <w:rPr>
          <w:rFonts w:eastAsia="Arial" w:cs="Arial"/>
        </w:rPr>
        <w:t xml:space="preserve">provided </w:t>
      </w:r>
      <w:r w:rsidRPr="004C7830">
        <w:rPr>
          <w:rFonts w:eastAsia="Arial" w:cs="Arial"/>
          <w:color w:val="212121"/>
        </w:rPr>
        <w:t>$450,000 in one-time Proposition 98 General Fund</w:t>
      </w:r>
      <w:r w:rsidR="00427029" w:rsidRPr="004C7830">
        <w:rPr>
          <w:rFonts w:eastAsia="Arial" w:cs="Arial"/>
          <w:color w:val="212121"/>
        </w:rPr>
        <w:t>s</w:t>
      </w:r>
      <w:r w:rsidRPr="004C7830">
        <w:rPr>
          <w:rFonts w:eastAsia="Arial" w:cs="Arial"/>
          <w:color w:val="212121"/>
        </w:rPr>
        <w:t xml:space="preserve"> to the State Department of Education to support the alignment and integration of the online platforms supporting the Dashboard, the Local Control and Accountability Plan Electronic Template System, and the School Accountability Report Card.</w:t>
      </w:r>
    </w:p>
    <w:p w:rsidR="00685069" w:rsidRPr="004C7830" w:rsidRDefault="00685069" w:rsidP="00685069">
      <w:pPr>
        <w:pStyle w:val="Heading2"/>
        <w:spacing w:before="0" w:after="240"/>
        <w:rPr>
          <w:rFonts w:cs="Arial"/>
          <w:szCs w:val="36"/>
        </w:rPr>
      </w:pPr>
      <w:r w:rsidRPr="004C7830">
        <w:rPr>
          <w:rFonts w:cs="Arial"/>
          <w:szCs w:val="36"/>
        </w:rPr>
        <w:t>Attachment(s)</w:t>
      </w:r>
    </w:p>
    <w:p w:rsidR="00CA7047" w:rsidRPr="004C7830" w:rsidRDefault="00CA7047" w:rsidP="009C47C0">
      <w:pPr>
        <w:pStyle w:val="ListParagraph"/>
        <w:numPr>
          <w:ilvl w:val="0"/>
          <w:numId w:val="13"/>
        </w:numPr>
        <w:spacing w:after="240"/>
        <w:contextualSpacing w:val="0"/>
        <w:rPr>
          <w:rFonts w:cs="Arial"/>
        </w:rPr>
      </w:pPr>
      <w:r w:rsidRPr="004C7830">
        <w:rPr>
          <w:rFonts w:cs="Arial"/>
        </w:rPr>
        <w:t>Attachment 1: Analysis and Recommendations for the Adoption of Additional Career Measures for the College/Career Indicator (1</w:t>
      </w:r>
      <w:r w:rsidR="003A57A3" w:rsidRPr="004C7830">
        <w:rPr>
          <w:rFonts w:cs="Arial"/>
        </w:rPr>
        <w:t>4</w:t>
      </w:r>
      <w:r w:rsidRPr="004C7830">
        <w:rPr>
          <w:rFonts w:cs="Arial"/>
        </w:rPr>
        <w:t xml:space="preserve"> pages)</w:t>
      </w:r>
    </w:p>
    <w:p w:rsidR="00685069" w:rsidRPr="004C7830" w:rsidRDefault="00685069" w:rsidP="4CA4A074">
      <w:pPr>
        <w:pStyle w:val="ListParagraph"/>
        <w:numPr>
          <w:ilvl w:val="0"/>
          <w:numId w:val="13"/>
        </w:numPr>
        <w:spacing w:after="240"/>
        <w:contextualSpacing w:val="0"/>
        <w:rPr>
          <w:rFonts w:cs="Arial"/>
        </w:rPr>
      </w:pPr>
      <w:r w:rsidRPr="004C7830">
        <w:rPr>
          <w:rFonts w:cs="Arial"/>
        </w:rPr>
        <w:t xml:space="preserve">Attachment </w:t>
      </w:r>
      <w:r w:rsidR="00CA7047" w:rsidRPr="004C7830">
        <w:rPr>
          <w:rFonts w:cs="Arial"/>
        </w:rPr>
        <w:t>2</w:t>
      </w:r>
      <w:r w:rsidRPr="004C7830">
        <w:rPr>
          <w:rFonts w:cs="Arial"/>
        </w:rPr>
        <w:t xml:space="preserve">: </w:t>
      </w:r>
      <w:r w:rsidR="519D46F9" w:rsidRPr="004C7830">
        <w:rPr>
          <w:rFonts w:eastAsia="Arial" w:cs="Arial"/>
          <w:color w:val="000000" w:themeColor="text1"/>
        </w:rPr>
        <w:t>Exploring Empirical Best Linear Prediction for Aggregate Growth Measures</w:t>
      </w:r>
      <w:r w:rsidR="519D46F9" w:rsidRPr="004C7830">
        <w:rPr>
          <w:rFonts w:cs="Arial"/>
        </w:rPr>
        <w:t xml:space="preserve"> </w:t>
      </w:r>
      <w:r w:rsidRPr="004C7830">
        <w:rPr>
          <w:rFonts w:cs="Arial"/>
        </w:rPr>
        <w:t>(</w:t>
      </w:r>
      <w:r w:rsidR="00E35F48" w:rsidRPr="004C7830">
        <w:rPr>
          <w:rFonts w:cs="Arial"/>
        </w:rPr>
        <w:t>9</w:t>
      </w:r>
      <w:r w:rsidRPr="004C7830">
        <w:rPr>
          <w:rFonts w:cs="Arial"/>
        </w:rPr>
        <w:t xml:space="preserve"> pages)</w:t>
      </w:r>
    </w:p>
    <w:p w:rsidR="00685069" w:rsidRPr="004C7830" w:rsidRDefault="00685069" w:rsidP="7E984D5B">
      <w:pPr>
        <w:pStyle w:val="ListParagraph"/>
        <w:numPr>
          <w:ilvl w:val="0"/>
          <w:numId w:val="13"/>
        </w:numPr>
      </w:pPr>
      <w:r w:rsidRPr="004C7830">
        <w:rPr>
          <w:rFonts w:cs="Arial"/>
        </w:rPr>
        <w:lastRenderedPageBreak/>
        <w:t xml:space="preserve">Attachment </w:t>
      </w:r>
      <w:r w:rsidR="00CA7047" w:rsidRPr="004C7830">
        <w:rPr>
          <w:rFonts w:cs="Arial"/>
        </w:rPr>
        <w:t>3</w:t>
      </w:r>
      <w:r w:rsidRPr="004C7830">
        <w:rPr>
          <w:rFonts w:cs="Arial"/>
        </w:rPr>
        <w:t xml:space="preserve">: </w:t>
      </w:r>
      <w:r w:rsidR="036F60BC" w:rsidRPr="004C7830">
        <w:rPr>
          <w:rFonts w:eastAsia="Arial" w:cs="Arial"/>
        </w:rPr>
        <w:t>Implementation of California</w:t>
      </w:r>
      <w:r w:rsidR="036F60BC" w:rsidRPr="004C7830">
        <w:rPr>
          <w:rFonts w:eastAsia="Arial" w:cs="Arial"/>
          <w:i/>
          <w:iCs/>
        </w:rPr>
        <w:t xml:space="preserve"> Education Code</w:t>
      </w:r>
      <w:r w:rsidR="036F60BC" w:rsidRPr="004C7830">
        <w:rPr>
          <w:rFonts w:eastAsia="Arial" w:cs="Arial"/>
        </w:rPr>
        <w:t xml:space="preserve"> Section 52064.5</w:t>
      </w:r>
    </w:p>
    <w:p w:rsidR="00685069" w:rsidRPr="004C7830" w:rsidRDefault="23EA392D" w:rsidP="009878D7">
      <w:pPr>
        <w:pStyle w:val="ListParagraph"/>
      </w:pPr>
      <w:r w:rsidRPr="004C7830">
        <w:rPr>
          <w:rFonts w:cs="Arial"/>
        </w:rPr>
        <w:t xml:space="preserve"> </w:t>
      </w:r>
      <w:r w:rsidR="00685069" w:rsidRPr="004C7830">
        <w:rPr>
          <w:rFonts w:cs="Arial"/>
          <w:color w:val="000000" w:themeColor="text1"/>
        </w:rPr>
        <w:t>(</w:t>
      </w:r>
      <w:r w:rsidR="54F0DBF3" w:rsidRPr="004C7830">
        <w:rPr>
          <w:rFonts w:cs="Arial"/>
          <w:color w:val="000000" w:themeColor="text1"/>
        </w:rPr>
        <w:t>3</w:t>
      </w:r>
      <w:r w:rsidR="00685069" w:rsidRPr="004C7830">
        <w:rPr>
          <w:rFonts w:cs="Arial"/>
          <w:color w:val="000000" w:themeColor="text1"/>
        </w:rPr>
        <w:t xml:space="preserve"> pages)</w:t>
      </w:r>
    </w:p>
    <w:p w:rsidR="00685069" w:rsidRPr="004C7830" w:rsidRDefault="00685069" w:rsidP="00685069">
      <w:pPr>
        <w:pStyle w:val="ListParagraph"/>
      </w:pPr>
    </w:p>
    <w:p w:rsidR="00685069" w:rsidRPr="004C7830" w:rsidRDefault="00685069" w:rsidP="00685069">
      <w:pPr>
        <w:pStyle w:val="ListParagraph"/>
        <w:numPr>
          <w:ilvl w:val="0"/>
          <w:numId w:val="13"/>
        </w:numPr>
        <w:spacing w:after="240"/>
        <w:contextualSpacing w:val="0"/>
        <w:rPr>
          <w:rFonts w:cs="Arial"/>
        </w:rPr>
        <w:sectPr w:rsidR="00685069" w:rsidRPr="004C7830" w:rsidSect="000B1725">
          <w:headerReference w:type="default" r:id="rId46"/>
          <w:footerReference w:type="default" r:id="rId47"/>
          <w:headerReference w:type="first" r:id="rId48"/>
          <w:footerReference w:type="first" r:id="rId49"/>
          <w:type w:val="continuous"/>
          <w:pgSz w:w="12240" w:h="15840"/>
          <w:pgMar w:top="1440" w:right="1440" w:bottom="1440" w:left="1440" w:header="720" w:footer="720" w:gutter="0"/>
          <w:pgNumType w:start="1"/>
          <w:cols w:space="720"/>
          <w:titlePg/>
          <w:docGrid w:linePitch="360"/>
        </w:sectPr>
      </w:pPr>
      <w:r w:rsidRPr="004C7830">
        <w:rPr>
          <w:rFonts w:cs="Arial"/>
        </w:rPr>
        <w:t xml:space="preserve">Attachment 4: California School Dashboard Educational Outreach Activities </w:t>
      </w:r>
      <w:r w:rsidRPr="004C7830">
        <w:br/>
      </w:r>
      <w:r w:rsidRPr="004C7830">
        <w:rPr>
          <w:rFonts w:cs="Arial"/>
        </w:rPr>
        <w:t>(</w:t>
      </w:r>
      <w:r w:rsidR="009C47C0" w:rsidRPr="004C7830">
        <w:rPr>
          <w:rFonts w:cs="Arial"/>
        </w:rPr>
        <w:t>5</w:t>
      </w:r>
      <w:r w:rsidRPr="004C7830">
        <w:rPr>
          <w:rFonts w:cs="Arial"/>
        </w:rPr>
        <w:t xml:space="preserve"> Pages)</w:t>
      </w:r>
    </w:p>
    <w:p w:rsidR="00CA7047" w:rsidRPr="004C7830" w:rsidRDefault="00685069" w:rsidP="00D941EA">
      <w:pPr>
        <w:pStyle w:val="Heading1"/>
        <w:spacing w:before="0" w:after="240"/>
        <w:rPr>
          <w:rFonts w:cs="Arial"/>
          <w:sz w:val="40"/>
          <w:szCs w:val="40"/>
        </w:rPr>
      </w:pPr>
      <w:r w:rsidRPr="004C7830">
        <w:rPr>
          <w:rFonts w:cs="Arial"/>
          <w:sz w:val="40"/>
          <w:szCs w:val="40"/>
        </w:rPr>
        <w:lastRenderedPageBreak/>
        <w:t>Attachment 1</w:t>
      </w:r>
    </w:p>
    <w:p w:rsidR="00D941EA" w:rsidRPr="004C7830" w:rsidRDefault="00D941EA" w:rsidP="00D941EA">
      <w:pPr>
        <w:pStyle w:val="Heading2"/>
      </w:pPr>
      <w:r w:rsidRPr="004C7830">
        <w:t xml:space="preserve">Analysis and Recommendations for Additional Career Measures in the College/Career Indicator </w:t>
      </w:r>
    </w:p>
    <w:p w:rsidR="00D941EA" w:rsidRPr="004C7830" w:rsidRDefault="00D941EA" w:rsidP="00D941EA">
      <w:pPr>
        <w:spacing w:after="240"/>
        <w:rPr>
          <w:rFonts w:cs="Arial"/>
        </w:rPr>
      </w:pPr>
      <w:r w:rsidRPr="004C7830">
        <w:rPr>
          <w:rFonts w:cs="Arial"/>
        </w:rPr>
        <w:t>The California Department of Education (CDE) is committed to building out the College/Career Indicator (CCI) over several years as data becomes available to include additional career measures</w:t>
      </w:r>
      <w:r w:rsidR="005B0542" w:rsidRPr="004C7830">
        <w:t xml:space="preserve"> and ultimately build out the indicator to serve as a measure of college </w:t>
      </w:r>
      <w:r w:rsidR="005B0542" w:rsidRPr="004C7830">
        <w:rPr>
          <w:b/>
        </w:rPr>
        <w:t>and</w:t>
      </w:r>
      <w:r w:rsidR="005B0542" w:rsidRPr="004C7830">
        <w:t xml:space="preserve"> career preparedness</w:t>
      </w:r>
      <w:r w:rsidRPr="004C7830">
        <w:rPr>
          <w:rFonts w:cs="Arial"/>
        </w:rPr>
        <w:t>. During deliberations at the September 2016 State Board of Education (SBE) meeting, and in subsequent conversations, there were concerns that the CCI did not contain sufficient career measures. To explore how to provide a better balance of college and career measures in the CCI, the CDE has worked closely with the CCI Work Group, along with the Alternative Schools Task Force (a joint project with the John W. Gardner at Stanford University, which was supported by a grant from the Stuart Foundation) and the Advisory Commission on Special Education [ACSE]) to:</w:t>
      </w:r>
    </w:p>
    <w:p w:rsidR="00D941EA" w:rsidRPr="004C7830" w:rsidRDefault="00D941EA" w:rsidP="00D941EA">
      <w:pPr>
        <w:pStyle w:val="ListParagraph"/>
        <w:numPr>
          <w:ilvl w:val="0"/>
          <w:numId w:val="32"/>
        </w:numPr>
        <w:spacing w:after="240"/>
        <w:ind w:left="720"/>
        <w:contextualSpacing w:val="0"/>
        <w:rPr>
          <w:rFonts w:cs="Arial"/>
        </w:rPr>
      </w:pPr>
      <w:r w:rsidRPr="004C7830">
        <w:rPr>
          <w:rFonts w:cs="Arial"/>
        </w:rPr>
        <w:t xml:space="preserve">Define the career measures recommended by the CCI Work Group for collection through the </w:t>
      </w:r>
      <w:r w:rsidRPr="004C7830">
        <w:rPr>
          <w:rFonts w:cs="Arial"/>
          <w:color w:val="000000"/>
        </w:rPr>
        <w:t>California Longitudinal Pupil Achievement Data System (CALPADS), and</w:t>
      </w:r>
    </w:p>
    <w:p w:rsidR="00D941EA" w:rsidRPr="004C7830" w:rsidRDefault="00D941EA" w:rsidP="00D941EA">
      <w:pPr>
        <w:pStyle w:val="ListParagraph"/>
        <w:numPr>
          <w:ilvl w:val="0"/>
          <w:numId w:val="32"/>
        </w:numPr>
        <w:spacing w:after="240"/>
        <w:ind w:left="720"/>
        <w:contextualSpacing w:val="0"/>
        <w:rPr>
          <w:rFonts w:cs="Arial"/>
        </w:rPr>
      </w:pPr>
      <w:r w:rsidRPr="004C7830">
        <w:rPr>
          <w:rFonts w:cs="Arial"/>
        </w:rPr>
        <w:t xml:space="preserve">Identify career measures specific to Dashboard Alternative Schools Status (DASS) schools. </w:t>
      </w:r>
    </w:p>
    <w:p w:rsidR="00D941EA" w:rsidRPr="004C7830" w:rsidRDefault="00D941EA" w:rsidP="00D941EA">
      <w:pPr>
        <w:spacing w:after="240"/>
        <w:rPr>
          <w:rFonts w:cs="Arial"/>
        </w:rPr>
      </w:pPr>
      <w:r w:rsidRPr="004C7830">
        <w:rPr>
          <w:rFonts w:cs="Arial"/>
        </w:rPr>
        <w:t xml:space="preserve">During the 2018–19 school year, the CDE collected data for the following career measures in CALPADS, for possible inclusion in the Dashboard: </w:t>
      </w:r>
    </w:p>
    <w:p w:rsidR="00D941EA" w:rsidRPr="004C7830" w:rsidRDefault="00D941EA" w:rsidP="00D941EA">
      <w:pPr>
        <w:pStyle w:val="ListParagraph"/>
        <w:numPr>
          <w:ilvl w:val="0"/>
          <w:numId w:val="33"/>
        </w:numPr>
        <w:spacing w:before="100" w:beforeAutospacing="1" w:after="240"/>
        <w:rPr>
          <w:rFonts w:asciiTheme="minorHAnsi" w:eastAsiaTheme="minorEastAsia" w:hAnsiTheme="minorHAnsi" w:cstheme="minorBidi"/>
          <w:color w:val="000000"/>
        </w:rPr>
      </w:pPr>
      <w:r w:rsidRPr="004C7830">
        <w:rPr>
          <w:rFonts w:cs="Arial"/>
          <w:color w:val="000000" w:themeColor="text1"/>
        </w:rPr>
        <w:t>Completion of a Pre-Apprenticeship (both DASS and non-DASS schools)</w:t>
      </w:r>
    </w:p>
    <w:p w:rsidR="00D941EA" w:rsidRPr="004C7830" w:rsidRDefault="00D941EA" w:rsidP="00D941EA">
      <w:pPr>
        <w:pStyle w:val="ListParagraph"/>
        <w:numPr>
          <w:ilvl w:val="0"/>
          <w:numId w:val="33"/>
        </w:numPr>
        <w:spacing w:before="100" w:beforeAutospacing="1" w:after="240"/>
        <w:rPr>
          <w:rFonts w:cs="Arial"/>
          <w:color w:val="000000"/>
        </w:rPr>
      </w:pPr>
      <w:r w:rsidRPr="004C7830">
        <w:rPr>
          <w:rFonts w:cs="Arial"/>
          <w:color w:val="000000" w:themeColor="text1"/>
        </w:rPr>
        <w:t>Completion of a State or Federal Job Program (limited to DASS schools)</w:t>
      </w:r>
    </w:p>
    <w:p w:rsidR="00D941EA" w:rsidRPr="004C7830" w:rsidRDefault="00D941EA" w:rsidP="00D941EA">
      <w:pPr>
        <w:pStyle w:val="ListParagraph"/>
        <w:numPr>
          <w:ilvl w:val="0"/>
          <w:numId w:val="33"/>
        </w:numPr>
        <w:rPr>
          <w:rFonts w:eastAsiaTheme="minorEastAsia" w:cs="Arial"/>
        </w:rPr>
      </w:pPr>
      <w:r w:rsidRPr="004C7830">
        <w:rPr>
          <w:rFonts w:cs="Arial"/>
        </w:rPr>
        <w:t>Workforce Readiness Certificate (limited to DASS schools)</w:t>
      </w:r>
    </w:p>
    <w:p w:rsidR="00D941EA" w:rsidRPr="004C7830" w:rsidRDefault="00D941EA" w:rsidP="00D941EA">
      <w:pPr>
        <w:pStyle w:val="ListParagraph"/>
        <w:numPr>
          <w:ilvl w:val="0"/>
          <w:numId w:val="33"/>
        </w:numPr>
        <w:spacing w:after="100" w:afterAutospacing="1"/>
        <w:rPr>
          <w:rFonts w:cs="Arial"/>
        </w:rPr>
      </w:pPr>
      <w:r w:rsidRPr="004C7830">
        <w:rPr>
          <w:rFonts w:cs="Arial"/>
        </w:rPr>
        <w:t>Completion of Food Handler Certification Program (limited to DASS schools)</w:t>
      </w:r>
    </w:p>
    <w:p w:rsidR="00D941EA" w:rsidRPr="004C7830" w:rsidRDefault="00D941EA" w:rsidP="00D941EA">
      <w:pPr>
        <w:pStyle w:val="ListParagraph"/>
        <w:spacing w:after="100" w:afterAutospacing="1"/>
        <w:rPr>
          <w:rFonts w:cs="Arial"/>
        </w:rPr>
      </w:pPr>
    </w:p>
    <w:p w:rsidR="00D941EA" w:rsidRPr="004C7830" w:rsidRDefault="00D941EA" w:rsidP="00D941EA">
      <w:pPr>
        <w:pStyle w:val="ListParagraph"/>
        <w:spacing w:after="100" w:afterAutospacing="1"/>
        <w:ind w:left="0"/>
        <w:rPr>
          <w:rFonts w:cs="Arial"/>
        </w:rPr>
      </w:pPr>
      <w:r w:rsidRPr="004C7830">
        <w:rPr>
          <w:rFonts w:cs="Arial"/>
        </w:rPr>
        <w:t xml:space="preserve">During the 2018–19 school year, the CDE also collected data on two career measures available only to students with Individualized Education Programs (IEPs). </w:t>
      </w:r>
    </w:p>
    <w:p w:rsidR="00D941EA" w:rsidRPr="004C7830" w:rsidRDefault="00D941EA" w:rsidP="00D941EA">
      <w:pPr>
        <w:pStyle w:val="ListParagraph"/>
        <w:spacing w:after="100" w:afterAutospacing="1"/>
        <w:ind w:left="0"/>
        <w:rPr>
          <w:rFonts w:cs="Arial"/>
        </w:rPr>
      </w:pPr>
    </w:p>
    <w:p w:rsidR="00D941EA" w:rsidRPr="004C7830" w:rsidRDefault="00D941EA" w:rsidP="00D941EA">
      <w:pPr>
        <w:pStyle w:val="ListParagraph"/>
        <w:numPr>
          <w:ilvl w:val="0"/>
          <w:numId w:val="35"/>
        </w:numPr>
        <w:rPr>
          <w:rFonts w:cs="Arial"/>
          <w:color w:val="000000"/>
          <w:shd w:val="clear" w:color="auto" w:fill="FFFFFF"/>
        </w:rPr>
      </w:pPr>
      <w:bookmarkStart w:id="2" w:name="_Hlk49189974"/>
      <w:r w:rsidRPr="004C7830">
        <w:rPr>
          <w:rFonts w:cs="Arial"/>
          <w:color w:val="000000"/>
          <w:shd w:val="clear" w:color="auto" w:fill="FFFFFF"/>
        </w:rPr>
        <w:t>Completion of Workability Courses and Work-Based Learning</w:t>
      </w:r>
    </w:p>
    <w:p w:rsidR="00D941EA" w:rsidRPr="004C7830" w:rsidRDefault="00D941EA" w:rsidP="00D941EA">
      <w:pPr>
        <w:pStyle w:val="ListParagraph"/>
        <w:numPr>
          <w:ilvl w:val="0"/>
          <w:numId w:val="35"/>
        </w:numPr>
        <w:spacing w:after="100" w:afterAutospacing="1"/>
        <w:rPr>
          <w:rFonts w:cs="Arial"/>
          <w:color w:val="000000"/>
          <w:shd w:val="clear" w:color="auto" w:fill="FFFFFF"/>
        </w:rPr>
      </w:pPr>
      <w:r w:rsidRPr="004C7830">
        <w:rPr>
          <w:rFonts w:cs="Arial"/>
          <w:color w:val="000000"/>
          <w:shd w:val="clear" w:color="auto" w:fill="FFFFFF"/>
        </w:rPr>
        <w:t>Completion of Department of Rehabilitation (DOR) Work-Based Learning</w:t>
      </w:r>
    </w:p>
    <w:bookmarkEnd w:id="2"/>
    <w:p w:rsidR="00D941EA" w:rsidRPr="004C7830" w:rsidRDefault="00D941EA" w:rsidP="00D941EA">
      <w:pPr>
        <w:rPr>
          <w:rFonts w:cs="Arial"/>
          <w:color w:val="000000"/>
          <w:shd w:val="clear" w:color="auto" w:fill="FFFFFF"/>
        </w:rPr>
      </w:pPr>
      <w:r w:rsidRPr="004C7830">
        <w:rPr>
          <w:rFonts w:cs="Arial"/>
        </w:rPr>
        <w:t xml:space="preserve">These measures were collected in the </w:t>
      </w:r>
      <w:r w:rsidRPr="004C7830">
        <w:rPr>
          <w:rFonts w:cs="Arial"/>
          <w:color w:val="000000" w:themeColor="text1"/>
          <w:shd w:val="clear" w:color="auto" w:fill="FFFFFF"/>
        </w:rPr>
        <w:t>California Special Education Management Information System (</w:t>
      </w:r>
      <w:r w:rsidRPr="004C7830">
        <w:rPr>
          <w:rFonts w:cs="Arial"/>
        </w:rPr>
        <w:t xml:space="preserve">CAESMIS), the system used to collect data for students with disabilities. </w:t>
      </w:r>
      <w:r w:rsidRPr="004C7830">
        <w:rPr>
          <w:rFonts w:cs="Arial"/>
          <w:color w:val="000000"/>
          <w:shd w:val="clear" w:color="auto" w:fill="FFFFFF"/>
        </w:rPr>
        <w:t xml:space="preserve">Beginning in 2019–2020, the CDE shifted </w:t>
      </w:r>
      <w:r w:rsidR="00015BE5" w:rsidRPr="004C7830">
        <w:rPr>
          <w:rFonts w:cs="Arial"/>
          <w:color w:val="000000"/>
          <w:shd w:val="clear" w:color="auto" w:fill="FFFFFF"/>
        </w:rPr>
        <w:t xml:space="preserve">the CAESMIS </w:t>
      </w:r>
      <w:r w:rsidRPr="004C7830">
        <w:rPr>
          <w:rFonts w:cs="Arial"/>
          <w:color w:val="000000"/>
          <w:shd w:val="clear" w:color="auto" w:fill="FFFFFF"/>
        </w:rPr>
        <w:t>data collection</w:t>
      </w:r>
      <w:r w:rsidR="00015BE5" w:rsidRPr="004C7830">
        <w:rPr>
          <w:rFonts w:cs="Arial"/>
          <w:color w:val="000000"/>
          <w:shd w:val="clear" w:color="auto" w:fill="FFFFFF"/>
        </w:rPr>
        <w:t>s</w:t>
      </w:r>
      <w:r w:rsidRPr="004C7830">
        <w:rPr>
          <w:rFonts w:cs="Arial"/>
          <w:color w:val="000000"/>
          <w:shd w:val="clear" w:color="auto" w:fill="FFFFFF"/>
        </w:rPr>
        <w:t xml:space="preserve"> to CALPADS.)</w:t>
      </w:r>
    </w:p>
    <w:p w:rsidR="00D941EA" w:rsidRPr="004C7830" w:rsidRDefault="00D941EA" w:rsidP="00D941EA">
      <w:pPr>
        <w:rPr>
          <w:rFonts w:cs="Arial"/>
          <w:color w:val="000000"/>
          <w:shd w:val="clear" w:color="auto" w:fill="FFFFFF"/>
        </w:rPr>
      </w:pPr>
    </w:p>
    <w:p w:rsidR="00D941EA" w:rsidRPr="004C7830" w:rsidRDefault="00D941EA" w:rsidP="00D941EA">
      <w:pPr>
        <w:rPr>
          <w:rFonts w:cs="Arial"/>
          <w:color w:val="000000"/>
          <w:shd w:val="clear" w:color="auto" w:fill="FFFFFF"/>
        </w:rPr>
      </w:pPr>
      <w:r w:rsidRPr="004C7830">
        <w:rPr>
          <w:rFonts w:cs="Arial"/>
          <w:color w:val="000000"/>
          <w:shd w:val="clear" w:color="auto" w:fill="FFFFFF"/>
        </w:rPr>
        <w:lastRenderedPageBreak/>
        <w:t xml:space="preserve">Please note that previously adopted CCI measures – which have been skewed toward college readiness </w:t>
      </w:r>
      <w:r w:rsidR="00D06D48" w:rsidRPr="004C7830">
        <w:rPr>
          <w:rFonts w:cs="Arial"/>
          <w:color w:val="000000"/>
          <w:shd w:val="clear" w:color="auto" w:fill="FFFFFF"/>
        </w:rPr>
        <w:t xml:space="preserve">–were </w:t>
      </w:r>
      <w:r w:rsidRPr="004C7830">
        <w:rPr>
          <w:rFonts w:cs="Arial"/>
          <w:color w:val="000000"/>
          <w:shd w:val="clear" w:color="auto" w:fill="FFFFFF"/>
        </w:rPr>
        <w:t>place</w:t>
      </w:r>
      <w:r w:rsidR="00D06D48" w:rsidRPr="004C7830">
        <w:rPr>
          <w:rFonts w:cs="Arial"/>
          <w:color w:val="000000"/>
          <w:shd w:val="clear" w:color="auto" w:fill="FFFFFF"/>
        </w:rPr>
        <w:t>d</w:t>
      </w:r>
      <w:r w:rsidRPr="004C7830">
        <w:rPr>
          <w:rFonts w:cs="Arial"/>
          <w:color w:val="000000"/>
          <w:shd w:val="clear" w:color="auto" w:fill="FFFFFF"/>
        </w:rPr>
        <w:t xml:space="preserve"> across the three CCI levels </w:t>
      </w:r>
      <w:r w:rsidR="00D06D48" w:rsidRPr="004C7830">
        <w:rPr>
          <w:rFonts w:cs="Arial"/>
          <w:color w:val="000000"/>
          <w:shd w:val="clear" w:color="auto" w:fill="FFFFFF"/>
        </w:rPr>
        <w:t>based on</w:t>
      </w:r>
      <w:r w:rsidRPr="004C7830">
        <w:rPr>
          <w:rFonts w:cs="Arial"/>
          <w:color w:val="000000"/>
          <w:shd w:val="clear" w:color="auto" w:fill="FFFFFF"/>
        </w:rPr>
        <w:t xml:space="preserve"> correlat</w:t>
      </w:r>
      <w:r w:rsidR="00D06D48" w:rsidRPr="004C7830">
        <w:rPr>
          <w:rFonts w:cs="Arial"/>
          <w:color w:val="000000"/>
          <w:shd w:val="clear" w:color="auto" w:fill="FFFFFF"/>
        </w:rPr>
        <w:t>ions</w:t>
      </w:r>
      <w:r w:rsidRPr="004C7830">
        <w:rPr>
          <w:rFonts w:cs="Arial"/>
          <w:color w:val="000000"/>
          <w:shd w:val="clear" w:color="auto" w:fill="FFFFFF"/>
        </w:rPr>
        <w:t xml:space="preserve"> with performance on the Smarter Balanced Summative Assessments in English language arts/literacy (ELA) and mathematics</w:t>
      </w:r>
      <w:r w:rsidR="00D06D48" w:rsidRPr="004C7830">
        <w:rPr>
          <w:rFonts w:cs="Arial"/>
          <w:color w:val="000000"/>
          <w:shd w:val="clear" w:color="auto" w:fill="FFFFFF"/>
        </w:rPr>
        <w:t xml:space="preserve">. The new measures under consideration in this item </w:t>
      </w:r>
      <w:r w:rsidRPr="004C7830">
        <w:rPr>
          <w:rFonts w:cs="Arial"/>
          <w:color w:val="000000"/>
          <w:shd w:val="clear" w:color="auto" w:fill="FFFFFF"/>
        </w:rPr>
        <w:t xml:space="preserve">assess career readiness. </w:t>
      </w:r>
      <w:r w:rsidRPr="004C7830">
        <w:rPr>
          <w:rFonts w:cs="Arial"/>
          <w:b/>
          <w:color w:val="000000"/>
          <w:shd w:val="clear" w:color="auto" w:fill="FFFFFF"/>
        </w:rPr>
        <w:t xml:space="preserve">As a result, the proposed placement criteria </w:t>
      </w:r>
      <w:r w:rsidR="00015BE5" w:rsidRPr="004C7830">
        <w:rPr>
          <w:rFonts w:cs="Arial"/>
          <w:b/>
          <w:color w:val="000000"/>
          <w:shd w:val="clear" w:color="auto" w:fill="FFFFFF"/>
        </w:rPr>
        <w:t xml:space="preserve">for the career measures </w:t>
      </w:r>
      <w:r w:rsidRPr="004C7830">
        <w:rPr>
          <w:rFonts w:cs="Arial"/>
          <w:b/>
          <w:color w:val="000000"/>
          <w:shd w:val="clear" w:color="auto" w:fill="FFFFFF"/>
        </w:rPr>
        <w:t>are not tied to a predictive model based on academic performance.</w:t>
      </w:r>
      <w:r w:rsidRPr="004C7830">
        <w:rPr>
          <w:rFonts w:cs="Arial"/>
          <w:color w:val="000000"/>
          <w:shd w:val="clear" w:color="auto" w:fill="FFFFFF"/>
        </w:rPr>
        <w:t xml:space="preserve"> </w:t>
      </w:r>
      <w:r w:rsidR="009045F2" w:rsidRPr="004C7830">
        <w:rPr>
          <w:rFonts w:cs="Arial"/>
          <w:color w:val="000000"/>
          <w:shd w:val="clear" w:color="auto" w:fill="FFFFFF"/>
        </w:rPr>
        <w:t xml:space="preserve">This is based on direction received during </w:t>
      </w:r>
      <w:r w:rsidRPr="004C7830">
        <w:rPr>
          <w:rFonts w:cs="Arial"/>
          <w:color w:val="000000"/>
          <w:shd w:val="clear" w:color="auto" w:fill="FFFFFF"/>
        </w:rPr>
        <w:t>the May 2019 SBE Study Session on the CCI</w:t>
      </w:r>
      <w:r w:rsidR="009045F2" w:rsidRPr="004C7830">
        <w:rPr>
          <w:rFonts w:cs="Arial"/>
          <w:color w:val="000000"/>
          <w:shd w:val="clear" w:color="auto" w:fill="FFFFFF"/>
        </w:rPr>
        <w:t xml:space="preserve"> where</w:t>
      </w:r>
      <w:r w:rsidRPr="004C7830">
        <w:rPr>
          <w:rFonts w:cs="Arial"/>
          <w:color w:val="000000"/>
          <w:shd w:val="clear" w:color="auto" w:fill="FFFFFF"/>
        </w:rPr>
        <w:t xml:space="preserve"> the SBE recommended that the </w:t>
      </w:r>
      <w:r w:rsidR="009045F2" w:rsidRPr="004C7830">
        <w:rPr>
          <w:rFonts w:cs="Arial"/>
          <w:color w:val="000000"/>
          <w:shd w:val="clear" w:color="auto" w:fill="FFFFFF"/>
        </w:rPr>
        <w:t xml:space="preserve">CDE </w:t>
      </w:r>
      <w:r w:rsidRPr="004C7830">
        <w:rPr>
          <w:rFonts w:cs="Arial"/>
          <w:color w:val="000000"/>
          <w:shd w:val="clear" w:color="auto" w:fill="FFFFFF"/>
        </w:rPr>
        <w:t>develop a new methodology to determine the rigor of new career measures (i.e., not tied to ELA and mathematics results on the Smarter Balanced Summative Assessments (</w:t>
      </w:r>
      <w:hyperlink r:id="rId50" w:history="1">
        <w:r w:rsidRPr="004C7830">
          <w:rPr>
            <w:rStyle w:val="Hyperlink"/>
            <w:rFonts w:cs="Arial"/>
            <w:shd w:val="clear" w:color="auto" w:fill="FFFFFF"/>
          </w:rPr>
          <w:t>https://www.cde.ca.gov/be/ag/ag/yr19/documents/may19item01studysession.docx</w:t>
        </w:r>
      </w:hyperlink>
      <w:r w:rsidRPr="004C7830">
        <w:rPr>
          <w:rFonts w:cs="Arial"/>
          <w:color w:val="000000"/>
          <w:shd w:val="clear" w:color="auto" w:fill="FFFFFF"/>
        </w:rPr>
        <w:t xml:space="preserve">). Based on this </w:t>
      </w:r>
      <w:r w:rsidR="009045F2" w:rsidRPr="004C7830">
        <w:rPr>
          <w:rFonts w:cs="Arial"/>
          <w:color w:val="000000"/>
          <w:shd w:val="clear" w:color="auto" w:fill="FFFFFF"/>
        </w:rPr>
        <w:t>directive</w:t>
      </w:r>
      <w:r w:rsidRPr="004C7830">
        <w:rPr>
          <w:rFonts w:cs="Arial"/>
          <w:color w:val="000000"/>
          <w:shd w:val="clear" w:color="auto" w:fill="FFFFFF"/>
        </w:rPr>
        <w:t xml:space="preserve">, analyses on these newly proposed career measures </w:t>
      </w:r>
      <w:r w:rsidR="009045F2" w:rsidRPr="004C7830">
        <w:rPr>
          <w:rFonts w:cs="Arial"/>
          <w:color w:val="000000"/>
          <w:shd w:val="clear" w:color="auto" w:fill="FFFFFF"/>
        </w:rPr>
        <w:t>are</w:t>
      </w:r>
      <w:r w:rsidRPr="004C7830">
        <w:rPr>
          <w:rFonts w:cs="Arial"/>
          <w:color w:val="000000"/>
          <w:shd w:val="clear" w:color="auto" w:fill="FFFFFF"/>
        </w:rPr>
        <w:t xml:space="preserve"> based on </w:t>
      </w:r>
      <w:r w:rsidR="0087552C" w:rsidRPr="004C7830">
        <w:rPr>
          <w:rFonts w:cs="Arial"/>
          <w:color w:val="000000"/>
          <w:shd w:val="clear" w:color="auto" w:fill="FFFFFF"/>
        </w:rPr>
        <w:t xml:space="preserve">research and the </w:t>
      </w:r>
      <w:r w:rsidRPr="004C7830">
        <w:rPr>
          <w:rFonts w:cs="Arial"/>
          <w:color w:val="000000"/>
          <w:shd w:val="clear" w:color="auto" w:fill="FFFFFF"/>
        </w:rPr>
        <w:t>completion of Career Technical Education (CTE) coursework. (These analyses are described in detail in this attachment.)</w:t>
      </w:r>
    </w:p>
    <w:p w:rsidR="00D941EA" w:rsidRPr="004C7830" w:rsidRDefault="00D941EA" w:rsidP="00D941EA">
      <w:pPr>
        <w:rPr>
          <w:rFonts w:cs="Arial"/>
          <w:color w:val="000000"/>
          <w:shd w:val="clear" w:color="auto" w:fill="FFFFFF"/>
        </w:rPr>
      </w:pPr>
    </w:p>
    <w:p w:rsidR="003F39CE" w:rsidRPr="004C7830" w:rsidRDefault="003F39CE" w:rsidP="00E12039">
      <w:pPr>
        <w:rPr>
          <w:rFonts w:cs="Arial"/>
        </w:rPr>
      </w:pPr>
      <w:r w:rsidRPr="004C7830">
        <w:rPr>
          <w:rFonts w:cs="Arial"/>
        </w:rPr>
        <w:t>As previously stated, this item is before the SBE for action in order to allow the CDE to report out on these new career measures publicly this fall. While this information will not be used to determine a color performance on the Dashboard, the CDE and stakeholders agree that it is important to demonstrate how schools are performing in the areas of career readiness and to recognize the success of schools that are implementing these career programs. Pursuant to the provisions of Senate Bill 98 (Chapter 24, Statutes of 2020), the CDE is also required to report valid and reliable data collected in 2019–20 that would have been included in the 2020 Dashboard. Accordingly, the CDE intends to evaluate the 2019–20 course work and assessment data (based on the 2018–19 administration for grade 11 students) needed to produce the CCI, and will make all valid and reliable data available on its website in December 2020.</w:t>
      </w:r>
    </w:p>
    <w:p w:rsidR="003F39CE" w:rsidRPr="004C7830" w:rsidRDefault="003F39CE" w:rsidP="00E12039">
      <w:pPr>
        <w:rPr>
          <w:rFonts w:cs="Arial"/>
          <w:color w:val="000000"/>
          <w:shd w:val="clear" w:color="auto" w:fill="FFFFFF"/>
        </w:rPr>
      </w:pPr>
    </w:p>
    <w:p w:rsidR="00E12039" w:rsidRPr="004C7830" w:rsidRDefault="00E12039" w:rsidP="00E12039">
      <w:r w:rsidRPr="004C7830">
        <w:rPr>
          <w:rFonts w:cs="Arial"/>
          <w:color w:val="000000"/>
          <w:shd w:val="clear" w:color="auto" w:fill="FFFFFF"/>
        </w:rPr>
        <w:t>The Summary Chart below provides a brief overview of all career measures recommended for inclusion in the CCI, along with proposed placement criteria for the “Prepared” and “Approaching Prepared” levels.</w:t>
      </w:r>
    </w:p>
    <w:p w:rsidR="00D941EA" w:rsidRPr="004C7830" w:rsidRDefault="00D941EA" w:rsidP="00DC3A22">
      <w:pPr>
        <w:spacing w:before="240"/>
        <w:rPr>
          <w:rFonts w:cs="Arial"/>
          <w:color w:val="000000"/>
          <w:shd w:val="clear" w:color="auto" w:fill="FFFFFF"/>
        </w:rPr>
      </w:pPr>
    </w:p>
    <w:p w:rsidR="00D941EA" w:rsidRPr="004C7830" w:rsidRDefault="00D941EA" w:rsidP="00D941EA">
      <w:pPr>
        <w:spacing w:after="240"/>
        <w:rPr>
          <w:rFonts w:cs="Arial"/>
          <w:b/>
        </w:rPr>
      </w:pPr>
      <w:r w:rsidRPr="004C7830">
        <w:rPr>
          <w:rFonts w:cs="Arial"/>
          <w:b/>
        </w:rPr>
        <w:t xml:space="preserve">Summary Chart </w:t>
      </w:r>
      <w:r w:rsidR="00336B0F" w:rsidRPr="004C7830">
        <w:rPr>
          <w:rFonts w:cs="Arial"/>
          <w:b/>
        </w:rPr>
        <w:t xml:space="preserve">by Measure </w:t>
      </w:r>
      <w:r w:rsidRPr="004C7830">
        <w:rPr>
          <w:rFonts w:cs="Arial"/>
          <w:b/>
        </w:rPr>
        <w:t xml:space="preserve">for the Proposed </w:t>
      </w:r>
      <w:r w:rsidR="004C7830" w:rsidRPr="00373E59">
        <w:rPr>
          <w:rFonts w:cs="Arial"/>
          <w:b/>
        </w:rPr>
        <w:t>Criteria for Being Placed in the</w:t>
      </w:r>
      <w:r w:rsidR="004C7830">
        <w:rPr>
          <w:rFonts w:cs="Arial"/>
          <w:b/>
        </w:rPr>
        <w:t xml:space="preserve"> </w:t>
      </w:r>
      <w:r w:rsidRPr="004C7830">
        <w:rPr>
          <w:rFonts w:cs="Arial"/>
          <w:b/>
        </w:rPr>
        <w:t>Prepared and Approaching Prepared</w:t>
      </w:r>
    </w:p>
    <w:tbl>
      <w:tblPr>
        <w:tblStyle w:val="TableGrid"/>
        <w:tblW w:w="0" w:type="auto"/>
        <w:tblLook w:val="04A0" w:firstRow="1" w:lastRow="0" w:firstColumn="1" w:lastColumn="0" w:noHBand="0" w:noVBand="1"/>
        <w:tblDescription w:val="Table displaying summary chart by measure for the propsed prepared and approaching prepared criteria."/>
      </w:tblPr>
      <w:tblGrid>
        <w:gridCol w:w="1547"/>
        <w:gridCol w:w="2186"/>
        <w:gridCol w:w="2946"/>
        <w:gridCol w:w="2671"/>
      </w:tblGrid>
      <w:tr w:rsidR="00D941EA" w:rsidRPr="004C7830" w:rsidTr="00E12039">
        <w:trPr>
          <w:tblHeader/>
        </w:trPr>
        <w:tc>
          <w:tcPr>
            <w:tcW w:w="1615" w:type="dxa"/>
          </w:tcPr>
          <w:p w:rsidR="00D941EA" w:rsidRPr="004C7830" w:rsidRDefault="00D941EA" w:rsidP="00F83A33">
            <w:pPr>
              <w:jc w:val="center"/>
              <w:rPr>
                <w:rFonts w:cs="Arial"/>
                <w:b/>
                <w:sz w:val="24"/>
                <w:szCs w:val="24"/>
              </w:rPr>
            </w:pPr>
            <w:r w:rsidRPr="004C7830">
              <w:rPr>
                <w:rFonts w:cs="Arial"/>
                <w:b/>
                <w:sz w:val="24"/>
                <w:szCs w:val="24"/>
              </w:rPr>
              <w:t>School Type or Student Group</w:t>
            </w:r>
          </w:p>
        </w:tc>
        <w:tc>
          <w:tcPr>
            <w:tcW w:w="2340" w:type="dxa"/>
          </w:tcPr>
          <w:p w:rsidR="00D941EA" w:rsidRPr="004C7830" w:rsidRDefault="00D941EA" w:rsidP="00F83A33">
            <w:pPr>
              <w:jc w:val="center"/>
              <w:rPr>
                <w:rFonts w:cs="Arial"/>
                <w:b/>
                <w:sz w:val="24"/>
                <w:szCs w:val="24"/>
              </w:rPr>
            </w:pPr>
            <w:r w:rsidRPr="004C7830">
              <w:rPr>
                <w:rFonts w:cs="Arial"/>
                <w:b/>
                <w:sz w:val="24"/>
                <w:szCs w:val="24"/>
              </w:rPr>
              <w:t>Measure</w:t>
            </w:r>
          </w:p>
        </w:tc>
        <w:tc>
          <w:tcPr>
            <w:tcW w:w="3057" w:type="dxa"/>
          </w:tcPr>
          <w:p w:rsidR="00D941EA" w:rsidRPr="004C7830" w:rsidRDefault="00D941EA" w:rsidP="00F83A33">
            <w:pPr>
              <w:jc w:val="center"/>
              <w:rPr>
                <w:rFonts w:cs="Arial"/>
                <w:b/>
                <w:sz w:val="24"/>
                <w:szCs w:val="24"/>
              </w:rPr>
            </w:pPr>
            <w:r w:rsidRPr="004C7830">
              <w:rPr>
                <w:rFonts w:cs="Arial"/>
                <w:b/>
                <w:sz w:val="24"/>
                <w:szCs w:val="24"/>
              </w:rPr>
              <w:t>Prepared Criteria</w:t>
            </w:r>
          </w:p>
        </w:tc>
        <w:tc>
          <w:tcPr>
            <w:tcW w:w="2338" w:type="dxa"/>
          </w:tcPr>
          <w:p w:rsidR="00D941EA" w:rsidRPr="004C7830" w:rsidRDefault="00D941EA" w:rsidP="00F83A33">
            <w:pPr>
              <w:jc w:val="center"/>
              <w:rPr>
                <w:rFonts w:cs="Arial"/>
                <w:b/>
                <w:sz w:val="24"/>
                <w:szCs w:val="24"/>
              </w:rPr>
            </w:pPr>
            <w:r w:rsidRPr="004C7830">
              <w:rPr>
                <w:rFonts w:cs="Arial"/>
                <w:b/>
                <w:sz w:val="24"/>
                <w:szCs w:val="24"/>
              </w:rPr>
              <w:t>Approaching Prepared Criteria</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t>DASS</w:t>
            </w:r>
          </w:p>
        </w:tc>
        <w:tc>
          <w:tcPr>
            <w:tcW w:w="2340" w:type="dxa"/>
          </w:tcPr>
          <w:p w:rsidR="00D941EA" w:rsidRPr="004C7830" w:rsidRDefault="00D941EA" w:rsidP="00F83A33">
            <w:pPr>
              <w:rPr>
                <w:rFonts w:cs="Arial"/>
                <w:sz w:val="24"/>
                <w:szCs w:val="24"/>
              </w:rPr>
            </w:pPr>
            <w:r w:rsidRPr="004C7830">
              <w:rPr>
                <w:rFonts w:cs="Arial"/>
                <w:bCs/>
                <w:sz w:val="24"/>
                <w:szCs w:val="24"/>
              </w:rPr>
              <w:t xml:space="preserve">Registered Pre-Apprenticeship </w:t>
            </w:r>
          </w:p>
        </w:tc>
        <w:tc>
          <w:tcPr>
            <w:tcW w:w="3057" w:type="dxa"/>
          </w:tcPr>
          <w:p w:rsidR="00D941EA" w:rsidRPr="004C7830" w:rsidRDefault="00D941EA" w:rsidP="00F83A33">
            <w:pPr>
              <w:rPr>
                <w:rFonts w:cs="Arial"/>
                <w:sz w:val="24"/>
                <w:szCs w:val="24"/>
              </w:rPr>
            </w:pPr>
            <w:r w:rsidRPr="004C7830">
              <w:rPr>
                <w:rFonts w:cs="Arial"/>
                <w:sz w:val="24"/>
                <w:szCs w:val="24"/>
              </w:rPr>
              <w:t>Completion of Program</w:t>
            </w:r>
          </w:p>
        </w:tc>
        <w:tc>
          <w:tcPr>
            <w:tcW w:w="2338" w:type="dxa"/>
          </w:tcPr>
          <w:p w:rsidR="00D941EA" w:rsidRPr="004C7830" w:rsidRDefault="00D941EA" w:rsidP="00F83A33">
            <w:pPr>
              <w:rPr>
                <w:rFonts w:cs="Arial"/>
                <w:sz w:val="24"/>
                <w:szCs w:val="24"/>
              </w:rPr>
            </w:pPr>
            <w:r w:rsidRPr="00373E59">
              <w:rPr>
                <w:rFonts w:cs="Arial"/>
                <w:sz w:val="24"/>
                <w:szCs w:val="24"/>
              </w:rPr>
              <w:t>N</w:t>
            </w:r>
            <w:r w:rsidR="004C7830" w:rsidRPr="00373E59">
              <w:rPr>
                <w:rFonts w:cs="Arial"/>
                <w:sz w:val="24"/>
                <w:szCs w:val="24"/>
              </w:rPr>
              <w:t>/A</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lastRenderedPageBreak/>
              <w:t>DASS</w:t>
            </w:r>
          </w:p>
        </w:tc>
        <w:tc>
          <w:tcPr>
            <w:tcW w:w="2340" w:type="dxa"/>
          </w:tcPr>
          <w:p w:rsidR="00D941EA" w:rsidRPr="004C7830" w:rsidRDefault="00D941EA" w:rsidP="00F83A33">
            <w:pPr>
              <w:rPr>
                <w:rFonts w:cs="Arial"/>
                <w:sz w:val="24"/>
                <w:szCs w:val="24"/>
              </w:rPr>
            </w:pPr>
            <w:r w:rsidRPr="004C7830">
              <w:rPr>
                <w:rFonts w:cs="Arial"/>
                <w:sz w:val="24"/>
                <w:szCs w:val="24"/>
              </w:rPr>
              <w:t>Non-Registered Pre-Apprenticeship</w:t>
            </w:r>
          </w:p>
        </w:tc>
        <w:tc>
          <w:tcPr>
            <w:tcW w:w="3057" w:type="dxa"/>
          </w:tcPr>
          <w:p w:rsidR="00D941EA" w:rsidRPr="004C7830" w:rsidRDefault="00D941EA" w:rsidP="00F83A33">
            <w:pPr>
              <w:rPr>
                <w:rFonts w:cs="Arial"/>
                <w:sz w:val="24"/>
                <w:szCs w:val="24"/>
              </w:rPr>
            </w:pPr>
            <w:r w:rsidRPr="004C7830">
              <w:rPr>
                <w:rFonts w:cs="Arial"/>
                <w:sz w:val="24"/>
                <w:szCs w:val="24"/>
              </w:rPr>
              <w:t xml:space="preserve">Completion of program </w:t>
            </w:r>
            <w:r w:rsidRPr="004C7830">
              <w:rPr>
                <w:rFonts w:cs="Arial"/>
                <w:b/>
                <w:sz w:val="24"/>
                <w:szCs w:val="24"/>
              </w:rPr>
              <w:t>plus</w:t>
            </w:r>
            <w:r w:rsidRPr="004C7830">
              <w:rPr>
                <w:rFonts w:cs="Arial"/>
                <w:sz w:val="24"/>
                <w:szCs w:val="24"/>
              </w:rPr>
              <w:t xml:space="preserve"> completion of one semester/two quarters/</w:t>
            </w:r>
            <w:r w:rsidR="002816CF" w:rsidRPr="004C7830">
              <w:rPr>
                <w:rFonts w:cs="Arial"/>
                <w:sz w:val="24"/>
                <w:szCs w:val="24"/>
              </w:rPr>
              <w:t>two</w:t>
            </w:r>
            <w:r w:rsidRPr="004C7830">
              <w:rPr>
                <w:rFonts w:cs="Arial"/>
                <w:sz w:val="24"/>
                <w:szCs w:val="24"/>
              </w:rPr>
              <w:t xml:space="preserve"> trimesters of a CTE course with a C- or better</w:t>
            </w:r>
          </w:p>
          <w:p w:rsidR="00CB5EF9" w:rsidRPr="004C7830" w:rsidRDefault="00CB5EF9" w:rsidP="00F83A33">
            <w:pPr>
              <w:rPr>
                <w:rFonts w:cs="Arial"/>
                <w:sz w:val="24"/>
                <w:szCs w:val="24"/>
              </w:rPr>
            </w:pPr>
          </w:p>
        </w:tc>
        <w:tc>
          <w:tcPr>
            <w:tcW w:w="2338" w:type="dxa"/>
          </w:tcPr>
          <w:p w:rsidR="00D941EA" w:rsidRPr="004C7830" w:rsidRDefault="00D941EA" w:rsidP="00F83A33">
            <w:pPr>
              <w:rPr>
                <w:rFonts w:cs="Arial"/>
                <w:sz w:val="24"/>
                <w:szCs w:val="24"/>
              </w:rPr>
            </w:pPr>
            <w:r w:rsidRPr="004C7830">
              <w:rPr>
                <w:rFonts w:cs="Arial"/>
                <w:sz w:val="24"/>
                <w:szCs w:val="24"/>
              </w:rPr>
              <w:t>Completion of Program</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t>DASS</w:t>
            </w:r>
          </w:p>
        </w:tc>
        <w:tc>
          <w:tcPr>
            <w:tcW w:w="2340" w:type="dxa"/>
          </w:tcPr>
          <w:p w:rsidR="00D941EA" w:rsidRPr="004C7830" w:rsidRDefault="00D941EA" w:rsidP="00F83A33">
            <w:pPr>
              <w:rPr>
                <w:rFonts w:cs="Arial"/>
                <w:sz w:val="24"/>
                <w:szCs w:val="24"/>
              </w:rPr>
            </w:pPr>
            <w:r w:rsidRPr="004C7830">
              <w:rPr>
                <w:rFonts w:cs="Arial"/>
                <w:sz w:val="24"/>
                <w:szCs w:val="24"/>
              </w:rPr>
              <w:t>State and Federal Jobs Program</w:t>
            </w:r>
          </w:p>
        </w:tc>
        <w:tc>
          <w:tcPr>
            <w:tcW w:w="3057" w:type="dxa"/>
          </w:tcPr>
          <w:p w:rsidR="00D941EA" w:rsidRPr="004C7830" w:rsidRDefault="00D941EA" w:rsidP="00F83A33">
            <w:pPr>
              <w:rPr>
                <w:rFonts w:cs="Arial"/>
                <w:sz w:val="24"/>
                <w:szCs w:val="24"/>
              </w:rPr>
            </w:pPr>
            <w:r w:rsidRPr="004C7830">
              <w:rPr>
                <w:rFonts w:cs="Arial"/>
                <w:sz w:val="24"/>
                <w:szCs w:val="24"/>
              </w:rPr>
              <w:t xml:space="preserve">Completion of Program </w:t>
            </w:r>
            <w:r w:rsidRPr="004C7830">
              <w:rPr>
                <w:rFonts w:cs="Arial"/>
                <w:b/>
                <w:sz w:val="24"/>
                <w:szCs w:val="24"/>
              </w:rPr>
              <w:t>plus</w:t>
            </w:r>
            <w:r w:rsidRPr="004C7830">
              <w:rPr>
                <w:rFonts w:cs="Arial"/>
                <w:sz w:val="24"/>
                <w:szCs w:val="24"/>
              </w:rPr>
              <w:t xml:space="preserve"> completion of one semester/two quarters/</w:t>
            </w:r>
            <w:r w:rsidR="002816CF" w:rsidRPr="004C7830">
              <w:rPr>
                <w:rFonts w:cs="Arial"/>
                <w:sz w:val="24"/>
                <w:szCs w:val="24"/>
              </w:rPr>
              <w:t>two</w:t>
            </w:r>
            <w:r w:rsidRPr="004C7830">
              <w:rPr>
                <w:rFonts w:cs="Arial"/>
                <w:sz w:val="24"/>
                <w:szCs w:val="24"/>
              </w:rPr>
              <w:t xml:space="preserve"> trimesters of a CTE course with a C- or better</w:t>
            </w:r>
          </w:p>
        </w:tc>
        <w:tc>
          <w:tcPr>
            <w:tcW w:w="2338" w:type="dxa"/>
          </w:tcPr>
          <w:p w:rsidR="00D941EA" w:rsidRPr="004C7830" w:rsidRDefault="00D941EA" w:rsidP="00F83A33">
            <w:pPr>
              <w:rPr>
                <w:rFonts w:cs="Arial"/>
                <w:sz w:val="24"/>
                <w:szCs w:val="24"/>
              </w:rPr>
            </w:pPr>
            <w:r w:rsidRPr="004C7830">
              <w:rPr>
                <w:rFonts w:cs="Arial"/>
                <w:sz w:val="24"/>
                <w:szCs w:val="24"/>
              </w:rPr>
              <w:t>Completion of Program</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t>Traditional</w:t>
            </w:r>
          </w:p>
        </w:tc>
        <w:tc>
          <w:tcPr>
            <w:tcW w:w="2340" w:type="dxa"/>
          </w:tcPr>
          <w:p w:rsidR="00D941EA" w:rsidRPr="004C7830" w:rsidRDefault="00D941EA" w:rsidP="00F83A33">
            <w:pPr>
              <w:rPr>
                <w:rFonts w:cs="Arial"/>
                <w:sz w:val="24"/>
                <w:szCs w:val="24"/>
              </w:rPr>
            </w:pPr>
            <w:r w:rsidRPr="004C7830">
              <w:rPr>
                <w:rFonts w:cs="Arial"/>
                <w:bCs/>
                <w:sz w:val="24"/>
                <w:szCs w:val="24"/>
              </w:rPr>
              <w:t>Registered Pre-Apprenticeship</w:t>
            </w:r>
          </w:p>
        </w:tc>
        <w:tc>
          <w:tcPr>
            <w:tcW w:w="3057" w:type="dxa"/>
          </w:tcPr>
          <w:p w:rsidR="00D941EA" w:rsidRPr="004C7830" w:rsidRDefault="00D941EA" w:rsidP="00F83A33">
            <w:pPr>
              <w:rPr>
                <w:rFonts w:cs="Arial"/>
                <w:sz w:val="24"/>
                <w:szCs w:val="24"/>
              </w:rPr>
            </w:pPr>
            <w:r w:rsidRPr="004C7830">
              <w:rPr>
                <w:rFonts w:cs="Arial"/>
                <w:sz w:val="24"/>
                <w:szCs w:val="24"/>
              </w:rPr>
              <w:t>Completion of Program</w:t>
            </w:r>
          </w:p>
        </w:tc>
        <w:tc>
          <w:tcPr>
            <w:tcW w:w="2338" w:type="dxa"/>
          </w:tcPr>
          <w:p w:rsidR="00D941EA" w:rsidRPr="004C7830" w:rsidRDefault="00D941EA" w:rsidP="00F83A33">
            <w:pPr>
              <w:rPr>
                <w:rFonts w:cs="Arial"/>
                <w:sz w:val="24"/>
                <w:szCs w:val="24"/>
              </w:rPr>
            </w:pPr>
            <w:r w:rsidRPr="00373E59">
              <w:rPr>
                <w:rFonts w:cs="Arial"/>
                <w:sz w:val="24"/>
                <w:szCs w:val="24"/>
              </w:rPr>
              <w:t>N</w:t>
            </w:r>
            <w:r w:rsidR="004C7830" w:rsidRPr="00373E59">
              <w:rPr>
                <w:rFonts w:cs="Arial"/>
                <w:sz w:val="24"/>
                <w:szCs w:val="24"/>
              </w:rPr>
              <w:t>/A</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t>Traditional</w:t>
            </w:r>
          </w:p>
        </w:tc>
        <w:tc>
          <w:tcPr>
            <w:tcW w:w="2340" w:type="dxa"/>
          </w:tcPr>
          <w:p w:rsidR="00D941EA" w:rsidRPr="004C7830" w:rsidRDefault="00D941EA" w:rsidP="00F83A33">
            <w:pPr>
              <w:rPr>
                <w:rFonts w:cs="Arial"/>
                <w:sz w:val="24"/>
                <w:szCs w:val="24"/>
              </w:rPr>
            </w:pPr>
            <w:r w:rsidRPr="004C7830">
              <w:rPr>
                <w:rFonts w:cs="Arial"/>
                <w:sz w:val="24"/>
                <w:szCs w:val="24"/>
              </w:rPr>
              <w:t>Non-Registered Pre-Apprenticeship</w:t>
            </w:r>
          </w:p>
        </w:tc>
        <w:tc>
          <w:tcPr>
            <w:tcW w:w="3057" w:type="dxa"/>
          </w:tcPr>
          <w:p w:rsidR="00D941EA" w:rsidRPr="004C7830" w:rsidRDefault="00D941EA" w:rsidP="00F83A33">
            <w:pPr>
              <w:rPr>
                <w:rFonts w:cs="Arial"/>
                <w:sz w:val="24"/>
                <w:szCs w:val="24"/>
              </w:rPr>
            </w:pPr>
            <w:r w:rsidRPr="004C7830">
              <w:rPr>
                <w:rFonts w:cs="Arial"/>
                <w:sz w:val="24"/>
                <w:szCs w:val="24"/>
              </w:rPr>
              <w:t>Completion of Program plus completion of a CTE Pathway</w:t>
            </w:r>
          </w:p>
        </w:tc>
        <w:tc>
          <w:tcPr>
            <w:tcW w:w="2338" w:type="dxa"/>
          </w:tcPr>
          <w:p w:rsidR="00D941EA" w:rsidRPr="004C7830" w:rsidRDefault="00D941EA" w:rsidP="00F83A33">
            <w:pPr>
              <w:rPr>
                <w:rFonts w:cs="Arial"/>
                <w:sz w:val="24"/>
                <w:szCs w:val="24"/>
              </w:rPr>
            </w:pPr>
            <w:r w:rsidRPr="004C7830">
              <w:rPr>
                <w:rFonts w:cs="Arial"/>
                <w:sz w:val="24"/>
                <w:szCs w:val="24"/>
              </w:rPr>
              <w:t>Completion of Program</w:t>
            </w:r>
          </w:p>
        </w:tc>
      </w:tr>
      <w:tr w:rsidR="00D941EA" w:rsidRPr="004C7830" w:rsidTr="00F83A33">
        <w:tc>
          <w:tcPr>
            <w:tcW w:w="1615" w:type="dxa"/>
          </w:tcPr>
          <w:p w:rsidR="00D941EA" w:rsidRPr="004C7830" w:rsidRDefault="00D941EA" w:rsidP="00F83A33">
            <w:pPr>
              <w:rPr>
                <w:rFonts w:cs="Arial"/>
                <w:sz w:val="24"/>
                <w:szCs w:val="24"/>
              </w:rPr>
            </w:pPr>
            <w:r w:rsidRPr="004C7830">
              <w:rPr>
                <w:rFonts w:cs="Arial"/>
                <w:sz w:val="24"/>
                <w:szCs w:val="24"/>
              </w:rPr>
              <w:t>Students with an IEP</w:t>
            </w:r>
            <w:r w:rsidR="00FE0510" w:rsidRPr="004C7830">
              <w:rPr>
                <w:rFonts w:cs="Arial"/>
                <w:sz w:val="24"/>
                <w:szCs w:val="24"/>
              </w:rPr>
              <w:t xml:space="preserve"> and who earn a</w:t>
            </w:r>
            <w:r w:rsidR="008030B2" w:rsidRPr="004C7830">
              <w:rPr>
                <w:rFonts w:cs="Arial"/>
                <w:sz w:val="24"/>
                <w:szCs w:val="24"/>
              </w:rPr>
              <w:t xml:space="preserve"> certificate of completion </w:t>
            </w:r>
          </w:p>
        </w:tc>
        <w:tc>
          <w:tcPr>
            <w:tcW w:w="2340" w:type="dxa"/>
          </w:tcPr>
          <w:p w:rsidR="00D941EA" w:rsidRPr="004C7830" w:rsidRDefault="00D941EA" w:rsidP="00F83A33">
            <w:pPr>
              <w:rPr>
                <w:rFonts w:cs="Arial"/>
                <w:sz w:val="24"/>
                <w:szCs w:val="24"/>
              </w:rPr>
            </w:pPr>
            <w:r w:rsidRPr="004C7830">
              <w:rPr>
                <w:rFonts w:cs="Arial"/>
                <w:bCs/>
                <w:sz w:val="24"/>
                <w:szCs w:val="24"/>
              </w:rPr>
              <w:t>Transition Classroom- or Work-Based Experiences</w:t>
            </w:r>
          </w:p>
        </w:tc>
        <w:tc>
          <w:tcPr>
            <w:tcW w:w="3057" w:type="dxa"/>
          </w:tcPr>
          <w:p w:rsidR="00D941EA" w:rsidRPr="004C7830" w:rsidRDefault="00D941EA" w:rsidP="00F83A33">
            <w:pPr>
              <w:rPr>
                <w:rFonts w:cs="Arial"/>
                <w:sz w:val="24"/>
                <w:szCs w:val="24"/>
              </w:rPr>
            </w:pPr>
            <w:r w:rsidRPr="004C7830">
              <w:rPr>
                <w:rFonts w:cs="Arial"/>
                <w:sz w:val="24"/>
                <w:szCs w:val="24"/>
              </w:rPr>
              <w:t xml:space="preserve">Completion of 100 hours of work experience </w:t>
            </w:r>
            <w:r w:rsidR="00187430" w:rsidRPr="004C7830">
              <w:rPr>
                <w:rFonts w:cs="Arial"/>
                <w:sz w:val="24"/>
                <w:szCs w:val="24"/>
              </w:rPr>
              <w:t>and the</w:t>
            </w:r>
            <w:r w:rsidRPr="004C7830">
              <w:rPr>
                <w:rFonts w:cs="Arial"/>
                <w:sz w:val="24"/>
                <w:szCs w:val="24"/>
              </w:rPr>
              <w:t xml:space="preserve"> </w:t>
            </w:r>
            <w:r w:rsidR="00187430" w:rsidRPr="004C7830">
              <w:rPr>
                <w:rFonts w:cs="Arial"/>
                <w:sz w:val="24"/>
                <w:szCs w:val="24"/>
              </w:rPr>
              <w:t>e</w:t>
            </w:r>
            <w:r w:rsidRPr="004C7830">
              <w:rPr>
                <w:rFonts w:cs="Arial"/>
                <w:sz w:val="24"/>
                <w:szCs w:val="24"/>
              </w:rPr>
              <w:t>quivalent of 4 semester courses of college and career exploration/preparation designed to prepare a student with an IEP for employment and independent living</w:t>
            </w:r>
          </w:p>
          <w:p w:rsidR="00D941EA" w:rsidRPr="004C7830" w:rsidRDefault="00D941EA" w:rsidP="00F83A33">
            <w:pPr>
              <w:rPr>
                <w:rFonts w:cs="Arial"/>
                <w:sz w:val="24"/>
                <w:szCs w:val="24"/>
              </w:rPr>
            </w:pPr>
          </w:p>
        </w:tc>
        <w:tc>
          <w:tcPr>
            <w:tcW w:w="2338" w:type="dxa"/>
          </w:tcPr>
          <w:p w:rsidR="00D941EA" w:rsidRPr="004C7830" w:rsidRDefault="00D941EA" w:rsidP="00F83A33">
            <w:pPr>
              <w:rPr>
                <w:rFonts w:cs="Arial"/>
                <w:sz w:val="24"/>
                <w:szCs w:val="24"/>
              </w:rPr>
            </w:pPr>
            <w:r w:rsidRPr="004C7830">
              <w:rPr>
                <w:rFonts w:cs="Arial"/>
                <w:sz w:val="24"/>
                <w:szCs w:val="24"/>
              </w:rPr>
              <w:t xml:space="preserve">Completion of 100 hours of work experience </w:t>
            </w:r>
            <w:r w:rsidRPr="004C7830">
              <w:rPr>
                <w:rFonts w:cs="Arial"/>
                <w:b/>
                <w:sz w:val="24"/>
                <w:szCs w:val="24"/>
              </w:rPr>
              <w:t xml:space="preserve">OR </w:t>
            </w:r>
            <w:r w:rsidRPr="004C7830">
              <w:rPr>
                <w:rFonts w:cs="Arial"/>
                <w:sz w:val="24"/>
                <w:szCs w:val="24"/>
              </w:rPr>
              <w:t>Equivalent of 4 semester courses of college and career exploration/preparation</w:t>
            </w:r>
          </w:p>
        </w:tc>
      </w:tr>
    </w:tbl>
    <w:p w:rsidR="00D941EA" w:rsidRPr="004C7830" w:rsidRDefault="00D941EA" w:rsidP="00D941EA"/>
    <w:p w:rsidR="00D941EA" w:rsidRPr="004C7830" w:rsidRDefault="00D941EA" w:rsidP="00D941EA">
      <w:pPr>
        <w:pStyle w:val="Heading3"/>
        <w:rPr>
          <w:rFonts w:cs="Arial"/>
          <w:szCs w:val="32"/>
        </w:rPr>
      </w:pPr>
      <w:r w:rsidRPr="004C7830">
        <w:rPr>
          <w:rFonts w:cs="Arial"/>
          <w:szCs w:val="32"/>
        </w:rPr>
        <w:t>Career Measures Collected in CALPADS</w:t>
      </w:r>
    </w:p>
    <w:p w:rsidR="00D941EA" w:rsidRPr="004C7830" w:rsidRDefault="00D941EA" w:rsidP="00D941EA">
      <w:pPr>
        <w:rPr>
          <w:rFonts w:cs="Arial"/>
        </w:rPr>
      </w:pPr>
      <w:r w:rsidRPr="004C7830">
        <w:rPr>
          <w:rFonts w:cs="Arial"/>
        </w:rPr>
        <w:t>This section provides data and discussion on the four career measures that were collected in CALPADS during the 2018–19 school year:</w:t>
      </w:r>
    </w:p>
    <w:p w:rsidR="00D941EA" w:rsidRPr="004C7830" w:rsidRDefault="00D941EA" w:rsidP="00D941EA">
      <w:pPr>
        <w:pStyle w:val="ListParagraph"/>
        <w:numPr>
          <w:ilvl w:val="0"/>
          <w:numId w:val="33"/>
        </w:numPr>
        <w:spacing w:before="100" w:beforeAutospacing="1" w:after="240"/>
        <w:rPr>
          <w:rFonts w:asciiTheme="minorHAnsi" w:eastAsiaTheme="minorEastAsia" w:hAnsiTheme="minorHAnsi" w:cstheme="minorBidi"/>
          <w:color w:val="000000"/>
        </w:rPr>
      </w:pPr>
      <w:r w:rsidRPr="004C7830">
        <w:rPr>
          <w:rFonts w:cs="Arial"/>
          <w:color w:val="000000" w:themeColor="text1"/>
        </w:rPr>
        <w:t>Completion of a Pre-Apprenticeship (both DASS and non-DASS schools)</w:t>
      </w:r>
    </w:p>
    <w:p w:rsidR="00D941EA" w:rsidRPr="004C7830" w:rsidRDefault="00D941EA" w:rsidP="00D941EA">
      <w:pPr>
        <w:pStyle w:val="ListParagraph"/>
        <w:numPr>
          <w:ilvl w:val="0"/>
          <w:numId w:val="33"/>
        </w:numPr>
        <w:spacing w:before="100" w:beforeAutospacing="1" w:after="240"/>
        <w:rPr>
          <w:rFonts w:cs="Arial"/>
          <w:color w:val="000000"/>
        </w:rPr>
      </w:pPr>
      <w:r w:rsidRPr="004C7830">
        <w:rPr>
          <w:rFonts w:cs="Arial"/>
          <w:color w:val="000000" w:themeColor="text1"/>
        </w:rPr>
        <w:t>Completion of a State or Federal Job Program (limited to DASS schools)</w:t>
      </w:r>
    </w:p>
    <w:p w:rsidR="00D941EA" w:rsidRPr="004C7830" w:rsidRDefault="00D941EA" w:rsidP="00D941EA">
      <w:pPr>
        <w:pStyle w:val="ListParagraph"/>
        <w:numPr>
          <w:ilvl w:val="0"/>
          <w:numId w:val="33"/>
        </w:numPr>
        <w:rPr>
          <w:rFonts w:eastAsiaTheme="minorEastAsia" w:cs="Arial"/>
        </w:rPr>
      </w:pPr>
      <w:r w:rsidRPr="004C7830">
        <w:rPr>
          <w:rFonts w:cs="Arial"/>
        </w:rPr>
        <w:t>Workforce Readiness Certificate (limited to DASS schools)</w:t>
      </w:r>
    </w:p>
    <w:p w:rsidR="00D941EA" w:rsidRPr="004C7830" w:rsidRDefault="00D941EA" w:rsidP="00D941EA">
      <w:pPr>
        <w:pStyle w:val="ListParagraph"/>
        <w:numPr>
          <w:ilvl w:val="0"/>
          <w:numId w:val="33"/>
        </w:numPr>
        <w:spacing w:after="100" w:afterAutospacing="1"/>
        <w:rPr>
          <w:rFonts w:cs="Arial"/>
        </w:rPr>
      </w:pPr>
      <w:r w:rsidRPr="004C7830">
        <w:rPr>
          <w:rFonts w:cs="Arial"/>
        </w:rPr>
        <w:t>Completion of Food Handler Certification Program (limited to DASS schools)</w:t>
      </w:r>
    </w:p>
    <w:p w:rsidR="00D941EA" w:rsidRPr="004C7830" w:rsidRDefault="00D941EA" w:rsidP="00D941EA">
      <w:pPr>
        <w:pStyle w:val="ListParagraph"/>
        <w:spacing w:after="100" w:afterAutospacing="1"/>
        <w:ind w:left="0"/>
        <w:rPr>
          <w:rFonts w:cs="Arial"/>
        </w:rPr>
      </w:pPr>
    </w:p>
    <w:p w:rsidR="00D941EA" w:rsidRPr="004C7830" w:rsidRDefault="00D941EA" w:rsidP="00D941EA">
      <w:pPr>
        <w:pStyle w:val="ListParagraph"/>
        <w:spacing w:after="100" w:afterAutospacing="1"/>
        <w:ind w:left="0"/>
        <w:rPr>
          <w:rFonts w:cs="Arial"/>
        </w:rPr>
      </w:pPr>
      <w:r w:rsidRPr="004C7830">
        <w:rPr>
          <w:rFonts w:cs="Arial"/>
        </w:rPr>
        <w:lastRenderedPageBreak/>
        <w:t xml:space="preserve">As with all newly proposed CCI measures, the CDE collected and analyzed data and presented their analyses to the two working groups tasked with overseeing the development of the CCI: </w:t>
      </w:r>
    </w:p>
    <w:p w:rsidR="00D941EA" w:rsidRPr="004C7830" w:rsidRDefault="00D941EA" w:rsidP="00D941EA">
      <w:pPr>
        <w:pStyle w:val="ListParagraph"/>
        <w:spacing w:afterAutospacing="1"/>
        <w:ind w:left="0"/>
        <w:rPr>
          <w:rFonts w:cs="Arial"/>
        </w:rPr>
      </w:pPr>
    </w:p>
    <w:p w:rsidR="00D941EA" w:rsidRPr="004C7830" w:rsidRDefault="00D941EA" w:rsidP="00D941EA">
      <w:pPr>
        <w:pStyle w:val="ListParagraph"/>
        <w:numPr>
          <w:ilvl w:val="0"/>
          <w:numId w:val="38"/>
        </w:numPr>
        <w:spacing w:after="100" w:afterAutospacing="1"/>
        <w:rPr>
          <w:rFonts w:cs="Arial"/>
        </w:rPr>
      </w:pPr>
      <w:r w:rsidRPr="004C7830">
        <w:rPr>
          <w:rFonts w:cs="Arial"/>
        </w:rPr>
        <w:t>California Alternative Task Force</w:t>
      </w:r>
    </w:p>
    <w:p w:rsidR="00D941EA" w:rsidRPr="004C7830" w:rsidRDefault="00D941EA" w:rsidP="00D941EA">
      <w:pPr>
        <w:pStyle w:val="ListParagraph"/>
        <w:numPr>
          <w:ilvl w:val="0"/>
          <w:numId w:val="38"/>
        </w:numPr>
        <w:spacing w:after="100" w:afterAutospacing="1"/>
        <w:rPr>
          <w:rFonts w:cs="Arial"/>
        </w:rPr>
      </w:pPr>
      <w:r w:rsidRPr="004C7830">
        <w:rPr>
          <w:rFonts w:cs="Arial"/>
        </w:rPr>
        <w:t>CCI Subcommittee</w:t>
      </w:r>
    </w:p>
    <w:p w:rsidR="00D941EA" w:rsidRPr="004C7830" w:rsidRDefault="00D941EA" w:rsidP="00D941EA">
      <w:pPr>
        <w:rPr>
          <w:rFonts w:cs="Arial"/>
        </w:rPr>
      </w:pPr>
      <w:r w:rsidRPr="004C7830">
        <w:rPr>
          <w:rFonts w:cs="Arial"/>
        </w:rPr>
        <w:t>The data shared with the two groups, along with their recommendations, are provided below.</w:t>
      </w:r>
    </w:p>
    <w:p w:rsidR="00D941EA" w:rsidRPr="004C7830" w:rsidRDefault="00D941EA" w:rsidP="00D941EA">
      <w:pPr>
        <w:rPr>
          <w:rFonts w:cs="Arial"/>
        </w:rPr>
      </w:pPr>
    </w:p>
    <w:p w:rsidR="00D941EA" w:rsidRPr="004C7830" w:rsidRDefault="00D941EA" w:rsidP="00D941EA">
      <w:pPr>
        <w:pStyle w:val="Heading3"/>
      </w:pPr>
      <w:r w:rsidRPr="004C7830">
        <w:t>Feedback from the Alternative Schools Task Force and the College/Career Indicator Subcommittee</w:t>
      </w:r>
    </w:p>
    <w:p w:rsidR="00D941EA" w:rsidRPr="004C7830" w:rsidRDefault="00D941EA" w:rsidP="00D941EA">
      <w:pPr>
        <w:shd w:val="clear" w:color="auto" w:fill="FFFFFF" w:themeFill="background1"/>
        <w:spacing w:before="120" w:after="100" w:afterAutospacing="1"/>
        <w:rPr>
          <w:rFonts w:cs="Arial"/>
          <w:color w:val="000000" w:themeColor="text1"/>
        </w:rPr>
      </w:pPr>
      <w:r w:rsidRPr="004C7830">
        <w:rPr>
          <w:rFonts w:cs="Arial"/>
          <w:color w:val="000000" w:themeColor="text1"/>
        </w:rPr>
        <w:t>In February 2020, the CDE met with the Taskforce and the CCI Subcommittee to review the 2018–19 CALPADS data on the career measures and discuss their appropriateness for the CCI model. After the data for each measure was presented, the teams were asked to weigh in on the following questions:</w:t>
      </w:r>
    </w:p>
    <w:p w:rsidR="00D941EA" w:rsidRPr="004C7830" w:rsidRDefault="00D941EA" w:rsidP="00D941EA">
      <w:pPr>
        <w:pStyle w:val="ListParagraph"/>
        <w:numPr>
          <w:ilvl w:val="0"/>
          <w:numId w:val="34"/>
        </w:numPr>
        <w:shd w:val="clear" w:color="auto" w:fill="FFFFFF" w:themeFill="background1"/>
        <w:spacing w:before="120" w:after="240"/>
        <w:ind w:left="720"/>
        <w:contextualSpacing w:val="0"/>
        <w:rPr>
          <w:rFonts w:cs="Arial"/>
          <w:color w:val="000000" w:themeColor="text1"/>
        </w:rPr>
      </w:pPr>
      <w:r w:rsidRPr="004C7830">
        <w:rPr>
          <w:rFonts w:cs="Arial"/>
          <w:color w:val="000000" w:themeColor="text1"/>
        </w:rPr>
        <w:t>Should the completion of the measure, by itself, place a student in the prepared or approaching prepared level?</w:t>
      </w:r>
    </w:p>
    <w:p w:rsidR="00D941EA" w:rsidRPr="004C7830" w:rsidRDefault="00D941EA" w:rsidP="00D941EA">
      <w:pPr>
        <w:pStyle w:val="ListParagraph"/>
        <w:numPr>
          <w:ilvl w:val="0"/>
          <w:numId w:val="34"/>
        </w:numPr>
        <w:shd w:val="clear" w:color="auto" w:fill="FFFFFF" w:themeFill="background1"/>
        <w:spacing w:before="120" w:after="240"/>
        <w:ind w:left="720"/>
        <w:rPr>
          <w:rFonts w:cs="Arial"/>
          <w:color w:val="000000" w:themeColor="text1"/>
        </w:rPr>
      </w:pPr>
      <w:r w:rsidRPr="004C7830">
        <w:rPr>
          <w:rFonts w:cs="Arial"/>
          <w:color w:val="000000" w:themeColor="text1"/>
        </w:rPr>
        <w:t>If the approaching prepared level is recommended, should the measure be paired with other CCI measures for students to be placed in the prepared level? If so, which ones?</w:t>
      </w:r>
    </w:p>
    <w:p w:rsidR="00D941EA" w:rsidRPr="004C7830" w:rsidRDefault="00D941EA" w:rsidP="00D941EA">
      <w:pPr>
        <w:pStyle w:val="ListParagraph"/>
        <w:shd w:val="clear" w:color="auto" w:fill="FFFFFF" w:themeFill="background1"/>
        <w:spacing w:before="120" w:after="240"/>
        <w:rPr>
          <w:rFonts w:cs="Arial"/>
          <w:color w:val="000000" w:themeColor="text1"/>
        </w:rPr>
      </w:pPr>
    </w:p>
    <w:p w:rsidR="00D941EA" w:rsidRPr="004C7830" w:rsidRDefault="00D941EA" w:rsidP="00D941EA">
      <w:pPr>
        <w:pStyle w:val="ListParagraph"/>
        <w:numPr>
          <w:ilvl w:val="0"/>
          <w:numId w:val="34"/>
        </w:numPr>
        <w:shd w:val="clear" w:color="auto" w:fill="FFFFFF" w:themeFill="background1"/>
        <w:spacing w:before="120" w:after="240"/>
        <w:ind w:left="720"/>
        <w:rPr>
          <w:rFonts w:cs="Arial"/>
          <w:color w:val="000000" w:themeColor="text1"/>
        </w:rPr>
      </w:pPr>
      <w:r w:rsidRPr="004C7830">
        <w:rPr>
          <w:rFonts w:cs="Arial"/>
          <w:color w:val="000000" w:themeColor="text1"/>
        </w:rPr>
        <w:t>What is the rationale for your recommendations?</w:t>
      </w:r>
    </w:p>
    <w:p w:rsidR="00D941EA" w:rsidRPr="004C7830" w:rsidRDefault="00D941EA" w:rsidP="00D941EA">
      <w:pPr>
        <w:shd w:val="clear" w:color="auto" w:fill="FFFFFF" w:themeFill="background1"/>
        <w:spacing w:before="120" w:after="100" w:afterAutospacing="1"/>
        <w:rPr>
          <w:rFonts w:cs="Arial"/>
          <w:color w:val="000000" w:themeColor="text1"/>
        </w:rPr>
      </w:pPr>
      <w:r w:rsidRPr="004C7830">
        <w:rPr>
          <w:rFonts w:cs="Arial"/>
          <w:color w:val="000000" w:themeColor="text1"/>
        </w:rPr>
        <w:t>For those measures that apply to DASS schools only, teams were also asked:</w:t>
      </w:r>
    </w:p>
    <w:p w:rsidR="00D941EA" w:rsidRPr="004C7830" w:rsidRDefault="00D941EA" w:rsidP="00D941EA">
      <w:pPr>
        <w:pStyle w:val="ListParagraph"/>
        <w:numPr>
          <w:ilvl w:val="0"/>
          <w:numId w:val="35"/>
        </w:numPr>
        <w:shd w:val="clear" w:color="auto" w:fill="FFFFFF" w:themeFill="background1"/>
        <w:tabs>
          <w:tab w:val="left" w:pos="720"/>
        </w:tabs>
        <w:spacing w:before="120" w:after="100" w:afterAutospacing="1"/>
        <w:rPr>
          <w:rFonts w:cs="Arial"/>
          <w:color w:val="000000" w:themeColor="text1"/>
        </w:rPr>
      </w:pPr>
      <w:r w:rsidRPr="004C7830">
        <w:rPr>
          <w:rFonts w:cs="Arial"/>
          <w:color w:val="000000" w:themeColor="text1"/>
        </w:rPr>
        <w:t xml:space="preserve">The CDE has indicated that this measure is limited to DASS schools. Should this measure also be applied to non-DASS Schools? </w:t>
      </w:r>
    </w:p>
    <w:p w:rsidR="00D941EA" w:rsidRPr="004C7830" w:rsidRDefault="00D941EA" w:rsidP="00D941EA">
      <w:pPr>
        <w:shd w:val="clear" w:color="auto" w:fill="FFFFFF" w:themeFill="background1"/>
        <w:spacing w:before="120" w:after="100" w:afterAutospacing="1"/>
        <w:rPr>
          <w:rFonts w:cs="Arial"/>
          <w:color w:val="000000" w:themeColor="text1"/>
        </w:rPr>
      </w:pPr>
      <w:r w:rsidRPr="004C7830">
        <w:rPr>
          <w:rFonts w:cs="Arial"/>
          <w:color w:val="000000" w:themeColor="text1"/>
        </w:rPr>
        <w:t>Based on the feedback from the two groups, the CDE determined whether further simulations needed to be produced.</w:t>
      </w:r>
    </w:p>
    <w:p w:rsidR="00D941EA" w:rsidRPr="004C7830" w:rsidRDefault="00D941EA" w:rsidP="00D941EA">
      <w:pPr>
        <w:shd w:val="clear" w:color="auto" w:fill="FFFFFF" w:themeFill="background1"/>
        <w:spacing w:before="120" w:after="100" w:afterAutospacing="1"/>
        <w:rPr>
          <w:rFonts w:cs="Arial"/>
          <w:color w:val="000000"/>
        </w:rPr>
      </w:pPr>
      <w:r w:rsidRPr="004C7830">
        <w:rPr>
          <w:rFonts w:cs="Arial"/>
          <w:color w:val="000000" w:themeColor="text1"/>
        </w:rPr>
        <w:t>The data shared with the two groups is included here.</w:t>
      </w:r>
    </w:p>
    <w:p w:rsidR="00D941EA" w:rsidRPr="004C7830" w:rsidRDefault="00D941EA" w:rsidP="00D941EA">
      <w:pPr>
        <w:pStyle w:val="Heading3"/>
        <w:rPr>
          <w:rFonts w:cs="Arial"/>
        </w:rPr>
      </w:pPr>
      <w:r w:rsidRPr="004C7830">
        <w:rPr>
          <w:rFonts w:cs="Arial"/>
        </w:rPr>
        <w:t>Pre-Apprenticeships: Registered and Non-Registered</w:t>
      </w:r>
    </w:p>
    <w:p w:rsidR="00D941EA" w:rsidRPr="004C7830" w:rsidRDefault="00D941EA" w:rsidP="00D941EA">
      <w:pPr>
        <w:shd w:val="clear" w:color="auto" w:fill="FFFFFF" w:themeFill="background1"/>
        <w:spacing w:before="120" w:after="100" w:afterAutospacing="1"/>
        <w:rPr>
          <w:rFonts w:cs="Arial"/>
          <w:color w:val="000000" w:themeColor="text1"/>
        </w:rPr>
      </w:pPr>
      <w:r w:rsidRPr="004C7830">
        <w:rPr>
          <w:rFonts w:cs="Arial"/>
          <w:color w:val="000000" w:themeColor="text1"/>
        </w:rPr>
        <w:t xml:space="preserve">In 2018–19, a pre-apprenticeship was completed by 2,947 high school students (or 0.6 percent of high school students). A breakdown by registered and non-registered pre-apprenticeships appears below: </w:t>
      </w:r>
    </w:p>
    <w:p w:rsidR="00D941EA" w:rsidRPr="004C7830" w:rsidRDefault="00D941EA" w:rsidP="00336B0F">
      <w:pPr>
        <w:pStyle w:val="ListParagraph"/>
        <w:numPr>
          <w:ilvl w:val="0"/>
          <w:numId w:val="35"/>
        </w:numPr>
        <w:spacing w:after="240"/>
        <w:rPr>
          <w:rFonts w:cs="Arial"/>
          <w:b/>
          <w:color w:val="000000"/>
        </w:rPr>
      </w:pPr>
      <w:r w:rsidRPr="004C7830">
        <w:rPr>
          <w:rFonts w:cs="Arial"/>
          <w:color w:val="000000" w:themeColor="text1"/>
        </w:rPr>
        <w:lastRenderedPageBreak/>
        <w:t>Registered pre-apprenticeships were completed by 1,302 high school students (0.26 percent). These programs are</w:t>
      </w:r>
      <w:r w:rsidRPr="004C7830">
        <w:rPr>
          <w:rFonts w:cs="Arial"/>
          <w:color w:val="000000"/>
        </w:rPr>
        <w:t xml:space="preserve"> recognized by business and/or industry and are registered at the state or national level. (Note: The Division of Apprenticeship Standards in the Department of Industrial Relationships may recognize pre-apprenticeship programs that have formal linkage agreements with state-registered apprenticeship programs and have e</w:t>
      </w:r>
      <w:r w:rsidRPr="004C7830">
        <w:rPr>
          <w:rStyle w:val="Strong"/>
          <w:rFonts w:eastAsiaTheme="majorEastAsia" w:cs="Arial"/>
          <w:color w:val="333333"/>
          <w:shd w:val="clear" w:color="auto" w:fill="FFFFFF"/>
        </w:rPr>
        <w:t>stablished apprenticeship program standards</w:t>
      </w:r>
      <w:r w:rsidRPr="004C7830">
        <w:rPr>
          <w:rFonts w:cs="Arial"/>
          <w:b/>
          <w:color w:val="000000"/>
        </w:rPr>
        <w:t>.)</w:t>
      </w:r>
    </w:p>
    <w:p w:rsidR="00336B0F" w:rsidRPr="004C7830" w:rsidRDefault="00336B0F" w:rsidP="00336B0F">
      <w:pPr>
        <w:pStyle w:val="ListParagraph"/>
        <w:spacing w:after="240"/>
        <w:rPr>
          <w:rFonts w:cs="Arial"/>
          <w:b/>
          <w:color w:val="000000"/>
        </w:rPr>
      </w:pPr>
    </w:p>
    <w:p w:rsidR="00D941EA" w:rsidRPr="004C7830" w:rsidRDefault="00D941EA" w:rsidP="00336B0F">
      <w:pPr>
        <w:pStyle w:val="ListParagraph"/>
        <w:numPr>
          <w:ilvl w:val="0"/>
          <w:numId w:val="35"/>
        </w:numPr>
        <w:spacing w:after="240"/>
        <w:rPr>
          <w:rFonts w:cs="Arial"/>
          <w:b/>
          <w:color w:val="000000"/>
        </w:rPr>
      </w:pPr>
      <w:r w:rsidRPr="004C7830">
        <w:rPr>
          <w:rFonts w:cs="Arial"/>
          <w:color w:val="000000" w:themeColor="text1"/>
        </w:rPr>
        <w:t xml:space="preserve">Non-registered pre-apprenticeships were completed by 1,645 high school students (0.33 percent). These programs are </w:t>
      </w:r>
      <w:r w:rsidRPr="004C7830">
        <w:rPr>
          <w:rFonts w:cs="Arial"/>
          <w:color w:val="000000"/>
        </w:rPr>
        <w:t>recognized by business and/or industry but are not registered at the state or national level.</w:t>
      </w:r>
    </w:p>
    <w:p w:rsidR="00336B0F" w:rsidRPr="004C7830" w:rsidRDefault="00D941EA" w:rsidP="00D941EA">
      <w:pPr>
        <w:spacing w:after="240"/>
        <w:rPr>
          <w:rFonts w:eastAsia="Arial" w:cs="Arial"/>
          <w:color w:val="000000" w:themeColor="text1"/>
        </w:rPr>
      </w:pPr>
      <w:r w:rsidRPr="004C7830">
        <w:rPr>
          <w:rFonts w:eastAsia="Arial" w:cs="Arial"/>
          <w:color w:val="000000" w:themeColor="text1"/>
        </w:rPr>
        <w:t>In order to evaluate the benefit of adding this measure to the CCI model, the CDE conducted an analysis, shown in Tables 1 and 2 of all students who completed a registered and non-registered pre-apprenticeship and their CCI preparedness levels.</w:t>
      </w:r>
    </w:p>
    <w:p w:rsidR="00D941EA" w:rsidRPr="004C7830" w:rsidRDefault="00D941EA" w:rsidP="00FC2F7B">
      <w:pPr>
        <w:pStyle w:val="Heading3"/>
      </w:pPr>
      <w:r w:rsidRPr="004C7830">
        <w:t>Table 1: Registered Pre-Apprenticeship Completers and CCI Level on the 2019 Dashboard</w:t>
      </w:r>
    </w:p>
    <w:tbl>
      <w:tblPr>
        <w:tblStyle w:val="TableGrid"/>
        <w:tblW w:w="8467" w:type="dxa"/>
        <w:tblInd w:w="-5" w:type="dxa"/>
        <w:tblLayout w:type="fixed"/>
        <w:tblLook w:val="06A0" w:firstRow="1" w:lastRow="0" w:firstColumn="1" w:lastColumn="0" w:noHBand="1" w:noVBand="1"/>
        <w:tblDescription w:val="Table displaying registered pre-apprenticeship completers and CCI Level."/>
      </w:tblPr>
      <w:tblGrid>
        <w:gridCol w:w="3690"/>
        <w:gridCol w:w="2372"/>
        <w:gridCol w:w="2405"/>
      </w:tblGrid>
      <w:tr w:rsidR="00D941EA" w:rsidRPr="004C7830" w:rsidTr="00F83A33">
        <w:trPr>
          <w:cantSplit/>
          <w:tblHeader/>
        </w:trPr>
        <w:tc>
          <w:tcPr>
            <w:tcW w:w="369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CCI Level </w:t>
            </w:r>
          </w:p>
          <w:p w:rsidR="00D941EA" w:rsidRPr="004C7830" w:rsidRDefault="00D941EA" w:rsidP="00F83A33">
            <w:pPr>
              <w:spacing w:after="120"/>
              <w:jc w:val="center"/>
              <w:rPr>
                <w:rFonts w:eastAsia="Arial" w:cs="Arial"/>
                <w:color w:val="000000" w:themeColor="text1"/>
                <w:sz w:val="24"/>
                <w:szCs w:val="24"/>
              </w:rPr>
            </w:pPr>
            <w:r w:rsidRPr="004C7830">
              <w:rPr>
                <w:rFonts w:eastAsia="Arial" w:cs="Arial"/>
                <w:b/>
                <w:bCs/>
                <w:color w:val="000000" w:themeColor="text1"/>
                <w:sz w:val="24"/>
                <w:szCs w:val="24"/>
              </w:rPr>
              <w:t>(via current CCI measures)</w:t>
            </w:r>
            <w:r w:rsidRPr="004C7830">
              <w:rPr>
                <w:rFonts w:eastAsia="Arial" w:cs="Arial"/>
                <w:color w:val="000000" w:themeColor="text1"/>
                <w:sz w:val="24"/>
                <w:szCs w:val="24"/>
              </w:rPr>
              <w:t xml:space="preserve"> </w:t>
            </w:r>
          </w:p>
        </w:tc>
        <w:tc>
          <w:tcPr>
            <w:tcW w:w="2372"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2019 Students: Non-DASS</w:t>
            </w:r>
            <w:r w:rsidRPr="004C7830">
              <w:rPr>
                <w:rFonts w:eastAsia="Arial" w:cs="Arial"/>
                <w:color w:val="000000" w:themeColor="text1"/>
                <w:sz w:val="24"/>
                <w:szCs w:val="24"/>
              </w:rPr>
              <w:t xml:space="preserve"> </w:t>
            </w:r>
          </w:p>
        </w:tc>
        <w:tc>
          <w:tcPr>
            <w:tcW w:w="2405"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2019 Students: DASS</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Prepared</w:t>
            </w:r>
          </w:p>
        </w:tc>
        <w:tc>
          <w:tcPr>
            <w:tcW w:w="2372"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725 (63.5%)</w:t>
            </w:r>
          </w:p>
        </w:tc>
        <w:tc>
          <w:tcPr>
            <w:tcW w:w="2405"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0 (0.0%)</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Approaching Prepared*</w:t>
            </w:r>
          </w:p>
        </w:tc>
        <w:tc>
          <w:tcPr>
            <w:tcW w:w="2372"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249 (21.8%)</w:t>
            </w:r>
          </w:p>
        </w:tc>
        <w:tc>
          <w:tcPr>
            <w:tcW w:w="2405"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10 (6.2%)</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(graduated)*</w:t>
            </w:r>
          </w:p>
        </w:tc>
        <w:tc>
          <w:tcPr>
            <w:tcW w:w="2372"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143 (12.5%)</w:t>
            </w:r>
          </w:p>
        </w:tc>
        <w:tc>
          <w:tcPr>
            <w:tcW w:w="2405"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83 (51.6%)</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(did not graduate)</w:t>
            </w:r>
          </w:p>
        </w:tc>
        <w:tc>
          <w:tcPr>
            <w:tcW w:w="2372"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24 (2.1%)</w:t>
            </w:r>
          </w:p>
        </w:tc>
        <w:tc>
          <w:tcPr>
            <w:tcW w:w="2405"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68 (42.2%)</w:t>
            </w:r>
          </w:p>
        </w:tc>
      </w:tr>
      <w:tr w:rsidR="00D941EA" w:rsidRPr="004C7830" w:rsidTr="00F83A33">
        <w:trPr>
          <w:cantSplit/>
        </w:trPr>
        <w:tc>
          <w:tcPr>
            <w:tcW w:w="3690" w:type="dxa"/>
          </w:tcPr>
          <w:p w:rsidR="00D941EA" w:rsidRPr="004C7830" w:rsidRDefault="00D941EA" w:rsidP="00F83A33">
            <w:pPr>
              <w:rPr>
                <w:rFonts w:eastAsia="Arial" w:cs="Arial"/>
                <w:b/>
                <w:color w:val="000000" w:themeColor="text1"/>
                <w:sz w:val="24"/>
                <w:szCs w:val="24"/>
              </w:rPr>
            </w:pPr>
            <w:r w:rsidRPr="004C7830">
              <w:rPr>
                <w:rFonts w:eastAsia="Arial" w:cs="Arial"/>
                <w:b/>
                <w:color w:val="000000" w:themeColor="text1"/>
                <w:sz w:val="24"/>
                <w:szCs w:val="24"/>
              </w:rPr>
              <w:t>Total for All CCI Levels</w:t>
            </w:r>
          </w:p>
        </w:tc>
        <w:tc>
          <w:tcPr>
            <w:tcW w:w="2372" w:type="dxa"/>
          </w:tcPr>
          <w:p w:rsidR="00D941EA" w:rsidRPr="004C7830" w:rsidRDefault="00D941EA" w:rsidP="00F83A33">
            <w:pPr>
              <w:jc w:val="center"/>
              <w:rPr>
                <w:rFonts w:eastAsia="Arial" w:cs="Arial"/>
                <w:b/>
                <w:color w:val="000000" w:themeColor="text1"/>
                <w:sz w:val="24"/>
                <w:szCs w:val="24"/>
              </w:rPr>
            </w:pPr>
            <w:r w:rsidRPr="004C7830">
              <w:rPr>
                <w:rFonts w:eastAsia="Arial" w:cs="Arial"/>
                <w:b/>
                <w:color w:val="000000" w:themeColor="text1"/>
                <w:sz w:val="24"/>
                <w:szCs w:val="24"/>
              </w:rPr>
              <w:t>1,141</w:t>
            </w:r>
          </w:p>
        </w:tc>
        <w:tc>
          <w:tcPr>
            <w:tcW w:w="2405" w:type="dxa"/>
          </w:tcPr>
          <w:p w:rsidR="00D941EA" w:rsidRPr="004C7830" w:rsidRDefault="00D941EA" w:rsidP="00F83A33">
            <w:pPr>
              <w:jc w:val="center"/>
              <w:rPr>
                <w:rFonts w:eastAsia="Arial" w:cs="Arial"/>
                <w:b/>
                <w:color w:val="000000" w:themeColor="text1"/>
                <w:sz w:val="24"/>
                <w:szCs w:val="24"/>
              </w:rPr>
            </w:pPr>
            <w:r w:rsidRPr="004C7830">
              <w:rPr>
                <w:rFonts w:eastAsia="Arial" w:cs="Arial"/>
                <w:b/>
                <w:color w:val="000000" w:themeColor="text1"/>
                <w:sz w:val="24"/>
                <w:szCs w:val="24"/>
              </w:rPr>
              <w:t>161</w:t>
            </w:r>
          </w:p>
        </w:tc>
      </w:tr>
    </w:tbl>
    <w:p w:rsidR="00D37953" w:rsidRPr="004C7830" w:rsidRDefault="00D941EA" w:rsidP="00E12039">
      <w:pPr>
        <w:spacing w:before="240" w:after="240"/>
        <w:rPr>
          <w:b/>
        </w:rPr>
      </w:pPr>
      <w:r w:rsidRPr="004C7830">
        <w:rPr>
          <w:rFonts w:eastAsia="Arial" w:cs="Arial"/>
        </w:rPr>
        <w:t>*The shaded boxes represent the students who could potentially benefit from the inclusion of the registered pre-apprenticeship in the CCI. Depending on the criteria adopted for this measure, students who completed a registered pre-apprenticeship could be placed in a higher CCI level. That is, 249 non-DASS students and 10 DASS students could potentially move from the Approaching Prepared level to the Prepared level, and a total of 226 students could move from the Not Prepared level to the Approaching Prepared level.</w:t>
      </w:r>
    </w:p>
    <w:p w:rsidR="00D941EA" w:rsidRPr="004C7830" w:rsidRDefault="00D941EA" w:rsidP="00FC2F7B">
      <w:pPr>
        <w:pStyle w:val="Heading3"/>
        <w:rPr>
          <w:rFonts w:eastAsia="Arial" w:cs="Arial"/>
          <w:bCs/>
          <w:color w:val="000000" w:themeColor="text1"/>
        </w:rPr>
      </w:pPr>
      <w:r w:rsidRPr="004C7830">
        <w:t>Table 2: Non-Registered Pre-Apprenticeship Completers and CCI Level on the 2019 Dashboard</w:t>
      </w:r>
    </w:p>
    <w:tbl>
      <w:tblPr>
        <w:tblStyle w:val="TableGrid"/>
        <w:tblW w:w="8820" w:type="dxa"/>
        <w:tblInd w:w="-5" w:type="dxa"/>
        <w:tblLayout w:type="fixed"/>
        <w:tblLook w:val="06A0" w:firstRow="1" w:lastRow="0" w:firstColumn="1" w:lastColumn="0" w:noHBand="1" w:noVBand="1"/>
        <w:tblDescription w:val="Table displaying non-registered pre-apprenticeship completers and CCI Level."/>
      </w:tblPr>
      <w:tblGrid>
        <w:gridCol w:w="3780"/>
        <w:gridCol w:w="2520"/>
        <w:gridCol w:w="2520"/>
      </w:tblGrid>
      <w:tr w:rsidR="00D941EA" w:rsidRPr="004C7830" w:rsidTr="00700007">
        <w:trPr>
          <w:cantSplit/>
          <w:tblHeader/>
        </w:trPr>
        <w:tc>
          <w:tcPr>
            <w:tcW w:w="3780"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CCI Level (via current CCI measures)</w:t>
            </w:r>
            <w:r w:rsidRPr="004C7830">
              <w:rPr>
                <w:rFonts w:eastAsia="Arial" w:cs="Arial"/>
                <w:color w:val="000000" w:themeColor="text1"/>
                <w:sz w:val="24"/>
                <w:szCs w:val="24"/>
              </w:rPr>
              <w:t xml:space="preserve"> </w:t>
            </w:r>
          </w:p>
        </w:tc>
        <w:tc>
          <w:tcPr>
            <w:tcW w:w="2520"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2019 Students: Non-DASS</w:t>
            </w:r>
            <w:r w:rsidRPr="004C7830">
              <w:rPr>
                <w:rFonts w:eastAsia="Arial" w:cs="Arial"/>
                <w:color w:val="000000" w:themeColor="text1"/>
                <w:sz w:val="24"/>
                <w:szCs w:val="24"/>
              </w:rPr>
              <w:t xml:space="preserve"> </w:t>
            </w:r>
          </w:p>
        </w:tc>
        <w:tc>
          <w:tcPr>
            <w:tcW w:w="252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2019 Students: DASS</w:t>
            </w:r>
          </w:p>
        </w:tc>
      </w:tr>
      <w:tr w:rsidR="00D941EA" w:rsidRPr="004C7830" w:rsidTr="00700007">
        <w:trPr>
          <w:cantSplit/>
        </w:trPr>
        <w:tc>
          <w:tcPr>
            <w:tcW w:w="378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Prepared</w:t>
            </w:r>
          </w:p>
        </w:tc>
        <w:tc>
          <w:tcPr>
            <w:tcW w:w="252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1,021 (70.7%)</w:t>
            </w:r>
          </w:p>
        </w:tc>
        <w:tc>
          <w:tcPr>
            <w:tcW w:w="252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0 (0.0%)</w:t>
            </w:r>
          </w:p>
        </w:tc>
      </w:tr>
      <w:tr w:rsidR="00D941EA" w:rsidRPr="004C7830" w:rsidTr="00700007">
        <w:trPr>
          <w:cantSplit/>
        </w:trPr>
        <w:tc>
          <w:tcPr>
            <w:tcW w:w="378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Approaching Prepared*</w:t>
            </w:r>
          </w:p>
        </w:tc>
        <w:tc>
          <w:tcPr>
            <w:tcW w:w="252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250 (17.3%)</w:t>
            </w:r>
          </w:p>
        </w:tc>
        <w:tc>
          <w:tcPr>
            <w:tcW w:w="252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16 (8.0%)</w:t>
            </w:r>
          </w:p>
        </w:tc>
      </w:tr>
      <w:tr w:rsidR="00D941EA" w:rsidRPr="004C7830" w:rsidTr="00700007">
        <w:trPr>
          <w:cantSplit/>
        </w:trPr>
        <w:tc>
          <w:tcPr>
            <w:tcW w:w="378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(graduated)*</w:t>
            </w:r>
          </w:p>
        </w:tc>
        <w:tc>
          <w:tcPr>
            <w:tcW w:w="252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156 (10.8%)</w:t>
            </w:r>
          </w:p>
        </w:tc>
        <w:tc>
          <w:tcPr>
            <w:tcW w:w="252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120 (59.7%)</w:t>
            </w:r>
          </w:p>
        </w:tc>
      </w:tr>
      <w:tr w:rsidR="00D941EA" w:rsidRPr="004C7830" w:rsidTr="00700007">
        <w:trPr>
          <w:cantSplit/>
        </w:trPr>
        <w:tc>
          <w:tcPr>
            <w:tcW w:w="378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(did not graduate)</w:t>
            </w:r>
          </w:p>
        </w:tc>
        <w:tc>
          <w:tcPr>
            <w:tcW w:w="252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17 (1.2%)</w:t>
            </w:r>
          </w:p>
        </w:tc>
        <w:tc>
          <w:tcPr>
            <w:tcW w:w="252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65 (32.3%)</w:t>
            </w:r>
          </w:p>
        </w:tc>
      </w:tr>
      <w:tr w:rsidR="00D941EA" w:rsidRPr="004C7830" w:rsidTr="00700007">
        <w:trPr>
          <w:cantSplit/>
        </w:trPr>
        <w:tc>
          <w:tcPr>
            <w:tcW w:w="3780" w:type="dxa"/>
          </w:tcPr>
          <w:p w:rsidR="00D941EA" w:rsidRPr="004C7830" w:rsidRDefault="00D941EA" w:rsidP="00F83A33">
            <w:pPr>
              <w:rPr>
                <w:rFonts w:eastAsia="Arial" w:cs="Arial"/>
                <w:b/>
                <w:color w:val="000000" w:themeColor="text1"/>
                <w:sz w:val="24"/>
                <w:szCs w:val="24"/>
              </w:rPr>
            </w:pPr>
            <w:r w:rsidRPr="004C7830">
              <w:rPr>
                <w:rFonts w:eastAsia="Arial" w:cs="Arial"/>
                <w:b/>
                <w:color w:val="000000" w:themeColor="text1"/>
                <w:sz w:val="24"/>
                <w:szCs w:val="24"/>
              </w:rPr>
              <w:t>Total for All CCI Levels</w:t>
            </w:r>
          </w:p>
        </w:tc>
        <w:tc>
          <w:tcPr>
            <w:tcW w:w="2520" w:type="dxa"/>
          </w:tcPr>
          <w:p w:rsidR="00D941EA" w:rsidRPr="004C7830" w:rsidRDefault="00D941EA" w:rsidP="00F83A33">
            <w:pPr>
              <w:jc w:val="center"/>
              <w:rPr>
                <w:rFonts w:eastAsia="Arial" w:cs="Arial"/>
                <w:b/>
                <w:color w:val="000000" w:themeColor="text1"/>
                <w:sz w:val="24"/>
                <w:szCs w:val="24"/>
              </w:rPr>
            </w:pPr>
            <w:r w:rsidRPr="004C7830">
              <w:rPr>
                <w:rFonts w:eastAsia="Arial" w:cs="Arial"/>
                <w:b/>
                <w:color w:val="000000" w:themeColor="text1"/>
                <w:sz w:val="24"/>
                <w:szCs w:val="24"/>
              </w:rPr>
              <w:t>1,444</w:t>
            </w:r>
          </w:p>
        </w:tc>
        <w:tc>
          <w:tcPr>
            <w:tcW w:w="2520" w:type="dxa"/>
          </w:tcPr>
          <w:p w:rsidR="00D941EA" w:rsidRPr="004C7830" w:rsidRDefault="00D941EA" w:rsidP="00F83A33">
            <w:pPr>
              <w:jc w:val="center"/>
              <w:rPr>
                <w:rFonts w:eastAsia="Arial" w:cs="Arial"/>
                <w:b/>
                <w:color w:val="000000" w:themeColor="text1"/>
                <w:sz w:val="24"/>
                <w:szCs w:val="24"/>
              </w:rPr>
            </w:pPr>
            <w:r w:rsidRPr="004C7830">
              <w:rPr>
                <w:rFonts w:eastAsia="Arial" w:cs="Arial"/>
                <w:b/>
                <w:color w:val="000000" w:themeColor="text1"/>
                <w:sz w:val="24"/>
                <w:szCs w:val="24"/>
              </w:rPr>
              <w:t>201</w:t>
            </w:r>
          </w:p>
        </w:tc>
      </w:tr>
    </w:tbl>
    <w:p w:rsidR="00D941EA" w:rsidRPr="004C7830" w:rsidRDefault="00D941EA" w:rsidP="00D941EA">
      <w:pPr>
        <w:spacing w:before="240"/>
      </w:pPr>
      <w:r w:rsidRPr="004C7830">
        <w:rPr>
          <w:rFonts w:eastAsia="Arial" w:cs="Arial"/>
        </w:rPr>
        <w:lastRenderedPageBreak/>
        <w:t xml:space="preserve">*The shaded boxes represent the students who could potentially benefit from the inclusion of the non-registered pre-apprenticeship in the CCI. Depending on the criteria adopted for this measure, students who completed a non-registered pre-apprenticeship could be placed in a higher CCI level. </w:t>
      </w:r>
    </w:p>
    <w:p w:rsidR="00D941EA" w:rsidRPr="004C7830" w:rsidRDefault="00D941EA" w:rsidP="00D941EA">
      <w:pPr>
        <w:spacing w:before="240" w:after="240"/>
        <w:rPr>
          <w:rFonts w:eastAsia="Arial" w:cs="Arial"/>
        </w:rPr>
      </w:pPr>
      <w:r w:rsidRPr="004C7830">
        <w:rPr>
          <w:rFonts w:eastAsia="Arial" w:cs="Arial"/>
        </w:rPr>
        <w:t xml:space="preserve">The CDE also conducted a cross-measure analysis to determine the number of students who completed both a registered or non-registered pre-apprenticeship and career technical education (CTE) coursework. </w:t>
      </w:r>
    </w:p>
    <w:p w:rsidR="00D941EA" w:rsidRPr="004C7830" w:rsidRDefault="00D941EA" w:rsidP="00D941EA">
      <w:pPr>
        <w:spacing w:before="240" w:after="240"/>
        <w:rPr>
          <w:rFonts w:eastAsia="Arial" w:cs="Arial"/>
        </w:rPr>
      </w:pPr>
      <w:r w:rsidRPr="004C7830">
        <w:rPr>
          <w:rFonts w:eastAsia="Arial" w:cs="Arial"/>
        </w:rPr>
        <w:t xml:space="preserve">Of the 1,302 </w:t>
      </w:r>
      <w:r w:rsidRPr="004C7830">
        <w:rPr>
          <w:rFonts w:eastAsia="Arial" w:cs="Arial"/>
          <w:b/>
        </w:rPr>
        <w:t>registered</w:t>
      </w:r>
      <w:r w:rsidRPr="004C7830">
        <w:rPr>
          <w:rFonts w:eastAsia="Arial" w:cs="Arial"/>
        </w:rPr>
        <w:t xml:space="preserve"> pre-apprenticeship completers:</w:t>
      </w:r>
    </w:p>
    <w:p w:rsidR="00D941EA" w:rsidRPr="004C7830" w:rsidRDefault="00D941EA" w:rsidP="00D941EA">
      <w:pPr>
        <w:pStyle w:val="ListParagraph"/>
        <w:numPr>
          <w:ilvl w:val="0"/>
          <w:numId w:val="28"/>
        </w:numPr>
        <w:spacing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611 (46.9 percent) completed a CTE pathway between 2015 and 2019</w:t>
      </w:r>
    </w:p>
    <w:p w:rsidR="00D941EA" w:rsidRPr="004C7830" w:rsidRDefault="00D941EA" w:rsidP="00D941EA">
      <w:pPr>
        <w:pStyle w:val="ListParagraph"/>
        <w:numPr>
          <w:ilvl w:val="0"/>
          <w:numId w:val="28"/>
        </w:numPr>
        <w:spacing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1,035 (79.4 percent) completed at least one semester or one quarter of CTE courses with a C minus or better in 2019</w:t>
      </w:r>
    </w:p>
    <w:p w:rsidR="00D941EA" w:rsidRPr="004C7830" w:rsidRDefault="00D941EA" w:rsidP="00D941EA">
      <w:pPr>
        <w:pStyle w:val="ListParagraph"/>
        <w:numPr>
          <w:ilvl w:val="0"/>
          <w:numId w:val="27"/>
        </w:numPr>
        <w:spacing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1,069 (82.1 percent) earned at least 0.5 credits in a CTE course in 2019</w:t>
      </w:r>
    </w:p>
    <w:p w:rsidR="00D941EA" w:rsidRPr="004C7830" w:rsidRDefault="00D941EA" w:rsidP="00D941EA">
      <w:pPr>
        <w:spacing w:before="240"/>
        <w:rPr>
          <w:rFonts w:eastAsia="Arial" w:cs="Arial"/>
        </w:rPr>
      </w:pPr>
      <w:r w:rsidRPr="004C7830">
        <w:rPr>
          <w:rFonts w:eastAsia="Arial" w:cs="Arial"/>
        </w:rPr>
        <w:t xml:space="preserve">Of the 1,645 </w:t>
      </w:r>
      <w:r w:rsidRPr="004C7830">
        <w:rPr>
          <w:rFonts w:eastAsia="Arial" w:cs="Arial"/>
          <w:b/>
        </w:rPr>
        <w:t xml:space="preserve">non-registered </w:t>
      </w:r>
      <w:r w:rsidRPr="004C7830">
        <w:rPr>
          <w:rFonts w:eastAsia="Arial" w:cs="Arial"/>
        </w:rPr>
        <w:t>pre-apprenticeship completers:</w:t>
      </w:r>
    </w:p>
    <w:p w:rsidR="00D941EA" w:rsidRPr="004C7830" w:rsidRDefault="00D941EA" w:rsidP="00D941EA">
      <w:pPr>
        <w:pStyle w:val="ListParagraph"/>
        <w:numPr>
          <w:ilvl w:val="0"/>
          <w:numId w:val="28"/>
        </w:numPr>
        <w:spacing w:before="240"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653 (39.7 percent) completed a CTE pathway between 2015 and 2019</w:t>
      </w:r>
    </w:p>
    <w:p w:rsidR="00D941EA" w:rsidRPr="004C7830" w:rsidRDefault="00D941EA" w:rsidP="00D941EA">
      <w:pPr>
        <w:pStyle w:val="ListParagraph"/>
        <w:numPr>
          <w:ilvl w:val="0"/>
          <w:numId w:val="28"/>
        </w:numPr>
        <w:spacing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1,336 (81.2 percent) completed at least one semester or one quarter of CTE courses with a C minus or better in 2019</w:t>
      </w:r>
    </w:p>
    <w:p w:rsidR="00D941EA" w:rsidRPr="004C7830" w:rsidRDefault="00D941EA" w:rsidP="00D941EA">
      <w:pPr>
        <w:pStyle w:val="ListParagraph"/>
        <w:numPr>
          <w:ilvl w:val="0"/>
          <w:numId w:val="27"/>
        </w:numPr>
        <w:spacing w:after="240"/>
        <w:contextualSpacing w:val="0"/>
        <w:rPr>
          <w:rFonts w:asciiTheme="minorHAnsi" w:eastAsiaTheme="minorEastAsia" w:hAnsiTheme="minorHAnsi" w:cstheme="minorBidi"/>
          <w:color w:val="000000" w:themeColor="text1"/>
        </w:rPr>
      </w:pPr>
      <w:r w:rsidRPr="004C7830">
        <w:rPr>
          <w:rFonts w:eastAsia="Arial" w:cs="Arial"/>
          <w:color w:val="000000" w:themeColor="text1"/>
        </w:rPr>
        <w:t>1,356 (82.4 percent) earned at least 0.5 credits in a CTE course in 2019</w:t>
      </w:r>
    </w:p>
    <w:p w:rsidR="00D941EA" w:rsidRPr="004C7830" w:rsidRDefault="00D941EA" w:rsidP="00D941EA">
      <w:pPr>
        <w:spacing w:after="240"/>
        <w:rPr>
          <w:rFonts w:cs="Arial"/>
          <w:color w:val="000000" w:themeColor="text1"/>
        </w:rPr>
      </w:pPr>
      <w:r w:rsidRPr="004C7830">
        <w:rPr>
          <w:rFonts w:eastAsia="Arial" w:cs="Arial"/>
          <w:color w:val="000000" w:themeColor="text1"/>
        </w:rPr>
        <w:t>Based on this data, the Alternative Schools Task Force and CCI Subcommittee</w:t>
      </w:r>
      <w:r w:rsidRPr="004C7830">
        <w:rPr>
          <w:rFonts w:cs="Arial"/>
          <w:color w:val="000000" w:themeColor="text1"/>
        </w:rPr>
        <w:t xml:space="preserve"> requested that the CDE conduct simulations based on the following placement criteria:</w:t>
      </w:r>
    </w:p>
    <w:p w:rsidR="00D941EA" w:rsidRPr="004C7830" w:rsidRDefault="00D941EA" w:rsidP="00D941EA">
      <w:pPr>
        <w:numPr>
          <w:ilvl w:val="0"/>
          <w:numId w:val="39"/>
        </w:numPr>
        <w:spacing w:after="240"/>
        <w:rPr>
          <w:rFonts w:cs="Arial"/>
          <w:color w:val="000000" w:themeColor="text1"/>
        </w:rPr>
      </w:pPr>
      <w:r w:rsidRPr="004C7830">
        <w:rPr>
          <w:rFonts w:cs="Arial"/>
          <w:b/>
          <w:bCs/>
          <w:color w:val="000000" w:themeColor="text1"/>
        </w:rPr>
        <w:t>Registered Pre-Apprenticeships</w:t>
      </w:r>
      <w:r w:rsidRPr="004C7830">
        <w:rPr>
          <w:rFonts w:cs="Arial"/>
          <w:color w:val="000000" w:themeColor="text1"/>
        </w:rPr>
        <w:t>, by itself, may earn a student Prepared (i.e., stand-alone measure).</w:t>
      </w:r>
    </w:p>
    <w:p w:rsidR="00D941EA" w:rsidRPr="004C7830" w:rsidRDefault="00D941EA" w:rsidP="00D941EA">
      <w:pPr>
        <w:numPr>
          <w:ilvl w:val="0"/>
          <w:numId w:val="39"/>
        </w:numPr>
        <w:spacing w:after="240"/>
        <w:rPr>
          <w:rFonts w:cs="Arial"/>
          <w:color w:val="000000" w:themeColor="text1"/>
        </w:rPr>
      </w:pPr>
      <w:r w:rsidRPr="004C7830">
        <w:rPr>
          <w:rFonts w:cs="Arial"/>
          <w:b/>
          <w:bCs/>
          <w:color w:val="000000" w:themeColor="text1"/>
        </w:rPr>
        <w:t>Non-Registered Pre-Apprenticeships</w:t>
      </w:r>
      <w:r w:rsidRPr="004C7830">
        <w:rPr>
          <w:rFonts w:cs="Arial"/>
          <w:color w:val="000000" w:themeColor="text1"/>
        </w:rPr>
        <w:t xml:space="preserve"> must be paired with an additional CTE measure for Prepared. This additional measure is dependent on the type of school from which the student graduates:</w:t>
      </w:r>
    </w:p>
    <w:p w:rsidR="00D941EA" w:rsidRPr="004C7830" w:rsidRDefault="00D941EA" w:rsidP="00D941EA">
      <w:pPr>
        <w:pStyle w:val="ListParagraph"/>
        <w:numPr>
          <w:ilvl w:val="0"/>
          <w:numId w:val="40"/>
        </w:numPr>
        <w:spacing w:after="240"/>
        <w:rPr>
          <w:rFonts w:cs="Arial"/>
          <w:color w:val="000000" w:themeColor="text1"/>
        </w:rPr>
      </w:pPr>
      <w:r w:rsidRPr="004C7830">
        <w:rPr>
          <w:rFonts w:cs="Arial"/>
          <w:color w:val="000000" w:themeColor="text1"/>
        </w:rPr>
        <w:t xml:space="preserve">Students at </w:t>
      </w:r>
      <w:r w:rsidRPr="004C7830">
        <w:rPr>
          <w:rFonts w:cs="Arial"/>
          <w:b/>
          <w:bCs/>
          <w:color w:val="000000" w:themeColor="text1"/>
        </w:rPr>
        <w:t>non-DASS schools</w:t>
      </w:r>
      <w:r w:rsidRPr="004C7830">
        <w:rPr>
          <w:rFonts w:cs="Arial"/>
          <w:color w:val="000000" w:themeColor="text1"/>
        </w:rPr>
        <w:t xml:space="preserve"> must also complete a CTE pathway to earn Prepared.</w:t>
      </w:r>
    </w:p>
    <w:p w:rsidR="00D941EA" w:rsidRPr="004C7830" w:rsidRDefault="00D941EA" w:rsidP="00D941EA">
      <w:pPr>
        <w:pStyle w:val="ListParagraph"/>
        <w:spacing w:after="240"/>
        <w:ind w:left="1440"/>
        <w:rPr>
          <w:rFonts w:cs="Arial"/>
          <w:color w:val="000000" w:themeColor="text1"/>
        </w:rPr>
      </w:pPr>
    </w:p>
    <w:p w:rsidR="00D941EA" w:rsidRPr="004C7830" w:rsidRDefault="00D941EA" w:rsidP="00D941EA">
      <w:pPr>
        <w:pStyle w:val="ListParagraph"/>
        <w:numPr>
          <w:ilvl w:val="0"/>
          <w:numId w:val="40"/>
        </w:numPr>
        <w:spacing w:after="240"/>
        <w:rPr>
          <w:rFonts w:cs="Arial"/>
          <w:color w:val="000000" w:themeColor="text1"/>
        </w:rPr>
      </w:pPr>
      <w:r w:rsidRPr="004C7830">
        <w:rPr>
          <w:rFonts w:cs="Arial"/>
          <w:color w:val="000000" w:themeColor="text1"/>
        </w:rPr>
        <w:t xml:space="preserve">Students at </w:t>
      </w:r>
      <w:r w:rsidRPr="004C7830">
        <w:rPr>
          <w:rFonts w:cs="Arial"/>
          <w:b/>
          <w:bCs/>
          <w:color w:val="000000" w:themeColor="text1"/>
        </w:rPr>
        <w:t>DASS schools</w:t>
      </w:r>
      <w:r w:rsidRPr="004C7830">
        <w:rPr>
          <w:rFonts w:cs="Arial"/>
          <w:color w:val="000000" w:themeColor="text1"/>
        </w:rPr>
        <w:t xml:space="preserve"> must also complete either one CTE pathway or one semester/two quarters</w:t>
      </w:r>
      <w:r w:rsidR="00F92897" w:rsidRPr="004C7830">
        <w:rPr>
          <w:rFonts w:cs="Arial"/>
          <w:color w:val="000000" w:themeColor="text1"/>
        </w:rPr>
        <w:t>/</w:t>
      </w:r>
      <w:r w:rsidR="002816CF" w:rsidRPr="004C7830">
        <w:rPr>
          <w:rFonts w:cs="Arial"/>
          <w:color w:val="000000" w:themeColor="text1"/>
        </w:rPr>
        <w:t>two</w:t>
      </w:r>
      <w:r w:rsidR="00F92897" w:rsidRPr="004C7830">
        <w:rPr>
          <w:rFonts w:cs="Arial"/>
          <w:color w:val="000000" w:themeColor="text1"/>
        </w:rPr>
        <w:t xml:space="preserve"> trimesters</w:t>
      </w:r>
      <w:r w:rsidRPr="004C7830">
        <w:rPr>
          <w:rFonts w:cs="Arial"/>
          <w:color w:val="000000" w:themeColor="text1"/>
        </w:rPr>
        <w:t xml:space="preserve"> of a CTE course. </w:t>
      </w:r>
    </w:p>
    <w:p w:rsidR="00D941EA" w:rsidRPr="004C7830" w:rsidRDefault="00D941EA" w:rsidP="00D941EA">
      <w:pPr>
        <w:spacing w:after="240"/>
        <w:rPr>
          <w:rFonts w:cs="Arial"/>
          <w:color w:val="000000" w:themeColor="text1"/>
        </w:rPr>
      </w:pPr>
      <w:r w:rsidRPr="004C7830">
        <w:rPr>
          <w:rFonts w:cs="Arial"/>
          <w:color w:val="000000" w:themeColor="text1"/>
        </w:rPr>
        <w:t>The results, below, were shared with each group at their next scheduled meeting, in May</w:t>
      </w:r>
      <w:r w:rsidR="0083768A" w:rsidRPr="004C7830">
        <w:rPr>
          <w:rFonts w:cs="Arial"/>
          <w:color w:val="000000" w:themeColor="text1"/>
        </w:rPr>
        <w:t xml:space="preserve"> 2020</w:t>
      </w:r>
      <w:r w:rsidRPr="004C7830">
        <w:rPr>
          <w:rFonts w:cs="Arial"/>
          <w:color w:val="000000" w:themeColor="text1"/>
        </w:rPr>
        <w:t>.</w:t>
      </w:r>
    </w:p>
    <w:p w:rsidR="00D941EA" w:rsidRPr="004C7830" w:rsidRDefault="0083768A" w:rsidP="00D941EA">
      <w:pPr>
        <w:spacing w:after="240"/>
        <w:rPr>
          <w:rFonts w:cs="Arial"/>
          <w:color w:val="000000" w:themeColor="text1"/>
        </w:rPr>
      </w:pPr>
      <w:r w:rsidRPr="004C7830">
        <w:rPr>
          <w:rFonts w:cs="Arial"/>
          <w:color w:val="000000" w:themeColor="text1"/>
        </w:rPr>
        <w:lastRenderedPageBreak/>
        <w:t>The i</w:t>
      </w:r>
      <w:r w:rsidR="00D941EA" w:rsidRPr="004C7830">
        <w:rPr>
          <w:rFonts w:cs="Arial"/>
          <w:color w:val="000000" w:themeColor="text1"/>
        </w:rPr>
        <w:t>nclusion of pre-apprenticeships as a CCI measure would result in an additional 679 students being placed in the Prepared level (based on 2019 CALPADS data). Of these, four-year graduates comprise the majority (79.5 percent), while one-year graduates make up 20 percent of newly prepared students.</w:t>
      </w:r>
    </w:p>
    <w:p w:rsidR="00D941EA" w:rsidRPr="004C7830" w:rsidRDefault="00D941EA" w:rsidP="00D941EA">
      <w:pPr>
        <w:spacing w:after="240"/>
        <w:rPr>
          <w:rFonts w:cs="Arial"/>
          <w:bCs/>
          <w:color w:val="000000" w:themeColor="text1"/>
        </w:rPr>
      </w:pPr>
      <w:r w:rsidRPr="004C7830">
        <w:rPr>
          <w:rFonts w:cs="Arial"/>
          <w:bCs/>
          <w:color w:val="000000" w:themeColor="text1"/>
        </w:rPr>
        <w:t>Among the two types of pre-apprenticeships, most newly Prepared graduates had completed a registered pre-apprenticeship:</w:t>
      </w:r>
    </w:p>
    <w:p w:rsidR="00D941EA" w:rsidRPr="004C7830" w:rsidRDefault="00D941EA" w:rsidP="00D941EA">
      <w:pPr>
        <w:pStyle w:val="ListParagraph"/>
        <w:numPr>
          <w:ilvl w:val="0"/>
          <w:numId w:val="41"/>
        </w:numPr>
        <w:spacing w:after="240"/>
        <w:rPr>
          <w:rFonts w:cs="Arial"/>
          <w:color w:val="000000" w:themeColor="text1"/>
        </w:rPr>
      </w:pPr>
      <w:r w:rsidRPr="004C7830">
        <w:rPr>
          <w:rFonts w:cs="Arial"/>
          <w:color w:val="000000" w:themeColor="text1"/>
        </w:rPr>
        <w:t xml:space="preserve">Among four-year graduates, 385 students became newly prepared via a registered pre-apprenticeship, and 148 via a non-registered pre-apprenticeship </w:t>
      </w:r>
    </w:p>
    <w:p w:rsidR="00D941EA" w:rsidRPr="004C7830" w:rsidRDefault="00D941EA" w:rsidP="00D941EA">
      <w:pPr>
        <w:pStyle w:val="ListParagraph"/>
        <w:spacing w:after="240"/>
        <w:rPr>
          <w:rFonts w:cs="Arial"/>
          <w:color w:val="000000" w:themeColor="text1"/>
        </w:rPr>
      </w:pPr>
    </w:p>
    <w:p w:rsidR="00D941EA" w:rsidRPr="004C7830" w:rsidRDefault="00D941EA" w:rsidP="00D941EA">
      <w:pPr>
        <w:pStyle w:val="ListParagraph"/>
        <w:numPr>
          <w:ilvl w:val="0"/>
          <w:numId w:val="41"/>
        </w:numPr>
        <w:spacing w:after="240"/>
        <w:rPr>
          <w:rFonts w:cs="Arial"/>
          <w:color w:val="000000" w:themeColor="text1"/>
        </w:rPr>
      </w:pPr>
      <w:r w:rsidRPr="004C7830">
        <w:rPr>
          <w:rFonts w:cs="Arial"/>
          <w:color w:val="000000" w:themeColor="text1"/>
        </w:rPr>
        <w:t>Among one-year graduates, 90 students became newly prepared via a non-registered pre-apprenticeship, and 43 via a non-registered pre-apprenticeship</w:t>
      </w:r>
    </w:p>
    <w:p w:rsidR="00D941EA" w:rsidRPr="004C7830" w:rsidRDefault="00D941EA" w:rsidP="00D941EA">
      <w:pPr>
        <w:pStyle w:val="ListParagraph"/>
        <w:spacing w:after="240"/>
        <w:rPr>
          <w:rFonts w:cs="Arial"/>
          <w:color w:val="000000" w:themeColor="text1"/>
        </w:rPr>
      </w:pPr>
    </w:p>
    <w:p w:rsidR="00D941EA" w:rsidRPr="004C7830" w:rsidRDefault="00D941EA" w:rsidP="00D941EA">
      <w:pPr>
        <w:pStyle w:val="ListParagraph"/>
        <w:spacing w:after="240"/>
        <w:ind w:left="0"/>
        <w:rPr>
          <w:rFonts w:cs="Arial"/>
          <w:color w:val="000000" w:themeColor="text1"/>
        </w:rPr>
      </w:pPr>
      <w:r w:rsidRPr="004C7830">
        <w:rPr>
          <w:rFonts w:cs="Arial"/>
          <w:color w:val="000000" w:themeColor="text1"/>
        </w:rPr>
        <w:t>The CDE recommends that that the SBE adopt pre-apprenticeships as a CCI measure and that the following criteria apply for placement purposes:</w:t>
      </w:r>
    </w:p>
    <w:p w:rsidR="00D941EA" w:rsidRPr="004C7830" w:rsidRDefault="00D941EA" w:rsidP="00D941EA">
      <w:pPr>
        <w:pStyle w:val="ListParagraph"/>
        <w:numPr>
          <w:ilvl w:val="0"/>
          <w:numId w:val="42"/>
        </w:numPr>
        <w:spacing w:after="240"/>
        <w:rPr>
          <w:rFonts w:cs="Arial"/>
          <w:color w:val="000000" w:themeColor="text1"/>
        </w:rPr>
      </w:pPr>
      <w:r w:rsidRPr="004C7830">
        <w:rPr>
          <w:rFonts w:cs="Arial"/>
          <w:b/>
          <w:bCs/>
          <w:color w:val="000000" w:themeColor="text1"/>
        </w:rPr>
        <w:t>Registered Pre-Apprenticeship:</w:t>
      </w:r>
      <w:r w:rsidR="0083768A" w:rsidRPr="004C7830">
        <w:rPr>
          <w:rFonts w:cs="Arial"/>
          <w:b/>
          <w:bCs/>
          <w:color w:val="000000" w:themeColor="text1"/>
        </w:rPr>
        <w:t xml:space="preserve"> </w:t>
      </w:r>
      <w:r w:rsidRPr="004C7830">
        <w:rPr>
          <w:rFonts w:cs="Arial"/>
          <w:color w:val="000000" w:themeColor="text1"/>
        </w:rPr>
        <w:t>Completing this measure alone places a student in the Prepared</w:t>
      </w:r>
      <w:r w:rsidR="0083768A" w:rsidRPr="004C7830">
        <w:rPr>
          <w:rFonts w:cs="Arial"/>
          <w:color w:val="000000" w:themeColor="text1"/>
        </w:rPr>
        <w:t xml:space="preserve"> </w:t>
      </w:r>
      <w:r w:rsidRPr="004C7830">
        <w:rPr>
          <w:rFonts w:cs="Arial"/>
          <w:color w:val="000000" w:themeColor="text1"/>
        </w:rPr>
        <w:t>level</w:t>
      </w:r>
    </w:p>
    <w:p w:rsidR="00D941EA" w:rsidRPr="004C7830" w:rsidRDefault="00D941EA" w:rsidP="00D941EA">
      <w:pPr>
        <w:pStyle w:val="ListParagraph"/>
        <w:spacing w:after="240"/>
        <w:rPr>
          <w:rFonts w:cs="Arial"/>
          <w:color w:val="000000" w:themeColor="text1"/>
        </w:rPr>
      </w:pPr>
    </w:p>
    <w:p w:rsidR="00D941EA" w:rsidRPr="004C7830" w:rsidRDefault="00D941EA" w:rsidP="00D941EA">
      <w:pPr>
        <w:pStyle w:val="ListParagraph"/>
        <w:numPr>
          <w:ilvl w:val="0"/>
          <w:numId w:val="42"/>
        </w:numPr>
        <w:spacing w:after="240"/>
        <w:rPr>
          <w:rFonts w:cs="Arial"/>
          <w:color w:val="000000" w:themeColor="text1"/>
        </w:rPr>
      </w:pPr>
      <w:r w:rsidRPr="004C7830">
        <w:rPr>
          <w:rFonts w:cs="Arial"/>
          <w:b/>
          <w:bCs/>
          <w:color w:val="000000" w:themeColor="text1"/>
        </w:rPr>
        <w:t xml:space="preserve">Non-Registered Pre-Apprenticeship: </w:t>
      </w:r>
      <w:r w:rsidRPr="004C7830">
        <w:rPr>
          <w:rFonts w:cs="Arial"/>
          <w:color w:val="000000" w:themeColor="text1"/>
        </w:rPr>
        <w:t>Completing this measure alone places a student in the Approaching Prepared level. To earn the Prepared level, a student must also complete a CTE pathway (if in a non-DASS school) or one semester/two quarters</w:t>
      </w:r>
      <w:r w:rsidR="00EA21AE" w:rsidRPr="004C7830">
        <w:rPr>
          <w:rFonts w:cs="Arial"/>
          <w:color w:val="000000" w:themeColor="text1"/>
        </w:rPr>
        <w:t>/two trimesters</w:t>
      </w:r>
      <w:r w:rsidRPr="004C7830">
        <w:rPr>
          <w:rFonts w:cs="Arial"/>
          <w:color w:val="000000" w:themeColor="text1"/>
        </w:rPr>
        <w:t xml:space="preserve"> of a CTE course (if in a DASS school).</w:t>
      </w:r>
    </w:p>
    <w:p w:rsidR="00D941EA" w:rsidRPr="004C7830" w:rsidRDefault="00D941EA" w:rsidP="00D941EA">
      <w:pPr>
        <w:spacing w:after="240"/>
        <w:rPr>
          <w:rFonts w:cs="Arial"/>
          <w:color w:val="000000" w:themeColor="text1"/>
        </w:rPr>
      </w:pPr>
      <w:r w:rsidRPr="004C7830">
        <w:rPr>
          <w:rFonts w:cs="Arial"/>
          <w:color w:val="000000" w:themeColor="text1"/>
        </w:rPr>
        <w:t>The CCI Workgroup and the Alternative Task Force have unanimously supported the inclusion of this measure in the CCI, along with the proposed placement criteria. At its August 2020 meeting, the TDG also unanimously supported the inclusion of the measure in the CCI and that the proposed placement criteria be adopted. Finally, the CPAG met in August 2020 and were unified in their support for this measure’s inclusion in the CCI, along with the proposed placement criteria.</w:t>
      </w:r>
    </w:p>
    <w:p w:rsidR="00D941EA" w:rsidRPr="004C7830" w:rsidRDefault="00D941EA" w:rsidP="00D941EA">
      <w:pPr>
        <w:spacing w:after="240"/>
        <w:rPr>
          <w:rFonts w:cs="Arial"/>
          <w:color w:val="000000" w:themeColor="text1"/>
        </w:rPr>
      </w:pPr>
      <w:r w:rsidRPr="004C7830">
        <w:rPr>
          <w:i/>
        </w:rPr>
        <w:t>State and Federal Job Programs</w:t>
      </w:r>
    </w:p>
    <w:p w:rsidR="00D941EA" w:rsidRPr="004C7830" w:rsidRDefault="00D941EA" w:rsidP="00D941EA">
      <w:pPr>
        <w:spacing w:before="240" w:after="240"/>
        <w:rPr>
          <w:rStyle w:val="normaltextrun"/>
          <w:rFonts w:eastAsiaTheme="majorEastAsia" w:cs="Arial"/>
          <w:color w:val="000000"/>
        </w:rPr>
      </w:pPr>
      <w:r w:rsidRPr="004C7830">
        <w:rPr>
          <w:rFonts w:cs="Arial"/>
        </w:rPr>
        <w:t>During the 2018</w:t>
      </w:r>
      <w:r w:rsidR="0083768A" w:rsidRPr="004C7830">
        <w:rPr>
          <w:rFonts w:cs="Arial"/>
        </w:rPr>
        <w:t>–</w:t>
      </w:r>
      <w:r w:rsidRPr="004C7830">
        <w:rPr>
          <w:rFonts w:cs="Arial"/>
        </w:rPr>
        <w:t xml:space="preserve">19 school year, </w:t>
      </w:r>
      <w:r w:rsidR="0083768A" w:rsidRPr="004C7830">
        <w:rPr>
          <w:rFonts w:cs="Arial"/>
        </w:rPr>
        <w:t xml:space="preserve">CALPADS </w:t>
      </w:r>
      <w:r w:rsidRPr="004C7830">
        <w:rPr>
          <w:rFonts w:cs="Arial"/>
        </w:rPr>
        <w:t>collected</w:t>
      </w:r>
      <w:r w:rsidR="0083768A" w:rsidRPr="004C7830">
        <w:rPr>
          <w:rFonts w:cs="Arial"/>
        </w:rPr>
        <w:t xml:space="preserve"> data</w:t>
      </w:r>
      <w:r w:rsidRPr="004C7830">
        <w:rPr>
          <w:rFonts w:cs="Arial"/>
        </w:rPr>
        <w:t xml:space="preserve"> on the completion of State and Federal Job Programs by students attending DASS schools. Federal programs include the Job Corps, the </w:t>
      </w:r>
      <w:r w:rsidRPr="004C7830">
        <w:rPr>
          <w:rStyle w:val="normaltextrun"/>
          <w:rFonts w:eastAsiaTheme="majorEastAsia" w:cs="Arial"/>
          <w:color w:val="000000"/>
        </w:rPr>
        <w:t xml:space="preserve">Workforce Innovation and Opportunity Act (WIOA), and </w:t>
      </w:r>
      <w:proofErr w:type="spellStart"/>
      <w:r w:rsidRPr="004C7830">
        <w:rPr>
          <w:rStyle w:val="normaltextrun"/>
          <w:rFonts w:eastAsiaTheme="majorEastAsia" w:cs="Arial"/>
          <w:color w:val="000000"/>
        </w:rPr>
        <w:t>YouthBuild</w:t>
      </w:r>
      <w:proofErr w:type="spellEnd"/>
      <w:r w:rsidRPr="004C7830">
        <w:rPr>
          <w:rStyle w:val="normaltextrun"/>
          <w:rFonts w:eastAsiaTheme="majorEastAsia" w:cs="Arial"/>
          <w:color w:val="000000"/>
        </w:rPr>
        <w:t xml:space="preserve">. State programs include the California Conservation Corps (CCC) and the Regional Occupational Center Programs (ROCP). </w:t>
      </w:r>
    </w:p>
    <w:p w:rsidR="00D941EA" w:rsidRPr="004C7830" w:rsidRDefault="00D941EA" w:rsidP="00D941EA">
      <w:pPr>
        <w:pStyle w:val="paragraph"/>
        <w:spacing w:before="0" w:beforeAutospacing="0" w:after="0" w:afterAutospacing="0"/>
        <w:textAlignment w:val="baseline"/>
        <w:rPr>
          <w:rStyle w:val="normaltextrun"/>
          <w:rFonts w:eastAsiaTheme="majorEastAsia" w:cs="Arial"/>
          <w:color w:val="000000"/>
        </w:rPr>
      </w:pPr>
      <w:r w:rsidRPr="004C7830">
        <w:rPr>
          <w:rStyle w:val="normaltextrun"/>
          <w:rFonts w:eastAsiaTheme="majorEastAsia" w:cs="Arial"/>
          <w:color w:val="000000"/>
        </w:rPr>
        <w:t>A quick overview of the federal and state programs precedes a more general discussion on the measure and its appropriateness for inclusion in the CCI.</w:t>
      </w:r>
    </w:p>
    <w:p w:rsidR="00D941EA" w:rsidRPr="004C7830" w:rsidRDefault="00D941EA" w:rsidP="00D941EA">
      <w:pPr>
        <w:pStyle w:val="paragraph"/>
        <w:spacing w:before="0" w:beforeAutospacing="0" w:after="0" w:afterAutospacing="0"/>
        <w:textAlignment w:val="baseline"/>
        <w:rPr>
          <w:rStyle w:val="normaltextrun"/>
          <w:rFonts w:eastAsiaTheme="majorEastAsia" w:cs="Arial"/>
          <w:color w:val="000000"/>
        </w:rPr>
      </w:pPr>
    </w:p>
    <w:p w:rsidR="00D941EA" w:rsidRPr="004C7830" w:rsidRDefault="00D941EA" w:rsidP="00D941EA">
      <w:pPr>
        <w:pStyle w:val="ListParagraph"/>
        <w:numPr>
          <w:ilvl w:val="0"/>
          <w:numId w:val="43"/>
        </w:numPr>
        <w:autoSpaceDE w:val="0"/>
        <w:autoSpaceDN w:val="0"/>
        <w:adjustRightInd w:val="0"/>
        <w:rPr>
          <w:rStyle w:val="normaltextrun"/>
          <w:rFonts w:eastAsiaTheme="minorHAnsi"/>
        </w:rPr>
      </w:pPr>
      <w:r w:rsidRPr="004C7830">
        <w:rPr>
          <w:rStyle w:val="normaltextrun"/>
          <w:rFonts w:eastAsiaTheme="majorEastAsia" w:cs="Arial"/>
          <w:b/>
          <w:color w:val="000000"/>
        </w:rPr>
        <w:t>Job Corps (Federal Program)</w:t>
      </w:r>
    </w:p>
    <w:p w:rsidR="00D941EA" w:rsidRPr="004C7830" w:rsidRDefault="00D941EA" w:rsidP="00D941EA">
      <w:pPr>
        <w:pStyle w:val="ListParagraph"/>
        <w:autoSpaceDE w:val="0"/>
        <w:autoSpaceDN w:val="0"/>
        <w:adjustRightInd w:val="0"/>
        <w:rPr>
          <w:rFonts w:eastAsiaTheme="minorHAnsi"/>
        </w:rPr>
      </w:pPr>
      <w:r w:rsidRPr="004C7830">
        <w:rPr>
          <w:rStyle w:val="normaltextrun"/>
          <w:rFonts w:eastAsiaTheme="majorEastAsia" w:cs="Arial"/>
          <w:color w:val="000000"/>
        </w:rPr>
        <w:t xml:space="preserve">Job Corps, which is administered by the U.S. Department of Labor and offers GED support and vocational training to youth between 16 and 24 years old, is the </w:t>
      </w:r>
      <w:r w:rsidRPr="004C7830">
        <w:rPr>
          <w:rStyle w:val="normaltextrun"/>
          <w:rFonts w:eastAsiaTheme="majorEastAsia" w:cs="Arial"/>
          <w:color w:val="000000"/>
        </w:rPr>
        <w:lastRenderedPageBreak/>
        <w:t xml:space="preserve">largest and most comprehensive among the three federal programs. </w:t>
      </w:r>
      <w:r w:rsidRPr="004C7830">
        <w:rPr>
          <w:rFonts w:eastAsiaTheme="minorHAnsi" w:cs="Arial"/>
        </w:rPr>
        <w:t>Each year, Job Corps serves more than 60,000 students nationwide, of which 65 percent are placed into the workforce (job or military). The state average for California is even higher: in 2016 (the most recent data release posted), 77 percent of Job Corps students were placed in the workforce, and 60 percent of these new workers were retained. In general, these jobs pay higher than the state minimum wage: In California, the average hourly wage for youth placed in jobs through Job Corps was $14.97 in 2019, nearly three dollars more than the state minimum wage of $12. Finally, Job Corps has been found to improve literacy and numerical skills. In California, over 60 percent of students gain literacy and numeracy skills during their time in Job Corps.</w:t>
      </w:r>
    </w:p>
    <w:p w:rsidR="00D941EA" w:rsidRPr="004C7830" w:rsidRDefault="00D941EA" w:rsidP="00D941EA">
      <w:pPr>
        <w:pStyle w:val="paragraph"/>
        <w:spacing w:before="0" w:beforeAutospacing="0" w:after="0" w:afterAutospacing="0"/>
        <w:textAlignment w:val="baseline"/>
        <w:rPr>
          <w:rStyle w:val="normaltextrun"/>
          <w:rFonts w:eastAsiaTheme="majorEastAsia" w:cs="Arial"/>
          <w:color w:val="000000"/>
        </w:rPr>
      </w:pPr>
    </w:p>
    <w:p w:rsidR="00D941EA" w:rsidRPr="004C7830" w:rsidRDefault="00D941EA" w:rsidP="00D941EA">
      <w:pPr>
        <w:pStyle w:val="ListParagraph"/>
        <w:numPr>
          <w:ilvl w:val="0"/>
          <w:numId w:val="43"/>
        </w:numPr>
        <w:shd w:val="clear" w:color="auto" w:fill="FFFFFF" w:themeFill="background1"/>
        <w:rPr>
          <w:rFonts w:cs="Arial"/>
          <w:b/>
          <w:color w:val="000000" w:themeColor="text1"/>
        </w:rPr>
      </w:pPr>
      <w:r w:rsidRPr="004C7830">
        <w:rPr>
          <w:rFonts w:cs="Arial"/>
          <w:b/>
          <w:color w:val="000000" w:themeColor="text1"/>
        </w:rPr>
        <w:t>WIOA (Federal Program)</w:t>
      </w:r>
    </w:p>
    <w:p w:rsidR="00D941EA" w:rsidRPr="004C7830" w:rsidRDefault="00D941EA" w:rsidP="00D941EA">
      <w:pPr>
        <w:pStyle w:val="ListParagraph"/>
        <w:shd w:val="clear" w:color="auto" w:fill="FFFFFF" w:themeFill="background1"/>
        <w:rPr>
          <w:rFonts w:cs="Arial"/>
          <w:color w:val="1F4E79" w:themeColor="accent5" w:themeShade="80"/>
        </w:rPr>
      </w:pPr>
      <w:r w:rsidRPr="004C7830">
        <w:rPr>
          <w:rFonts w:cs="Arial"/>
          <w:color w:val="000000" w:themeColor="text1"/>
        </w:rPr>
        <w:t xml:space="preserve">The WIOA Youth Program, which is also administered by the Department of Labor, </w:t>
      </w:r>
      <w:r w:rsidRPr="004C7830">
        <w:rPr>
          <w:rFonts w:cs="Arial"/>
          <w:color w:val="000000" w:themeColor="text1"/>
          <w:shd w:val="clear" w:color="auto" w:fill="FFFFFF"/>
        </w:rPr>
        <w:t>provides career development to a critically important segment of schools that reengage out-of-school youth, who have not graduated from high school.</w:t>
      </w:r>
      <w:r w:rsidRPr="004C7830">
        <w:rPr>
          <w:rFonts w:eastAsiaTheme="minorEastAsia" w:cs="Arial"/>
          <w:color w:val="000000" w:themeColor="text1"/>
        </w:rPr>
        <w:t xml:space="preserve"> Every </w:t>
      </w:r>
      <w:r w:rsidRPr="004C7830">
        <w:rPr>
          <w:rFonts w:eastAsiaTheme="minorEastAsia" w:cs="Arial"/>
        </w:rPr>
        <w:t xml:space="preserve">year, WIOA serves nearly 160,000 youth nationally: 73 percent of students who complete the program are placed in the workforce, a formal training program, or another education program. A year after placement, 73 percent of students remain employed. California-specific information is not available; however, according to the California Alternative Task Force, WIOA programs in California are strong: </w:t>
      </w:r>
      <w:r w:rsidRPr="004C7830">
        <w:rPr>
          <w:rFonts w:cs="Arial"/>
          <w:color w:val="000000" w:themeColor="text1"/>
        </w:rPr>
        <w:t xml:space="preserve">each student is assigned a case manager who provides wrap-around services to the students; all students take a work readiness course and many students participate in paid internships; </w:t>
      </w:r>
      <w:r w:rsidRPr="004C7830">
        <w:rPr>
          <w:rFonts w:eastAsiaTheme="minorEastAsia" w:cs="Arial"/>
          <w:color w:val="000000" w:themeColor="text1"/>
        </w:rPr>
        <w:t xml:space="preserve">the goal is for students to both (1) earn their GED or High School Diploma, and (2) enroll in a postsecondary school or earn an industry recognized credential. </w:t>
      </w:r>
      <w:r w:rsidRPr="004C7830">
        <w:rPr>
          <w:rFonts w:cs="Arial"/>
          <w:color w:val="000000" w:themeColor="text1"/>
        </w:rPr>
        <w:t xml:space="preserve">According to national data, WIOA graduates often earn minimum-wage jobs; no data specific to California was available. </w:t>
      </w:r>
    </w:p>
    <w:p w:rsidR="00D941EA" w:rsidRPr="004C7830" w:rsidRDefault="00D941EA" w:rsidP="00D941EA">
      <w:pPr>
        <w:pStyle w:val="ListParagraph"/>
        <w:numPr>
          <w:ilvl w:val="0"/>
          <w:numId w:val="43"/>
        </w:numPr>
        <w:shd w:val="clear" w:color="auto" w:fill="FFFFFF" w:themeFill="background1"/>
        <w:spacing w:before="480"/>
        <w:contextualSpacing w:val="0"/>
        <w:rPr>
          <w:rFonts w:cs="Arial"/>
          <w:b/>
          <w:color w:val="000000" w:themeColor="text1"/>
        </w:rPr>
      </w:pPr>
      <w:proofErr w:type="spellStart"/>
      <w:r w:rsidRPr="004C7830">
        <w:rPr>
          <w:rFonts w:cs="Arial"/>
          <w:b/>
          <w:color w:val="000000" w:themeColor="text1"/>
        </w:rPr>
        <w:t>YouthBuild</w:t>
      </w:r>
      <w:proofErr w:type="spellEnd"/>
      <w:r w:rsidRPr="004C7830">
        <w:rPr>
          <w:rFonts w:cs="Arial"/>
          <w:b/>
          <w:color w:val="000000" w:themeColor="text1"/>
        </w:rPr>
        <w:t xml:space="preserve"> (Federal Program)</w:t>
      </w:r>
    </w:p>
    <w:p w:rsidR="00D941EA" w:rsidRPr="004C7830" w:rsidRDefault="00D941EA" w:rsidP="00D941EA">
      <w:pPr>
        <w:pStyle w:val="ListParagraph"/>
        <w:autoSpaceDE w:val="0"/>
        <w:autoSpaceDN w:val="0"/>
        <w:adjustRightInd w:val="0"/>
        <w:rPr>
          <w:rFonts w:eastAsiaTheme="minorHAnsi" w:cs="Arial"/>
        </w:rPr>
      </w:pPr>
      <w:proofErr w:type="spellStart"/>
      <w:r w:rsidRPr="004C7830">
        <w:rPr>
          <w:rFonts w:cs="Arial"/>
          <w:color w:val="000000" w:themeColor="text1"/>
        </w:rPr>
        <w:t>YouthBuild</w:t>
      </w:r>
      <w:proofErr w:type="spellEnd"/>
      <w:r w:rsidRPr="004C7830">
        <w:rPr>
          <w:rFonts w:cs="Arial"/>
          <w:color w:val="000000" w:themeColor="text1"/>
        </w:rPr>
        <w:t xml:space="preserve">, which serves about 10,000 youth every year, has a narrower scope than that of Job Corps and WIOA. </w:t>
      </w:r>
      <w:r w:rsidRPr="004C7830">
        <w:rPr>
          <w:rFonts w:eastAsiaTheme="minorHAnsi" w:cs="Arial"/>
        </w:rPr>
        <w:t xml:space="preserve">Students learn the construction trade by building homes for low-income families in their communities. They spend every other week on a job site, learning the construction trade by building homes for low-income families in their communities. Like those in the WIOA program, </w:t>
      </w:r>
      <w:proofErr w:type="spellStart"/>
      <w:r w:rsidRPr="004C7830">
        <w:rPr>
          <w:rFonts w:eastAsiaTheme="minorHAnsi" w:cs="Arial"/>
        </w:rPr>
        <w:t>YouthBuild</w:t>
      </w:r>
      <w:proofErr w:type="spellEnd"/>
      <w:r w:rsidRPr="004C7830">
        <w:rPr>
          <w:rFonts w:eastAsiaTheme="minorHAnsi" w:cs="Arial"/>
        </w:rPr>
        <w:t xml:space="preserve"> students have not graduated from high school or earned a degree. Yet, </w:t>
      </w:r>
      <w:proofErr w:type="spellStart"/>
      <w:r w:rsidRPr="004C7830">
        <w:rPr>
          <w:rFonts w:eastAsiaTheme="minorHAnsi" w:cs="Arial"/>
        </w:rPr>
        <w:t>YouthBuild</w:t>
      </w:r>
      <w:proofErr w:type="spellEnd"/>
      <w:r w:rsidRPr="004C7830">
        <w:rPr>
          <w:rFonts w:eastAsiaTheme="minorHAnsi" w:cs="Arial"/>
        </w:rPr>
        <w:t xml:space="preserve"> has shown to impact GED attainment and post-graduation employment (i.e., up to 30 months after graduating from the program). According to Kathleen </w:t>
      </w:r>
      <w:proofErr w:type="spellStart"/>
      <w:r w:rsidRPr="004C7830">
        <w:rPr>
          <w:rFonts w:eastAsiaTheme="minorHAnsi" w:cs="Arial"/>
        </w:rPr>
        <w:t>Tomberg</w:t>
      </w:r>
      <w:proofErr w:type="spellEnd"/>
      <w:r w:rsidRPr="004C7830">
        <w:rPr>
          <w:rFonts w:eastAsiaTheme="minorHAnsi" w:cs="Arial"/>
        </w:rPr>
        <w:t xml:space="preserve"> of the John Jay College of Criminal Justice, “participation in </w:t>
      </w:r>
      <w:proofErr w:type="spellStart"/>
      <w:r w:rsidRPr="004C7830">
        <w:rPr>
          <w:rFonts w:eastAsiaTheme="minorHAnsi" w:cs="Arial"/>
        </w:rPr>
        <w:t>YouthBuild</w:t>
      </w:r>
      <w:proofErr w:type="spellEnd"/>
      <w:r w:rsidRPr="004C7830">
        <w:rPr>
          <w:rFonts w:eastAsiaTheme="minorHAnsi" w:cs="Arial"/>
        </w:rPr>
        <w:t xml:space="preserve"> AmeriCorps is often the first time that these young people see themselves as service providers rather than service recipients.” </w:t>
      </w:r>
    </w:p>
    <w:p w:rsidR="00D941EA" w:rsidRPr="004C7830" w:rsidRDefault="00D941EA" w:rsidP="00D941EA">
      <w:pPr>
        <w:pStyle w:val="ListParagraph"/>
        <w:autoSpaceDE w:val="0"/>
        <w:autoSpaceDN w:val="0"/>
        <w:adjustRightInd w:val="0"/>
        <w:rPr>
          <w:rFonts w:eastAsiaTheme="minorHAnsi"/>
        </w:rPr>
      </w:pPr>
    </w:p>
    <w:p w:rsidR="00D941EA" w:rsidRPr="004C7830" w:rsidRDefault="00D941EA" w:rsidP="00D941EA">
      <w:pPr>
        <w:pStyle w:val="ListParagraph"/>
        <w:numPr>
          <w:ilvl w:val="0"/>
          <w:numId w:val="43"/>
        </w:numPr>
        <w:autoSpaceDE w:val="0"/>
        <w:autoSpaceDN w:val="0"/>
        <w:adjustRightInd w:val="0"/>
        <w:rPr>
          <w:rFonts w:eastAsiaTheme="minorHAnsi" w:cs="Arial"/>
          <w:b/>
        </w:rPr>
      </w:pPr>
      <w:r w:rsidRPr="004C7830">
        <w:rPr>
          <w:rFonts w:eastAsiaTheme="minorHAnsi" w:cs="Arial"/>
          <w:b/>
        </w:rPr>
        <w:t xml:space="preserve">CCC (State Program) </w:t>
      </w:r>
    </w:p>
    <w:p w:rsidR="00D941EA" w:rsidRPr="004C7830" w:rsidRDefault="00D941EA" w:rsidP="00D941EA">
      <w:pPr>
        <w:pStyle w:val="ListParagraph"/>
        <w:autoSpaceDE w:val="0"/>
        <w:autoSpaceDN w:val="0"/>
        <w:adjustRightInd w:val="0"/>
        <w:rPr>
          <w:rFonts w:cs="Arial"/>
        </w:rPr>
      </w:pPr>
      <w:r w:rsidRPr="004C7830">
        <w:rPr>
          <w:rFonts w:cs="Arial"/>
        </w:rPr>
        <w:lastRenderedPageBreak/>
        <w:t>CCC’s mission is environmental conservation, and corps members perform physical labor to respond to and prevent environmental damage. Most corps members join the CCC when they are 18 and serve for up to two years. During that time, they</w:t>
      </w:r>
      <w:r w:rsidR="00164CD6" w:rsidRPr="004C7830">
        <w:rPr>
          <w:rFonts w:cs="Arial"/>
        </w:rPr>
        <w:t xml:space="preserve"> a</w:t>
      </w:r>
      <w:r w:rsidRPr="004C7830">
        <w:rPr>
          <w:rFonts w:cs="Arial"/>
        </w:rPr>
        <w:t xml:space="preserve">re paid a monthly stipend of $1,905. After leaving the CCC, 60 percent report being employed immediately, based on small-scale surveys administered by independent researchers. </w:t>
      </w:r>
    </w:p>
    <w:p w:rsidR="00D941EA" w:rsidRPr="004C7830" w:rsidRDefault="00D941EA" w:rsidP="00D941EA">
      <w:pPr>
        <w:pStyle w:val="ListParagraph"/>
        <w:autoSpaceDE w:val="0"/>
        <w:autoSpaceDN w:val="0"/>
        <w:adjustRightInd w:val="0"/>
        <w:rPr>
          <w:rStyle w:val="normaltextrun"/>
          <w:rFonts w:eastAsiaTheme="majorEastAsia" w:cs="Arial"/>
          <w:b/>
          <w:color w:val="000000"/>
        </w:rPr>
      </w:pPr>
    </w:p>
    <w:p w:rsidR="00D941EA" w:rsidRPr="004C7830" w:rsidRDefault="00D941EA" w:rsidP="00D941EA">
      <w:pPr>
        <w:pStyle w:val="ListParagraph"/>
        <w:numPr>
          <w:ilvl w:val="0"/>
          <w:numId w:val="43"/>
        </w:numPr>
        <w:autoSpaceDE w:val="0"/>
        <w:autoSpaceDN w:val="0"/>
        <w:adjustRightInd w:val="0"/>
        <w:rPr>
          <w:rStyle w:val="normaltextrun"/>
          <w:rFonts w:eastAsiaTheme="minorHAnsi"/>
          <w:b/>
        </w:rPr>
      </w:pPr>
      <w:r w:rsidRPr="004C7830">
        <w:rPr>
          <w:rStyle w:val="normaltextrun"/>
          <w:rFonts w:eastAsiaTheme="majorEastAsia" w:cs="Arial"/>
          <w:b/>
          <w:color w:val="000000"/>
        </w:rPr>
        <w:t>ROCP (State Program)</w:t>
      </w:r>
    </w:p>
    <w:p w:rsidR="00D941EA" w:rsidRPr="004C7830" w:rsidRDefault="00D941EA" w:rsidP="00D941EA">
      <w:pPr>
        <w:pStyle w:val="ListParagraph"/>
        <w:autoSpaceDE w:val="0"/>
        <w:autoSpaceDN w:val="0"/>
        <w:adjustRightInd w:val="0"/>
        <w:rPr>
          <w:rFonts w:cs="Arial"/>
        </w:rPr>
      </w:pPr>
      <w:r w:rsidRPr="004C7830">
        <w:rPr>
          <w:rFonts w:cs="Arial"/>
        </w:rPr>
        <w:t xml:space="preserve">These programs provide career education, career development, and workforce preparation to California high school students. Generally, students enroll in an ROCP during high school, and some high schools allow students to receive school credit for courses taken at center. Due to the decentralized structure of these programs – they generally operate as local branches with much independence – state-level data on the program is limited. However, studies have found that the ROCP offers comprehensive work-based learning experiences, including internships, field trips, guest speakers and job shadowing. Many employers that have hired former ROCP students report that the program provides important job and life skills, such as time management, attendance and punctuality, a willingness to learn, and the ability to get along with others and work with minimal supervision. </w:t>
      </w:r>
    </w:p>
    <w:p w:rsidR="00D941EA" w:rsidRPr="004C7830" w:rsidRDefault="00D941EA" w:rsidP="00D941EA">
      <w:pPr>
        <w:shd w:val="clear" w:color="auto" w:fill="FFFFFF" w:themeFill="background1"/>
        <w:spacing w:before="120" w:after="240"/>
        <w:rPr>
          <w:rFonts w:eastAsia="Arial" w:cs="Arial"/>
          <w:b/>
          <w:bCs/>
          <w:color w:val="000000" w:themeColor="text1"/>
        </w:rPr>
      </w:pPr>
      <w:r w:rsidRPr="004C7830">
        <w:rPr>
          <w:rFonts w:cs="Arial"/>
          <w:color w:val="000000" w:themeColor="text1"/>
        </w:rPr>
        <w:t>In 2018–19, the State and Federal Job Programs w</w:t>
      </w:r>
      <w:r w:rsidR="00164CD6" w:rsidRPr="004C7830">
        <w:rPr>
          <w:rFonts w:cs="Arial"/>
          <w:color w:val="000000" w:themeColor="text1"/>
        </w:rPr>
        <w:t>ere</w:t>
      </w:r>
      <w:r w:rsidRPr="004C7830">
        <w:rPr>
          <w:rFonts w:cs="Arial"/>
          <w:color w:val="000000" w:themeColor="text1"/>
        </w:rPr>
        <w:t xml:space="preserve"> completed by 5,254 high school students, including 808 students in DASS schools. Table 3 presents data on the number of students</w:t>
      </w:r>
      <w:r w:rsidR="00164CD6" w:rsidRPr="004C7830">
        <w:rPr>
          <w:rFonts w:cs="Arial"/>
          <w:color w:val="000000" w:themeColor="text1"/>
        </w:rPr>
        <w:t xml:space="preserve"> who</w:t>
      </w:r>
      <w:r w:rsidRPr="004C7830">
        <w:rPr>
          <w:rFonts w:cs="Arial"/>
          <w:color w:val="000000" w:themeColor="text1"/>
        </w:rPr>
        <w:t xml:space="preserve"> comple</w:t>
      </w:r>
      <w:r w:rsidR="00164CD6" w:rsidRPr="004C7830">
        <w:rPr>
          <w:rFonts w:cs="Arial"/>
          <w:color w:val="000000" w:themeColor="text1"/>
        </w:rPr>
        <w:t>ted</w:t>
      </w:r>
      <w:r w:rsidRPr="004C7830">
        <w:rPr>
          <w:rFonts w:cs="Arial"/>
          <w:color w:val="000000" w:themeColor="text1"/>
        </w:rPr>
        <w:t xml:space="preserve"> the program </w:t>
      </w:r>
      <w:r w:rsidRPr="004C7830">
        <w:rPr>
          <w:rFonts w:eastAsia="Arial" w:cs="Arial"/>
          <w:color w:val="000000" w:themeColor="text1"/>
        </w:rPr>
        <w:t>and their CCI preparedness levels.</w:t>
      </w:r>
      <w:r w:rsidRPr="004C7830">
        <w:rPr>
          <w:rFonts w:eastAsia="Arial" w:cs="Arial"/>
          <w:b/>
          <w:bCs/>
          <w:color w:val="000000" w:themeColor="text1"/>
        </w:rPr>
        <w:t xml:space="preserve"> Please note that this measure is proposed for DASS schools only.</w:t>
      </w:r>
    </w:p>
    <w:p w:rsidR="00D941EA" w:rsidRPr="004C7830" w:rsidRDefault="00D941EA" w:rsidP="00FC2F7B">
      <w:pPr>
        <w:pStyle w:val="Heading3"/>
        <w:rPr>
          <w:sz w:val="32"/>
        </w:rPr>
      </w:pPr>
      <w:r w:rsidRPr="004C7830">
        <w:t>Table 3: State and Federal Job Program Completers and CCI Level on the 2019 Dashboard</w:t>
      </w:r>
    </w:p>
    <w:tbl>
      <w:tblPr>
        <w:tblStyle w:val="TableGrid"/>
        <w:tblW w:w="8460" w:type="dxa"/>
        <w:tblInd w:w="-5" w:type="dxa"/>
        <w:tblLayout w:type="fixed"/>
        <w:tblLook w:val="06A0" w:firstRow="1" w:lastRow="0" w:firstColumn="1" w:lastColumn="0" w:noHBand="1" w:noVBand="1"/>
        <w:tblDescription w:val="Table displaying State and Federal job program completers and CCI Level."/>
      </w:tblPr>
      <w:tblGrid>
        <w:gridCol w:w="4320"/>
        <w:gridCol w:w="4140"/>
      </w:tblGrid>
      <w:tr w:rsidR="00D941EA" w:rsidRPr="004C7830" w:rsidTr="00F83A33">
        <w:trPr>
          <w:cantSplit/>
          <w:tblHeader/>
        </w:trPr>
        <w:tc>
          <w:tcPr>
            <w:tcW w:w="4320"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CCI Level (via current CCI measures)</w:t>
            </w:r>
            <w:r w:rsidRPr="004C7830">
              <w:rPr>
                <w:rFonts w:eastAsia="Arial" w:cs="Arial"/>
                <w:color w:val="000000" w:themeColor="text1"/>
                <w:sz w:val="24"/>
                <w:szCs w:val="24"/>
              </w:rPr>
              <w:t xml:space="preserve"> </w:t>
            </w:r>
          </w:p>
        </w:tc>
        <w:tc>
          <w:tcPr>
            <w:tcW w:w="414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2019 Students: DASS</w:t>
            </w:r>
          </w:p>
        </w:tc>
      </w:tr>
      <w:tr w:rsidR="00D941EA" w:rsidRPr="004C7830" w:rsidTr="00F83A33">
        <w:trPr>
          <w:cantSplit/>
        </w:trPr>
        <w:tc>
          <w:tcPr>
            <w:tcW w:w="432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Prepared</w:t>
            </w:r>
          </w:p>
        </w:tc>
        <w:tc>
          <w:tcPr>
            <w:tcW w:w="414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19 (2.4%)</w:t>
            </w:r>
          </w:p>
        </w:tc>
      </w:tr>
      <w:tr w:rsidR="00D941EA" w:rsidRPr="004C7830" w:rsidTr="00F83A33">
        <w:trPr>
          <w:cantSplit/>
        </w:trPr>
        <w:tc>
          <w:tcPr>
            <w:tcW w:w="432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Approaching Prepared*</w:t>
            </w:r>
          </w:p>
        </w:tc>
        <w:tc>
          <w:tcPr>
            <w:tcW w:w="414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72 (8.9%)</w:t>
            </w:r>
          </w:p>
        </w:tc>
      </w:tr>
      <w:tr w:rsidR="00D941EA" w:rsidRPr="004C7830" w:rsidTr="00F83A33">
        <w:trPr>
          <w:cantSplit/>
        </w:trPr>
        <w:tc>
          <w:tcPr>
            <w:tcW w:w="432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(graduated)*</w:t>
            </w:r>
          </w:p>
        </w:tc>
        <w:tc>
          <w:tcPr>
            <w:tcW w:w="414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555 (68.7%)</w:t>
            </w:r>
          </w:p>
        </w:tc>
      </w:tr>
      <w:tr w:rsidR="00D941EA" w:rsidRPr="004C7830" w:rsidTr="00F83A33">
        <w:trPr>
          <w:cantSplit/>
        </w:trPr>
        <w:tc>
          <w:tcPr>
            <w:tcW w:w="432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(did not graduate)</w:t>
            </w:r>
          </w:p>
        </w:tc>
        <w:tc>
          <w:tcPr>
            <w:tcW w:w="414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162 (20.0%)</w:t>
            </w:r>
          </w:p>
        </w:tc>
      </w:tr>
      <w:tr w:rsidR="00D941EA" w:rsidRPr="004C7830" w:rsidTr="00F83A33">
        <w:trPr>
          <w:cantSplit/>
        </w:trPr>
        <w:tc>
          <w:tcPr>
            <w:tcW w:w="4320" w:type="dxa"/>
          </w:tcPr>
          <w:p w:rsidR="00D941EA" w:rsidRPr="004C7830" w:rsidRDefault="00D941EA" w:rsidP="00F83A33">
            <w:pPr>
              <w:rPr>
                <w:rFonts w:eastAsia="Arial" w:cs="Arial"/>
                <w:b/>
                <w:color w:val="000000" w:themeColor="text1"/>
                <w:sz w:val="24"/>
                <w:szCs w:val="24"/>
              </w:rPr>
            </w:pPr>
            <w:r w:rsidRPr="004C7830">
              <w:rPr>
                <w:rFonts w:eastAsia="Arial" w:cs="Arial"/>
                <w:b/>
                <w:color w:val="000000" w:themeColor="text1"/>
                <w:sz w:val="24"/>
                <w:szCs w:val="24"/>
              </w:rPr>
              <w:t>Total for All CCI Levels</w:t>
            </w:r>
          </w:p>
        </w:tc>
        <w:tc>
          <w:tcPr>
            <w:tcW w:w="4140" w:type="dxa"/>
          </w:tcPr>
          <w:p w:rsidR="00D941EA" w:rsidRPr="004C7830" w:rsidRDefault="00D941EA" w:rsidP="00F83A33">
            <w:pPr>
              <w:jc w:val="center"/>
              <w:rPr>
                <w:rFonts w:eastAsia="Arial" w:cs="Arial"/>
                <w:b/>
                <w:color w:val="000000" w:themeColor="text1"/>
                <w:sz w:val="24"/>
                <w:szCs w:val="24"/>
              </w:rPr>
            </w:pPr>
            <w:r w:rsidRPr="004C7830">
              <w:rPr>
                <w:rFonts w:eastAsia="Arial" w:cs="Arial"/>
                <w:b/>
                <w:color w:val="000000" w:themeColor="text1"/>
                <w:sz w:val="24"/>
                <w:szCs w:val="24"/>
              </w:rPr>
              <w:t>808</w:t>
            </w:r>
          </w:p>
        </w:tc>
      </w:tr>
    </w:tbl>
    <w:p w:rsidR="00D941EA" w:rsidRPr="004C7830" w:rsidRDefault="00D941EA" w:rsidP="00D941EA">
      <w:pPr>
        <w:spacing w:before="240" w:after="240"/>
        <w:rPr>
          <w:rFonts w:eastAsia="Arial"/>
        </w:rPr>
      </w:pPr>
      <w:r w:rsidRPr="004C7830">
        <w:rPr>
          <w:rFonts w:eastAsia="Arial" w:cs="Arial"/>
        </w:rPr>
        <w:t>*The shaded boxes represent the students who could potentially benefit from the inclusion of the State and Federal Job Program in the CCI. Depending on the criteria adopted for this measure, DASS students who completed the State and Federal Job Program could be placed in a higher CCI level.</w:t>
      </w:r>
    </w:p>
    <w:p w:rsidR="00D941EA" w:rsidRPr="004C7830" w:rsidRDefault="00D941EA" w:rsidP="00D941EA">
      <w:pPr>
        <w:rPr>
          <w:rFonts w:eastAsia="Arial" w:cs="Arial"/>
        </w:rPr>
      </w:pPr>
      <w:r w:rsidRPr="004C7830">
        <w:rPr>
          <w:rFonts w:eastAsia="Arial" w:cs="Arial"/>
        </w:rPr>
        <w:t>Of the 808 students in 2019 DASS graduation rate who completed one of the State or Federal Job Programs, a total of 497</w:t>
      </w:r>
      <w:r w:rsidRPr="004C7830">
        <w:rPr>
          <w:rFonts w:eastAsia="Arial" w:cs="Arial"/>
          <w:b/>
          <w:bCs/>
        </w:rPr>
        <w:t xml:space="preserve"> </w:t>
      </w:r>
      <w:r w:rsidRPr="004C7830">
        <w:rPr>
          <w:rFonts w:eastAsia="Arial" w:cs="Arial"/>
        </w:rPr>
        <w:t xml:space="preserve">students (61.5%) completed at least one semester/two quarters/two trimesters of CTE courses with a C minus or better between </w:t>
      </w:r>
      <w:r w:rsidRPr="004C7830">
        <w:rPr>
          <w:rFonts w:eastAsia="Arial" w:cs="Arial"/>
        </w:rPr>
        <w:lastRenderedPageBreak/>
        <w:t>2015 and 2019. (Note: These were the criteria proposed for DASS students completing the Non-Certified Pre-Apprenticeship).</w:t>
      </w:r>
    </w:p>
    <w:p w:rsidR="00CB5EF9" w:rsidRPr="004C7830" w:rsidRDefault="00CB5EF9" w:rsidP="00D941EA">
      <w:pPr>
        <w:rPr>
          <w:rFonts w:eastAsia="Arial" w:cs="Arial"/>
        </w:rPr>
      </w:pPr>
    </w:p>
    <w:p w:rsidR="00D941EA" w:rsidRPr="004C7830" w:rsidRDefault="00D941EA" w:rsidP="00D941EA">
      <w:pPr>
        <w:rPr>
          <w:rFonts w:eastAsia="Arial" w:cs="Arial"/>
        </w:rPr>
      </w:pPr>
      <w:r w:rsidRPr="004C7830">
        <w:rPr>
          <w:rFonts w:eastAsia="Arial" w:cs="Arial"/>
        </w:rPr>
        <w:t>Of these 497 students:</w:t>
      </w:r>
    </w:p>
    <w:p w:rsidR="00D941EA" w:rsidRPr="004C7830" w:rsidRDefault="00D941EA" w:rsidP="00D941EA">
      <w:pPr>
        <w:rPr>
          <w:rFonts w:eastAsia="Arial" w:cs="Arial"/>
        </w:rPr>
      </w:pP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 xml:space="preserve">18 were placed in Prepared level via other criteria </w:t>
      </w: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69 were counted as Approaching Prepared via other criteria</w:t>
      </w: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334 were counted as Not Prepared graduates</w:t>
      </w: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76 were counted as Not Prepared non-graduates</w:t>
      </w:r>
    </w:p>
    <w:p w:rsidR="00D941EA" w:rsidRPr="004C7830" w:rsidRDefault="00D941EA" w:rsidP="00D941EA">
      <w:pPr>
        <w:ind w:left="450"/>
        <w:rPr>
          <w:rFonts w:eastAsia="Arial" w:cs="Arial"/>
        </w:rPr>
      </w:pPr>
    </w:p>
    <w:p w:rsidR="00D941EA" w:rsidRPr="004C7830" w:rsidRDefault="00D941EA" w:rsidP="00D941EA">
      <w:pPr>
        <w:rPr>
          <w:rFonts w:eastAsia="Arial" w:cs="Arial"/>
        </w:rPr>
      </w:pPr>
      <w:r w:rsidRPr="004C7830">
        <w:rPr>
          <w:rFonts w:eastAsia="Arial" w:cs="Arial"/>
        </w:rPr>
        <w:t xml:space="preserve">Based on these criteria, a total of </w:t>
      </w:r>
      <w:r w:rsidRPr="004C7830">
        <w:rPr>
          <w:rFonts w:eastAsia="Arial" w:cs="Arial"/>
          <w:b/>
          <w:bCs/>
        </w:rPr>
        <w:t>403</w:t>
      </w:r>
      <w:r w:rsidRPr="004C7830">
        <w:rPr>
          <w:rFonts w:eastAsia="Arial" w:cs="Arial"/>
        </w:rPr>
        <w:t xml:space="preserve"> additional DASS students would have earned the Prepared level on the 2019 Dashboard:</w:t>
      </w:r>
    </w:p>
    <w:p w:rsidR="00D941EA" w:rsidRPr="004C7830" w:rsidRDefault="00D941EA" w:rsidP="00D941EA">
      <w:pPr>
        <w:rPr>
          <w:rFonts w:eastAsia="Arial" w:cs="Arial"/>
        </w:rPr>
      </w:pP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 xml:space="preserve">69 students would move up from Approaching Prepared, and </w:t>
      </w:r>
    </w:p>
    <w:p w:rsidR="00D941EA" w:rsidRPr="004C7830" w:rsidRDefault="00D941EA" w:rsidP="00D941EA">
      <w:pPr>
        <w:pStyle w:val="ListParagraph"/>
        <w:numPr>
          <w:ilvl w:val="0"/>
          <w:numId w:val="32"/>
        </w:numPr>
        <w:rPr>
          <w:rFonts w:eastAsia="Arial" w:cs="Arial"/>
          <w:color w:val="000000" w:themeColor="text1"/>
        </w:rPr>
      </w:pPr>
      <w:r w:rsidRPr="004C7830">
        <w:rPr>
          <w:rFonts w:eastAsia="Arial" w:cs="Arial"/>
        </w:rPr>
        <w:t>334 students would move up from Not Prepared (graduates)</w:t>
      </w:r>
    </w:p>
    <w:p w:rsidR="00D941EA" w:rsidRPr="004C7830" w:rsidRDefault="00D941EA" w:rsidP="00D941EA">
      <w:pPr>
        <w:rPr>
          <w:rFonts w:eastAsia="Arial" w:cs="Arial"/>
        </w:rPr>
      </w:pPr>
    </w:p>
    <w:p w:rsidR="00D941EA" w:rsidRPr="004C7830" w:rsidRDefault="00D941EA" w:rsidP="00D941EA">
      <w:pPr>
        <w:rPr>
          <w:rFonts w:eastAsia="Arial" w:cs="Arial"/>
          <w:color w:val="000000" w:themeColor="text1"/>
        </w:rPr>
      </w:pPr>
      <w:r w:rsidRPr="004C7830">
        <w:rPr>
          <w:rFonts w:eastAsia="Arial" w:cs="Arial"/>
          <w:color w:val="000000" w:themeColor="text1"/>
        </w:rPr>
        <w:t>Both the CCI Workgroup and the Alternative Task Force held separate meetings in August</w:t>
      </w:r>
      <w:r w:rsidR="00164CD6" w:rsidRPr="004C7830">
        <w:rPr>
          <w:rFonts w:eastAsia="Arial" w:cs="Arial"/>
          <w:color w:val="000000" w:themeColor="text1"/>
        </w:rPr>
        <w:t xml:space="preserve"> 2020</w:t>
      </w:r>
      <w:r w:rsidRPr="004C7830">
        <w:rPr>
          <w:rFonts w:eastAsia="Arial" w:cs="Arial"/>
          <w:color w:val="000000" w:themeColor="text1"/>
        </w:rPr>
        <w:t xml:space="preserve"> to focus exclusively on </w:t>
      </w:r>
      <w:r w:rsidR="00164CD6" w:rsidRPr="004C7830">
        <w:rPr>
          <w:rFonts w:eastAsia="Arial" w:cs="Arial"/>
          <w:color w:val="000000" w:themeColor="text1"/>
        </w:rPr>
        <w:t xml:space="preserve">the inclusion of </w:t>
      </w:r>
      <w:r w:rsidRPr="004C7830">
        <w:rPr>
          <w:rFonts w:eastAsia="Arial" w:cs="Arial"/>
          <w:color w:val="000000" w:themeColor="text1"/>
        </w:rPr>
        <w:t>State or Federal Job Programs</w:t>
      </w:r>
      <w:r w:rsidR="00164CD6" w:rsidRPr="004C7830">
        <w:rPr>
          <w:rFonts w:eastAsia="Arial" w:cs="Arial"/>
          <w:color w:val="000000" w:themeColor="text1"/>
        </w:rPr>
        <w:t xml:space="preserve"> in the CCI</w:t>
      </w:r>
      <w:r w:rsidRPr="004C7830">
        <w:rPr>
          <w:rFonts w:eastAsia="Arial" w:cs="Arial"/>
          <w:color w:val="000000" w:themeColor="text1"/>
        </w:rPr>
        <w:t>. The two groups reached different conclusions about the appropriateness of this measure for inclusion in the CCI.</w:t>
      </w:r>
    </w:p>
    <w:p w:rsidR="00D941EA" w:rsidRPr="004C7830" w:rsidRDefault="00D941EA" w:rsidP="00D941EA">
      <w:pPr>
        <w:rPr>
          <w:rFonts w:eastAsia="Arial" w:cs="Arial"/>
          <w:color w:val="000000" w:themeColor="text1"/>
        </w:rPr>
      </w:pPr>
    </w:p>
    <w:p w:rsidR="00D941EA" w:rsidRPr="004C7830" w:rsidRDefault="00D941EA" w:rsidP="00D941EA">
      <w:pPr>
        <w:rPr>
          <w:rFonts w:eastAsia="Arial" w:cs="Arial"/>
          <w:color w:val="000000" w:themeColor="text1"/>
        </w:rPr>
      </w:pPr>
      <w:r w:rsidRPr="004C7830">
        <w:rPr>
          <w:rFonts w:eastAsia="Arial" w:cs="Arial"/>
          <w:color w:val="000000" w:themeColor="text1"/>
        </w:rPr>
        <w:t>The CCI Workgroup recommended that the CDE postpone advancing this measure to the SBE until 2022, for potential inclusion in the 2022 Dashboard, in order to allow for consistent reporting and to collect data on individual state and federal programs that are being offered by DASS schools. The Workgroup also recommended removing WIOA from the list of programs counting toward this measure, based on the</w:t>
      </w:r>
      <w:r w:rsidR="00164CD6" w:rsidRPr="004C7830">
        <w:rPr>
          <w:rFonts w:eastAsia="Arial" w:cs="Arial"/>
          <w:color w:val="000000" w:themeColor="text1"/>
        </w:rPr>
        <w:t>ir</w:t>
      </w:r>
      <w:r w:rsidRPr="004C7830">
        <w:rPr>
          <w:rFonts w:eastAsia="Arial" w:cs="Arial"/>
          <w:color w:val="000000" w:themeColor="text1"/>
        </w:rPr>
        <w:t xml:space="preserve"> following rationale:</w:t>
      </w:r>
    </w:p>
    <w:p w:rsidR="00D941EA" w:rsidRPr="004C7830" w:rsidRDefault="00D941EA" w:rsidP="00D941EA">
      <w:pPr>
        <w:rPr>
          <w:rFonts w:eastAsia="Arial" w:cs="Arial"/>
          <w:color w:val="000000" w:themeColor="text1"/>
        </w:rPr>
      </w:pPr>
    </w:p>
    <w:p w:rsidR="00D941EA" w:rsidRPr="004C7830" w:rsidRDefault="00D941EA" w:rsidP="00D941EA">
      <w:pPr>
        <w:pStyle w:val="ListParagraph"/>
        <w:numPr>
          <w:ilvl w:val="0"/>
          <w:numId w:val="44"/>
        </w:numPr>
        <w:textAlignment w:val="baseline"/>
        <w:rPr>
          <w:rFonts w:cs="Arial"/>
        </w:rPr>
      </w:pPr>
      <w:r w:rsidRPr="004C7830">
        <w:rPr>
          <w:rFonts w:cs="Arial"/>
          <w:color w:val="000000"/>
          <w:position w:val="-1"/>
        </w:rPr>
        <w:t>Implementation is cumbersome, especially with regards to assessments, data collection and reporting</w:t>
      </w:r>
    </w:p>
    <w:p w:rsidR="00D941EA" w:rsidRPr="004C7830" w:rsidRDefault="00D941EA" w:rsidP="00D941EA">
      <w:pPr>
        <w:pStyle w:val="ListParagraph"/>
        <w:ind w:left="630"/>
        <w:textAlignment w:val="baseline"/>
        <w:rPr>
          <w:rFonts w:cs="Arial"/>
        </w:rPr>
      </w:pPr>
    </w:p>
    <w:p w:rsidR="00D941EA" w:rsidRPr="004C7830" w:rsidRDefault="00D941EA" w:rsidP="00D941EA">
      <w:pPr>
        <w:pStyle w:val="ListParagraph"/>
        <w:numPr>
          <w:ilvl w:val="0"/>
          <w:numId w:val="44"/>
        </w:numPr>
        <w:textAlignment w:val="baseline"/>
        <w:rPr>
          <w:rFonts w:cs="Arial"/>
        </w:rPr>
      </w:pPr>
      <w:r w:rsidRPr="004C7830">
        <w:rPr>
          <w:rFonts w:cs="Arial"/>
          <w:color w:val="000000"/>
          <w:position w:val="-1"/>
        </w:rPr>
        <w:t>The program is not implemented consistently throughout the state and is driven by local plans</w:t>
      </w:r>
    </w:p>
    <w:p w:rsidR="00D941EA" w:rsidRPr="004C7830" w:rsidRDefault="00D941EA" w:rsidP="00D941EA">
      <w:pPr>
        <w:pStyle w:val="ListParagraph"/>
        <w:ind w:left="630"/>
        <w:textAlignment w:val="baseline"/>
        <w:rPr>
          <w:rFonts w:cs="Arial"/>
        </w:rPr>
      </w:pPr>
    </w:p>
    <w:p w:rsidR="00D941EA" w:rsidRPr="004C7830" w:rsidRDefault="00D941EA" w:rsidP="00D941EA">
      <w:pPr>
        <w:pStyle w:val="ListParagraph"/>
        <w:numPr>
          <w:ilvl w:val="0"/>
          <w:numId w:val="44"/>
        </w:numPr>
        <w:textAlignment w:val="baseline"/>
        <w:rPr>
          <w:rFonts w:cs="Arial"/>
        </w:rPr>
      </w:pPr>
      <w:r w:rsidRPr="004C7830">
        <w:rPr>
          <w:rFonts w:cs="Arial"/>
        </w:rPr>
        <w:t>WIOA pathways are not defined in the same way as CTE pathways (use different criteria) and therefore may not meet SBE expectations for career readiness.</w:t>
      </w:r>
    </w:p>
    <w:p w:rsidR="00D941EA" w:rsidRPr="004C7830" w:rsidRDefault="00D941EA" w:rsidP="00D941EA">
      <w:pPr>
        <w:rPr>
          <w:rFonts w:eastAsia="Arial" w:cs="Arial"/>
          <w:color w:val="000000" w:themeColor="text1"/>
        </w:rPr>
      </w:pPr>
    </w:p>
    <w:p w:rsidR="00D941EA" w:rsidRPr="004C7830" w:rsidRDefault="00D941EA" w:rsidP="00D941EA">
      <w:pPr>
        <w:rPr>
          <w:rFonts w:eastAsia="Arial" w:cs="Arial"/>
          <w:color w:val="000000" w:themeColor="text1"/>
        </w:rPr>
      </w:pPr>
      <w:r w:rsidRPr="004C7830">
        <w:rPr>
          <w:rFonts w:eastAsia="Arial" w:cs="Arial"/>
          <w:color w:val="000000" w:themeColor="text1"/>
        </w:rPr>
        <w:t xml:space="preserve">The Alternative Task Force voiced strong support for including this measure for DASS students only and for recommending its inclusion at the September 2020 SBE meeting. The members also strongly disagreed with the CCI Workgroup’s assessment of the WIOA program and argued for its inclusion in the State or Federal Programs. They felt that it served a critical role in reengaging out-of-school youth and was therefore an appropriate measure for DASS schools. According to the Task Force, WIOA programs </w:t>
      </w:r>
      <w:r w:rsidRPr="004C7830">
        <w:rPr>
          <w:rFonts w:eastAsia="Arial" w:cs="Arial"/>
          <w:color w:val="000000" w:themeColor="text1"/>
        </w:rPr>
        <w:lastRenderedPageBreak/>
        <w:t>in California were particularly robust, offering a broad array of services to support youth, including case managers, work readiness courses, and paid internships.</w:t>
      </w:r>
    </w:p>
    <w:p w:rsidR="00D941EA" w:rsidRPr="004C7830" w:rsidRDefault="00D941EA" w:rsidP="00D941EA">
      <w:pPr>
        <w:rPr>
          <w:rFonts w:eastAsia="Arial" w:cs="Arial"/>
          <w:color w:val="000000" w:themeColor="text1"/>
        </w:rPr>
      </w:pPr>
    </w:p>
    <w:p w:rsidR="00D941EA" w:rsidRPr="004C7830" w:rsidRDefault="00D941EA" w:rsidP="00D941EA">
      <w:pPr>
        <w:spacing w:after="240"/>
        <w:rPr>
          <w:rFonts w:cs="Arial"/>
          <w:color w:val="000000" w:themeColor="text1"/>
        </w:rPr>
      </w:pPr>
      <w:r w:rsidRPr="004C7830">
        <w:rPr>
          <w:rFonts w:eastAsia="Arial" w:cs="Arial"/>
          <w:color w:val="000000" w:themeColor="text1"/>
        </w:rPr>
        <w:t xml:space="preserve">At its August 2020 meeting, the TDG reached unanimous consensus that WIOA was a valid program for DASS schools and that it served a critical need. It also believed that those schools that are reengaging youth in education should receive credit for their work. The TDG unanimously agreed that WIOA be included in the State or Federal Programs. It also supported the proposed placement criteria for all State or Federal Job Programs. </w:t>
      </w:r>
      <w:r w:rsidR="00164CD6" w:rsidRPr="004C7830">
        <w:rPr>
          <w:rFonts w:eastAsia="Arial" w:cs="Arial"/>
          <w:color w:val="000000" w:themeColor="text1"/>
        </w:rPr>
        <w:t xml:space="preserve">At the </w:t>
      </w:r>
      <w:r w:rsidRPr="004C7830">
        <w:rPr>
          <w:rFonts w:cs="Arial"/>
          <w:color w:val="000000" w:themeColor="text1"/>
        </w:rPr>
        <w:t xml:space="preserve">August 2020 </w:t>
      </w:r>
      <w:r w:rsidR="00164CD6" w:rsidRPr="004C7830">
        <w:rPr>
          <w:rFonts w:cs="Arial"/>
          <w:color w:val="000000" w:themeColor="text1"/>
        </w:rPr>
        <w:t>CPAG meeting</w:t>
      </w:r>
      <w:r w:rsidR="00700007" w:rsidRPr="004C7830">
        <w:rPr>
          <w:rFonts w:cs="Arial"/>
          <w:color w:val="000000" w:themeColor="text1"/>
        </w:rPr>
        <w:t xml:space="preserve">, </w:t>
      </w:r>
      <w:r w:rsidR="00164CD6" w:rsidRPr="004C7830">
        <w:rPr>
          <w:rFonts w:cs="Arial"/>
          <w:color w:val="000000" w:themeColor="text1"/>
        </w:rPr>
        <w:t xml:space="preserve">members </w:t>
      </w:r>
      <w:r w:rsidRPr="004C7830">
        <w:rPr>
          <w:rFonts w:cs="Arial"/>
          <w:color w:val="000000" w:themeColor="text1"/>
        </w:rPr>
        <w:t>were unified in their support for the inclusion of WIOA in the State or Federal Job Program</w:t>
      </w:r>
      <w:r w:rsidR="00164CD6" w:rsidRPr="004C7830">
        <w:rPr>
          <w:rFonts w:cs="Arial"/>
          <w:color w:val="000000" w:themeColor="text1"/>
        </w:rPr>
        <w:t>s</w:t>
      </w:r>
      <w:r w:rsidRPr="004C7830">
        <w:rPr>
          <w:rFonts w:cs="Arial"/>
          <w:color w:val="000000" w:themeColor="text1"/>
        </w:rPr>
        <w:t xml:space="preserve"> measure. </w:t>
      </w:r>
    </w:p>
    <w:p w:rsidR="00D941EA" w:rsidRPr="004C7830" w:rsidRDefault="00D941EA" w:rsidP="00D941EA">
      <w:pPr>
        <w:rPr>
          <w:rFonts w:eastAsia="Arial" w:cs="Arial"/>
          <w:color w:val="000000" w:themeColor="text1"/>
        </w:rPr>
      </w:pPr>
      <w:r w:rsidRPr="004C7830">
        <w:rPr>
          <w:rFonts w:eastAsia="Arial" w:cs="Arial"/>
          <w:color w:val="000000" w:themeColor="text1"/>
        </w:rPr>
        <w:t xml:space="preserve">Based on these discussions, the CDE recommends that the State or Federal Job Programs (including the WIOA program) be adopted as a CCI measure </w:t>
      </w:r>
      <w:r w:rsidRPr="004C7830">
        <w:rPr>
          <w:rFonts w:eastAsia="Arial" w:cs="Arial"/>
          <w:b/>
          <w:bCs/>
          <w:color w:val="000000" w:themeColor="text1"/>
        </w:rPr>
        <w:t>for DASS students only</w:t>
      </w:r>
      <w:r w:rsidRPr="004C7830">
        <w:rPr>
          <w:rFonts w:eastAsia="Arial" w:cs="Arial"/>
          <w:color w:val="000000" w:themeColor="text1"/>
        </w:rPr>
        <w:t xml:space="preserve"> and that students who complete </w:t>
      </w:r>
      <w:r w:rsidRPr="004C7830">
        <w:rPr>
          <w:rFonts w:eastAsia="Arial" w:cs="Arial"/>
          <w:b/>
          <w:bCs/>
          <w:color w:val="000000" w:themeColor="text1"/>
        </w:rPr>
        <w:t xml:space="preserve">both </w:t>
      </w:r>
      <w:r w:rsidRPr="004C7830">
        <w:rPr>
          <w:rFonts w:eastAsia="Arial" w:cs="Arial"/>
          <w:color w:val="000000" w:themeColor="text1"/>
        </w:rPr>
        <w:t>a State or Federal Job Program</w:t>
      </w:r>
      <w:r w:rsidRPr="004C7830">
        <w:rPr>
          <w:rFonts w:eastAsia="Arial" w:cs="Arial"/>
          <w:b/>
          <w:bCs/>
          <w:color w:val="000000" w:themeColor="text1"/>
        </w:rPr>
        <w:t xml:space="preserve"> and</w:t>
      </w:r>
      <w:r w:rsidRPr="004C7830">
        <w:rPr>
          <w:rFonts w:eastAsia="Arial" w:cs="Arial"/>
          <w:color w:val="000000" w:themeColor="text1"/>
        </w:rPr>
        <w:t xml:space="preserve"> at least one semester/two quarters/two trimesters of CTE courses with a C minus or better be placed in the Prepared level. The TDG and CPAG unanimously supported these placement criteria.</w:t>
      </w:r>
    </w:p>
    <w:p w:rsidR="00D941EA" w:rsidRPr="004C7830" w:rsidRDefault="00D941EA" w:rsidP="00D941EA">
      <w:pPr>
        <w:spacing w:after="240"/>
        <w:rPr>
          <w:rFonts w:eastAsia="Arial" w:cs="Arial"/>
          <w:color w:val="000000" w:themeColor="text1"/>
        </w:rPr>
      </w:pPr>
      <w:r w:rsidRPr="004C7830">
        <w:rPr>
          <w:rFonts w:eastAsia="Arial" w:cs="Arial"/>
          <w:color w:val="000000" w:themeColor="text1"/>
        </w:rPr>
        <w:t>Note: Currently the collection of State or Federal Job Programs in CALPADS does not include the specific job program completed by students. However, beginning with the 2020</w:t>
      </w:r>
      <w:r w:rsidR="00164CD6" w:rsidRPr="004C7830">
        <w:rPr>
          <w:rFonts w:eastAsia="Arial" w:cs="Arial"/>
          <w:color w:val="000000" w:themeColor="text1"/>
        </w:rPr>
        <w:t>–</w:t>
      </w:r>
      <w:r w:rsidRPr="004C7830">
        <w:rPr>
          <w:rFonts w:eastAsia="Arial" w:cs="Arial"/>
          <w:color w:val="000000" w:themeColor="text1"/>
        </w:rPr>
        <w:t xml:space="preserve">21 collection, data on the specific program completed will be available. Therefore, specific job programs can be selected for incorporation into the CCI starting with the 2022 Dashboard. </w:t>
      </w:r>
    </w:p>
    <w:p w:rsidR="00D941EA" w:rsidRPr="004C7830" w:rsidRDefault="00D941EA" w:rsidP="00D941EA">
      <w:pPr>
        <w:rPr>
          <w:i/>
        </w:rPr>
      </w:pPr>
      <w:r w:rsidRPr="004C7830">
        <w:rPr>
          <w:i/>
        </w:rPr>
        <w:t xml:space="preserve">Workforce Readiness Certificate </w:t>
      </w:r>
    </w:p>
    <w:p w:rsidR="00D941EA" w:rsidRPr="004C7830" w:rsidRDefault="00D941EA" w:rsidP="00D941EA">
      <w:pPr>
        <w:rPr>
          <w:rFonts w:cs="Arial"/>
          <w:i/>
          <w:color w:val="000000" w:themeColor="text1"/>
        </w:rPr>
      </w:pPr>
    </w:p>
    <w:p w:rsidR="00D941EA" w:rsidRPr="004C7830" w:rsidRDefault="00D941EA" w:rsidP="00D941EA">
      <w:pPr>
        <w:shd w:val="clear" w:color="auto" w:fill="FFFFFF" w:themeFill="background1"/>
        <w:rPr>
          <w:rFonts w:eastAsia="Arial" w:cs="Arial"/>
          <w:color w:val="000000" w:themeColor="text1"/>
        </w:rPr>
      </w:pPr>
      <w:r w:rsidRPr="004C7830">
        <w:rPr>
          <w:rFonts w:cs="Arial"/>
          <w:color w:val="000000" w:themeColor="text1"/>
        </w:rPr>
        <w:t xml:space="preserve">In 2018–19, the Workforce Readiness Certificate was earned by 3,213 high school students, including students from both DASS and non-DASS schools. (Currently, this measure is proposed for DASS schools only.). </w:t>
      </w:r>
      <w:r w:rsidRPr="004C7830">
        <w:rPr>
          <w:rFonts w:eastAsia="Arial" w:cs="Arial"/>
          <w:color w:val="000000" w:themeColor="text1"/>
        </w:rPr>
        <w:t>In order to evaluate the benefit of adding this measure to the CCI model, the CDE conducted an analysis, shown in Table 4, of all students who earned the certificate and their CCI preparedness levels.</w:t>
      </w:r>
    </w:p>
    <w:p w:rsidR="00D941EA" w:rsidRPr="004C7830" w:rsidRDefault="00D941EA" w:rsidP="00D941EA">
      <w:pPr>
        <w:shd w:val="clear" w:color="auto" w:fill="FFFFFF" w:themeFill="background1"/>
        <w:rPr>
          <w:rFonts w:eastAsia="Arial" w:cs="Arial"/>
          <w:color w:val="000000" w:themeColor="text1"/>
        </w:rPr>
      </w:pPr>
    </w:p>
    <w:p w:rsidR="00D941EA" w:rsidRPr="004C7830" w:rsidRDefault="00D941EA" w:rsidP="00FC2F7B">
      <w:pPr>
        <w:pStyle w:val="Heading3"/>
        <w:rPr>
          <w:rFonts w:eastAsia="Arial" w:cs="Arial"/>
          <w:color w:val="000000" w:themeColor="text1"/>
        </w:rPr>
      </w:pPr>
      <w:r w:rsidRPr="004C7830">
        <w:t>Table 4: Workforce Readiness Earners and CCI Level on the 2019 Dashboard</w:t>
      </w:r>
    </w:p>
    <w:tbl>
      <w:tblPr>
        <w:tblStyle w:val="TableGrid"/>
        <w:tblW w:w="9540" w:type="dxa"/>
        <w:tblInd w:w="-5" w:type="dxa"/>
        <w:tblLayout w:type="fixed"/>
        <w:tblLook w:val="06A0" w:firstRow="1" w:lastRow="0" w:firstColumn="1" w:lastColumn="0" w:noHBand="1" w:noVBand="1"/>
        <w:tblDescription w:val="Table displaying workforce readiness earners and CCI Level."/>
      </w:tblPr>
      <w:tblGrid>
        <w:gridCol w:w="3690"/>
        <w:gridCol w:w="3060"/>
        <w:gridCol w:w="2790"/>
      </w:tblGrid>
      <w:tr w:rsidR="00D941EA" w:rsidRPr="004C7830" w:rsidTr="00F83A33">
        <w:trPr>
          <w:cantSplit/>
          <w:tblHeader/>
        </w:trPr>
        <w:tc>
          <w:tcPr>
            <w:tcW w:w="369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CCI Level </w:t>
            </w:r>
          </w:p>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(via current CCI measures)</w:t>
            </w:r>
            <w:r w:rsidRPr="004C7830">
              <w:rPr>
                <w:rFonts w:eastAsia="Arial" w:cs="Arial"/>
                <w:color w:val="000000" w:themeColor="text1"/>
                <w:sz w:val="24"/>
                <w:szCs w:val="24"/>
              </w:rPr>
              <w:t xml:space="preserve"> </w:t>
            </w:r>
          </w:p>
        </w:tc>
        <w:tc>
          <w:tcPr>
            <w:tcW w:w="3060"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2019 Students: Non-DASS</w:t>
            </w:r>
            <w:r w:rsidRPr="004C7830">
              <w:rPr>
                <w:rFonts w:eastAsia="Arial" w:cs="Arial"/>
                <w:color w:val="000000" w:themeColor="text1"/>
                <w:sz w:val="24"/>
                <w:szCs w:val="24"/>
              </w:rPr>
              <w:t xml:space="preserve"> </w:t>
            </w:r>
          </w:p>
        </w:tc>
        <w:tc>
          <w:tcPr>
            <w:tcW w:w="279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2019 Students: DASS</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Prepared</w:t>
            </w:r>
          </w:p>
        </w:tc>
        <w:tc>
          <w:tcPr>
            <w:tcW w:w="306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1,477 (65.6%)</w:t>
            </w:r>
          </w:p>
        </w:tc>
        <w:tc>
          <w:tcPr>
            <w:tcW w:w="279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92 (9.6%)</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Approaching Prepared*</w:t>
            </w:r>
          </w:p>
        </w:tc>
        <w:tc>
          <w:tcPr>
            <w:tcW w:w="306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482 (21.4%)</w:t>
            </w:r>
          </w:p>
        </w:tc>
        <w:tc>
          <w:tcPr>
            <w:tcW w:w="279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156 (16.3%)</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(graduated)*</w:t>
            </w:r>
          </w:p>
        </w:tc>
        <w:tc>
          <w:tcPr>
            <w:tcW w:w="306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262 (11.6%)</w:t>
            </w:r>
          </w:p>
        </w:tc>
        <w:tc>
          <w:tcPr>
            <w:tcW w:w="279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589 (61.4%)</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(did not graduate)</w:t>
            </w:r>
          </w:p>
        </w:tc>
        <w:tc>
          <w:tcPr>
            <w:tcW w:w="306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32 (1.4%)</w:t>
            </w:r>
          </w:p>
        </w:tc>
        <w:tc>
          <w:tcPr>
            <w:tcW w:w="279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123 (12.8%)</w:t>
            </w:r>
          </w:p>
        </w:tc>
      </w:tr>
      <w:tr w:rsidR="00D941EA" w:rsidRPr="004C7830" w:rsidTr="00F83A33">
        <w:trPr>
          <w:cantSplit/>
        </w:trPr>
        <w:tc>
          <w:tcPr>
            <w:tcW w:w="3690" w:type="dxa"/>
          </w:tcPr>
          <w:p w:rsidR="00D941EA" w:rsidRPr="004C7830" w:rsidRDefault="00D941EA" w:rsidP="00F83A33">
            <w:pPr>
              <w:rPr>
                <w:rFonts w:eastAsia="Arial" w:cs="Arial"/>
                <w:b/>
                <w:bCs/>
                <w:color w:val="000000" w:themeColor="text1"/>
                <w:sz w:val="24"/>
                <w:szCs w:val="24"/>
              </w:rPr>
            </w:pPr>
            <w:r w:rsidRPr="004C7830">
              <w:rPr>
                <w:rFonts w:eastAsia="Arial" w:cs="Arial"/>
                <w:b/>
                <w:bCs/>
                <w:color w:val="000000" w:themeColor="text1"/>
                <w:sz w:val="24"/>
                <w:szCs w:val="24"/>
              </w:rPr>
              <w:t>Total for All CCI Levels</w:t>
            </w:r>
          </w:p>
        </w:tc>
        <w:tc>
          <w:tcPr>
            <w:tcW w:w="306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2,253</w:t>
            </w:r>
          </w:p>
        </w:tc>
        <w:tc>
          <w:tcPr>
            <w:tcW w:w="279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960</w:t>
            </w:r>
          </w:p>
        </w:tc>
      </w:tr>
    </w:tbl>
    <w:p w:rsidR="00D941EA" w:rsidRPr="004C7830" w:rsidRDefault="00D941EA" w:rsidP="00D941EA">
      <w:pPr>
        <w:spacing w:before="240"/>
        <w:rPr>
          <w:rFonts w:eastAsia="Arial" w:cs="Arial"/>
        </w:rPr>
      </w:pPr>
      <w:r w:rsidRPr="004C7830">
        <w:rPr>
          <w:rFonts w:eastAsia="Arial" w:cs="Arial"/>
        </w:rPr>
        <w:t xml:space="preserve">*The shaded boxes represent the students who could potentially benefit from the inclusion of the Workforce Readiness Certificate in the CCI. Depending on the criteria </w:t>
      </w:r>
      <w:r w:rsidRPr="004C7830">
        <w:rPr>
          <w:rFonts w:eastAsia="Arial" w:cs="Arial"/>
        </w:rPr>
        <w:lastRenderedPageBreak/>
        <w:t xml:space="preserve">adopted for this measure, students who completed the Workforce Readiness Certificate could be placed in a higher CCI level. </w:t>
      </w:r>
    </w:p>
    <w:p w:rsidR="00D941EA" w:rsidRPr="004C7830" w:rsidRDefault="00D941EA" w:rsidP="00D941EA">
      <w:pPr>
        <w:spacing w:before="240"/>
        <w:rPr>
          <w:rFonts w:eastAsia="Arial" w:cs="Arial"/>
        </w:rPr>
      </w:pPr>
      <w:r w:rsidRPr="004C7830">
        <w:rPr>
          <w:rFonts w:eastAsia="Arial" w:cs="Arial"/>
        </w:rPr>
        <w:t xml:space="preserve">The CDE also conducted a cross-measure analysis to determine the number of students whom both earned a Workforce Readiness Certificate and completed CTE coursework. Of the </w:t>
      </w:r>
      <w:r w:rsidRPr="004C7830">
        <w:rPr>
          <w:rFonts w:cs="Arial"/>
          <w:color w:val="000000" w:themeColor="text1"/>
        </w:rPr>
        <w:t xml:space="preserve">3,213 students who earned a Workforce Readiness Certificate: </w:t>
      </w:r>
    </w:p>
    <w:p w:rsidR="00D941EA" w:rsidRPr="004C7830" w:rsidRDefault="00D941EA" w:rsidP="00D941EA">
      <w:pPr>
        <w:pStyle w:val="ListParagraph"/>
        <w:numPr>
          <w:ilvl w:val="0"/>
          <w:numId w:val="35"/>
        </w:numPr>
        <w:shd w:val="clear" w:color="auto" w:fill="FFFFFF" w:themeFill="background1"/>
        <w:spacing w:before="240"/>
        <w:contextualSpacing w:val="0"/>
        <w:rPr>
          <w:rFonts w:cs="Arial"/>
          <w:color w:val="000000" w:themeColor="text1"/>
        </w:rPr>
      </w:pPr>
      <w:r w:rsidRPr="004C7830">
        <w:rPr>
          <w:rFonts w:cs="Arial"/>
          <w:color w:val="000000" w:themeColor="text1"/>
        </w:rPr>
        <w:t>1,134 (35.3</w:t>
      </w:r>
      <w:r w:rsidRPr="004C7830">
        <w:rPr>
          <w:rFonts w:eastAsia="Arial" w:cs="Arial"/>
          <w:color w:val="000000" w:themeColor="text1"/>
        </w:rPr>
        <w:t xml:space="preserve"> percent</w:t>
      </w:r>
      <w:r w:rsidRPr="004C7830">
        <w:rPr>
          <w:rFonts w:cs="Arial"/>
          <w:color w:val="000000" w:themeColor="text1"/>
        </w:rPr>
        <w:t>) completed a CTE pathway between 2015 and 2019</w:t>
      </w:r>
    </w:p>
    <w:p w:rsidR="00D941EA" w:rsidRPr="004C7830" w:rsidRDefault="00D941EA" w:rsidP="00D941EA">
      <w:pPr>
        <w:pStyle w:val="ListParagraph"/>
        <w:numPr>
          <w:ilvl w:val="0"/>
          <w:numId w:val="35"/>
        </w:numPr>
        <w:shd w:val="clear" w:color="auto" w:fill="FFFFFF" w:themeFill="background1"/>
        <w:spacing w:before="240"/>
        <w:contextualSpacing w:val="0"/>
        <w:rPr>
          <w:rFonts w:cs="Arial"/>
          <w:color w:val="000000" w:themeColor="text1"/>
        </w:rPr>
      </w:pPr>
      <w:r w:rsidRPr="004C7830">
        <w:rPr>
          <w:rFonts w:cs="Arial"/>
          <w:color w:val="000000" w:themeColor="text1"/>
        </w:rPr>
        <w:t>2,049 (63.7</w:t>
      </w:r>
      <w:r w:rsidRPr="004C7830">
        <w:rPr>
          <w:rFonts w:eastAsia="Arial" w:cs="Arial"/>
          <w:color w:val="000000" w:themeColor="text1"/>
        </w:rPr>
        <w:t xml:space="preserve"> percent</w:t>
      </w:r>
      <w:r w:rsidRPr="004C7830">
        <w:rPr>
          <w:rFonts w:cs="Arial"/>
          <w:color w:val="000000" w:themeColor="text1"/>
        </w:rPr>
        <w:t>) completed at least one semester or one quarter of CTE courses with a C minus or better in 2019</w:t>
      </w:r>
    </w:p>
    <w:p w:rsidR="00D941EA" w:rsidRPr="004C7830" w:rsidRDefault="00D941EA" w:rsidP="00D941EA">
      <w:pPr>
        <w:pStyle w:val="ListParagraph"/>
        <w:numPr>
          <w:ilvl w:val="0"/>
          <w:numId w:val="35"/>
        </w:numPr>
        <w:shd w:val="clear" w:color="auto" w:fill="FFFFFF" w:themeFill="background1"/>
        <w:spacing w:before="240"/>
        <w:contextualSpacing w:val="0"/>
        <w:rPr>
          <w:rFonts w:cs="Arial"/>
          <w:color w:val="000000" w:themeColor="text1"/>
        </w:rPr>
      </w:pPr>
      <w:r w:rsidRPr="004C7830">
        <w:rPr>
          <w:rFonts w:cs="Arial"/>
          <w:color w:val="000000" w:themeColor="text1"/>
        </w:rPr>
        <w:t>2,083 (64.8</w:t>
      </w:r>
      <w:r w:rsidRPr="004C7830">
        <w:rPr>
          <w:rFonts w:eastAsia="Arial" w:cs="Arial"/>
          <w:color w:val="000000" w:themeColor="text1"/>
        </w:rPr>
        <w:t xml:space="preserve"> percent</w:t>
      </w:r>
      <w:r w:rsidRPr="004C7830">
        <w:rPr>
          <w:rFonts w:cs="Arial"/>
          <w:color w:val="000000" w:themeColor="text1"/>
        </w:rPr>
        <w:t>) earned at least 0.5 credits in a CTE course in 2019</w:t>
      </w:r>
    </w:p>
    <w:p w:rsidR="00D941EA" w:rsidRPr="004C7830" w:rsidRDefault="00D941EA" w:rsidP="00D941EA">
      <w:pPr>
        <w:spacing w:before="240" w:after="240"/>
        <w:rPr>
          <w:rFonts w:cs="Arial"/>
          <w:color w:val="000000" w:themeColor="text1"/>
        </w:rPr>
      </w:pPr>
      <w:r w:rsidRPr="004C7830">
        <w:rPr>
          <w:rFonts w:eastAsia="Arial" w:cs="Arial"/>
          <w:color w:val="000000" w:themeColor="text1"/>
        </w:rPr>
        <w:t>This measure sparked much discussion among members of the Alternative School Task Force and the CCI Subcommittee. Both groups expressed concerns that the certificate is not standardized and varies widely in rigor across districts. The CCI Subcommittee voiced concern that incorporating the certificate would reduce the rigor of the CCI. Members indicated that many districts were working to implement programs to ensure all students, including students with disabilities, receive a high-quality program to increase their success after high school. Adding measures that reduce the rigor of the CCI may decrease this momentum. Therefore, they recommended that the certificate not be included in the CCI. Additional discussions were held with the Alternative School Task Force in May 2020, at which time the group agreed that the Workforce Readiness Certificate should not be included in the CCI. Both the TDG and CPAG, unanimously agreed with this recommendation at their respective August 2020 meetings.</w:t>
      </w:r>
    </w:p>
    <w:p w:rsidR="00D941EA" w:rsidRPr="004C7830" w:rsidRDefault="00D941EA" w:rsidP="00D941EA">
      <w:pPr>
        <w:spacing w:before="240" w:after="240"/>
        <w:rPr>
          <w:rFonts w:cs="Arial"/>
          <w:color w:val="000000" w:themeColor="text1"/>
        </w:rPr>
      </w:pPr>
      <w:r w:rsidRPr="004C7830">
        <w:rPr>
          <w:i/>
          <w:iCs/>
        </w:rPr>
        <w:t>Food Handler Certificate</w:t>
      </w:r>
      <w:r w:rsidRPr="004C7830">
        <w:rPr>
          <w:rFonts w:cs="Arial"/>
          <w:color w:val="000000" w:themeColor="text1"/>
        </w:rPr>
        <w:t xml:space="preserve"> </w:t>
      </w:r>
    </w:p>
    <w:p w:rsidR="00C76798" w:rsidRPr="004C7830" w:rsidRDefault="00D941EA" w:rsidP="00E12039">
      <w:pPr>
        <w:shd w:val="clear" w:color="auto" w:fill="FFFFFF" w:themeFill="background1"/>
        <w:spacing w:before="120" w:after="100" w:afterAutospacing="1"/>
        <w:rPr>
          <w:b/>
        </w:rPr>
      </w:pPr>
      <w:r w:rsidRPr="004C7830">
        <w:rPr>
          <w:rFonts w:cs="Arial"/>
          <w:color w:val="000000" w:themeColor="text1"/>
        </w:rPr>
        <w:t xml:space="preserve">In 2018–19, the Food Handler Certificate was earned by 2,782 high school students, including students from both DASS and non-DASS schools. (Currently, this measure is proposed for DASS schools only, with a particular focus on Juvenile Court schools.). </w:t>
      </w:r>
      <w:r w:rsidRPr="004C7830">
        <w:rPr>
          <w:rFonts w:eastAsia="Arial" w:cs="Arial"/>
          <w:color w:val="000000" w:themeColor="text1"/>
        </w:rPr>
        <w:t>In order to evaluate the benefit of adding this measure to the CCI model, the CDE conducted an analysis, shown in Table 5, of all students who earned the certificate and their CCI preparedness levels.</w:t>
      </w:r>
    </w:p>
    <w:p w:rsidR="00D941EA" w:rsidRPr="004C7830" w:rsidRDefault="00D941EA" w:rsidP="00646083">
      <w:pPr>
        <w:pStyle w:val="Heading3"/>
      </w:pPr>
      <w:r w:rsidRPr="004C7830">
        <w:t>Table 5: Food Handler Certificate Earners and CCI Level on the 2019 Dashboard</w:t>
      </w:r>
    </w:p>
    <w:tbl>
      <w:tblPr>
        <w:tblStyle w:val="TableGrid"/>
        <w:tblW w:w="9540" w:type="dxa"/>
        <w:tblInd w:w="-5" w:type="dxa"/>
        <w:tblLayout w:type="fixed"/>
        <w:tblLook w:val="06A0" w:firstRow="1" w:lastRow="0" w:firstColumn="1" w:lastColumn="0" w:noHBand="1" w:noVBand="1"/>
        <w:tblDescription w:val="Table displaying food handler certificate earners and CCI Level."/>
      </w:tblPr>
      <w:tblGrid>
        <w:gridCol w:w="3690"/>
        <w:gridCol w:w="2880"/>
        <w:gridCol w:w="2970"/>
      </w:tblGrid>
      <w:tr w:rsidR="00D941EA" w:rsidRPr="004C7830" w:rsidTr="00F83A33">
        <w:trPr>
          <w:cantSplit/>
          <w:tblHeader/>
        </w:trPr>
        <w:tc>
          <w:tcPr>
            <w:tcW w:w="369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CCI Level </w:t>
            </w:r>
          </w:p>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(via current CCI measures)</w:t>
            </w:r>
            <w:r w:rsidRPr="004C7830">
              <w:rPr>
                <w:rFonts w:eastAsia="Arial" w:cs="Arial"/>
                <w:color w:val="000000" w:themeColor="text1"/>
                <w:sz w:val="24"/>
                <w:szCs w:val="24"/>
              </w:rPr>
              <w:t xml:space="preserve"> </w:t>
            </w:r>
          </w:p>
        </w:tc>
        <w:tc>
          <w:tcPr>
            <w:tcW w:w="2880" w:type="dxa"/>
          </w:tcPr>
          <w:p w:rsidR="00D941EA" w:rsidRPr="004C7830" w:rsidRDefault="00D941EA" w:rsidP="00F83A33">
            <w:pPr>
              <w:jc w:val="center"/>
              <w:rPr>
                <w:rFonts w:eastAsia="Arial" w:cs="Arial"/>
                <w:color w:val="000000" w:themeColor="text1"/>
                <w:sz w:val="24"/>
                <w:szCs w:val="24"/>
              </w:rPr>
            </w:pPr>
            <w:r w:rsidRPr="004C7830">
              <w:rPr>
                <w:rFonts w:eastAsia="Arial" w:cs="Arial"/>
                <w:b/>
                <w:bCs/>
                <w:color w:val="000000" w:themeColor="text1"/>
                <w:sz w:val="24"/>
                <w:szCs w:val="24"/>
              </w:rPr>
              <w:t>2019 Students: Non-DASS</w:t>
            </w:r>
            <w:r w:rsidRPr="004C7830">
              <w:rPr>
                <w:rFonts w:eastAsia="Arial" w:cs="Arial"/>
                <w:color w:val="000000" w:themeColor="text1"/>
                <w:sz w:val="24"/>
                <w:szCs w:val="24"/>
              </w:rPr>
              <w:t xml:space="preserve"> </w:t>
            </w:r>
          </w:p>
        </w:tc>
        <w:tc>
          <w:tcPr>
            <w:tcW w:w="297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2019 Students: DASS</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Prepared</w:t>
            </w:r>
          </w:p>
        </w:tc>
        <w:tc>
          <w:tcPr>
            <w:tcW w:w="288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1,262 (57.2%)</w:t>
            </w:r>
          </w:p>
        </w:tc>
        <w:tc>
          <w:tcPr>
            <w:tcW w:w="297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169 (29.3%)</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Approaching Prepared*</w:t>
            </w:r>
          </w:p>
        </w:tc>
        <w:tc>
          <w:tcPr>
            <w:tcW w:w="288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503 (22.8%)</w:t>
            </w:r>
          </w:p>
        </w:tc>
        <w:tc>
          <w:tcPr>
            <w:tcW w:w="297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37 (6.4%)</w:t>
            </w:r>
          </w:p>
        </w:tc>
      </w:tr>
      <w:tr w:rsidR="00D941EA" w:rsidRPr="004C7830" w:rsidTr="00F83A33">
        <w:trPr>
          <w:cantSplit/>
        </w:trPr>
        <w:tc>
          <w:tcPr>
            <w:tcW w:w="3690" w:type="dxa"/>
            <w:shd w:val="clear" w:color="auto" w:fill="D9E2F3" w:themeFill="accent1" w:themeFillTint="33"/>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(graduated)*</w:t>
            </w:r>
          </w:p>
        </w:tc>
        <w:tc>
          <w:tcPr>
            <w:tcW w:w="288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392 (17.8%)</w:t>
            </w:r>
          </w:p>
        </w:tc>
        <w:tc>
          <w:tcPr>
            <w:tcW w:w="2970" w:type="dxa"/>
            <w:shd w:val="clear" w:color="auto" w:fill="D9E2F3" w:themeFill="accent1" w:themeFillTint="33"/>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245 (42.5%)</w:t>
            </w:r>
          </w:p>
        </w:tc>
      </w:tr>
      <w:tr w:rsidR="00D941EA" w:rsidRPr="004C7830" w:rsidTr="00F83A33">
        <w:trPr>
          <w:cantSplit/>
        </w:trPr>
        <w:tc>
          <w:tcPr>
            <w:tcW w:w="3690" w:type="dxa"/>
          </w:tcPr>
          <w:p w:rsidR="00D941EA" w:rsidRPr="004C7830" w:rsidRDefault="00D941EA" w:rsidP="00F83A33">
            <w:pPr>
              <w:rPr>
                <w:rFonts w:eastAsia="Arial" w:cs="Arial"/>
                <w:color w:val="000000" w:themeColor="text1"/>
                <w:sz w:val="24"/>
                <w:szCs w:val="24"/>
              </w:rPr>
            </w:pPr>
            <w:r w:rsidRPr="004C7830">
              <w:rPr>
                <w:rFonts w:eastAsia="Arial" w:cs="Arial"/>
                <w:color w:val="000000" w:themeColor="text1"/>
                <w:sz w:val="24"/>
                <w:szCs w:val="24"/>
              </w:rPr>
              <w:t>Not Prepared (did not graduate)</w:t>
            </w:r>
          </w:p>
        </w:tc>
        <w:tc>
          <w:tcPr>
            <w:tcW w:w="288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48 (2.2%)</w:t>
            </w:r>
          </w:p>
        </w:tc>
        <w:tc>
          <w:tcPr>
            <w:tcW w:w="2970" w:type="dxa"/>
          </w:tcPr>
          <w:p w:rsidR="00D941EA" w:rsidRPr="004C7830" w:rsidRDefault="00D941EA" w:rsidP="00F83A33">
            <w:pPr>
              <w:jc w:val="center"/>
              <w:rPr>
                <w:rFonts w:eastAsia="Arial" w:cs="Arial"/>
                <w:color w:val="000000" w:themeColor="text1"/>
                <w:sz w:val="24"/>
                <w:szCs w:val="24"/>
              </w:rPr>
            </w:pPr>
            <w:r w:rsidRPr="004C7830">
              <w:rPr>
                <w:rFonts w:eastAsia="Arial" w:cs="Arial"/>
                <w:color w:val="000000" w:themeColor="text1"/>
                <w:sz w:val="24"/>
                <w:szCs w:val="24"/>
              </w:rPr>
              <w:t>126 (21.8%)</w:t>
            </w:r>
          </w:p>
        </w:tc>
      </w:tr>
      <w:tr w:rsidR="00D941EA" w:rsidRPr="004C7830" w:rsidTr="00F83A33">
        <w:trPr>
          <w:cantSplit/>
          <w:trHeight w:val="60"/>
        </w:trPr>
        <w:tc>
          <w:tcPr>
            <w:tcW w:w="3690" w:type="dxa"/>
          </w:tcPr>
          <w:p w:rsidR="00D941EA" w:rsidRPr="004C7830" w:rsidRDefault="00D941EA" w:rsidP="00F83A33">
            <w:pPr>
              <w:rPr>
                <w:rFonts w:eastAsia="Arial" w:cs="Arial"/>
                <w:b/>
                <w:bCs/>
                <w:color w:val="000000" w:themeColor="text1"/>
                <w:sz w:val="24"/>
                <w:szCs w:val="24"/>
              </w:rPr>
            </w:pPr>
            <w:r w:rsidRPr="004C7830">
              <w:rPr>
                <w:rFonts w:eastAsia="Arial" w:cs="Arial"/>
                <w:b/>
                <w:bCs/>
                <w:color w:val="000000" w:themeColor="text1"/>
                <w:sz w:val="24"/>
                <w:szCs w:val="24"/>
              </w:rPr>
              <w:t>Total for All CCI Levels</w:t>
            </w:r>
          </w:p>
        </w:tc>
        <w:tc>
          <w:tcPr>
            <w:tcW w:w="288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2,205</w:t>
            </w:r>
          </w:p>
        </w:tc>
        <w:tc>
          <w:tcPr>
            <w:tcW w:w="2970" w:type="dxa"/>
          </w:tcPr>
          <w:p w:rsidR="00D941EA" w:rsidRPr="004C7830" w:rsidRDefault="00D941EA" w:rsidP="00F83A33">
            <w:pPr>
              <w:jc w:val="center"/>
              <w:rPr>
                <w:rFonts w:eastAsia="Arial" w:cs="Arial"/>
                <w:b/>
                <w:bCs/>
                <w:color w:val="000000" w:themeColor="text1"/>
                <w:sz w:val="24"/>
                <w:szCs w:val="24"/>
              </w:rPr>
            </w:pPr>
            <w:r w:rsidRPr="004C7830">
              <w:rPr>
                <w:rFonts w:eastAsia="Arial" w:cs="Arial"/>
                <w:b/>
                <w:bCs/>
                <w:color w:val="000000" w:themeColor="text1"/>
                <w:sz w:val="24"/>
                <w:szCs w:val="24"/>
              </w:rPr>
              <w:t>577**</w:t>
            </w:r>
          </w:p>
        </w:tc>
      </w:tr>
    </w:tbl>
    <w:p w:rsidR="00D941EA" w:rsidRPr="004C7830" w:rsidRDefault="00D941EA" w:rsidP="00D941EA">
      <w:pPr>
        <w:spacing w:before="240"/>
        <w:rPr>
          <w:rFonts w:eastAsia="Arial" w:cs="Arial"/>
        </w:rPr>
      </w:pPr>
      <w:r w:rsidRPr="004C7830">
        <w:rPr>
          <w:rFonts w:eastAsia="Arial" w:cs="Arial"/>
        </w:rPr>
        <w:lastRenderedPageBreak/>
        <w:t xml:space="preserve">*The shaded boxes represent the students who could potentially benefit from the inclusion of the Food Handler Certificate in the CCI. Depending on the criteria adopted for this measure, students who completed the Food Handler Certificate could be placed in a higher CCI level. </w:t>
      </w:r>
    </w:p>
    <w:p w:rsidR="00D941EA" w:rsidRPr="004C7830" w:rsidRDefault="00D941EA" w:rsidP="00D941EA">
      <w:pPr>
        <w:spacing w:before="240"/>
        <w:rPr>
          <w:rFonts w:eastAsia="Arial" w:cs="Arial"/>
        </w:rPr>
      </w:pPr>
      <w:r w:rsidRPr="004C7830">
        <w:rPr>
          <w:rFonts w:eastAsia="Arial" w:cs="Arial"/>
        </w:rPr>
        <w:t>**Please note that the Food Handler Certificate was slated as a possible CCI measure for students in juvenile court schools, which experience a higher level of mobility than other DASS schools. Only one student who attended a juvenile court school earned the certificate.</w:t>
      </w:r>
    </w:p>
    <w:p w:rsidR="00D941EA" w:rsidRPr="004C7830" w:rsidRDefault="00D941EA" w:rsidP="00D941EA">
      <w:pPr>
        <w:spacing w:before="240"/>
        <w:rPr>
          <w:rFonts w:eastAsia="Arial" w:cs="Arial"/>
        </w:rPr>
      </w:pPr>
      <w:r w:rsidRPr="004C7830">
        <w:rPr>
          <w:rFonts w:eastAsia="Arial" w:cs="Arial"/>
        </w:rPr>
        <w:t xml:space="preserve">The CDE conducted a cross-measure analysis to determine the number of DASS students who earned a Food Handler Certificate and completed CTE coursework. </w:t>
      </w:r>
    </w:p>
    <w:p w:rsidR="00D941EA" w:rsidRPr="004C7830" w:rsidRDefault="00D941EA" w:rsidP="00D941EA">
      <w:pPr>
        <w:pStyle w:val="ListParagraph"/>
        <w:numPr>
          <w:ilvl w:val="0"/>
          <w:numId w:val="36"/>
        </w:numPr>
        <w:spacing w:before="240"/>
        <w:contextualSpacing w:val="0"/>
        <w:rPr>
          <w:rFonts w:cs="Arial"/>
          <w:color w:val="000000" w:themeColor="text1"/>
        </w:rPr>
      </w:pPr>
      <w:r w:rsidRPr="004C7830">
        <w:rPr>
          <w:rFonts w:eastAsia="Arial" w:cs="Arial"/>
        </w:rPr>
        <w:t>The certificate was earned by only 0.7 percent of all DASS students in the 2019 DASS Graduation Rate. Of those:</w:t>
      </w:r>
    </w:p>
    <w:p w:rsidR="00D941EA" w:rsidRPr="004C7830" w:rsidRDefault="00D941EA" w:rsidP="00D941EA">
      <w:pPr>
        <w:numPr>
          <w:ilvl w:val="2"/>
          <w:numId w:val="30"/>
        </w:numPr>
        <w:tabs>
          <w:tab w:val="clear" w:pos="1350"/>
          <w:tab w:val="num" w:pos="2070"/>
          <w:tab w:val="num" w:pos="2160"/>
        </w:tabs>
        <w:spacing w:before="240"/>
        <w:ind w:left="1440"/>
        <w:rPr>
          <w:rFonts w:eastAsia="Arial" w:cs="Arial"/>
          <w:color w:val="000000" w:themeColor="text1"/>
        </w:rPr>
      </w:pPr>
      <w:r w:rsidRPr="004C7830">
        <w:rPr>
          <w:rFonts w:eastAsia="Arial" w:cs="Arial"/>
          <w:color w:val="000000" w:themeColor="text1"/>
        </w:rPr>
        <w:t>4 percent</w:t>
      </w:r>
      <w:r w:rsidRPr="004C7830" w:rsidDel="002071DE">
        <w:rPr>
          <w:rFonts w:eastAsia="Arial" w:cs="Arial"/>
          <w:color w:val="000000" w:themeColor="text1"/>
        </w:rPr>
        <w:t xml:space="preserve"> </w:t>
      </w:r>
      <w:r w:rsidRPr="004C7830">
        <w:rPr>
          <w:rFonts w:eastAsia="Arial" w:cs="Arial"/>
          <w:color w:val="000000" w:themeColor="text1"/>
        </w:rPr>
        <w:t>completed a CTE pathway between 2015 and 2019.</w:t>
      </w:r>
    </w:p>
    <w:p w:rsidR="00D941EA" w:rsidRPr="004C7830" w:rsidRDefault="00D941EA" w:rsidP="00D941EA">
      <w:pPr>
        <w:numPr>
          <w:ilvl w:val="2"/>
          <w:numId w:val="30"/>
        </w:numPr>
        <w:tabs>
          <w:tab w:val="clear" w:pos="1350"/>
          <w:tab w:val="num" w:pos="2070"/>
          <w:tab w:val="num" w:pos="2160"/>
        </w:tabs>
        <w:spacing w:before="240"/>
        <w:ind w:left="1440"/>
        <w:rPr>
          <w:rFonts w:eastAsia="Arial" w:cs="Arial"/>
          <w:color w:val="000000" w:themeColor="text1"/>
        </w:rPr>
      </w:pPr>
      <w:r w:rsidRPr="004C7830">
        <w:rPr>
          <w:rFonts w:eastAsia="Arial" w:cs="Arial"/>
          <w:color w:val="000000" w:themeColor="text1"/>
        </w:rPr>
        <w:t>10 percent</w:t>
      </w:r>
      <w:r w:rsidRPr="004C7830" w:rsidDel="002071DE">
        <w:rPr>
          <w:rFonts w:eastAsia="Arial" w:cs="Arial"/>
          <w:color w:val="000000" w:themeColor="text1"/>
        </w:rPr>
        <w:t xml:space="preserve"> </w:t>
      </w:r>
      <w:r w:rsidRPr="004C7830">
        <w:rPr>
          <w:rFonts w:eastAsia="Arial" w:cs="Arial"/>
          <w:color w:val="000000" w:themeColor="text1"/>
        </w:rPr>
        <w:t>completed at least one semester or one quarter of CTE courses with a C minus or better in 2019.</w:t>
      </w:r>
    </w:p>
    <w:p w:rsidR="00D941EA" w:rsidRPr="004C7830" w:rsidRDefault="00D941EA" w:rsidP="00D941EA">
      <w:pPr>
        <w:numPr>
          <w:ilvl w:val="2"/>
          <w:numId w:val="30"/>
        </w:numPr>
        <w:tabs>
          <w:tab w:val="clear" w:pos="1350"/>
          <w:tab w:val="num" w:pos="2070"/>
          <w:tab w:val="num" w:pos="2160"/>
        </w:tabs>
        <w:spacing w:before="240"/>
        <w:ind w:left="1440"/>
        <w:rPr>
          <w:rFonts w:eastAsia="Arial" w:cs="Arial"/>
          <w:color w:val="000000" w:themeColor="text1"/>
        </w:rPr>
      </w:pPr>
      <w:r w:rsidRPr="004C7830">
        <w:rPr>
          <w:rFonts w:eastAsia="Arial" w:cs="Arial"/>
          <w:color w:val="000000" w:themeColor="text1"/>
        </w:rPr>
        <w:t>14 percent</w:t>
      </w:r>
      <w:r w:rsidRPr="004C7830" w:rsidDel="002071DE">
        <w:rPr>
          <w:rFonts w:eastAsia="Arial" w:cs="Arial"/>
          <w:color w:val="000000" w:themeColor="text1"/>
        </w:rPr>
        <w:t xml:space="preserve"> </w:t>
      </w:r>
      <w:r w:rsidRPr="004C7830">
        <w:rPr>
          <w:rFonts w:eastAsia="Arial" w:cs="Arial"/>
          <w:color w:val="000000" w:themeColor="text1"/>
        </w:rPr>
        <w:t>earned at least 0.5 credits in a CTE course in 2019.</w:t>
      </w:r>
    </w:p>
    <w:p w:rsidR="00D941EA" w:rsidRPr="004C7830" w:rsidRDefault="00D941EA" w:rsidP="00D941EA">
      <w:pPr>
        <w:pStyle w:val="ListParagraph"/>
        <w:numPr>
          <w:ilvl w:val="0"/>
          <w:numId w:val="36"/>
        </w:numPr>
        <w:spacing w:before="240"/>
        <w:rPr>
          <w:rFonts w:eastAsia="Arial" w:cs="Arial"/>
          <w:color w:val="000000" w:themeColor="text1"/>
        </w:rPr>
      </w:pPr>
      <w:r w:rsidRPr="004C7830">
        <w:rPr>
          <w:rFonts w:eastAsia="Arial" w:cs="Arial"/>
          <w:color w:val="000000" w:themeColor="text1"/>
        </w:rPr>
        <w:t>Only 1 student earned this credit while attending a juvenile court school.</w:t>
      </w:r>
    </w:p>
    <w:p w:rsidR="003F508C" w:rsidRPr="004C7830" w:rsidRDefault="00D941EA" w:rsidP="003F508C">
      <w:pPr>
        <w:spacing w:before="240" w:after="100" w:afterAutospacing="1"/>
        <w:rPr>
          <w:b/>
          <w:bCs/>
        </w:rPr>
      </w:pPr>
      <w:r w:rsidRPr="004C7830">
        <w:rPr>
          <w:rFonts w:eastAsia="Arial" w:cs="Arial"/>
          <w:color w:val="000000" w:themeColor="text1"/>
        </w:rPr>
        <w:t xml:space="preserve">This measure was scrutinized by the two groups. Both the Alternative Schools Task Force and the CCI Subcommittee agreed that because the Food Handler Certificate is only a two-hour on-line course that is usually taken after securing a job, it was not sufficiently rigorous for the CCI. Both the TDG and CPAG, unanimously agreed with this recommendation at their respective August 2020 meetings. </w:t>
      </w:r>
      <w:r w:rsidR="003F508C" w:rsidRPr="004C7830">
        <w:rPr>
          <w:rFonts w:eastAsia="Arial" w:cs="Arial"/>
          <w:color w:val="000000" w:themeColor="text1"/>
        </w:rPr>
        <w:t>Accordingly, this measure is not being recommended for inclusion in the CCI.</w:t>
      </w:r>
    </w:p>
    <w:p w:rsidR="00D941EA" w:rsidRPr="004C7830" w:rsidRDefault="00D941EA" w:rsidP="00E84F9D">
      <w:pPr>
        <w:spacing w:before="240" w:after="100" w:afterAutospacing="1"/>
        <w:rPr>
          <w:rFonts w:eastAsia="Arial" w:cs="Arial"/>
          <w:b/>
          <w:bCs/>
          <w:color w:val="000000" w:themeColor="text1"/>
        </w:rPr>
      </w:pPr>
      <w:r w:rsidRPr="004C7830">
        <w:rPr>
          <w:b/>
          <w:bCs/>
        </w:rPr>
        <w:t>Career Measures Collected in CASEMIS</w:t>
      </w:r>
    </w:p>
    <w:p w:rsidR="00D941EA" w:rsidRPr="004C7830" w:rsidRDefault="00D941EA" w:rsidP="00D941EA">
      <w:pPr>
        <w:spacing w:after="100" w:afterAutospacing="1"/>
        <w:rPr>
          <w:rFonts w:cs="Arial"/>
          <w:b/>
          <w:bCs/>
        </w:rPr>
      </w:pPr>
      <w:r w:rsidRPr="004C7830">
        <w:rPr>
          <w:rFonts w:cs="Arial"/>
          <w:color w:val="000000"/>
          <w:shd w:val="clear" w:color="auto" w:fill="FFFFFF"/>
        </w:rPr>
        <w:t xml:space="preserve">In 2018–19, two measures, available for students with IEPs only, were collected in CASEMIS, the system used to collect data for students with disabilities. (Beginning in 2019–2020, the CDE shifted all </w:t>
      </w:r>
      <w:r w:rsidR="003F508C" w:rsidRPr="004C7830">
        <w:rPr>
          <w:rFonts w:cs="Arial"/>
          <w:color w:val="000000"/>
          <w:shd w:val="clear" w:color="auto" w:fill="FFFFFF"/>
        </w:rPr>
        <w:t xml:space="preserve">CASEMIS </w:t>
      </w:r>
      <w:r w:rsidRPr="004C7830">
        <w:rPr>
          <w:rFonts w:cs="Arial"/>
          <w:color w:val="000000"/>
          <w:shd w:val="clear" w:color="auto" w:fill="FFFFFF"/>
        </w:rPr>
        <w:t>data collection</w:t>
      </w:r>
      <w:r w:rsidR="003F508C" w:rsidRPr="004C7830">
        <w:rPr>
          <w:rFonts w:cs="Arial"/>
          <w:color w:val="000000"/>
          <w:shd w:val="clear" w:color="auto" w:fill="FFFFFF"/>
        </w:rPr>
        <w:t>s</w:t>
      </w:r>
      <w:r w:rsidRPr="004C7830">
        <w:rPr>
          <w:rFonts w:cs="Arial"/>
          <w:color w:val="000000"/>
          <w:shd w:val="clear" w:color="auto" w:fill="FFFFFF"/>
        </w:rPr>
        <w:t xml:space="preserve"> to CALPADS.) </w:t>
      </w:r>
    </w:p>
    <w:p w:rsidR="00D941EA" w:rsidRPr="004C7830" w:rsidRDefault="00D941EA" w:rsidP="00D941EA">
      <w:pPr>
        <w:pStyle w:val="ListParagraph"/>
        <w:numPr>
          <w:ilvl w:val="0"/>
          <w:numId w:val="35"/>
        </w:numPr>
        <w:rPr>
          <w:rFonts w:cs="Arial"/>
          <w:color w:val="000000"/>
          <w:shd w:val="clear" w:color="auto" w:fill="FFFFFF"/>
        </w:rPr>
      </w:pPr>
      <w:r w:rsidRPr="004C7830">
        <w:rPr>
          <w:rFonts w:cs="Arial"/>
          <w:color w:val="000000"/>
          <w:shd w:val="clear" w:color="auto" w:fill="FFFFFF"/>
        </w:rPr>
        <w:t>Completion of Workability Courses and Work-Based Learning</w:t>
      </w:r>
    </w:p>
    <w:p w:rsidR="00D941EA" w:rsidRPr="004C7830" w:rsidRDefault="00D941EA" w:rsidP="00D941EA">
      <w:pPr>
        <w:pStyle w:val="ListParagraph"/>
        <w:numPr>
          <w:ilvl w:val="0"/>
          <w:numId w:val="35"/>
        </w:numPr>
        <w:spacing w:after="100" w:afterAutospacing="1"/>
        <w:rPr>
          <w:rFonts w:cs="Arial"/>
          <w:color w:val="000000"/>
          <w:shd w:val="clear" w:color="auto" w:fill="FFFFFF"/>
        </w:rPr>
      </w:pPr>
      <w:r w:rsidRPr="004C7830">
        <w:rPr>
          <w:rFonts w:cs="Arial"/>
          <w:color w:val="000000"/>
          <w:shd w:val="clear" w:color="auto" w:fill="FFFFFF"/>
        </w:rPr>
        <w:t xml:space="preserve">Completion of DOR Work-Based Learning </w:t>
      </w:r>
    </w:p>
    <w:p w:rsidR="00D941EA" w:rsidRPr="004C7830" w:rsidRDefault="00D941EA" w:rsidP="009C47C0">
      <w:pPr>
        <w:spacing w:after="100" w:afterAutospacing="1"/>
        <w:rPr>
          <w:rFonts w:cs="Arial"/>
          <w:color w:val="000000" w:themeColor="text1"/>
        </w:rPr>
      </w:pPr>
      <w:r w:rsidRPr="004C7830">
        <w:rPr>
          <w:rFonts w:cs="Arial"/>
          <w:color w:val="000000"/>
          <w:shd w:val="clear" w:color="auto" w:fill="FFFFFF"/>
        </w:rPr>
        <w:t xml:space="preserve">The collection of service hours for these two programs presented several challenges. First, since the collection was voluntary, no districts submitted the number of hours. (The CDE later learned that some districts had attempted to report the hours but had difficulties entering the data in their systems.) Another issue raised by stakeholders was </w:t>
      </w:r>
      <w:r w:rsidRPr="004C7830">
        <w:rPr>
          <w:rFonts w:cs="Arial"/>
          <w:color w:val="000000"/>
          <w:shd w:val="clear" w:color="auto" w:fill="FFFFFF"/>
        </w:rPr>
        <w:lastRenderedPageBreak/>
        <w:t xml:space="preserve">that the Workability and DOR programs do not encompass the full range of work-based learning experiences provided by districts. Based on this feedback, the </w:t>
      </w:r>
      <w:r w:rsidR="003F508C" w:rsidRPr="004C7830">
        <w:rPr>
          <w:rFonts w:cs="Arial"/>
          <w:color w:val="000000"/>
          <w:shd w:val="clear" w:color="auto" w:fill="FFFFFF"/>
        </w:rPr>
        <w:t xml:space="preserve">CDE </w:t>
      </w:r>
      <w:r w:rsidRPr="004C7830">
        <w:rPr>
          <w:rFonts w:cs="Arial"/>
          <w:color w:val="000000"/>
          <w:shd w:val="clear" w:color="auto" w:fill="FFFFFF"/>
        </w:rPr>
        <w:t xml:space="preserve">Special Education Division recommended that, rather than collecting hours associated with specific programs, districts should be given the flexibility to report all work-based learning opportunities (i.e., transitional services) they provide. Therefore, beginning in </w:t>
      </w:r>
      <w:r w:rsidRPr="004C7830">
        <w:rPr>
          <w:rFonts w:cs="Arial"/>
          <w:color w:val="000000" w:themeColor="text1"/>
        </w:rPr>
        <w:t xml:space="preserve">2019–2020, data on two new programs, for students with IEPs only, </w:t>
      </w:r>
      <w:r w:rsidR="003F508C" w:rsidRPr="004C7830">
        <w:rPr>
          <w:rFonts w:cs="Arial"/>
          <w:color w:val="000000" w:themeColor="text1"/>
        </w:rPr>
        <w:t>was</w:t>
      </w:r>
      <w:r w:rsidRPr="004C7830">
        <w:rPr>
          <w:rFonts w:cs="Arial"/>
          <w:color w:val="000000" w:themeColor="text1"/>
        </w:rPr>
        <w:t xml:space="preserve"> collected in CALPADS:</w:t>
      </w:r>
    </w:p>
    <w:p w:rsidR="00D941EA" w:rsidRPr="004C7830" w:rsidRDefault="00D941EA" w:rsidP="00D941EA">
      <w:pPr>
        <w:pStyle w:val="ListParagraph"/>
        <w:numPr>
          <w:ilvl w:val="0"/>
          <w:numId w:val="31"/>
        </w:numPr>
        <w:ind w:left="720" w:right="720"/>
        <w:rPr>
          <w:rFonts w:cs="Arial"/>
          <w:color w:val="000000" w:themeColor="text1"/>
        </w:rPr>
      </w:pPr>
      <w:r w:rsidRPr="004C7830">
        <w:rPr>
          <w:rFonts w:cs="Arial"/>
          <w:color w:val="000000" w:themeColor="text1"/>
        </w:rPr>
        <w:t>Transition Work-Based Learning Experiences</w:t>
      </w:r>
    </w:p>
    <w:p w:rsidR="00D941EA" w:rsidRPr="004C7830" w:rsidRDefault="00D941EA" w:rsidP="009C47C0">
      <w:pPr>
        <w:pStyle w:val="ListParagraph"/>
        <w:numPr>
          <w:ilvl w:val="0"/>
          <w:numId w:val="31"/>
        </w:numPr>
        <w:spacing w:after="100" w:afterAutospacing="1"/>
        <w:ind w:left="720" w:right="720"/>
        <w:rPr>
          <w:rFonts w:cs="Arial"/>
          <w:color w:val="000000" w:themeColor="text1"/>
        </w:rPr>
      </w:pPr>
      <w:r w:rsidRPr="004C7830">
        <w:rPr>
          <w:rFonts w:cs="Arial"/>
          <w:color w:val="000000" w:themeColor="text1"/>
        </w:rPr>
        <w:t>Transition Classroom-Based Learning Experiences</w:t>
      </w:r>
    </w:p>
    <w:p w:rsidR="00D941EA" w:rsidRPr="004C7830" w:rsidRDefault="00D941EA" w:rsidP="00D941EA">
      <w:pPr>
        <w:rPr>
          <w:rFonts w:cs="Arial"/>
          <w:color w:val="000000" w:themeColor="text1"/>
        </w:rPr>
        <w:sectPr w:rsidR="00D941EA" w:rsidRPr="004C7830" w:rsidSect="000B1725">
          <w:headerReference w:type="default" r:id="rId51"/>
          <w:headerReference w:type="first" r:id="rId52"/>
          <w:footerReference w:type="first" r:id="rId53"/>
          <w:pgSz w:w="12240" w:h="15840"/>
          <w:pgMar w:top="1440" w:right="1440" w:bottom="1440" w:left="1440" w:header="720" w:footer="720" w:gutter="0"/>
          <w:pgNumType w:start="1"/>
          <w:cols w:space="720"/>
          <w:docGrid w:linePitch="360"/>
        </w:sectPr>
      </w:pPr>
      <w:r w:rsidRPr="004C7830">
        <w:rPr>
          <w:rFonts w:cs="Arial"/>
          <w:color w:val="000000" w:themeColor="text1"/>
        </w:rPr>
        <w:t>The CDE analyzed classroom hours reported for the Workability grant in order to determine the optimal number of hours that students with IEPs should complete in transition work- and/or classroom-based learning experiences to be placed in the Prepared or Approaching Prepared levels of the CCI. Based on this analysis, the CDE recommends that, to earn the Prepared level, students must successfully complete a minimum of 100 hours of work-based learning and the equivalent of four semester courses of college and career exploration/preparation designed to prepare a student with an IEP for employment and independent living.</w:t>
      </w:r>
      <w:r w:rsidR="00BA4353" w:rsidRPr="004C7830">
        <w:rPr>
          <w:rFonts w:cs="Arial"/>
          <w:color w:val="000000" w:themeColor="text1"/>
        </w:rPr>
        <w:t xml:space="preserve"> In addition, the CDE recommends that this measure only be applied to students who earn a certificate of completion</w:t>
      </w:r>
      <w:r w:rsidR="00785B69" w:rsidRPr="004C7830">
        <w:rPr>
          <w:rFonts w:cs="Arial"/>
          <w:color w:val="000000" w:themeColor="text1"/>
        </w:rPr>
        <w:t xml:space="preserve">, </w:t>
      </w:r>
      <w:r w:rsidR="00161EEA" w:rsidRPr="004C7830">
        <w:rPr>
          <w:rFonts w:cs="Arial"/>
          <w:color w:val="000000" w:themeColor="text1"/>
        </w:rPr>
        <w:t>to allow</w:t>
      </w:r>
      <w:r w:rsidR="00785B69" w:rsidRPr="004C7830">
        <w:rPr>
          <w:rFonts w:cs="Arial"/>
          <w:color w:val="000000" w:themeColor="text1"/>
        </w:rPr>
        <w:t xml:space="preserve"> schools to demonstrate how well the students are prepared for success after high school</w:t>
      </w:r>
      <w:r w:rsidR="00BA4353" w:rsidRPr="004C7830">
        <w:rPr>
          <w:rFonts w:cs="Arial"/>
          <w:color w:val="000000" w:themeColor="text1"/>
        </w:rPr>
        <w:t xml:space="preserve">. Students </w:t>
      </w:r>
      <w:r w:rsidR="00161EEA" w:rsidRPr="004C7830">
        <w:rPr>
          <w:rFonts w:cs="Arial"/>
          <w:color w:val="000000" w:themeColor="text1"/>
        </w:rPr>
        <w:t xml:space="preserve">with disabilities </w:t>
      </w:r>
      <w:r w:rsidR="00BA4353" w:rsidRPr="004C7830">
        <w:rPr>
          <w:rFonts w:cs="Arial"/>
          <w:color w:val="000000" w:themeColor="text1"/>
        </w:rPr>
        <w:t xml:space="preserve">who earn a regular high school diploma </w:t>
      </w:r>
      <w:r w:rsidR="00BF155A" w:rsidRPr="004C7830">
        <w:rPr>
          <w:rFonts w:cs="Arial"/>
          <w:color w:val="000000" w:themeColor="text1"/>
        </w:rPr>
        <w:t>will be</w:t>
      </w:r>
      <w:r w:rsidR="00785B69" w:rsidRPr="004C7830">
        <w:rPr>
          <w:rFonts w:cs="Arial"/>
          <w:color w:val="000000" w:themeColor="text1"/>
        </w:rPr>
        <w:t xml:space="preserve"> required to</w:t>
      </w:r>
      <w:r w:rsidR="007605F3" w:rsidRPr="004C7830">
        <w:rPr>
          <w:rFonts w:cs="Arial"/>
          <w:color w:val="000000" w:themeColor="text1"/>
        </w:rPr>
        <w:t xml:space="preserve"> meet the </w:t>
      </w:r>
      <w:r w:rsidR="00ED5DC4" w:rsidRPr="004C7830">
        <w:rPr>
          <w:rFonts w:cs="Arial"/>
          <w:color w:val="000000" w:themeColor="text1"/>
        </w:rPr>
        <w:t xml:space="preserve">CTE pathway completion </w:t>
      </w:r>
      <w:r w:rsidR="00BA4353" w:rsidRPr="004C7830">
        <w:rPr>
          <w:rFonts w:cs="Arial"/>
          <w:color w:val="000000" w:themeColor="text1"/>
        </w:rPr>
        <w:t>criteria</w:t>
      </w:r>
      <w:r w:rsidR="002F38C6" w:rsidRPr="004C7830">
        <w:rPr>
          <w:rFonts w:cs="Arial"/>
          <w:color w:val="000000" w:themeColor="text1"/>
        </w:rPr>
        <w:t xml:space="preserve">. </w:t>
      </w:r>
    </w:p>
    <w:p w:rsidR="00685069" w:rsidRPr="004C7830" w:rsidRDefault="00CA7047" w:rsidP="0071562E">
      <w:pPr>
        <w:pStyle w:val="Heading2"/>
      </w:pPr>
      <w:r w:rsidRPr="004C7830">
        <w:rPr>
          <w:rFonts w:eastAsia="Arial" w:cs="Arial"/>
          <w:color w:val="000000" w:themeColor="text1"/>
          <w:szCs w:val="36"/>
        </w:rPr>
        <w:lastRenderedPageBreak/>
        <w:t xml:space="preserve">Attachment 2: </w:t>
      </w:r>
      <w:r w:rsidR="0573F57A" w:rsidRPr="004C7830">
        <w:rPr>
          <w:rFonts w:eastAsia="Arial" w:cs="Arial"/>
          <w:color w:val="000000" w:themeColor="text1"/>
          <w:szCs w:val="36"/>
        </w:rPr>
        <w:t>Exploring Empirical Best Linear Prediction for Aggregate Growth Measures</w:t>
      </w:r>
    </w:p>
    <w:p w:rsidR="00685069" w:rsidRPr="004C7830" w:rsidRDefault="00FE54C5" w:rsidP="009C47C0">
      <w:r w:rsidRPr="004C7830">
        <w:rPr>
          <w:rFonts w:eastAsia="Arial" w:cs="Arial"/>
          <w:color w:val="000000" w:themeColor="text1"/>
        </w:rPr>
        <w:t>This attachment was p</w:t>
      </w:r>
      <w:r w:rsidR="0573F57A" w:rsidRPr="004C7830">
        <w:rPr>
          <w:rFonts w:eastAsia="Arial" w:cs="Arial"/>
          <w:color w:val="000000" w:themeColor="text1"/>
        </w:rPr>
        <w:t xml:space="preserve">repared by </w:t>
      </w:r>
      <w:r w:rsidRPr="004C7830">
        <w:rPr>
          <w:rFonts w:eastAsia="Arial" w:cs="Arial"/>
          <w:color w:val="000000" w:themeColor="text1"/>
        </w:rPr>
        <w:t xml:space="preserve">the </w:t>
      </w:r>
      <w:r w:rsidR="007B7879" w:rsidRPr="004C7830">
        <w:rPr>
          <w:rFonts w:eastAsia="Arial" w:cs="Arial"/>
          <w:color w:val="000000" w:themeColor="text1"/>
        </w:rPr>
        <w:t>Education Testing Services (</w:t>
      </w:r>
      <w:r w:rsidR="0573F57A" w:rsidRPr="004C7830">
        <w:rPr>
          <w:rFonts w:eastAsia="Arial" w:cs="Arial"/>
          <w:color w:val="000000" w:themeColor="text1"/>
        </w:rPr>
        <w:t>ETS</w:t>
      </w:r>
      <w:r w:rsidR="007B7879" w:rsidRPr="004C7830">
        <w:rPr>
          <w:rFonts w:eastAsia="Arial" w:cs="Arial"/>
          <w:color w:val="000000" w:themeColor="text1"/>
        </w:rPr>
        <w:t>)</w:t>
      </w:r>
      <w:r w:rsidR="0573F57A" w:rsidRPr="004C7830">
        <w:rPr>
          <w:rFonts w:eastAsia="Arial" w:cs="Arial"/>
          <w:color w:val="000000" w:themeColor="text1"/>
        </w:rPr>
        <w:t xml:space="preserve"> for the September 2020 </w:t>
      </w:r>
      <w:r w:rsidRPr="004C7830">
        <w:rPr>
          <w:rFonts w:eastAsia="Arial" w:cs="Arial"/>
          <w:color w:val="000000" w:themeColor="text1"/>
        </w:rPr>
        <w:t xml:space="preserve">State </w:t>
      </w:r>
      <w:r w:rsidR="0573F57A" w:rsidRPr="004C7830">
        <w:rPr>
          <w:rFonts w:eastAsia="Arial" w:cs="Arial"/>
          <w:color w:val="000000" w:themeColor="text1"/>
        </w:rPr>
        <w:t xml:space="preserve">Board of Education </w:t>
      </w:r>
      <w:r w:rsidRPr="004C7830">
        <w:rPr>
          <w:rFonts w:eastAsia="Arial" w:cs="Arial"/>
          <w:color w:val="000000" w:themeColor="text1"/>
        </w:rPr>
        <w:t>(SBE) on behalf of the California Department of Education (CDE).</w:t>
      </w:r>
    </w:p>
    <w:p w:rsidR="00685069" w:rsidRPr="004C7830" w:rsidRDefault="0573F57A" w:rsidP="009C47C0">
      <w:pPr>
        <w:pStyle w:val="Heading3"/>
      </w:pPr>
      <w:r w:rsidRPr="004C7830">
        <w:rPr>
          <w:rFonts w:eastAsia="Arial" w:cs="Arial"/>
          <w:color w:val="000000" w:themeColor="text1"/>
          <w:sz w:val="32"/>
          <w:szCs w:val="32"/>
        </w:rPr>
        <w:t>Background</w:t>
      </w:r>
    </w:p>
    <w:p w:rsidR="00685069" w:rsidRPr="004C7830" w:rsidRDefault="0573F57A" w:rsidP="009C47C0">
      <w:pPr>
        <w:spacing w:after="240"/>
      </w:pPr>
      <w:r w:rsidRPr="004C7830">
        <w:rPr>
          <w:rFonts w:eastAsia="Arial" w:cs="Arial"/>
          <w:color w:val="000000" w:themeColor="text1"/>
        </w:rPr>
        <w:t>ETS developed the empirical best linear predictor (EBLP) of student achievement growth for schools or local educational agencies (LEAs) in an attempt to reduce the inaccuracy and potentially reduce the year-to-year fluctuations in aggregate</w:t>
      </w:r>
      <w:r w:rsidR="00631DB1" w:rsidRPr="004C7830">
        <w:rPr>
          <w:rFonts w:eastAsia="Arial" w:cs="Arial"/>
          <w:color w:val="000000" w:themeColor="text1"/>
        </w:rPr>
        <w:t>-level</w:t>
      </w:r>
      <w:r w:rsidRPr="004C7830">
        <w:rPr>
          <w:rFonts w:eastAsia="Arial" w:cs="Arial"/>
          <w:color w:val="000000" w:themeColor="text1"/>
        </w:rPr>
        <w:t xml:space="preserve"> (e.g., school or LEA</w:t>
      </w:r>
      <w:r w:rsidR="009E3EA8" w:rsidRPr="004C7830">
        <w:rPr>
          <w:rFonts w:eastAsia="Arial" w:cs="Arial"/>
          <w:color w:val="000000" w:themeColor="text1"/>
        </w:rPr>
        <w:t>-level</w:t>
      </w:r>
      <w:r w:rsidRPr="004C7830">
        <w:rPr>
          <w:rFonts w:eastAsia="Arial" w:cs="Arial"/>
          <w:color w:val="000000" w:themeColor="text1"/>
        </w:rPr>
        <w:t xml:space="preserve">) growth measures that exist in the commonly-used simple average of individual student growth measures (Lockwood, Castellano, </w:t>
      </w:r>
      <w:r w:rsidR="003B4265" w:rsidRPr="004C7830">
        <w:rPr>
          <w:rFonts w:eastAsia="Arial" w:cs="Arial"/>
          <w:color w:val="000000" w:themeColor="text1"/>
        </w:rPr>
        <w:t>and</w:t>
      </w:r>
      <w:r w:rsidRPr="004C7830">
        <w:rPr>
          <w:rFonts w:eastAsia="Arial" w:cs="Arial"/>
          <w:color w:val="000000" w:themeColor="text1"/>
        </w:rPr>
        <w:t xml:space="preserve"> McCaffrey, 2020). The EBLP is not a growth model for generating individual student growth measures. It is a statistical procedure that uses individual student growth data from multiple school years to calculate more accurate group-level growth measures for a given school year and subject. Any type of growth measure can be used by the EBLP method, including </w:t>
      </w:r>
      <w:r w:rsidR="00785268" w:rsidRPr="004C7830">
        <w:rPr>
          <w:rFonts w:eastAsia="Arial" w:cs="Arial"/>
          <w:color w:val="000000" w:themeColor="text1"/>
        </w:rPr>
        <w:t xml:space="preserve">the </w:t>
      </w:r>
      <w:r w:rsidRPr="004C7830">
        <w:rPr>
          <w:rFonts w:eastAsia="Arial" w:cs="Arial"/>
          <w:color w:val="000000" w:themeColor="text1"/>
        </w:rPr>
        <w:t>residual gains that are b</w:t>
      </w:r>
      <w:r w:rsidR="00C475F4" w:rsidRPr="004C7830">
        <w:rPr>
          <w:rFonts w:eastAsia="Arial" w:cs="Arial"/>
          <w:color w:val="000000" w:themeColor="text1"/>
        </w:rPr>
        <w:t>eing considered by California.</w:t>
      </w:r>
    </w:p>
    <w:p w:rsidR="00685069" w:rsidRPr="004C7830" w:rsidRDefault="0573F57A" w:rsidP="009C47C0">
      <w:pPr>
        <w:spacing w:after="240"/>
      </w:pPr>
      <w:r w:rsidRPr="004C7830">
        <w:rPr>
          <w:rFonts w:eastAsia="Arial" w:cs="Arial"/>
          <w:color w:val="000000" w:themeColor="text1"/>
        </w:rPr>
        <w:t xml:space="preserve">Roughly speaking, the EBLP for a particular reporting year and subject (e.g., mathematics) improves the aggregate growth measures by creating a weighted average of student growth measures for both mathematics and English </w:t>
      </w:r>
      <w:r w:rsidR="00440155" w:rsidRPr="004C7830">
        <w:rPr>
          <w:rFonts w:eastAsia="Arial" w:cs="Arial"/>
          <w:color w:val="000000" w:themeColor="text1"/>
        </w:rPr>
        <w:t>l</w:t>
      </w:r>
      <w:r w:rsidRPr="004C7830">
        <w:rPr>
          <w:rFonts w:eastAsia="Arial" w:cs="Arial"/>
          <w:color w:val="000000" w:themeColor="text1"/>
        </w:rPr>
        <w:t xml:space="preserve">anguage </w:t>
      </w:r>
      <w:r w:rsidR="00440155" w:rsidRPr="004C7830">
        <w:rPr>
          <w:rFonts w:eastAsia="Arial" w:cs="Arial"/>
          <w:color w:val="000000" w:themeColor="text1"/>
        </w:rPr>
        <w:t>a</w:t>
      </w:r>
      <w:r w:rsidRPr="004C7830">
        <w:rPr>
          <w:rFonts w:eastAsia="Arial" w:cs="Arial"/>
          <w:color w:val="000000" w:themeColor="text1"/>
        </w:rPr>
        <w:t xml:space="preserve">rts (ELA) from two or more school years, rather than the simple average of only the mathematics growth measures from the reporting year alone. Accordingly, the EBLP </w:t>
      </w:r>
      <w:r w:rsidR="007034E2" w:rsidRPr="004C7830">
        <w:rPr>
          <w:rFonts w:eastAsia="Arial" w:cs="Arial"/>
          <w:color w:val="000000" w:themeColor="text1"/>
        </w:rPr>
        <w:t xml:space="preserve">is referred to </w:t>
      </w:r>
      <w:r w:rsidRPr="004C7830">
        <w:rPr>
          <w:rFonts w:eastAsia="Arial" w:cs="Arial"/>
          <w:color w:val="000000" w:themeColor="text1"/>
        </w:rPr>
        <w:t>as the “EBLP weighted average” in contrast to the “simple average” of residual gains. The weights for the EBLP weighted average are calculated by a statistical procedure using individual student growth data for the entire state from multiple years. The procedure generates a set of weights</w:t>
      </w:r>
      <w:r w:rsidR="00094DD0" w:rsidRPr="004C7830">
        <w:rPr>
          <w:rFonts w:eastAsia="Arial" w:cs="Arial"/>
          <w:color w:val="000000" w:themeColor="text1"/>
        </w:rPr>
        <w:t xml:space="preserve">, </w:t>
      </w:r>
      <w:r w:rsidRPr="004C7830">
        <w:rPr>
          <w:rFonts w:eastAsia="Arial" w:cs="Arial"/>
          <w:color w:val="000000" w:themeColor="text1"/>
        </w:rPr>
        <w:t>specific to each school and LEA</w:t>
      </w:r>
      <w:r w:rsidR="00094DD0" w:rsidRPr="004C7830">
        <w:rPr>
          <w:rFonts w:eastAsia="Arial" w:cs="Arial"/>
          <w:color w:val="000000" w:themeColor="text1"/>
        </w:rPr>
        <w:t>,</w:t>
      </w:r>
      <w:r w:rsidRPr="004C7830">
        <w:rPr>
          <w:rFonts w:eastAsia="Arial" w:cs="Arial"/>
          <w:color w:val="000000" w:themeColor="text1"/>
        </w:rPr>
        <w:t xml:space="preserve"> intended to maximize the accuracy of the EBLP weighted average for each school and LEA.</w:t>
      </w:r>
    </w:p>
    <w:p w:rsidR="00CE14AE" w:rsidRPr="004C7830" w:rsidRDefault="0573F57A" w:rsidP="009C47C0">
      <w:pPr>
        <w:rPr>
          <w:rFonts w:eastAsia="Arial" w:cs="Arial"/>
          <w:color w:val="000000" w:themeColor="text1"/>
        </w:rPr>
      </w:pPr>
      <w:r w:rsidRPr="004C7830">
        <w:rPr>
          <w:rFonts w:eastAsia="Arial" w:cs="Arial"/>
          <w:color w:val="000000" w:themeColor="text1"/>
        </w:rPr>
        <w:t>The weights for a given school or LEA depend on the numbers of growth measures available for that school or LEA. For instance, when calculating aggregate mathematics growth in the reporting year, if a school or LEA has mathematics growth measures from many students in the reporting year, the EBLP weighted average puts most of its weight on the average of those growth measures, and little weight on either ELA growth measures from the reporting year, or growth measures from prior school years. As the number of students with mathematics growth measures in the reporting year decreases, the EBLP weighted average shifts more weight to the ELA growth measures and growth measures from prior school years. Thus, compared to the simple average residual gain, the EBLP model has the greatest impact for small groups and almost no impact for large groups.</w:t>
      </w:r>
    </w:p>
    <w:p w:rsidR="00685069" w:rsidRPr="004C7830" w:rsidRDefault="00CE14AE" w:rsidP="009C47C0">
      <w:r w:rsidRPr="004C7830">
        <w:rPr>
          <w:rFonts w:eastAsia="Arial" w:cs="Arial"/>
          <w:color w:val="000000" w:themeColor="text1"/>
        </w:rPr>
        <w:br w:type="page"/>
      </w:r>
      <w:r w:rsidR="0573F57A" w:rsidRPr="004C7830">
        <w:rPr>
          <w:rFonts w:eastAsia="Arial" w:cs="Arial"/>
          <w:color w:val="000000" w:themeColor="text1"/>
        </w:rPr>
        <w:lastRenderedPageBreak/>
        <w:t>At the request of the CDE, ETS conducted a study to explore the potential for using the EBLP method to estimate aggregate growth measures for LEAs and schools. Specifically, three student groups were selected to begin exploring the affordances and constraints of the EBLP method for California data: all students in the school or LEA (All), socio-economically disadvantaged (SED) in the school</w:t>
      </w:r>
      <w:r w:rsidR="00A656B2" w:rsidRPr="004C7830">
        <w:rPr>
          <w:rFonts w:eastAsia="Arial" w:cs="Arial"/>
          <w:color w:val="000000" w:themeColor="text1"/>
        </w:rPr>
        <w:t xml:space="preserve"> or </w:t>
      </w:r>
      <w:r w:rsidR="0573F57A" w:rsidRPr="004C7830">
        <w:rPr>
          <w:rFonts w:eastAsia="Arial" w:cs="Arial"/>
          <w:color w:val="000000" w:themeColor="text1"/>
        </w:rPr>
        <w:t>LEA, and students with disabilities (SWD) in the school</w:t>
      </w:r>
      <w:r w:rsidR="00A656B2" w:rsidRPr="004C7830">
        <w:rPr>
          <w:rFonts w:eastAsia="Arial" w:cs="Arial"/>
          <w:color w:val="000000" w:themeColor="text1"/>
        </w:rPr>
        <w:t xml:space="preserve"> or </w:t>
      </w:r>
      <w:r w:rsidR="0573F57A" w:rsidRPr="004C7830">
        <w:rPr>
          <w:rFonts w:eastAsia="Arial" w:cs="Arial"/>
          <w:color w:val="000000" w:themeColor="text1"/>
        </w:rPr>
        <w:t xml:space="preserve">LEA. The ultimate goal is to apply the EBLP method to all student groups. </w:t>
      </w:r>
      <w:r w:rsidR="00930D98" w:rsidRPr="004C7830">
        <w:rPr>
          <w:rFonts w:eastAsia="Arial" w:cs="Arial"/>
          <w:color w:val="000000" w:themeColor="text1"/>
        </w:rPr>
        <w:br/>
      </w:r>
      <w:r w:rsidR="00930D98" w:rsidRPr="004C7830">
        <w:rPr>
          <w:rFonts w:eastAsia="Arial" w:cs="Arial"/>
          <w:color w:val="000000" w:themeColor="text1"/>
        </w:rPr>
        <w:br/>
      </w:r>
      <w:r w:rsidR="0573F57A" w:rsidRPr="004C7830">
        <w:rPr>
          <w:rFonts w:eastAsia="Arial" w:cs="Arial"/>
          <w:color w:val="000000" w:themeColor="text1"/>
        </w:rPr>
        <w:t>The study used longitudinal California student assessment data and studied the impact of EBLP on the accuracy of the estimated school, LEA, or group-level aggregated residual gain growth measures for both mathematics and ELA for the 2018</w:t>
      </w:r>
      <w:r w:rsidR="00FE54C5" w:rsidRPr="004C7830">
        <w:rPr>
          <w:rFonts w:eastAsia="Arial" w:cs="Arial"/>
          <w:color w:val="000000" w:themeColor="text1"/>
        </w:rPr>
        <w:t>–</w:t>
      </w:r>
      <w:r w:rsidR="0573F57A" w:rsidRPr="004C7830">
        <w:rPr>
          <w:rFonts w:eastAsia="Arial" w:cs="Arial"/>
          <w:color w:val="000000" w:themeColor="text1"/>
        </w:rPr>
        <w:t xml:space="preserve">19 school year. The main focus was on the </w:t>
      </w:r>
      <w:r w:rsidR="00755567" w:rsidRPr="004C7830">
        <w:rPr>
          <w:rFonts w:eastAsia="Arial" w:cs="Arial"/>
          <w:color w:val="000000" w:themeColor="text1"/>
        </w:rPr>
        <w:t>two</w:t>
      </w:r>
      <w:r w:rsidR="0573F57A" w:rsidRPr="004C7830">
        <w:rPr>
          <w:rFonts w:eastAsia="Arial" w:cs="Arial"/>
          <w:color w:val="000000" w:themeColor="text1"/>
        </w:rPr>
        <w:t>-year EBLP</w:t>
      </w:r>
      <w:r w:rsidR="00755567" w:rsidRPr="004C7830">
        <w:rPr>
          <w:rFonts w:eastAsia="Arial" w:cs="Arial"/>
          <w:color w:val="000000" w:themeColor="text1"/>
        </w:rPr>
        <w:t>-</w:t>
      </w:r>
      <w:r w:rsidR="0573F57A" w:rsidRPr="004C7830">
        <w:rPr>
          <w:rFonts w:eastAsia="Arial" w:cs="Arial"/>
          <w:color w:val="000000" w:themeColor="text1"/>
        </w:rPr>
        <w:t xml:space="preserve">weighted average, which uses student growth data from </w:t>
      </w:r>
      <w:r w:rsidR="004E54F2" w:rsidRPr="004C7830">
        <w:rPr>
          <w:rFonts w:eastAsia="Arial" w:cs="Arial"/>
          <w:color w:val="000000" w:themeColor="text1"/>
        </w:rPr>
        <w:t xml:space="preserve">the </w:t>
      </w:r>
      <w:r w:rsidR="0573F57A" w:rsidRPr="004C7830">
        <w:rPr>
          <w:rFonts w:eastAsia="Arial" w:cs="Arial"/>
          <w:color w:val="000000" w:themeColor="text1"/>
        </w:rPr>
        <w:t>2017</w:t>
      </w:r>
      <w:r w:rsidR="00FE54C5" w:rsidRPr="004C7830">
        <w:rPr>
          <w:rFonts w:eastAsia="Arial" w:cs="Arial"/>
          <w:color w:val="000000" w:themeColor="text1"/>
        </w:rPr>
        <w:t>–</w:t>
      </w:r>
      <w:r w:rsidR="0573F57A" w:rsidRPr="004C7830">
        <w:rPr>
          <w:rFonts w:eastAsia="Arial" w:cs="Arial"/>
          <w:color w:val="000000" w:themeColor="text1"/>
        </w:rPr>
        <w:t>18 and 2018</w:t>
      </w:r>
      <w:r w:rsidR="00FE54C5" w:rsidRPr="004C7830">
        <w:rPr>
          <w:rFonts w:eastAsia="Arial" w:cs="Arial"/>
          <w:color w:val="000000" w:themeColor="text1"/>
        </w:rPr>
        <w:t>–</w:t>
      </w:r>
      <w:r w:rsidR="0573F57A" w:rsidRPr="004C7830">
        <w:rPr>
          <w:rFonts w:eastAsia="Arial" w:cs="Arial"/>
          <w:color w:val="000000" w:themeColor="text1"/>
        </w:rPr>
        <w:t xml:space="preserve">19 school years to estimate aggregate growth measures in </w:t>
      </w:r>
      <w:r w:rsidR="004E54F2" w:rsidRPr="004C7830">
        <w:rPr>
          <w:rFonts w:eastAsia="Arial" w:cs="Arial"/>
          <w:color w:val="000000" w:themeColor="text1"/>
        </w:rPr>
        <w:t>2018–19</w:t>
      </w:r>
      <w:r w:rsidR="0573F57A" w:rsidRPr="004C7830">
        <w:rPr>
          <w:rFonts w:eastAsia="Arial" w:cs="Arial"/>
          <w:color w:val="000000" w:themeColor="text1"/>
        </w:rPr>
        <w:t xml:space="preserve">. This note briefly summarizes the results of three of the key research questions addressed by that study. </w:t>
      </w:r>
    </w:p>
    <w:p w:rsidR="00685069" w:rsidRPr="004C7830" w:rsidRDefault="0573F57A" w:rsidP="009C47C0">
      <w:pPr>
        <w:pStyle w:val="Heading3"/>
      </w:pPr>
      <w:r w:rsidRPr="004C7830">
        <w:rPr>
          <w:rFonts w:eastAsia="Arial" w:cs="Arial"/>
          <w:color w:val="000000" w:themeColor="text1"/>
          <w:sz w:val="32"/>
          <w:szCs w:val="32"/>
        </w:rPr>
        <w:t xml:space="preserve">Research Question 1 </w:t>
      </w:r>
    </w:p>
    <w:p w:rsidR="00957F37" w:rsidRPr="004C7830" w:rsidRDefault="0573F57A" w:rsidP="009C47C0">
      <w:pPr>
        <w:rPr>
          <w:rFonts w:eastAsia="Arial" w:cs="Arial"/>
          <w:bCs/>
          <w:color w:val="000000" w:themeColor="text1"/>
        </w:rPr>
      </w:pPr>
      <w:r w:rsidRPr="004C7830">
        <w:rPr>
          <w:rFonts w:eastAsia="Arial" w:cs="Arial"/>
          <w:i/>
          <w:iCs/>
          <w:color w:val="000000" w:themeColor="text1"/>
        </w:rPr>
        <w:t xml:space="preserve">To what extent does using the EBLP weighted average over the simple average growth score </w:t>
      </w:r>
      <w:r w:rsidRPr="004C7830">
        <w:rPr>
          <w:rFonts w:eastAsia="Arial" w:cs="Arial"/>
          <w:b/>
          <w:i/>
          <w:iCs/>
          <w:color w:val="000000" w:themeColor="text1"/>
        </w:rPr>
        <w:t>improve accuracy of estimates</w:t>
      </w:r>
      <w:r w:rsidRPr="004C7830">
        <w:rPr>
          <w:rFonts w:eastAsia="Arial" w:cs="Arial"/>
          <w:i/>
          <w:iCs/>
          <w:color w:val="000000" w:themeColor="text1"/>
        </w:rPr>
        <w:t xml:space="preserve"> (by group size) for schools, LEAs, and student groups (specifically, SWD and SED) within those entities?</w:t>
      </w:r>
      <w:r w:rsidR="00071BE1" w:rsidRPr="004C7830">
        <w:rPr>
          <w:rFonts w:eastAsia="Arial" w:cs="Arial"/>
          <w:i/>
          <w:iCs/>
          <w:color w:val="000000" w:themeColor="text1"/>
        </w:rPr>
        <w:br/>
      </w:r>
      <w:r w:rsidR="00071BE1" w:rsidRPr="004C7830">
        <w:rPr>
          <w:rFonts w:eastAsia="Arial" w:cs="Arial"/>
          <w:i/>
          <w:iCs/>
          <w:color w:val="000000" w:themeColor="text1"/>
        </w:rPr>
        <w:br/>
      </w:r>
      <w:r w:rsidRPr="004C7830">
        <w:rPr>
          <w:rFonts w:eastAsia="Arial" w:cs="Arial"/>
          <w:color w:val="000000" w:themeColor="text1"/>
        </w:rPr>
        <w:t>A key motivation for using the EBLP weighted average over the simple average is to improve accuracy. To assess the effectiveness of the EBLP weighted average at meeting this objective, the ratio of the accuracy of the EBLP weighted average to the simple average was used. An accuracy ratio of greater than 1 indicates that the EBLP weighted average is more accurate than the simple average. An accuracy ratio less than 1 indicates that the EBLP weighted average is less accurate than the simple average</w:t>
      </w:r>
      <w:r w:rsidR="003F27B4" w:rsidRPr="004C7830">
        <w:rPr>
          <w:rFonts w:eastAsia="Arial" w:cs="Arial"/>
          <w:color w:val="000000" w:themeColor="text1"/>
        </w:rPr>
        <w:t>,</w:t>
      </w:r>
      <w:r w:rsidRPr="004C7830">
        <w:rPr>
          <w:rFonts w:eastAsia="Arial" w:cs="Arial"/>
          <w:color w:val="000000" w:themeColor="text1"/>
        </w:rPr>
        <w:t xml:space="preserve"> and an accuracy ratio equal to 1 indicates they are equally accurate. As a specific example to aid interpretation, an accuracy ratio of 1.50 for the EBLP weighted average means that </w:t>
      </w:r>
      <w:r w:rsidR="00F250C6" w:rsidRPr="004C7830">
        <w:rPr>
          <w:rFonts w:eastAsia="Arial" w:cs="Arial"/>
          <w:color w:val="000000" w:themeColor="text1"/>
        </w:rPr>
        <w:t>it</w:t>
      </w:r>
      <w:r w:rsidR="00B72D27" w:rsidRPr="004C7830">
        <w:rPr>
          <w:rFonts w:eastAsia="Arial" w:cs="Arial"/>
          <w:color w:val="000000" w:themeColor="text1"/>
        </w:rPr>
        <w:t xml:space="preserve"> is</w:t>
      </w:r>
      <w:r w:rsidRPr="004C7830">
        <w:rPr>
          <w:rFonts w:eastAsia="Arial" w:cs="Arial"/>
          <w:color w:val="000000" w:themeColor="text1"/>
        </w:rPr>
        <w:t xml:space="preserve"> 1.5 times as accurate as the simple average. Moreover, its accuracy is approximately the same as what the accuracy of the simple average would have been if it were based on 50</w:t>
      </w:r>
      <w:r w:rsidR="00B5457C" w:rsidRPr="004C7830">
        <w:rPr>
          <w:rFonts w:eastAsia="Arial" w:cs="Arial"/>
          <w:color w:val="000000" w:themeColor="text1"/>
        </w:rPr>
        <w:t xml:space="preserve"> percent</w:t>
      </w:r>
      <w:r w:rsidRPr="004C7830">
        <w:rPr>
          <w:rFonts w:eastAsia="Arial" w:cs="Arial"/>
          <w:color w:val="000000" w:themeColor="text1"/>
        </w:rPr>
        <w:t xml:space="preserve"> more students. The accuracy ratio was calculated for each school or LEA for both mathematics and ELA and for the three selected student groups.</w:t>
      </w:r>
      <w:r w:rsidR="00071BE1" w:rsidRPr="004C7830">
        <w:rPr>
          <w:rFonts w:eastAsia="Arial" w:cs="Arial"/>
          <w:color w:val="000000" w:themeColor="text1"/>
        </w:rPr>
        <w:br/>
      </w:r>
      <w:r w:rsidR="00071BE1" w:rsidRPr="004C7830">
        <w:rPr>
          <w:rFonts w:eastAsia="Arial" w:cs="Arial"/>
          <w:color w:val="000000" w:themeColor="text1"/>
        </w:rPr>
        <w:br/>
      </w:r>
      <w:r w:rsidRPr="004C7830">
        <w:rPr>
          <w:rFonts w:eastAsia="Arial" w:cs="Arial"/>
          <w:color w:val="000000" w:themeColor="text1"/>
        </w:rPr>
        <w:t>The results are summarized by the average ratio for groups of schools or LEAs defined by their size, where size is defined by the number of students with growth measures used in calculating growth for the school</w:t>
      </w:r>
      <w:r w:rsidR="00831C8F" w:rsidRPr="004C7830">
        <w:rPr>
          <w:rFonts w:eastAsia="Arial" w:cs="Arial"/>
          <w:color w:val="000000" w:themeColor="text1"/>
        </w:rPr>
        <w:t xml:space="preserve">, </w:t>
      </w:r>
      <w:r w:rsidRPr="004C7830">
        <w:rPr>
          <w:rFonts w:eastAsia="Arial" w:cs="Arial"/>
          <w:color w:val="000000" w:themeColor="text1"/>
        </w:rPr>
        <w:t>LEA</w:t>
      </w:r>
      <w:r w:rsidR="00831C8F" w:rsidRPr="004C7830">
        <w:rPr>
          <w:rFonts w:eastAsia="Arial" w:cs="Arial"/>
          <w:color w:val="000000" w:themeColor="text1"/>
        </w:rPr>
        <w:t>,</w:t>
      </w:r>
      <w:r w:rsidRPr="004C7830">
        <w:rPr>
          <w:rFonts w:eastAsia="Arial" w:cs="Arial"/>
          <w:color w:val="000000" w:themeColor="text1"/>
        </w:rPr>
        <w:t xml:space="preserve"> or student group. For example, results for SED students present the average accuracy ratio for schools with 11 to 29 SED students with growth measures, 30 to 149 SED students</w:t>
      </w:r>
      <w:r w:rsidR="00B16F8D" w:rsidRPr="004C7830">
        <w:rPr>
          <w:rFonts w:eastAsia="Arial" w:cs="Arial"/>
          <w:color w:val="000000" w:themeColor="text1"/>
        </w:rPr>
        <w:t xml:space="preserve"> with growth measures</w:t>
      </w:r>
      <w:r w:rsidRPr="004C7830">
        <w:rPr>
          <w:rFonts w:eastAsia="Arial" w:cs="Arial"/>
          <w:color w:val="000000" w:themeColor="text1"/>
        </w:rPr>
        <w:t>, and 150 or more SED students</w:t>
      </w:r>
      <w:r w:rsidR="00B16F8D" w:rsidRPr="004C7830">
        <w:rPr>
          <w:rFonts w:eastAsia="Arial" w:cs="Arial"/>
          <w:color w:val="000000" w:themeColor="text1"/>
        </w:rPr>
        <w:t xml:space="preserve"> with growth measures</w:t>
      </w:r>
      <w:r w:rsidRPr="004C7830">
        <w:rPr>
          <w:rFonts w:eastAsia="Arial" w:cs="Arial"/>
          <w:color w:val="000000" w:themeColor="text1"/>
        </w:rPr>
        <w:t>. Accountability measures are not calculated for groups of 10 or fewer students, and groups with 11 to 29 students have reported accountability statistics but no color-coded classification</w:t>
      </w:r>
      <w:r w:rsidR="000A587B" w:rsidRPr="004C7830">
        <w:rPr>
          <w:rFonts w:eastAsia="Arial" w:cs="Arial"/>
          <w:color w:val="000000" w:themeColor="text1"/>
        </w:rPr>
        <w:t xml:space="preserve"> in the Dashboard</w:t>
      </w:r>
      <w:r w:rsidRPr="004C7830">
        <w:rPr>
          <w:rFonts w:eastAsia="Arial" w:cs="Arial"/>
          <w:color w:val="000000" w:themeColor="text1"/>
        </w:rPr>
        <w:t xml:space="preserve">. </w:t>
      </w:r>
      <w:r w:rsidR="0014168B" w:rsidRPr="004C7830">
        <w:rPr>
          <w:rFonts w:eastAsia="Arial" w:cs="Arial"/>
          <w:color w:val="000000" w:themeColor="text1"/>
        </w:rPr>
        <w:br/>
      </w:r>
      <w:r w:rsidR="00551A60" w:rsidRPr="004C7830">
        <w:rPr>
          <w:rFonts w:eastAsia="Arial" w:cs="Arial"/>
          <w:color w:val="000000" w:themeColor="text1"/>
        </w:rPr>
        <w:br/>
      </w:r>
      <w:r w:rsidRPr="004C7830">
        <w:rPr>
          <w:rFonts w:eastAsia="Arial" w:cs="Arial"/>
          <w:color w:val="000000" w:themeColor="text1"/>
        </w:rPr>
        <w:lastRenderedPageBreak/>
        <w:t xml:space="preserve">For LEAs, the corresponding group sizes were 11 to 29, 30 to 149, 150 to 1,499, and 1,500 or more. The larger cutoffs for </w:t>
      </w:r>
      <w:r w:rsidR="00F250C6" w:rsidRPr="004C7830">
        <w:rPr>
          <w:rFonts w:eastAsia="Arial" w:cs="Arial"/>
          <w:color w:val="000000" w:themeColor="text1"/>
        </w:rPr>
        <w:t>groups’</w:t>
      </w:r>
      <w:r w:rsidRPr="004C7830">
        <w:rPr>
          <w:rFonts w:eastAsia="Arial" w:cs="Arial"/>
          <w:color w:val="000000" w:themeColor="text1"/>
        </w:rPr>
        <w:t xml:space="preserve"> sizes reflect that LEAs tend to have many more students than individual schools. If a size bin had fewer than 100 schools or LEAs, it was collapsed with the adjacent bin. For instance, the 30 to 149</w:t>
      </w:r>
      <w:r w:rsidR="005B162A" w:rsidRPr="004C7830">
        <w:rPr>
          <w:rFonts w:eastAsia="Arial" w:cs="Arial"/>
          <w:color w:val="000000" w:themeColor="text1"/>
        </w:rPr>
        <w:t xml:space="preserve"> </w:t>
      </w:r>
      <w:proofErr w:type="spellStart"/>
      <w:r w:rsidR="005B162A" w:rsidRPr="004C7830">
        <w:rPr>
          <w:rFonts w:eastAsia="Arial" w:cs="Arial"/>
          <w:color w:val="000000" w:themeColor="text1"/>
        </w:rPr>
        <w:t>bin</w:t>
      </w:r>
      <w:proofErr w:type="spellEnd"/>
      <w:r w:rsidRPr="004C7830">
        <w:rPr>
          <w:rFonts w:eastAsia="Arial" w:cs="Arial"/>
          <w:color w:val="000000" w:themeColor="text1"/>
        </w:rPr>
        <w:t xml:space="preserve"> and 150 or more bin were combined for the SWD </w:t>
      </w:r>
      <w:r w:rsidR="00401488" w:rsidRPr="004C7830">
        <w:rPr>
          <w:rFonts w:eastAsia="Arial" w:cs="Arial"/>
          <w:color w:val="000000" w:themeColor="text1"/>
        </w:rPr>
        <w:t>group</w:t>
      </w:r>
      <w:r w:rsidRPr="004C7830">
        <w:rPr>
          <w:rFonts w:eastAsia="Arial" w:cs="Arial"/>
          <w:color w:val="000000" w:themeColor="text1"/>
        </w:rPr>
        <w:t xml:space="preserve"> for schools</w:t>
      </w:r>
      <w:r w:rsidR="00401488" w:rsidRPr="004C7830">
        <w:rPr>
          <w:rFonts w:eastAsia="Arial" w:cs="Arial"/>
          <w:color w:val="000000" w:themeColor="text1"/>
        </w:rPr>
        <w:t>,</w:t>
      </w:r>
      <w:r w:rsidRPr="004C7830">
        <w:rPr>
          <w:rFonts w:eastAsia="Arial" w:cs="Arial"/>
          <w:color w:val="000000" w:themeColor="text1"/>
        </w:rPr>
        <w:t xml:space="preserve"> given</w:t>
      </w:r>
      <w:r w:rsidR="003E5313" w:rsidRPr="004C7830">
        <w:rPr>
          <w:rFonts w:eastAsia="Arial" w:cs="Arial"/>
          <w:color w:val="000000" w:themeColor="text1"/>
        </w:rPr>
        <w:t xml:space="preserve"> that</w:t>
      </w:r>
      <w:r w:rsidRPr="004C7830">
        <w:rPr>
          <w:rFonts w:eastAsia="Arial" w:cs="Arial"/>
          <w:color w:val="000000" w:themeColor="text1"/>
        </w:rPr>
        <w:t xml:space="preserve"> there were only 82 schools</w:t>
      </w:r>
      <w:r w:rsidR="00401488" w:rsidRPr="004C7830">
        <w:rPr>
          <w:rFonts w:eastAsia="Arial" w:cs="Arial"/>
          <w:color w:val="000000" w:themeColor="text1"/>
        </w:rPr>
        <w:t xml:space="preserve"> that had</w:t>
      </w:r>
      <w:r w:rsidRPr="004C7830">
        <w:rPr>
          <w:rFonts w:eastAsia="Arial" w:cs="Arial"/>
          <w:color w:val="000000" w:themeColor="text1"/>
        </w:rPr>
        <w:t xml:space="preserve"> 30 to 149 students with disabilities with growth measures (</w:t>
      </w:r>
      <w:r w:rsidR="00F44ADE" w:rsidRPr="004C7830">
        <w:rPr>
          <w:rFonts w:eastAsia="Arial" w:cs="Arial"/>
          <w:color w:val="000000" w:themeColor="text1"/>
        </w:rPr>
        <w:t xml:space="preserve">refer to </w:t>
      </w:r>
      <w:r w:rsidRPr="004C7830">
        <w:rPr>
          <w:rFonts w:eastAsia="Arial" w:cs="Arial"/>
          <w:color w:val="000000" w:themeColor="text1"/>
        </w:rPr>
        <w:t>Table 1).</w:t>
      </w:r>
      <w:r w:rsidR="00071BE1" w:rsidRPr="004C7830">
        <w:rPr>
          <w:rFonts w:eastAsia="Arial" w:cs="Arial"/>
          <w:color w:val="000000" w:themeColor="text1"/>
        </w:rPr>
        <w:br/>
      </w:r>
      <w:r w:rsidR="00071BE1" w:rsidRPr="004C7830">
        <w:rPr>
          <w:rFonts w:eastAsia="Arial" w:cs="Arial"/>
          <w:color w:val="000000" w:themeColor="text1"/>
        </w:rPr>
        <w:br/>
      </w:r>
      <w:r w:rsidRPr="004C7830">
        <w:rPr>
          <w:rFonts w:eastAsia="Arial" w:cs="Arial"/>
          <w:color w:val="000000" w:themeColor="text1"/>
        </w:rPr>
        <w:t>Table 1 and Table 2</w:t>
      </w:r>
      <w:r w:rsidR="00134DC0" w:rsidRPr="004C7830">
        <w:rPr>
          <w:rFonts w:eastAsia="Arial" w:cs="Arial"/>
          <w:color w:val="000000" w:themeColor="text1"/>
        </w:rPr>
        <w:t>,</w:t>
      </w:r>
      <w:r w:rsidRPr="004C7830">
        <w:rPr>
          <w:rFonts w:eastAsia="Arial" w:cs="Arial"/>
          <w:color w:val="000000" w:themeColor="text1"/>
        </w:rPr>
        <w:t xml:space="preserve"> </w:t>
      </w:r>
      <w:r w:rsidR="003E5313" w:rsidRPr="004C7830">
        <w:rPr>
          <w:rFonts w:eastAsia="Arial" w:cs="Arial"/>
          <w:color w:val="000000" w:themeColor="text1"/>
        </w:rPr>
        <w:t>provided at the end of this section,</w:t>
      </w:r>
      <w:r w:rsidR="00134DC0" w:rsidRPr="004C7830">
        <w:rPr>
          <w:rFonts w:eastAsia="Arial" w:cs="Arial"/>
          <w:color w:val="000000" w:themeColor="text1"/>
        </w:rPr>
        <w:t xml:space="preserve"> </w:t>
      </w:r>
      <w:r w:rsidRPr="004C7830">
        <w:rPr>
          <w:rFonts w:eastAsia="Arial" w:cs="Arial"/>
          <w:color w:val="000000" w:themeColor="text1"/>
        </w:rPr>
        <w:t xml:space="preserve">present the results for schools and LEAs respectively. For </w:t>
      </w:r>
      <w:r w:rsidR="00D076B0" w:rsidRPr="004C7830">
        <w:rPr>
          <w:rFonts w:eastAsia="Arial" w:cs="Arial"/>
          <w:color w:val="000000" w:themeColor="text1"/>
        </w:rPr>
        <w:t xml:space="preserve">virtually all </w:t>
      </w:r>
      <w:r w:rsidRPr="004C7830">
        <w:rPr>
          <w:rFonts w:eastAsia="Arial" w:cs="Arial"/>
          <w:color w:val="000000" w:themeColor="text1"/>
        </w:rPr>
        <w:t xml:space="preserve">schools </w:t>
      </w:r>
      <w:r w:rsidR="00D234FC" w:rsidRPr="004C7830">
        <w:rPr>
          <w:rFonts w:eastAsia="Arial" w:cs="Arial"/>
          <w:color w:val="000000" w:themeColor="text1"/>
        </w:rPr>
        <w:t xml:space="preserve">for the three student groups, </w:t>
      </w:r>
      <w:r w:rsidRPr="004C7830">
        <w:rPr>
          <w:rFonts w:eastAsia="Arial" w:cs="Arial"/>
          <w:color w:val="000000" w:themeColor="text1"/>
        </w:rPr>
        <w:t>the EBLP weighted average improves the accuracy of the growth measures for both mathematics and ELA. The gains are particularly large for small schools and for student groups with few students in the schools. In these cases, the EBLP weighted averages can be up to more than 1.8 times as accurate, on average, than the corresponding simple averages. That is, the accuracy for the EBLP weighted average is approximately the same as what the accuracy of the simple average would h</w:t>
      </w:r>
      <w:r w:rsidR="00B5457C" w:rsidRPr="004C7830">
        <w:rPr>
          <w:rFonts w:eastAsia="Arial" w:cs="Arial"/>
          <w:color w:val="000000" w:themeColor="text1"/>
        </w:rPr>
        <w:t>ave been if it were based on 80 percent</w:t>
      </w:r>
      <w:r w:rsidRPr="004C7830">
        <w:rPr>
          <w:rFonts w:eastAsia="Arial" w:cs="Arial"/>
          <w:color w:val="000000" w:themeColor="text1"/>
        </w:rPr>
        <w:t xml:space="preserve"> more students. When more students are available for calculating the aggregate growth, then improvements for the EBLP weighted averages are smaller. This is to be expected because simple averages are much more accurate for large groups, so that gains in accuracy are less needed and harder to obtain.</w:t>
      </w:r>
      <w:r w:rsidR="008F356F" w:rsidRPr="004C7830">
        <w:rPr>
          <w:rFonts w:eastAsia="Arial" w:cs="Arial"/>
          <w:color w:val="000000" w:themeColor="text1"/>
        </w:rPr>
        <w:br/>
      </w:r>
      <w:r w:rsidR="008F356F" w:rsidRPr="004C7830">
        <w:rPr>
          <w:rFonts w:eastAsia="Arial" w:cs="Arial"/>
          <w:color w:val="000000" w:themeColor="text1"/>
        </w:rPr>
        <w:br/>
      </w:r>
      <w:r w:rsidRPr="004C7830">
        <w:rPr>
          <w:rFonts w:eastAsia="Arial" w:cs="Arial"/>
          <w:color w:val="000000" w:themeColor="text1"/>
        </w:rPr>
        <w:t xml:space="preserve">For LEAs, the story is more mixed. Again, when few students </w:t>
      </w:r>
      <w:r w:rsidR="00D92A25" w:rsidRPr="004C7830">
        <w:rPr>
          <w:rFonts w:eastAsia="Arial" w:cs="Arial"/>
          <w:color w:val="000000" w:themeColor="text1"/>
        </w:rPr>
        <w:t xml:space="preserve">are </w:t>
      </w:r>
      <w:r w:rsidRPr="004C7830">
        <w:rPr>
          <w:rFonts w:eastAsia="Arial" w:cs="Arial"/>
          <w:color w:val="000000" w:themeColor="text1"/>
        </w:rPr>
        <w:t>available for calculating the aggregate growth for the LEA or student groups, then the EBLP weighted averages are more accurate than simple averages. The improvement can be substantial. However, for larger LEAs and student groups in those LEAs, the EBLP weighted averages do not always improve the accuracy over simple averages.</w:t>
      </w:r>
      <w:r w:rsidR="008F356F" w:rsidRPr="004C7830">
        <w:rPr>
          <w:rFonts w:eastAsia="Arial" w:cs="Arial"/>
          <w:color w:val="000000" w:themeColor="text1"/>
        </w:rPr>
        <w:br/>
      </w:r>
      <w:r w:rsidR="008F356F" w:rsidRPr="004C7830">
        <w:rPr>
          <w:rFonts w:eastAsia="Arial" w:cs="Arial"/>
          <w:color w:val="000000" w:themeColor="text1"/>
        </w:rPr>
        <w:br/>
      </w:r>
      <w:r w:rsidRPr="004C7830">
        <w:rPr>
          <w:rFonts w:eastAsia="Arial" w:cs="Arial"/>
          <w:color w:val="000000" w:themeColor="text1"/>
        </w:rPr>
        <w:t>Several factors contribute to the EBLP weighted average not improving the accuracy for large LEAs. Like large schools, the simple averages are very accurate for large LEAs, so the EBLP weighted averages would</w:t>
      </w:r>
      <w:r w:rsidR="0014674E" w:rsidRPr="004C7830">
        <w:rPr>
          <w:rFonts w:eastAsia="Arial" w:cs="Arial"/>
          <w:color w:val="000000" w:themeColor="text1"/>
        </w:rPr>
        <w:t>,</w:t>
      </w:r>
      <w:r w:rsidRPr="004C7830">
        <w:rPr>
          <w:rFonts w:eastAsia="Arial" w:cs="Arial"/>
          <w:color w:val="000000" w:themeColor="text1"/>
        </w:rPr>
        <w:t xml:space="preserve"> at best</w:t>
      </w:r>
      <w:r w:rsidR="0014674E" w:rsidRPr="004C7830">
        <w:rPr>
          <w:rFonts w:eastAsia="Arial" w:cs="Arial"/>
          <w:color w:val="000000" w:themeColor="text1"/>
        </w:rPr>
        <w:t>,</w:t>
      </w:r>
      <w:r w:rsidRPr="004C7830">
        <w:rPr>
          <w:rFonts w:eastAsia="Arial" w:cs="Arial"/>
          <w:color w:val="000000" w:themeColor="text1"/>
        </w:rPr>
        <w:t xml:space="preserve"> have limited ability to improve accuracy. In addition, the EBLP weighted averages function best when the number of </w:t>
      </w:r>
      <w:r w:rsidR="00544F7C" w:rsidRPr="004C7830">
        <w:rPr>
          <w:rFonts w:eastAsia="Arial" w:cs="Arial"/>
          <w:color w:val="000000" w:themeColor="text1"/>
        </w:rPr>
        <w:t xml:space="preserve">aggregation units </w:t>
      </w:r>
      <w:r w:rsidR="006A1FFA" w:rsidRPr="004C7830">
        <w:rPr>
          <w:rFonts w:eastAsia="Arial" w:cs="Arial"/>
          <w:color w:val="000000" w:themeColor="text1"/>
        </w:rPr>
        <w:t>(</w:t>
      </w:r>
      <w:r w:rsidRPr="004C7830">
        <w:rPr>
          <w:rFonts w:eastAsia="Arial" w:cs="Arial"/>
          <w:color w:val="000000" w:themeColor="text1"/>
        </w:rPr>
        <w:t>schools or LEAs</w:t>
      </w:r>
      <w:r w:rsidR="006A1FFA" w:rsidRPr="004C7830">
        <w:rPr>
          <w:rFonts w:eastAsia="Arial" w:cs="Arial"/>
          <w:color w:val="000000" w:themeColor="text1"/>
        </w:rPr>
        <w:t>)</w:t>
      </w:r>
      <w:r w:rsidRPr="004C7830">
        <w:rPr>
          <w:rFonts w:eastAsia="Arial" w:cs="Arial"/>
          <w:color w:val="000000" w:themeColor="text1"/>
        </w:rPr>
        <w:t xml:space="preserve"> used to calculate the weights is large. </w:t>
      </w:r>
      <w:r w:rsidR="0029135C" w:rsidRPr="004C7830">
        <w:rPr>
          <w:rFonts w:eastAsia="Arial" w:cs="Arial"/>
          <w:color w:val="000000" w:themeColor="text1"/>
        </w:rPr>
        <w:t xml:space="preserve">Note that the number of aggregation units is distinct from group size or the number of students within a school or LEA. </w:t>
      </w:r>
      <w:r w:rsidRPr="004C7830">
        <w:rPr>
          <w:rFonts w:eastAsia="Arial" w:cs="Arial"/>
          <w:color w:val="000000" w:themeColor="text1"/>
        </w:rPr>
        <w:t>In the data analyzed here, the number of schools (approximately 6</w:t>
      </w:r>
      <w:r w:rsidR="001747A3" w:rsidRPr="004C7830">
        <w:rPr>
          <w:rFonts w:eastAsia="Arial" w:cs="Arial"/>
          <w:color w:val="000000" w:themeColor="text1"/>
        </w:rPr>
        <w:t>,</w:t>
      </w:r>
      <w:r w:rsidRPr="004C7830">
        <w:rPr>
          <w:rFonts w:eastAsia="Arial" w:cs="Arial"/>
          <w:color w:val="000000" w:themeColor="text1"/>
        </w:rPr>
        <w:t>500</w:t>
      </w:r>
      <w:r w:rsidR="001B0484" w:rsidRPr="004C7830">
        <w:rPr>
          <w:rFonts w:eastAsia="Arial" w:cs="Arial"/>
          <w:color w:val="000000" w:themeColor="text1"/>
        </w:rPr>
        <w:t xml:space="preserve"> to </w:t>
      </w:r>
      <w:r w:rsidRPr="004C7830">
        <w:rPr>
          <w:rFonts w:eastAsia="Arial" w:cs="Arial"/>
          <w:color w:val="000000" w:themeColor="text1"/>
        </w:rPr>
        <w:t>7</w:t>
      </w:r>
      <w:r w:rsidR="001747A3" w:rsidRPr="004C7830">
        <w:rPr>
          <w:rFonts w:eastAsia="Arial" w:cs="Arial"/>
          <w:color w:val="000000" w:themeColor="text1"/>
        </w:rPr>
        <w:t>,</w:t>
      </w:r>
      <w:r w:rsidRPr="004C7830">
        <w:rPr>
          <w:rFonts w:eastAsia="Arial" w:cs="Arial"/>
          <w:color w:val="000000" w:themeColor="text1"/>
        </w:rPr>
        <w:t xml:space="preserve">500 per data condition) is about </w:t>
      </w:r>
      <w:r w:rsidR="001B0484" w:rsidRPr="004C7830">
        <w:rPr>
          <w:rFonts w:eastAsia="Arial" w:cs="Arial"/>
          <w:color w:val="000000" w:themeColor="text1"/>
        </w:rPr>
        <w:t>10</w:t>
      </w:r>
      <w:r w:rsidRPr="004C7830">
        <w:rPr>
          <w:rFonts w:eastAsia="Arial" w:cs="Arial"/>
          <w:color w:val="000000" w:themeColor="text1"/>
        </w:rPr>
        <w:t xml:space="preserve"> times the number LEAs (approximately 675</w:t>
      </w:r>
      <w:r w:rsidR="00865492" w:rsidRPr="004C7830">
        <w:rPr>
          <w:rFonts w:eastAsia="Arial" w:cs="Arial"/>
          <w:color w:val="000000" w:themeColor="text1"/>
        </w:rPr>
        <w:t xml:space="preserve"> to </w:t>
      </w:r>
      <w:r w:rsidRPr="004C7830">
        <w:rPr>
          <w:rFonts w:eastAsia="Arial" w:cs="Arial"/>
          <w:color w:val="000000" w:themeColor="text1"/>
        </w:rPr>
        <w:t>830 per data condition).</w:t>
      </w:r>
      <w:r w:rsidR="00E81288" w:rsidRPr="004C7830">
        <w:rPr>
          <w:rFonts w:eastAsia="Arial" w:cs="Arial"/>
          <w:color w:val="000000" w:themeColor="text1"/>
        </w:rPr>
        <w:t xml:space="preserve"> </w:t>
      </w:r>
      <w:r w:rsidRPr="004C7830">
        <w:rPr>
          <w:rFonts w:eastAsia="Arial" w:cs="Arial"/>
          <w:color w:val="000000" w:themeColor="text1"/>
        </w:rPr>
        <w:t xml:space="preserve">Accordingly, the weights for the EBLP weighted averages for LEAs are not as precise as they are for schools. This degrades the accuracy of the EBLP weighted averages for LEAs and results in EBLPs for some large LEAs being less accurate than the simple averages. </w:t>
      </w:r>
      <w:r w:rsidR="008F356F" w:rsidRPr="004C7830">
        <w:rPr>
          <w:rFonts w:eastAsia="Arial" w:cs="Arial"/>
          <w:color w:val="000000" w:themeColor="text1"/>
        </w:rPr>
        <w:br/>
      </w:r>
      <w:r w:rsidR="008F356F" w:rsidRPr="004C7830">
        <w:rPr>
          <w:rFonts w:eastAsia="Arial" w:cs="Arial"/>
          <w:color w:val="000000" w:themeColor="text1"/>
        </w:rPr>
        <w:br/>
      </w:r>
      <w:r w:rsidR="00957F37" w:rsidRPr="004C7830">
        <w:rPr>
          <w:rFonts w:eastAsia="Arial" w:cs="Arial"/>
          <w:bCs/>
          <w:color w:val="000000" w:themeColor="text1"/>
        </w:rPr>
        <w:br w:type="page"/>
      </w:r>
    </w:p>
    <w:p w:rsidR="00957F37" w:rsidRPr="004C7830" w:rsidRDefault="00957F37" w:rsidP="008F356F">
      <w:pPr>
        <w:rPr>
          <w:rFonts w:eastAsia="Arial" w:cs="Arial"/>
          <w:b/>
          <w:bCs/>
          <w:color w:val="000000" w:themeColor="text1"/>
        </w:rPr>
      </w:pPr>
      <w:r w:rsidRPr="004C7830">
        <w:rPr>
          <w:rFonts w:eastAsia="Arial" w:cs="Arial"/>
          <w:bCs/>
          <w:color w:val="000000" w:themeColor="text1"/>
        </w:rPr>
        <w:lastRenderedPageBreak/>
        <w:t>Table 1 provides the results at the school level.</w:t>
      </w:r>
      <w:r w:rsidRPr="004C7830">
        <w:rPr>
          <w:rFonts w:eastAsia="Arial" w:cs="Arial"/>
          <w:b/>
          <w:bCs/>
          <w:color w:val="000000" w:themeColor="text1"/>
        </w:rPr>
        <w:t xml:space="preserve"> </w:t>
      </w:r>
      <w:r w:rsidRPr="004C7830">
        <w:rPr>
          <w:rFonts w:eastAsia="Arial" w:cs="Arial"/>
          <w:b/>
          <w:bCs/>
          <w:color w:val="000000" w:themeColor="text1"/>
        </w:rPr>
        <w:br/>
      </w:r>
      <w:r w:rsidRPr="004C7830">
        <w:rPr>
          <w:rFonts w:eastAsia="Arial" w:cs="Arial"/>
          <w:b/>
          <w:bCs/>
          <w:color w:val="000000" w:themeColor="text1"/>
        </w:rPr>
        <w:br/>
      </w:r>
      <w:r w:rsidR="0573F57A" w:rsidRPr="004C7830">
        <w:rPr>
          <w:rStyle w:val="Heading3Char"/>
        </w:rPr>
        <w:t xml:space="preserve">Table 1. Improvement in Accuracy of Growth Estimates Using EBLP Weighted Averages </w:t>
      </w:r>
      <w:r w:rsidR="009A59BC" w:rsidRPr="004C7830">
        <w:rPr>
          <w:rStyle w:val="Heading3Char"/>
        </w:rPr>
        <w:t>V</w:t>
      </w:r>
      <w:r w:rsidR="0573F57A" w:rsidRPr="004C7830">
        <w:rPr>
          <w:rStyle w:val="Heading3Char"/>
        </w:rPr>
        <w:t>ersus Simple Averages at the School-Level</w:t>
      </w:r>
      <w:r w:rsidR="0573F57A" w:rsidRPr="004C7830">
        <w:rPr>
          <w:rFonts w:eastAsia="Arial" w:cs="Arial"/>
          <w:b/>
          <w:bCs/>
          <w:color w:val="000000" w:themeColor="text1"/>
        </w:rPr>
        <w:t xml:space="preserve"> </w:t>
      </w:r>
    </w:p>
    <w:p w:rsidR="00685069" w:rsidRPr="004C7830" w:rsidRDefault="00685069" w:rsidP="008F356F">
      <w:pPr>
        <w:rPr>
          <w:rFonts w:eastAsia="Arial" w:cs="Arial"/>
          <w:b/>
          <w:bCs/>
          <w:color w:val="000000" w:themeColor="text1"/>
        </w:rPr>
      </w:pPr>
    </w:p>
    <w:tbl>
      <w:tblPr>
        <w:tblStyle w:val="TableGrid"/>
        <w:tblW w:w="0" w:type="auto"/>
        <w:tblLayout w:type="fixed"/>
        <w:tblLook w:val="04A0" w:firstRow="1" w:lastRow="0" w:firstColumn="1" w:lastColumn="0" w:noHBand="0" w:noVBand="1"/>
        <w:tblDescription w:val="Table 1. Improvement in Accuracy of Growth Estimates Using EBLP Weighted Averages versus Simple Averages at the School-Level "/>
      </w:tblPr>
      <w:tblGrid>
        <w:gridCol w:w="1165"/>
        <w:gridCol w:w="1620"/>
        <w:gridCol w:w="1350"/>
        <w:gridCol w:w="1260"/>
        <w:gridCol w:w="1800"/>
        <w:gridCol w:w="2155"/>
      </w:tblGrid>
      <w:tr w:rsidR="00B8118B" w:rsidRPr="004C7830" w:rsidTr="00E24EF0">
        <w:trPr>
          <w:tblHeader/>
        </w:trPr>
        <w:tc>
          <w:tcPr>
            <w:tcW w:w="1165" w:type="dxa"/>
            <w:vAlign w:val="bottom"/>
          </w:tcPr>
          <w:p w:rsidR="00B8118B" w:rsidRPr="004C7830" w:rsidRDefault="00B8118B" w:rsidP="00720CFD">
            <w:pPr>
              <w:jc w:val="center"/>
              <w:rPr>
                <w:sz w:val="24"/>
              </w:rPr>
            </w:pPr>
            <w:r w:rsidRPr="004C7830">
              <w:rPr>
                <w:rFonts w:eastAsia="Arial" w:cs="Arial"/>
                <w:b/>
                <w:bCs/>
                <w:color w:val="000000" w:themeColor="text1"/>
                <w:sz w:val="24"/>
              </w:rPr>
              <w:t>Student Group</w:t>
            </w:r>
          </w:p>
        </w:tc>
        <w:tc>
          <w:tcPr>
            <w:tcW w:w="1620" w:type="dxa"/>
            <w:vAlign w:val="bottom"/>
          </w:tcPr>
          <w:p w:rsidR="00B8118B" w:rsidRPr="004C7830" w:rsidRDefault="00B8118B" w:rsidP="00720CFD">
            <w:pPr>
              <w:jc w:val="center"/>
              <w:rPr>
                <w:sz w:val="24"/>
              </w:rPr>
            </w:pPr>
            <w:r w:rsidRPr="004C7830">
              <w:rPr>
                <w:rFonts w:eastAsia="Arial" w:cs="Arial"/>
                <w:b/>
                <w:bCs/>
                <w:color w:val="000000" w:themeColor="text1"/>
                <w:sz w:val="24"/>
              </w:rPr>
              <w:t>Subject</w:t>
            </w:r>
          </w:p>
        </w:tc>
        <w:tc>
          <w:tcPr>
            <w:tcW w:w="1350" w:type="dxa"/>
            <w:vAlign w:val="bottom"/>
          </w:tcPr>
          <w:p w:rsidR="00B8118B" w:rsidRPr="004C7830" w:rsidRDefault="00E24EF0" w:rsidP="00720CFD">
            <w:pPr>
              <w:jc w:val="center"/>
              <w:rPr>
                <w:sz w:val="24"/>
              </w:rPr>
            </w:pPr>
            <w:r w:rsidRPr="004C7830">
              <w:rPr>
                <w:rFonts w:eastAsia="Arial" w:cs="Arial"/>
                <w:b/>
                <w:color w:val="000000" w:themeColor="text1"/>
                <w:sz w:val="24"/>
                <w:szCs w:val="24"/>
              </w:rPr>
              <w:t>2018–19</w:t>
            </w:r>
            <w:r w:rsidR="007A312A" w:rsidRPr="004C7830">
              <w:rPr>
                <w:rFonts w:eastAsia="Arial" w:cs="Arial"/>
                <w:color w:val="000000" w:themeColor="text1"/>
              </w:rPr>
              <w:t xml:space="preserve"> </w:t>
            </w:r>
            <w:r w:rsidR="00B8118B" w:rsidRPr="004C7830">
              <w:rPr>
                <w:rFonts w:eastAsia="Arial" w:cs="Arial"/>
                <w:b/>
                <w:bCs/>
                <w:color w:val="000000" w:themeColor="text1"/>
                <w:sz w:val="24"/>
              </w:rPr>
              <w:t>LEA Size</w:t>
            </w:r>
            <w:r w:rsidR="00B8118B" w:rsidRPr="004C7830">
              <w:rPr>
                <w:rFonts w:eastAsia="Arial" w:cs="Arial"/>
                <w:b/>
                <w:bCs/>
                <w:color w:val="000000" w:themeColor="text1"/>
                <w:sz w:val="24"/>
                <w:szCs w:val="19"/>
                <w:vertAlign w:val="superscript"/>
              </w:rPr>
              <w:t>1</w:t>
            </w:r>
          </w:p>
        </w:tc>
        <w:tc>
          <w:tcPr>
            <w:tcW w:w="1260" w:type="dxa"/>
            <w:vAlign w:val="bottom"/>
          </w:tcPr>
          <w:p w:rsidR="00B8118B" w:rsidRPr="004C7830" w:rsidRDefault="00B8118B" w:rsidP="00720CFD">
            <w:pPr>
              <w:jc w:val="center"/>
              <w:rPr>
                <w:sz w:val="24"/>
              </w:rPr>
            </w:pPr>
            <w:r w:rsidRPr="004C7830">
              <w:rPr>
                <w:rFonts w:eastAsia="Arial" w:cs="Arial"/>
                <w:b/>
                <w:bCs/>
                <w:color w:val="000000" w:themeColor="text1"/>
                <w:sz w:val="24"/>
              </w:rPr>
              <w:t>Number of LEAs</w:t>
            </w:r>
          </w:p>
        </w:tc>
        <w:tc>
          <w:tcPr>
            <w:tcW w:w="1800" w:type="dxa"/>
            <w:vAlign w:val="bottom"/>
          </w:tcPr>
          <w:p w:rsidR="00B8118B" w:rsidRPr="004C7830" w:rsidRDefault="00B8118B" w:rsidP="00720CFD">
            <w:pPr>
              <w:jc w:val="center"/>
              <w:rPr>
                <w:sz w:val="24"/>
              </w:rPr>
            </w:pPr>
            <w:r w:rsidRPr="004C7830">
              <w:rPr>
                <w:rFonts w:eastAsia="Arial" w:cs="Arial"/>
                <w:b/>
                <w:bCs/>
                <w:color w:val="000000" w:themeColor="text1"/>
                <w:sz w:val="24"/>
              </w:rPr>
              <w:t>Mean Accuracy Ratio for 2-year EBLP vs</w:t>
            </w:r>
            <w:r w:rsidR="00E24EF0" w:rsidRPr="004C7830">
              <w:rPr>
                <w:rFonts w:eastAsia="Arial" w:cs="Arial"/>
                <w:b/>
                <w:bCs/>
                <w:color w:val="000000" w:themeColor="text1"/>
                <w:sz w:val="24"/>
              </w:rPr>
              <w:t>.</w:t>
            </w:r>
            <w:r w:rsidRPr="004C7830">
              <w:rPr>
                <w:rFonts w:eastAsia="Arial" w:cs="Arial"/>
                <w:b/>
                <w:bCs/>
                <w:color w:val="000000" w:themeColor="text1"/>
                <w:sz w:val="24"/>
              </w:rPr>
              <w:t xml:space="preserve"> Simple Average</w:t>
            </w:r>
          </w:p>
        </w:tc>
        <w:tc>
          <w:tcPr>
            <w:tcW w:w="2155" w:type="dxa"/>
          </w:tcPr>
          <w:p w:rsidR="00B8118B" w:rsidRPr="004C7830" w:rsidRDefault="00B8118B" w:rsidP="00720CFD">
            <w:pPr>
              <w:jc w:val="center"/>
              <w:rPr>
                <w:sz w:val="24"/>
              </w:rPr>
            </w:pPr>
            <w:r w:rsidRPr="004C7830">
              <w:rPr>
                <w:rFonts w:eastAsia="Arial" w:cs="Arial"/>
                <w:b/>
                <w:bCs/>
                <w:color w:val="000000" w:themeColor="text1"/>
                <w:sz w:val="24"/>
              </w:rPr>
              <w:t>Percentage of LEAs with Improved Accuracy for 2-year EBLP vs</w:t>
            </w:r>
            <w:r w:rsidR="00E24EF0" w:rsidRPr="004C7830">
              <w:rPr>
                <w:rFonts w:eastAsia="Arial" w:cs="Arial"/>
                <w:b/>
                <w:bCs/>
                <w:color w:val="000000" w:themeColor="text1"/>
                <w:sz w:val="24"/>
              </w:rPr>
              <w:t>.</w:t>
            </w:r>
            <w:r w:rsidRPr="004C7830">
              <w:rPr>
                <w:rFonts w:eastAsia="Arial" w:cs="Arial"/>
                <w:b/>
                <w:bCs/>
                <w:color w:val="000000" w:themeColor="text1"/>
                <w:sz w:val="24"/>
              </w:rPr>
              <w:t xml:space="preserve"> Simple Average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 xml:space="preserve">214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1.72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30 –149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2</w:t>
            </w:r>
            <w:r w:rsidR="00E24EF0" w:rsidRPr="004C7830">
              <w:rPr>
                <w:rFonts w:eastAsia="Arial" w:cs="Arial"/>
                <w:color w:val="000000" w:themeColor="text1"/>
                <w:sz w:val="24"/>
              </w:rPr>
              <w:t>,</w:t>
            </w:r>
            <w:r w:rsidRPr="004C7830">
              <w:rPr>
                <w:rFonts w:eastAsia="Arial" w:cs="Arial"/>
                <w:color w:val="000000" w:themeColor="text1"/>
                <w:sz w:val="24"/>
              </w:rPr>
              <w:t xml:space="preserve">223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1.25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150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5</w:t>
            </w:r>
            <w:r w:rsidR="00E24EF0" w:rsidRPr="004C7830">
              <w:rPr>
                <w:rFonts w:eastAsia="Arial" w:cs="Arial"/>
                <w:color w:val="000000" w:themeColor="text1"/>
                <w:sz w:val="24"/>
              </w:rPr>
              <w:t>,</w:t>
            </w:r>
            <w:r w:rsidRPr="004C7830">
              <w:rPr>
                <w:rFonts w:eastAsia="Arial" w:cs="Arial"/>
                <w:color w:val="000000" w:themeColor="text1"/>
                <w:sz w:val="24"/>
              </w:rPr>
              <w:t xml:space="preserve">048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1.10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 xml:space="preserve">207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1.58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30 –149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2</w:t>
            </w:r>
            <w:r w:rsidR="00E24EF0" w:rsidRPr="004C7830">
              <w:rPr>
                <w:rFonts w:eastAsia="Arial" w:cs="Arial"/>
                <w:color w:val="000000" w:themeColor="text1"/>
                <w:sz w:val="24"/>
              </w:rPr>
              <w:t>,</w:t>
            </w:r>
            <w:r w:rsidRPr="004C7830">
              <w:rPr>
                <w:rFonts w:eastAsia="Arial" w:cs="Arial"/>
                <w:color w:val="000000" w:themeColor="text1"/>
                <w:sz w:val="24"/>
              </w:rPr>
              <w:t xml:space="preserve">226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1.16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All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150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5</w:t>
            </w:r>
            <w:r w:rsidR="00E24EF0" w:rsidRPr="004C7830">
              <w:rPr>
                <w:rFonts w:eastAsia="Arial" w:cs="Arial"/>
                <w:color w:val="000000" w:themeColor="text1"/>
                <w:sz w:val="24"/>
              </w:rPr>
              <w:t>,</w:t>
            </w:r>
            <w:r w:rsidRPr="004C7830">
              <w:rPr>
                <w:rFonts w:eastAsia="Arial" w:cs="Arial"/>
                <w:color w:val="000000" w:themeColor="text1"/>
                <w:sz w:val="24"/>
              </w:rPr>
              <w:t xml:space="preserve">045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1.06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 xml:space="preserve">646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1.81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30 –149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505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1.31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150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094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1.10 </w:t>
            </w:r>
          </w:p>
        </w:tc>
        <w:tc>
          <w:tcPr>
            <w:tcW w:w="2155" w:type="dxa"/>
          </w:tcPr>
          <w:p w:rsidR="00B8118B" w:rsidRPr="004C7830" w:rsidRDefault="00B8118B" w:rsidP="00720CFD">
            <w:pPr>
              <w:jc w:val="center"/>
              <w:rPr>
                <w:sz w:val="24"/>
              </w:rPr>
            </w:pPr>
            <w:r w:rsidRPr="004C7830">
              <w:rPr>
                <w:rFonts w:eastAsia="Arial" w:cs="Arial"/>
                <w:color w:val="000000" w:themeColor="text1"/>
                <w:sz w:val="24"/>
              </w:rPr>
              <w:t>100%</w:t>
            </w:r>
            <w:r w:rsidRPr="004C7830">
              <w:rPr>
                <w:rFonts w:eastAsia="Arial" w:cs="Arial"/>
                <w:color w:val="000000" w:themeColor="text1"/>
                <w:sz w:val="24"/>
                <w:szCs w:val="19"/>
                <w:vertAlign w:val="superscript"/>
              </w:rPr>
              <w:t>2</w:t>
            </w:r>
            <w:r w:rsidRPr="004C7830">
              <w:rPr>
                <w:rFonts w:eastAsia="Arial" w:cs="Arial"/>
                <w:color w:val="000000" w:themeColor="text1"/>
                <w:sz w:val="24"/>
                <w:szCs w:val="19"/>
              </w:rPr>
              <w:t xml:space="preserve">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 xml:space="preserve">645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1.59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30 –149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511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1.21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SED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150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087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1.08 </w:t>
            </w:r>
          </w:p>
        </w:tc>
        <w:tc>
          <w:tcPr>
            <w:tcW w:w="2155" w:type="dxa"/>
          </w:tcPr>
          <w:p w:rsidR="00B8118B" w:rsidRPr="004C7830" w:rsidRDefault="00B8118B" w:rsidP="00720CFD">
            <w:pPr>
              <w:jc w:val="center"/>
              <w:rPr>
                <w:sz w:val="24"/>
              </w:rPr>
            </w:pPr>
            <w:r w:rsidRPr="004C7830">
              <w:rPr>
                <w:rFonts w:eastAsia="Arial" w:cs="Arial"/>
                <w:color w:val="000000" w:themeColor="text1"/>
                <w:sz w:val="24"/>
              </w:rPr>
              <w:t>100%</w:t>
            </w:r>
            <w:r w:rsidRPr="004C7830">
              <w:rPr>
                <w:rFonts w:eastAsia="Arial" w:cs="Arial"/>
                <w:color w:val="000000" w:themeColor="text1"/>
                <w:sz w:val="24"/>
                <w:szCs w:val="19"/>
                <w:vertAlign w:val="superscript"/>
              </w:rPr>
              <w:t>2</w:t>
            </w:r>
            <w:r w:rsidRPr="004C7830">
              <w:rPr>
                <w:rFonts w:eastAsia="Arial" w:cs="Arial"/>
                <w:color w:val="000000" w:themeColor="text1"/>
                <w:sz w:val="24"/>
                <w:szCs w:val="19"/>
              </w:rPr>
              <w:t xml:space="preserve">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SWD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470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1.78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SWD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 xml:space="preserve">ELA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30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053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1.40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rPr>
          <w:trHeight w:val="51"/>
        </w:trPr>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SWD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eastAsia="Arial" w:cs="Arial"/>
                <w:color w:val="000000" w:themeColor="text1"/>
                <w:sz w:val="24"/>
              </w:rPr>
              <w:t xml:space="preserve">11 – 29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474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1.54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r w:rsidR="00B8118B" w:rsidRPr="004C7830" w:rsidTr="00E24EF0">
        <w:tc>
          <w:tcPr>
            <w:tcW w:w="1165" w:type="dxa"/>
          </w:tcPr>
          <w:p w:rsidR="00B8118B" w:rsidRPr="004C7830" w:rsidRDefault="00B8118B" w:rsidP="00720CFD">
            <w:pPr>
              <w:jc w:val="center"/>
              <w:rPr>
                <w:sz w:val="24"/>
              </w:rPr>
            </w:pPr>
            <w:r w:rsidRPr="004C7830">
              <w:rPr>
                <w:rFonts w:eastAsia="Arial" w:cs="Arial"/>
                <w:color w:val="000000" w:themeColor="text1"/>
                <w:sz w:val="24"/>
              </w:rPr>
              <w:t xml:space="preserve">SWD </w:t>
            </w:r>
          </w:p>
        </w:tc>
        <w:tc>
          <w:tcPr>
            <w:tcW w:w="1620" w:type="dxa"/>
          </w:tcPr>
          <w:p w:rsidR="00B8118B" w:rsidRPr="004C7830" w:rsidRDefault="00B8118B" w:rsidP="00720CFD">
            <w:pPr>
              <w:jc w:val="center"/>
              <w:rPr>
                <w:sz w:val="24"/>
              </w:rPr>
            </w:pPr>
            <w:r w:rsidRPr="004C7830">
              <w:rPr>
                <w:rFonts w:eastAsia="Arial" w:cs="Arial"/>
                <w:color w:val="000000" w:themeColor="text1"/>
                <w:sz w:val="24"/>
              </w:rPr>
              <w:t>Math</w:t>
            </w:r>
            <w:r w:rsidR="00E24EF0" w:rsidRPr="004C7830">
              <w:rPr>
                <w:rFonts w:eastAsia="Arial" w:cs="Arial"/>
                <w:color w:val="000000" w:themeColor="text1"/>
                <w:sz w:val="24"/>
              </w:rPr>
              <w:t>ematics</w:t>
            </w:r>
            <w:r w:rsidRPr="004C7830">
              <w:rPr>
                <w:rFonts w:eastAsia="Arial" w:cs="Arial"/>
                <w:color w:val="000000" w:themeColor="text1"/>
                <w:sz w:val="24"/>
              </w:rPr>
              <w:t xml:space="preserve"> </w:t>
            </w:r>
          </w:p>
        </w:tc>
        <w:tc>
          <w:tcPr>
            <w:tcW w:w="1350" w:type="dxa"/>
          </w:tcPr>
          <w:p w:rsidR="00B8118B" w:rsidRPr="004C7830" w:rsidRDefault="00B8118B" w:rsidP="00720CFD">
            <w:pPr>
              <w:jc w:val="center"/>
              <w:rPr>
                <w:sz w:val="24"/>
              </w:rPr>
            </w:pPr>
            <w:r w:rsidRPr="004C7830">
              <w:rPr>
                <w:rFonts w:ascii="Calibri" w:eastAsia="Calibri" w:hAnsi="Calibri" w:cs="Calibri"/>
                <w:color w:val="000000" w:themeColor="text1"/>
                <w:sz w:val="24"/>
              </w:rPr>
              <w:t>≥</w:t>
            </w:r>
            <w:r w:rsidRPr="004C7830">
              <w:rPr>
                <w:rFonts w:eastAsia="Arial" w:cs="Arial"/>
                <w:color w:val="000000" w:themeColor="text1"/>
                <w:sz w:val="24"/>
              </w:rPr>
              <w:t xml:space="preserve">30 </w:t>
            </w:r>
          </w:p>
        </w:tc>
        <w:tc>
          <w:tcPr>
            <w:tcW w:w="1260" w:type="dxa"/>
          </w:tcPr>
          <w:p w:rsidR="00B8118B" w:rsidRPr="004C7830" w:rsidRDefault="00B8118B" w:rsidP="00720CFD">
            <w:pPr>
              <w:jc w:val="center"/>
              <w:rPr>
                <w:sz w:val="24"/>
              </w:rPr>
            </w:pPr>
            <w:r w:rsidRPr="004C7830">
              <w:rPr>
                <w:rFonts w:eastAsia="Arial" w:cs="Arial"/>
                <w:color w:val="000000" w:themeColor="text1"/>
                <w:sz w:val="24"/>
              </w:rPr>
              <w:t>3</w:t>
            </w:r>
            <w:r w:rsidR="00E24EF0" w:rsidRPr="004C7830">
              <w:rPr>
                <w:rFonts w:eastAsia="Arial" w:cs="Arial"/>
                <w:color w:val="000000" w:themeColor="text1"/>
                <w:sz w:val="24"/>
              </w:rPr>
              <w:t>,</w:t>
            </w:r>
            <w:r w:rsidRPr="004C7830">
              <w:rPr>
                <w:rFonts w:eastAsia="Arial" w:cs="Arial"/>
                <w:color w:val="000000" w:themeColor="text1"/>
                <w:sz w:val="24"/>
              </w:rPr>
              <w:t xml:space="preserve">046 </w:t>
            </w:r>
          </w:p>
        </w:tc>
        <w:tc>
          <w:tcPr>
            <w:tcW w:w="1800" w:type="dxa"/>
          </w:tcPr>
          <w:p w:rsidR="00B8118B" w:rsidRPr="004C7830" w:rsidRDefault="00B8118B" w:rsidP="00720CFD">
            <w:pPr>
              <w:jc w:val="center"/>
              <w:rPr>
                <w:sz w:val="24"/>
              </w:rPr>
            </w:pPr>
            <w:r w:rsidRPr="004C7830">
              <w:rPr>
                <w:rFonts w:eastAsia="Arial" w:cs="Arial"/>
                <w:color w:val="000000" w:themeColor="text1"/>
                <w:sz w:val="24"/>
              </w:rPr>
              <w:t xml:space="preserve">1.28 </w:t>
            </w:r>
          </w:p>
        </w:tc>
        <w:tc>
          <w:tcPr>
            <w:tcW w:w="2155" w:type="dxa"/>
          </w:tcPr>
          <w:p w:rsidR="00B8118B" w:rsidRPr="004C7830" w:rsidRDefault="00B8118B" w:rsidP="00720CFD">
            <w:pPr>
              <w:jc w:val="center"/>
              <w:rPr>
                <w:sz w:val="24"/>
              </w:rPr>
            </w:pPr>
            <w:r w:rsidRPr="004C7830">
              <w:rPr>
                <w:rFonts w:eastAsia="Arial" w:cs="Arial"/>
                <w:color w:val="000000" w:themeColor="text1"/>
                <w:sz w:val="24"/>
              </w:rPr>
              <w:t xml:space="preserve">100% </w:t>
            </w:r>
          </w:p>
        </w:tc>
      </w:tr>
    </w:tbl>
    <w:p w:rsidR="00685069" w:rsidRPr="004C7830" w:rsidRDefault="0573F57A" w:rsidP="005C2F3B">
      <w:pPr>
        <w:pStyle w:val="ListParagraph"/>
        <w:numPr>
          <w:ilvl w:val="0"/>
          <w:numId w:val="6"/>
        </w:numPr>
        <w:spacing w:before="240" w:after="240"/>
        <w:contextualSpacing w:val="0"/>
        <w:rPr>
          <w:rFonts w:asciiTheme="minorHAnsi" w:eastAsiaTheme="minorEastAsia" w:hAnsiTheme="minorHAnsi" w:cstheme="minorBidi"/>
        </w:rPr>
      </w:pPr>
      <w:r w:rsidRPr="004C7830">
        <w:rPr>
          <w:rFonts w:eastAsia="Arial" w:cs="Arial"/>
        </w:rPr>
        <w:t xml:space="preserve">The size bins refer to the number of students within schools with growth scores in grades </w:t>
      </w:r>
      <w:r w:rsidR="00B5457C" w:rsidRPr="004C7830">
        <w:rPr>
          <w:rFonts w:eastAsia="Arial" w:cs="Arial"/>
        </w:rPr>
        <w:t xml:space="preserve">four </w:t>
      </w:r>
      <w:r w:rsidR="007A312A" w:rsidRPr="004C7830">
        <w:rPr>
          <w:rFonts w:eastAsia="Arial" w:cs="Arial"/>
        </w:rPr>
        <w:t>through</w:t>
      </w:r>
      <w:r w:rsidR="00B5457C" w:rsidRPr="004C7830">
        <w:rPr>
          <w:rFonts w:eastAsia="Arial" w:cs="Arial"/>
        </w:rPr>
        <w:t xml:space="preserve"> eight</w:t>
      </w:r>
      <w:r w:rsidRPr="004C7830">
        <w:rPr>
          <w:rFonts w:eastAsia="Arial" w:cs="Arial"/>
        </w:rPr>
        <w:t xml:space="preserve"> in </w:t>
      </w:r>
      <w:r w:rsidR="007A312A" w:rsidRPr="004C7830">
        <w:rPr>
          <w:rFonts w:eastAsia="Arial" w:cs="Arial"/>
          <w:color w:val="000000" w:themeColor="text1"/>
        </w:rPr>
        <w:t>2018–19</w:t>
      </w:r>
      <w:r w:rsidRPr="004C7830">
        <w:rPr>
          <w:rFonts w:eastAsia="Arial" w:cs="Arial"/>
        </w:rPr>
        <w:t xml:space="preserve"> for the student group and subject of interest (indicated in the first two columns). </w:t>
      </w:r>
    </w:p>
    <w:p w:rsidR="00685069" w:rsidRPr="004C7830" w:rsidRDefault="0573F57A" w:rsidP="4CA4A074">
      <w:pPr>
        <w:pStyle w:val="ListParagraph"/>
        <w:numPr>
          <w:ilvl w:val="0"/>
          <w:numId w:val="5"/>
        </w:numPr>
        <w:rPr>
          <w:rFonts w:asciiTheme="minorHAnsi" w:eastAsiaTheme="minorEastAsia" w:hAnsiTheme="minorHAnsi" w:cstheme="minorBidi"/>
        </w:rPr>
      </w:pPr>
      <w:r w:rsidRPr="004C7830">
        <w:rPr>
          <w:rFonts w:eastAsia="Arial" w:cs="Arial"/>
        </w:rPr>
        <w:t>In these cas</w:t>
      </w:r>
      <w:r w:rsidR="00B5457C" w:rsidRPr="004C7830">
        <w:rPr>
          <w:rFonts w:eastAsia="Arial" w:cs="Arial"/>
        </w:rPr>
        <w:t>es, the percentage exceeds 99.9 percent</w:t>
      </w:r>
      <w:r w:rsidRPr="004C7830">
        <w:rPr>
          <w:rFonts w:eastAsia="Arial" w:cs="Arial"/>
        </w:rPr>
        <w:t xml:space="preserve"> but is not exactly equ</w:t>
      </w:r>
      <w:r w:rsidR="00B5457C" w:rsidRPr="004C7830">
        <w:rPr>
          <w:rFonts w:eastAsia="Arial" w:cs="Arial"/>
        </w:rPr>
        <w:t>al to 100 percent</w:t>
      </w:r>
      <w:r w:rsidRPr="004C7830">
        <w:rPr>
          <w:rFonts w:eastAsia="Arial" w:cs="Arial"/>
        </w:rPr>
        <w:t>.</w:t>
      </w:r>
    </w:p>
    <w:p w:rsidR="00685069" w:rsidRPr="004C7830" w:rsidRDefault="0573F57A" w:rsidP="4CA4A074">
      <w:pPr>
        <w:jc w:val="center"/>
      </w:pPr>
      <w:r w:rsidRPr="004C7830">
        <w:rPr>
          <w:rFonts w:eastAsia="Arial" w:cs="Arial"/>
          <w:b/>
          <w:bCs/>
          <w:color w:val="000000" w:themeColor="text1"/>
        </w:rPr>
        <w:t xml:space="preserve"> </w:t>
      </w:r>
    </w:p>
    <w:p w:rsidR="00957F37" w:rsidRPr="004C7830" w:rsidRDefault="00957F37">
      <w:pPr>
        <w:rPr>
          <w:rFonts w:eastAsia="Arial" w:cs="Arial"/>
          <w:b/>
          <w:bCs/>
          <w:color w:val="000000" w:themeColor="text1"/>
        </w:rPr>
      </w:pPr>
      <w:r w:rsidRPr="004C7830">
        <w:rPr>
          <w:rFonts w:eastAsia="Arial" w:cs="Arial"/>
          <w:b/>
          <w:bCs/>
          <w:color w:val="000000" w:themeColor="text1"/>
        </w:rPr>
        <w:br w:type="page"/>
      </w:r>
    </w:p>
    <w:p w:rsidR="007A312A" w:rsidRPr="004C7830" w:rsidRDefault="007A312A" w:rsidP="007A312A">
      <w:pPr>
        <w:rPr>
          <w:rFonts w:eastAsia="Arial" w:cs="Arial"/>
          <w:bCs/>
          <w:color w:val="000000" w:themeColor="text1"/>
        </w:rPr>
      </w:pPr>
      <w:r w:rsidRPr="004C7830">
        <w:rPr>
          <w:rFonts w:eastAsia="Arial" w:cs="Arial"/>
          <w:bCs/>
          <w:color w:val="000000" w:themeColor="text1"/>
        </w:rPr>
        <w:lastRenderedPageBreak/>
        <w:t>Table 2 provides the results at the LEA level.</w:t>
      </w:r>
    </w:p>
    <w:p w:rsidR="007A312A" w:rsidRPr="004C7830" w:rsidRDefault="007A312A" w:rsidP="007A312A">
      <w:pPr>
        <w:rPr>
          <w:rFonts w:eastAsia="Arial" w:cs="Arial"/>
          <w:bCs/>
          <w:color w:val="000000" w:themeColor="text1"/>
        </w:rPr>
      </w:pPr>
    </w:p>
    <w:p w:rsidR="00685069" w:rsidRPr="004C7830" w:rsidRDefault="0573F57A" w:rsidP="00646083">
      <w:pPr>
        <w:pStyle w:val="Heading3"/>
        <w:jc w:val="center"/>
        <w:rPr>
          <w:rFonts w:eastAsia="Arial"/>
        </w:rPr>
      </w:pPr>
      <w:r w:rsidRPr="004C7830">
        <w:rPr>
          <w:rFonts w:eastAsia="Arial"/>
        </w:rPr>
        <w:t xml:space="preserve">Table 2. Improvement in Accuracy of Growth Estimates Using EBLP Weighted Averages </w:t>
      </w:r>
      <w:r w:rsidR="009A59BC" w:rsidRPr="004C7830">
        <w:rPr>
          <w:rFonts w:eastAsia="Arial"/>
        </w:rPr>
        <w:t>V</w:t>
      </w:r>
      <w:r w:rsidRPr="004C7830">
        <w:rPr>
          <w:rFonts w:eastAsia="Arial"/>
        </w:rPr>
        <w:t>ersus Simple Averages at the LEA Level</w:t>
      </w:r>
    </w:p>
    <w:p w:rsidR="007A312A" w:rsidRPr="004C7830" w:rsidRDefault="007A312A" w:rsidP="4CA4A074">
      <w:pPr>
        <w:jc w:val="center"/>
        <w:rPr>
          <w:rFonts w:eastAsia="Arial" w:cs="Arial"/>
          <w:b/>
          <w:bCs/>
          <w:color w:val="000000" w:themeColor="text1"/>
        </w:rPr>
      </w:pPr>
    </w:p>
    <w:tbl>
      <w:tblPr>
        <w:tblStyle w:val="TableGrid"/>
        <w:tblW w:w="0" w:type="auto"/>
        <w:tblLayout w:type="fixed"/>
        <w:tblLook w:val="04A0" w:firstRow="1" w:lastRow="0" w:firstColumn="1" w:lastColumn="0" w:noHBand="0" w:noVBand="1"/>
        <w:tblDescription w:val="Table 2. Improvement in Accuracy of Growth Estimates Using EBLP Weighted Averages versus Simple Averages at the LEA Level "/>
      </w:tblPr>
      <w:tblGrid>
        <w:gridCol w:w="1165"/>
        <w:gridCol w:w="1710"/>
        <w:gridCol w:w="1530"/>
        <w:gridCol w:w="1170"/>
        <w:gridCol w:w="1620"/>
        <w:gridCol w:w="2155"/>
      </w:tblGrid>
      <w:tr w:rsidR="009A70B7" w:rsidRPr="004C7830" w:rsidTr="0093566F">
        <w:trPr>
          <w:tblHeader/>
        </w:trPr>
        <w:tc>
          <w:tcPr>
            <w:tcW w:w="1165" w:type="dxa"/>
            <w:vAlign w:val="bottom"/>
          </w:tcPr>
          <w:p w:rsidR="009A70B7" w:rsidRPr="004C7830" w:rsidRDefault="009A70B7" w:rsidP="00720CFD">
            <w:pPr>
              <w:jc w:val="center"/>
              <w:rPr>
                <w:sz w:val="24"/>
                <w:szCs w:val="24"/>
              </w:rPr>
            </w:pPr>
            <w:r w:rsidRPr="004C7830">
              <w:rPr>
                <w:rFonts w:eastAsia="Arial" w:cs="Arial"/>
                <w:b/>
                <w:bCs/>
                <w:color w:val="000000" w:themeColor="text1"/>
                <w:sz w:val="24"/>
                <w:szCs w:val="24"/>
              </w:rPr>
              <w:t>Student Group</w:t>
            </w:r>
          </w:p>
        </w:tc>
        <w:tc>
          <w:tcPr>
            <w:tcW w:w="1710" w:type="dxa"/>
            <w:vAlign w:val="bottom"/>
          </w:tcPr>
          <w:p w:rsidR="009A70B7" w:rsidRPr="004C7830" w:rsidRDefault="009A70B7" w:rsidP="00720CFD">
            <w:pPr>
              <w:jc w:val="center"/>
              <w:rPr>
                <w:sz w:val="24"/>
                <w:szCs w:val="24"/>
              </w:rPr>
            </w:pPr>
            <w:r w:rsidRPr="004C7830">
              <w:rPr>
                <w:rFonts w:eastAsia="Arial" w:cs="Arial"/>
                <w:b/>
                <w:bCs/>
                <w:color w:val="000000" w:themeColor="text1"/>
                <w:sz w:val="24"/>
                <w:szCs w:val="24"/>
              </w:rPr>
              <w:t>Subject</w:t>
            </w:r>
          </w:p>
        </w:tc>
        <w:tc>
          <w:tcPr>
            <w:tcW w:w="1530" w:type="dxa"/>
            <w:vAlign w:val="bottom"/>
          </w:tcPr>
          <w:p w:rsidR="009A70B7" w:rsidRPr="004C7830" w:rsidRDefault="007A312A" w:rsidP="00720CFD">
            <w:pPr>
              <w:jc w:val="center"/>
              <w:rPr>
                <w:sz w:val="24"/>
                <w:szCs w:val="24"/>
              </w:rPr>
            </w:pPr>
            <w:r w:rsidRPr="004C7830">
              <w:rPr>
                <w:rFonts w:eastAsia="Arial" w:cs="Arial"/>
                <w:b/>
                <w:color w:val="000000" w:themeColor="text1"/>
                <w:sz w:val="24"/>
                <w:szCs w:val="24"/>
              </w:rPr>
              <w:t>2018–19</w:t>
            </w:r>
            <w:r w:rsidR="009A70B7" w:rsidRPr="004C7830">
              <w:rPr>
                <w:rFonts w:eastAsia="Arial" w:cs="Arial"/>
                <w:b/>
                <w:bCs/>
                <w:color w:val="000000" w:themeColor="text1"/>
                <w:sz w:val="24"/>
                <w:szCs w:val="24"/>
              </w:rPr>
              <w:t xml:space="preserve"> LEA Size</w:t>
            </w:r>
            <w:r w:rsidR="009A70B7" w:rsidRPr="004C7830">
              <w:rPr>
                <w:rFonts w:eastAsia="Arial" w:cs="Arial"/>
                <w:b/>
                <w:bCs/>
                <w:color w:val="000000" w:themeColor="text1"/>
                <w:sz w:val="24"/>
                <w:szCs w:val="24"/>
                <w:vertAlign w:val="superscript"/>
              </w:rPr>
              <w:t>1</w:t>
            </w:r>
          </w:p>
        </w:tc>
        <w:tc>
          <w:tcPr>
            <w:tcW w:w="1170" w:type="dxa"/>
            <w:vAlign w:val="bottom"/>
          </w:tcPr>
          <w:p w:rsidR="009A70B7" w:rsidRPr="004C7830" w:rsidRDefault="009A70B7" w:rsidP="00720CFD">
            <w:pPr>
              <w:jc w:val="center"/>
              <w:rPr>
                <w:sz w:val="24"/>
                <w:szCs w:val="24"/>
              </w:rPr>
            </w:pPr>
            <w:r w:rsidRPr="004C7830">
              <w:rPr>
                <w:rFonts w:eastAsia="Arial" w:cs="Arial"/>
                <w:b/>
                <w:bCs/>
                <w:color w:val="000000" w:themeColor="text1"/>
                <w:sz w:val="24"/>
                <w:szCs w:val="24"/>
              </w:rPr>
              <w:t>Number of LEAs</w:t>
            </w:r>
          </w:p>
        </w:tc>
        <w:tc>
          <w:tcPr>
            <w:tcW w:w="1620" w:type="dxa"/>
            <w:vAlign w:val="bottom"/>
          </w:tcPr>
          <w:p w:rsidR="009A70B7" w:rsidRPr="004C7830" w:rsidRDefault="009A70B7" w:rsidP="00720CFD">
            <w:pPr>
              <w:jc w:val="center"/>
              <w:rPr>
                <w:sz w:val="24"/>
                <w:szCs w:val="24"/>
              </w:rPr>
            </w:pPr>
            <w:r w:rsidRPr="004C7830">
              <w:rPr>
                <w:rFonts w:eastAsia="Arial" w:cs="Arial"/>
                <w:b/>
                <w:bCs/>
                <w:color w:val="000000" w:themeColor="text1"/>
                <w:sz w:val="24"/>
                <w:szCs w:val="24"/>
              </w:rPr>
              <w:t>Mean Accuracy Ratio for 2-year EBLP vs</w:t>
            </w:r>
            <w:r w:rsidR="007A312A" w:rsidRPr="004C7830">
              <w:rPr>
                <w:rFonts w:eastAsia="Arial" w:cs="Arial"/>
                <w:b/>
                <w:bCs/>
                <w:color w:val="000000" w:themeColor="text1"/>
                <w:sz w:val="24"/>
                <w:szCs w:val="24"/>
              </w:rPr>
              <w:t>.</w:t>
            </w:r>
            <w:r w:rsidRPr="004C7830">
              <w:rPr>
                <w:rFonts w:eastAsia="Arial" w:cs="Arial"/>
                <w:b/>
                <w:bCs/>
                <w:color w:val="000000" w:themeColor="text1"/>
                <w:sz w:val="24"/>
                <w:szCs w:val="24"/>
              </w:rPr>
              <w:t xml:space="preserve"> Simple Average</w:t>
            </w:r>
          </w:p>
        </w:tc>
        <w:tc>
          <w:tcPr>
            <w:tcW w:w="2155" w:type="dxa"/>
          </w:tcPr>
          <w:p w:rsidR="009A70B7" w:rsidRPr="004C7830" w:rsidRDefault="009A70B7" w:rsidP="00720CFD">
            <w:pPr>
              <w:jc w:val="center"/>
              <w:rPr>
                <w:sz w:val="24"/>
                <w:szCs w:val="24"/>
              </w:rPr>
            </w:pPr>
            <w:r w:rsidRPr="004C7830">
              <w:rPr>
                <w:rFonts w:eastAsia="Arial" w:cs="Arial"/>
                <w:b/>
                <w:bCs/>
                <w:color w:val="000000" w:themeColor="text1"/>
                <w:sz w:val="24"/>
                <w:szCs w:val="24"/>
              </w:rPr>
              <w:t>Percentage of LEAs with Improved Accuracy for 2-year EBLP vs</w:t>
            </w:r>
            <w:r w:rsidR="007A312A" w:rsidRPr="004C7830">
              <w:rPr>
                <w:rFonts w:eastAsia="Arial" w:cs="Arial"/>
                <w:b/>
                <w:bCs/>
                <w:color w:val="000000" w:themeColor="text1"/>
                <w:sz w:val="24"/>
                <w:szCs w:val="24"/>
              </w:rPr>
              <w:t>.</w:t>
            </w:r>
            <w:r w:rsidRPr="004C7830">
              <w:rPr>
                <w:rFonts w:eastAsia="Arial" w:cs="Arial"/>
                <w:b/>
                <w:bCs/>
                <w:color w:val="000000" w:themeColor="text1"/>
                <w:sz w:val="24"/>
                <w:szCs w:val="24"/>
              </w:rPr>
              <w:t xml:space="preserve"> Simple Average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205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1.61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150 – 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499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324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1.07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74%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500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299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0.97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35%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205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1.50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150 – 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499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325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1.06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86%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All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500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298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64%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270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1.70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150 – 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499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331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1.03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65%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500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199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0.63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7%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270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1.58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150 – 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499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331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56%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SED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7A312A" w:rsidRPr="004C7830">
              <w:rPr>
                <w:rFonts w:eastAsia="Arial" w:cs="Arial"/>
                <w:color w:val="000000" w:themeColor="text1"/>
                <w:sz w:val="24"/>
                <w:szCs w:val="24"/>
              </w:rPr>
              <w:t>,</w:t>
            </w:r>
            <w:r w:rsidRPr="004C7830">
              <w:rPr>
                <w:rFonts w:eastAsia="Arial" w:cs="Arial"/>
                <w:color w:val="000000" w:themeColor="text1"/>
                <w:sz w:val="24"/>
                <w:szCs w:val="24"/>
              </w:rPr>
              <w:t xml:space="preserve">500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199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0.81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8% </w:t>
            </w:r>
          </w:p>
        </w:tc>
      </w:tr>
      <w:tr w:rsidR="009A70B7" w:rsidRPr="004C7830" w:rsidTr="0093566F">
        <w:tc>
          <w:tcPr>
            <w:tcW w:w="1165" w:type="dxa"/>
            <w:vAlign w:val="center"/>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29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121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2.17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vAlign w:val="center"/>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30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233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1.51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vAlign w:val="center"/>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ELA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 xml:space="preserve">150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322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0.99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57%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11 – 29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121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1.99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100%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30 – 149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233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1.35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99% </w:t>
            </w:r>
          </w:p>
        </w:tc>
      </w:tr>
      <w:tr w:rsidR="009A70B7" w:rsidRPr="004C7830" w:rsidTr="0093566F">
        <w:tc>
          <w:tcPr>
            <w:tcW w:w="116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SWD </w:t>
            </w:r>
          </w:p>
        </w:tc>
        <w:tc>
          <w:tcPr>
            <w:tcW w:w="1710" w:type="dxa"/>
          </w:tcPr>
          <w:p w:rsidR="009A70B7" w:rsidRPr="004C7830" w:rsidRDefault="009A70B7" w:rsidP="009A70B7">
            <w:pPr>
              <w:jc w:val="center"/>
              <w:rPr>
                <w:sz w:val="24"/>
                <w:szCs w:val="24"/>
              </w:rPr>
            </w:pPr>
            <w:r w:rsidRPr="004C7830">
              <w:rPr>
                <w:rFonts w:eastAsia="Arial" w:cs="Arial"/>
                <w:color w:val="000000" w:themeColor="text1"/>
                <w:sz w:val="24"/>
                <w:szCs w:val="24"/>
              </w:rPr>
              <w:t>Math</w:t>
            </w:r>
            <w:r w:rsidR="007A312A" w:rsidRPr="004C7830">
              <w:rPr>
                <w:rFonts w:eastAsia="Arial" w:cs="Arial"/>
                <w:color w:val="000000" w:themeColor="text1"/>
                <w:sz w:val="24"/>
                <w:szCs w:val="24"/>
              </w:rPr>
              <w:t>ematics</w:t>
            </w:r>
            <w:r w:rsidRPr="004C7830">
              <w:rPr>
                <w:rFonts w:eastAsia="Arial" w:cs="Arial"/>
                <w:color w:val="000000" w:themeColor="text1"/>
                <w:sz w:val="24"/>
                <w:szCs w:val="24"/>
              </w:rPr>
              <w:t xml:space="preserve"> </w:t>
            </w:r>
          </w:p>
        </w:tc>
        <w:tc>
          <w:tcPr>
            <w:tcW w:w="1530" w:type="dxa"/>
          </w:tcPr>
          <w:p w:rsidR="009A70B7" w:rsidRPr="004C7830" w:rsidRDefault="009A70B7" w:rsidP="009A70B7">
            <w:pPr>
              <w:jc w:val="center"/>
              <w:rPr>
                <w:sz w:val="24"/>
                <w:szCs w:val="24"/>
              </w:rP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 xml:space="preserve">150 </w:t>
            </w:r>
          </w:p>
        </w:tc>
        <w:tc>
          <w:tcPr>
            <w:tcW w:w="117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322 </w:t>
            </w:r>
          </w:p>
        </w:tc>
        <w:tc>
          <w:tcPr>
            <w:tcW w:w="1620"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0.96 </w:t>
            </w:r>
          </w:p>
        </w:tc>
        <w:tc>
          <w:tcPr>
            <w:tcW w:w="2155" w:type="dxa"/>
          </w:tcPr>
          <w:p w:rsidR="009A70B7" w:rsidRPr="004C7830" w:rsidRDefault="009A70B7" w:rsidP="009A70B7">
            <w:pPr>
              <w:jc w:val="center"/>
              <w:rPr>
                <w:sz w:val="24"/>
                <w:szCs w:val="24"/>
              </w:rPr>
            </w:pPr>
            <w:r w:rsidRPr="004C7830">
              <w:rPr>
                <w:rFonts w:eastAsia="Arial" w:cs="Arial"/>
                <w:color w:val="000000" w:themeColor="text1"/>
                <w:sz w:val="24"/>
                <w:szCs w:val="24"/>
              </w:rPr>
              <w:t xml:space="preserve">43% </w:t>
            </w:r>
          </w:p>
        </w:tc>
      </w:tr>
    </w:tbl>
    <w:p w:rsidR="00685069" w:rsidRPr="004C7830" w:rsidRDefault="0573F57A" w:rsidP="00FE54C5">
      <w:pPr>
        <w:pStyle w:val="ListParagraph"/>
        <w:numPr>
          <w:ilvl w:val="0"/>
          <w:numId w:val="4"/>
        </w:numPr>
        <w:spacing w:before="240"/>
        <w:rPr>
          <w:rFonts w:asciiTheme="minorHAnsi" w:eastAsiaTheme="minorEastAsia" w:hAnsiTheme="minorHAnsi" w:cstheme="minorBidi"/>
        </w:rPr>
      </w:pPr>
      <w:r w:rsidRPr="004C7830">
        <w:rPr>
          <w:rFonts w:eastAsia="Arial" w:cs="Arial"/>
        </w:rPr>
        <w:t>The size bins refer to the number of students within LEA</w:t>
      </w:r>
      <w:r w:rsidR="00B5457C" w:rsidRPr="004C7830">
        <w:rPr>
          <w:rFonts w:eastAsia="Arial" w:cs="Arial"/>
        </w:rPr>
        <w:t xml:space="preserve">s with growth scores in grades four </w:t>
      </w:r>
      <w:r w:rsidR="007A312A" w:rsidRPr="004C7830">
        <w:rPr>
          <w:rFonts w:eastAsia="Arial" w:cs="Arial"/>
        </w:rPr>
        <w:t>through</w:t>
      </w:r>
      <w:r w:rsidR="00B5457C" w:rsidRPr="004C7830">
        <w:rPr>
          <w:rFonts w:eastAsia="Arial" w:cs="Arial"/>
        </w:rPr>
        <w:t xml:space="preserve"> eight</w:t>
      </w:r>
      <w:r w:rsidRPr="004C7830">
        <w:rPr>
          <w:rFonts w:eastAsia="Arial" w:cs="Arial"/>
        </w:rPr>
        <w:t xml:space="preserve"> in </w:t>
      </w:r>
      <w:r w:rsidR="007A312A" w:rsidRPr="004C7830">
        <w:rPr>
          <w:rFonts w:eastAsia="Arial" w:cs="Arial"/>
          <w:color w:val="000000" w:themeColor="text1"/>
        </w:rPr>
        <w:t>2018–19</w:t>
      </w:r>
      <w:r w:rsidRPr="004C7830">
        <w:rPr>
          <w:rFonts w:eastAsia="Arial" w:cs="Arial"/>
        </w:rPr>
        <w:t xml:space="preserve"> for the student group and subject of interest (indicated in the first two columns).</w:t>
      </w:r>
    </w:p>
    <w:p w:rsidR="00685069" w:rsidRPr="004C7830" w:rsidRDefault="0573F57A" w:rsidP="00685069">
      <w:r w:rsidRPr="004C7830">
        <w:rPr>
          <w:rFonts w:eastAsia="Arial" w:cs="Arial"/>
          <w:color w:val="000000" w:themeColor="text1"/>
        </w:rPr>
        <w:t xml:space="preserve"> </w:t>
      </w:r>
    </w:p>
    <w:p w:rsidR="00685069" w:rsidRPr="004C7830" w:rsidRDefault="0573F57A" w:rsidP="00685069">
      <w:r w:rsidRPr="004C7830">
        <w:rPr>
          <w:rFonts w:eastAsia="Arial" w:cs="Arial"/>
          <w:b/>
          <w:bCs/>
          <w:color w:val="000000" w:themeColor="text1"/>
          <w:sz w:val="32"/>
          <w:szCs w:val="32"/>
        </w:rPr>
        <w:t xml:space="preserve">Research Question 2 </w:t>
      </w:r>
    </w:p>
    <w:p w:rsidR="00685069" w:rsidRPr="004C7830" w:rsidRDefault="0573F57A" w:rsidP="005C6380">
      <w:pPr>
        <w:spacing w:after="240"/>
        <w:rPr>
          <w:rFonts w:eastAsia="Arial" w:cs="Arial"/>
          <w:color w:val="000000" w:themeColor="text1"/>
        </w:rPr>
      </w:pPr>
      <w:r w:rsidRPr="004C7830">
        <w:rPr>
          <w:rFonts w:eastAsia="Arial" w:cs="Arial"/>
          <w:i/>
          <w:iCs/>
          <w:color w:val="000000" w:themeColor="text1"/>
        </w:rPr>
        <w:t xml:space="preserve">To what extent does using the EBLP weighted average over the simple average growth score </w:t>
      </w:r>
      <w:r w:rsidRPr="004C7830">
        <w:rPr>
          <w:rFonts w:eastAsia="Arial" w:cs="Arial"/>
          <w:b/>
          <w:i/>
          <w:iCs/>
          <w:color w:val="000000" w:themeColor="text1"/>
        </w:rPr>
        <w:t>improve cross</w:t>
      </w:r>
      <w:r w:rsidR="007A312A" w:rsidRPr="004C7830">
        <w:rPr>
          <w:rFonts w:eastAsia="Arial" w:cs="Arial"/>
          <w:b/>
          <w:i/>
          <w:iCs/>
          <w:color w:val="000000" w:themeColor="text1"/>
        </w:rPr>
        <w:t xml:space="preserve"> </w:t>
      </w:r>
      <w:r w:rsidRPr="004C7830">
        <w:rPr>
          <w:rFonts w:eastAsia="Arial" w:cs="Arial"/>
          <w:b/>
          <w:i/>
          <w:iCs/>
          <w:color w:val="000000" w:themeColor="text1"/>
        </w:rPr>
        <w:t>year stability</w:t>
      </w:r>
      <w:r w:rsidRPr="004C7830">
        <w:rPr>
          <w:rFonts w:eastAsia="Arial" w:cs="Arial"/>
          <w:i/>
          <w:iCs/>
          <w:color w:val="000000" w:themeColor="text1"/>
        </w:rPr>
        <w:t xml:space="preserve"> (by group size) for schools, LEAs, and student groups (specifically, SWD and SED) within those entities?</w:t>
      </w:r>
      <w:r w:rsidRPr="004C7830">
        <w:rPr>
          <w:rFonts w:eastAsia="Arial" w:cs="Arial"/>
          <w:color w:val="000000" w:themeColor="text1"/>
        </w:rPr>
        <w:t xml:space="preserve"> </w:t>
      </w:r>
      <w:r w:rsidR="00EA4C4B" w:rsidRPr="004C7830">
        <w:rPr>
          <w:rFonts w:eastAsia="Arial" w:cs="Arial"/>
          <w:color w:val="000000" w:themeColor="text1"/>
        </w:rPr>
        <w:br/>
      </w:r>
      <w:r w:rsidR="00EA4C4B" w:rsidRPr="004C7830">
        <w:rPr>
          <w:rFonts w:eastAsia="Arial" w:cs="Arial"/>
          <w:color w:val="000000" w:themeColor="text1"/>
        </w:rPr>
        <w:br/>
      </w:r>
      <w:r w:rsidRPr="004C7830">
        <w:rPr>
          <w:rFonts w:eastAsia="Arial" w:cs="Arial"/>
          <w:color w:val="000000" w:themeColor="text1"/>
        </w:rPr>
        <w:t>Another motivation for the EBLP weighted averages is potentially improving the stability of school or LEA growth measures across years. Stability can be assessed using the correlation of the aggregate growth measures across adjacent school years 2017</w:t>
      </w:r>
      <w:r w:rsidR="00FE54C5" w:rsidRPr="004C7830">
        <w:rPr>
          <w:rFonts w:eastAsia="Arial" w:cs="Arial"/>
          <w:color w:val="000000" w:themeColor="text1"/>
        </w:rPr>
        <w:t>–</w:t>
      </w:r>
      <w:r w:rsidRPr="004C7830">
        <w:rPr>
          <w:rFonts w:eastAsia="Arial" w:cs="Arial"/>
          <w:color w:val="000000" w:themeColor="text1"/>
        </w:rPr>
        <w:t xml:space="preserve">18 </w:t>
      </w:r>
      <w:r w:rsidRPr="004C7830">
        <w:rPr>
          <w:rFonts w:eastAsia="Arial" w:cs="Arial"/>
          <w:color w:val="000000" w:themeColor="text1"/>
        </w:rPr>
        <w:lastRenderedPageBreak/>
        <w:t>and 2018</w:t>
      </w:r>
      <w:r w:rsidR="00C4527D" w:rsidRPr="004C7830">
        <w:rPr>
          <w:rFonts w:eastAsia="Arial" w:cs="Arial"/>
          <w:color w:val="000000" w:themeColor="text1"/>
        </w:rPr>
        <w:t>–</w:t>
      </w:r>
      <w:r w:rsidRPr="004C7830">
        <w:rPr>
          <w:rFonts w:eastAsia="Arial" w:cs="Arial"/>
          <w:color w:val="000000" w:themeColor="text1"/>
        </w:rPr>
        <w:t>19. Correlation measures the similarity of two measures such as the EBLP weighted averages and simple averages. Correlation takes on values in the range from -1 to 1 with higher positive values indicating the measures are more similar or, in this case, that growth measures are more stable across time.</w:t>
      </w:r>
      <w:r w:rsidR="00AA7C92" w:rsidRPr="004C7830">
        <w:rPr>
          <w:rFonts w:eastAsia="Arial" w:cs="Arial"/>
          <w:color w:val="000000" w:themeColor="text1"/>
        </w:rPr>
        <w:br/>
      </w:r>
      <w:r w:rsidR="00AA7C92" w:rsidRPr="004C7830">
        <w:rPr>
          <w:rFonts w:eastAsia="Arial" w:cs="Arial"/>
          <w:color w:val="000000" w:themeColor="text1"/>
        </w:rPr>
        <w:br/>
      </w:r>
      <w:r w:rsidRPr="004C7830">
        <w:rPr>
          <w:rFonts w:eastAsia="Arial" w:cs="Arial"/>
          <w:color w:val="000000" w:themeColor="text1"/>
        </w:rPr>
        <w:t xml:space="preserve">Table 3 </w:t>
      </w:r>
      <w:r w:rsidR="007A312A" w:rsidRPr="004C7830">
        <w:rPr>
          <w:rFonts w:eastAsia="Arial" w:cs="Arial"/>
          <w:color w:val="000000" w:themeColor="text1"/>
        </w:rPr>
        <w:t xml:space="preserve">and Table 4 </w:t>
      </w:r>
      <w:r w:rsidRPr="004C7830">
        <w:rPr>
          <w:rFonts w:eastAsia="Arial" w:cs="Arial"/>
          <w:color w:val="000000" w:themeColor="text1"/>
        </w:rPr>
        <w:t xml:space="preserve">presents the results for schools </w:t>
      </w:r>
      <w:r w:rsidR="007A312A" w:rsidRPr="004C7830">
        <w:rPr>
          <w:rFonts w:eastAsia="Arial" w:cs="Arial"/>
          <w:color w:val="000000" w:themeColor="text1"/>
        </w:rPr>
        <w:t>and LEAs respectively</w:t>
      </w:r>
      <w:r w:rsidRPr="004C7830">
        <w:rPr>
          <w:rFonts w:eastAsia="Arial" w:cs="Arial"/>
          <w:color w:val="000000" w:themeColor="text1"/>
        </w:rPr>
        <w:t>. Across all groups of schools or LEAs</w:t>
      </w:r>
      <w:r w:rsidR="007A312A" w:rsidRPr="004C7830">
        <w:rPr>
          <w:rFonts w:eastAsia="Arial" w:cs="Arial"/>
          <w:color w:val="000000" w:themeColor="text1"/>
        </w:rPr>
        <w:t xml:space="preserve"> for all student groups</w:t>
      </w:r>
      <w:r w:rsidRPr="004C7830">
        <w:rPr>
          <w:rFonts w:eastAsia="Arial" w:cs="Arial"/>
          <w:color w:val="000000" w:themeColor="text1"/>
        </w:rPr>
        <w:t>, for both mathematics and ELA, the EBLP weighted averages have higher cross</w:t>
      </w:r>
      <w:r w:rsidR="007A312A" w:rsidRPr="004C7830">
        <w:rPr>
          <w:rFonts w:eastAsia="Arial" w:cs="Arial"/>
          <w:color w:val="000000" w:themeColor="text1"/>
        </w:rPr>
        <w:t xml:space="preserve"> </w:t>
      </w:r>
      <w:r w:rsidRPr="004C7830">
        <w:rPr>
          <w:rFonts w:eastAsia="Arial" w:cs="Arial"/>
          <w:color w:val="000000" w:themeColor="text1"/>
        </w:rPr>
        <w:t xml:space="preserve">year correlation between the two adjacent school years than the simple averages. The improvements in stability tend to be greatest for small schools and LEAs </w:t>
      </w:r>
      <w:r w:rsidR="007A312A" w:rsidRPr="004C7830">
        <w:rPr>
          <w:rFonts w:eastAsia="Arial" w:cs="Arial"/>
          <w:color w:val="000000" w:themeColor="text1"/>
        </w:rPr>
        <w:t xml:space="preserve">and for </w:t>
      </w:r>
      <w:r w:rsidRPr="004C7830">
        <w:rPr>
          <w:rFonts w:eastAsia="Arial" w:cs="Arial"/>
          <w:color w:val="000000" w:themeColor="text1"/>
        </w:rPr>
        <w:t>small student groups in schools and LEAs. Consequently, the use of the EBLP weighted average would tend to make stability more consistent for both small and large schools and groups. For instance, for SED students in schools, the correlations across group sizes range from 0.12 to 0.40 for the simple averages but range from 0.45 to 0.50 for the EBLP weighted averages. That is, the correlations are both higher and more similar for the EBLP weighted averages than for the simple averages.</w:t>
      </w:r>
    </w:p>
    <w:p w:rsidR="002D6887" w:rsidRPr="004C7830" w:rsidRDefault="002D6887" w:rsidP="002D6887">
      <w:pPr>
        <w:spacing w:after="240"/>
      </w:pPr>
      <w:r w:rsidRPr="004C7830">
        <w:rPr>
          <w:rFonts w:eastAsia="Arial" w:cs="Arial"/>
          <w:color w:val="000000" w:themeColor="text1"/>
        </w:rPr>
        <w:t xml:space="preserve">Table 3 </w:t>
      </w:r>
      <w:r w:rsidRPr="004C7830">
        <w:t>provides results for schools.</w:t>
      </w:r>
    </w:p>
    <w:p w:rsidR="00234885" w:rsidRPr="004C7830" w:rsidRDefault="00234885" w:rsidP="00646083">
      <w:pPr>
        <w:pStyle w:val="Heading3"/>
        <w:jc w:val="center"/>
        <w:rPr>
          <w:rFonts w:eastAsia="Arial"/>
        </w:rPr>
      </w:pPr>
      <w:r w:rsidRPr="004C7830">
        <w:rPr>
          <w:rFonts w:eastAsia="Arial"/>
        </w:rPr>
        <w:t>Table 3. Cross Year Stability of the 2018–19 EBLP Weighted Average and the Simple Average for Schools</w:t>
      </w:r>
    </w:p>
    <w:p w:rsidR="002D6887" w:rsidRPr="004C7830" w:rsidRDefault="002D6887" w:rsidP="00234885">
      <w:pPr>
        <w:jc w:val="center"/>
        <w:rPr>
          <w:rFonts w:eastAsia="Arial" w:cs="Arial"/>
          <w:b/>
          <w:bCs/>
          <w:color w:val="000000" w:themeColor="text1"/>
        </w:rPr>
      </w:pPr>
    </w:p>
    <w:tbl>
      <w:tblPr>
        <w:tblStyle w:val="TableGrid"/>
        <w:tblW w:w="0" w:type="auto"/>
        <w:tblLayout w:type="fixed"/>
        <w:tblLook w:val="04A0" w:firstRow="1" w:lastRow="0" w:firstColumn="1" w:lastColumn="0" w:noHBand="0" w:noVBand="1"/>
        <w:tblDescription w:val="Table displaying cross year stability of the 2018-19 EBLP weighted average and the simple average for schools."/>
      </w:tblPr>
      <w:tblGrid>
        <w:gridCol w:w="1255"/>
        <w:gridCol w:w="1710"/>
        <w:gridCol w:w="1350"/>
        <w:gridCol w:w="1350"/>
        <w:gridCol w:w="1980"/>
        <w:gridCol w:w="1705"/>
      </w:tblGrid>
      <w:tr w:rsidR="00234885" w:rsidRPr="004C7830" w:rsidTr="00AF5C05">
        <w:trPr>
          <w:tblHeader/>
        </w:trPr>
        <w:tc>
          <w:tcPr>
            <w:tcW w:w="1255" w:type="dxa"/>
            <w:vAlign w:val="bottom"/>
          </w:tcPr>
          <w:p w:rsidR="00234885" w:rsidRPr="004C7830" w:rsidRDefault="00234885" w:rsidP="00E836F5">
            <w:pPr>
              <w:jc w:val="center"/>
              <w:rPr>
                <w:sz w:val="24"/>
                <w:szCs w:val="24"/>
              </w:rPr>
            </w:pPr>
            <w:r w:rsidRPr="004C7830">
              <w:rPr>
                <w:rFonts w:eastAsia="Arial" w:cs="Arial"/>
                <w:b/>
                <w:bCs/>
                <w:color w:val="000000" w:themeColor="text1"/>
                <w:sz w:val="24"/>
                <w:szCs w:val="24"/>
              </w:rPr>
              <w:t>Student Group</w:t>
            </w:r>
          </w:p>
        </w:tc>
        <w:tc>
          <w:tcPr>
            <w:tcW w:w="1710" w:type="dxa"/>
            <w:vAlign w:val="bottom"/>
          </w:tcPr>
          <w:p w:rsidR="00234885" w:rsidRPr="004C7830" w:rsidRDefault="00234885" w:rsidP="00E836F5">
            <w:pPr>
              <w:jc w:val="center"/>
              <w:rPr>
                <w:sz w:val="24"/>
                <w:szCs w:val="24"/>
              </w:rPr>
            </w:pPr>
            <w:r w:rsidRPr="004C7830">
              <w:rPr>
                <w:rFonts w:eastAsia="Arial" w:cs="Arial"/>
                <w:b/>
                <w:bCs/>
                <w:color w:val="000000" w:themeColor="text1"/>
                <w:sz w:val="24"/>
                <w:szCs w:val="24"/>
              </w:rPr>
              <w:t>Subject</w:t>
            </w:r>
          </w:p>
        </w:tc>
        <w:tc>
          <w:tcPr>
            <w:tcW w:w="1350" w:type="dxa"/>
            <w:vAlign w:val="bottom"/>
          </w:tcPr>
          <w:p w:rsidR="00234885" w:rsidRPr="004C7830" w:rsidRDefault="00234885" w:rsidP="00E836F5">
            <w:pPr>
              <w:jc w:val="center"/>
              <w:rPr>
                <w:sz w:val="24"/>
                <w:szCs w:val="24"/>
              </w:rPr>
            </w:pPr>
            <w:r w:rsidRPr="004C7830">
              <w:rPr>
                <w:rFonts w:eastAsia="Arial" w:cs="Arial"/>
                <w:b/>
                <w:bCs/>
                <w:color w:val="000000" w:themeColor="text1"/>
                <w:sz w:val="24"/>
                <w:szCs w:val="24"/>
              </w:rPr>
              <w:t>2018</w:t>
            </w:r>
            <w:r w:rsidRPr="004C7830">
              <w:rPr>
                <w:rFonts w:eastAsia="Arial" w:cs="Arial"/>
                <w:color w:val="000000" w:themeColor="text1"/>
                <w:sz w:val="24"/>
                <w:szCs w:val="24"/>
              </w:rPr>
              <w:t>–</w:t>
            </w:r>
            <w:r w:rsidRPr="004C7830">
              <w:rPr>
                <w:rFonts w:eastAsia="Arial" w:cs="Arial"/>
                <w:b/>
                <w:bCs/>
                <w:color w:val="000000" w:themeColor="text1"/>
                <w:sz w:val="24"/>
                <w:szCs w:val="24"/>
              </w:rPr>
              <w:t>19 LEA Size</w:t>
            </w:r>
            <w:r w:rsidRPr="004C7830">
              <w:rPr>
                <w:rFonts w:eastAsia="Arial" w:cs="Arial"/>
                <w:b/>
                <w:bCs/>
                <w:color w:val="000000" w:themeColor="text1"/>
                <w:sz w:val="24"/>
                <w:szCs w:val="24"/>
                <w:vertAlign w:val="superscript"/>
              </w:rPr>
              <w:t>1</w:t>
            </w:r>
          </w:p>
        </w:tc>
        <w:tc>
          <w:tcPr>
            <w:tcW w:w="1350" w:type="dxa"/>
            <w:vAlign w:val="bottom"/>
          </w:tcPr>
          <w:p w:rsidR="00234885" w:rsidRPr="004C7830" w:rsidRDefault="00234885" w:rsidP="00E836F5">
            <w:pPr>
              <w:jc w:val="center"/>
              <w:rPr>
                <w:sz w:val="24"/>
                <w:szCs w:val="24"/>
              </w:rPr>
            </w:pPr>
            <w:r w:rsidRPr="004C7830">
              <w:rPr>
                <w:rFonts w:eastAsia="Arial" w:cs="Arial"/>
                <w:b/>
                <w:bCs/>
                <w:color w:val="000000" w:themeColor="text1"/>
                <w:sz w:val="24"/>
                <w:szCs w:val="24"/>
              </w:rPr>
              <w:t>Number of LEAs</w:t>
            </w:r>
          </w:p>
        </w:tc>
        <w:tc>
          <w:tcPr>
            <w:tcW w:w="1980" w:type="dxa"/>
            <w:vAlign w:val="bottom"/>
          </w:tcPr>
          <w:p w:rsidR="003E31B2" w:rsidRPr="004C7830" w:rsidRDefault="00234885" w:rsidP="00E836F5">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Correlation </w:t>
            </w:r>
            <w:r w:rsidR="0076671B" w:rsidRPr="004C7830">
              <w:rPr>
                <w:rFonts w:eastAsia="Arial" w:cs="Arial"/>
                <w:b/>
                <w:bCs/>
                <w:color w:val="000000" w:themeColor="text1"/>
                <w:sz w:val="24"/>
                <w:szCs w:val="24"/>
              </w:rPr>
              <w:t xml:space="preserve">between </w:t>
            </w:r>
          </w:p>
          <w:p w:rsidR="00234885" w:rsidRPr="004C7830" w:rsidRDefault="0076671B" w:rsidP="00E836F5">
            <w:pPr>
              <w:jc w:val="center"/>
              <w:rPr>
                <w:b/>
                <w:sz w:val="24"/>
                <w:szCs w:val="24"/>
              </w:rPr>
            </w:pPr>
            <w:r w:rsidRPr="004C7830">
              <w:rPr>
                <w:rFonts w:eastAsia="Arial" w:cs="Arial"/>
                <w:b/>
                <w:bCs/>
                <w:color w:val="000000" w:themeColor="text1"/>
                <w:sz w:val="24"/>
                <w:szCs w:val="24"/>
              </w:rPr>
              <w:t>2017</w:t>
            </w:r>
            <w:r w:rsidRPr="004C7830">
              <w:rPr>
                <w:rFonts w:eastAsia="Arial" w:cs="Arial"/>
                <w:b/>
                <w:color w:val="000000" w:themeColor="text1"/>
                <w:sz w:val="24"/>
                <w:szCs w:val="24"/>
              </w:rPr>
              <w:t>–18 and</w:t>
            </w:r>
            <w:r w:rsidR="00274C0C" w:rsidRPr="004C7830">
              <w:rPr>
                <w:rFonts w:eastAsia="Arial" w:cs="Arial"/>
                <w:b/>
                <w:color w:val="000000" w:themeColor="text1"/>
                <w:sz w:val="24"/>
                <w:szCs w:val="24"/>
              </w:rPr>
              <w:t xml:space="preserve"> 2018–</w:t>
            </w:r>
            <w:r w:rsidR="00AF5C05" w:rsidRPr="004C7830">
              <w:rPr>
                <w:rFonts w:eastAsia="Arial" w:cs="Arial"/>
                <w:b/>
                <w:color w:val="000000" w:themeColor="text1"/>
                <w:sz w:val="24"/>
                <w:szCs w:val="24"/>
              </w:rPr>
              <w:t>19</w:t>
            </w:r>
            <w:r w:rsidR="00234885" w:rsidRPr="004C7830">
              <w:rPr>
                <w:rFonts w:eastAsia="Arial" w:cs="Arial"/>
                <w:b/>
                <w:bCs/>
                <w:color w:val="000000" w:themeColor="text1"/>
                <w:sz w:val="24"/>
                <w:szCs w:val="24"/>
              </w:rPr>
              <w:t xml:space="preserve"> Simple Average</w:t>
            </w:r>
          </w:p>
        </w:tc>
        <w:tc>
          <w:tcPr>
            <w:tcW w:w="1705" w:type="dxa"/>
          </w:tcPr>
          <w:p w:rsidR="005855B0" w:rsidRPr="004C7830" w:rsidRDefault="00AF5C05" w:rsidP="00E836F5">
            <w:pPr>
              <w:jc w:val="center"/>
              <w:rPr>
                <w:rFonts w:eastAsia="Arial" w:cs="Arial"/>
                <w:b/>
                <w:bCs/>
                <w:color w:val="000000" w:themeColor="text1"/>
                <w:sz w:val="24"/>
                <w:szCs w:val="24"/>
              </w:rPr>
            </w:pPr>
            <w:r w:rsidRPr="004C7830">
              <w:rPr>
                <w:rFonts w:eastAsia="Arial" w:cs="Arial"/>
                <w:b/>
                <w:bCs/>
                <w:color w:val="000000" w:themeColor="text1"/>
                <w:sz w:val="24"/>
                <w:szCs w:val="24"/>
              </w:rPr>
              <w:t>Correlation between 2017</w:t>
            </w:r>
            <w:r w:rsidRPr="004C7830">
              <w:rPr>
                <w:rFonts w:eastAsia="Arial" w:cs="Arial"/>
                <w:b/>
                <w:color w:val="000000" w:themeColor="text1"/>
                <w:sz w:val="24"/>
                <w:szCs w:val="24"/>
              </w:rPr>
              <w:t>–18 and 2018–19</w:t>
            </w:r>
            <w:r w:rsidRPr="004C7830">
              <w:rPr>
                <w:rFonts w:eastAsia="Arial" w:cs="Arial"/>
                <w:b/>
                <w:bCs/>
                <w:color w:val="000000" w:themeColor="text1"/>
                <w:sz w:val="24"/>
                <w:szCs w:val="24"/>
              </w:rPr>
              <w:t xml:space="preserve"> </w:t>
            </w:r>
          </w:p>
          <w:p w:rsidR="00234885" w:rsidRPr="004C7830" w:rsidRDefault="00234885" w:rsidP="00E836F5">
            <w:pPr>
              <w:jc w:val="center"/>
            </w:pPr>
            <w:r w:rsidRPr="004C7830">
              <w:rPr>
                <w:rFonts w:eastAsia="Arial" w:cs="Arial"/>
                <w:b/>
                <w:bCs/>
                <w:color w:val="000000" w:themeColor="text1"/>
                <w:sz w:val="24"/>
                <w:szCs w:val="24"/>
              </w:rPr>
              <w:t>2-year EBLP</w:t>
            </w:r>
            <w:r w:rsidRPr="004C7830">
              <w:rPr>
                <w:rFonts w:eastAsia="Arial" w:cs="Arial"/>
                <w:b/>
                <w:bCs/>
                <w:color w:val="000000" w:themeColor="text1"/>
              </w:rPr>
              <w:t xml:space="preserve"> </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158</w:t>
            </w:r>
          </w:p>
        </w:tc>
        <w:tc>
          <w:tcPr>
            <w:tcW w:w="1980" w:type="dxa"/>
          </w:tcPr>
          <w:p w:rsidR="002D6887" w:rsidRPr="004C7830" w:rsidRDefault="002D6887" w:rsidP="002D6887">
            <w:pPr>
              <w:jc w:val="center"/>
              <w:rPr>
                <w:rFonts w:cs="Arial"/>
                <w:sz w:val="24"/>
                <w:szCs w:val="24"/>
              </w:rPr>
            </w:pPr>
            <w:r w:rsidRPr="004C7830">
              <w:rPr>
                <w:rFonts w:cs="Arial"/>
                <w:sz w:val="24"/>
                <w:szCs w:val="24"/>
              </w:rPr>
              <w:t>0.31</w:t>
            </w:r>
          </w:p>
        </w:tc>
        <w:tc>
          <w:tcPr>
            <w:tcW w:w="1705" w:type="dxa"/>
          </w:tcPr>
          <w:p w:rsidR="002D6887" w:rsidRPr="004C7830" w:rsidRDefault="002D6887" w:rsidP="002D6887">
            <w:pPr>
              <w:jc w:val="center"/>
              <w:rPr>
                <w:rFonts w:cs="Arial"/>
                <w:sz w:val="24"/>
                <w:szCs w:val="24"/>
              </w:rPr>
            </w:pPr>
            <w:r w:rsidRPr="004C7830">
              <w:rPr>
                <w:rFonts w:cs="Arial"/>
                <w:sz w:val="24"/>
                <w:szCs w:val="24"/>
              </w:rPr>
              <w:t>0.61</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30–149</w:t>
            </w:r>
          </w:p>
        </w:tc>
        <w:tc>
          <w:tcPr>
            <w:tcW w:w="1350" w:type="dxa"/>
          </w:tcPr>
          <w:p w:rsidR="002D6887" w:rsidRPr="004C7830" w:rsidRDefault="002D6887" w:rsidP="002D6887">
            <w:pPr>
              <w:jc w:val="center"/>
              <w:rPr>
                <w:rFonts w:cs="Arial"/>
                <w:sz w:val="24"/>
                <w:szCs w:val="24"/>
              </w:rPr>
            </w:pPr>
            <w:r w:rsidRPr="004C7830">
              <w:rPr>
                <w:rFonts w:cs="Arial"/>
                <w:sz w:val="24"/>
                <w:szCs w:val="24"/>
              </w:rPr>
              <w:t>2,171</w:t>
            </w:r>
          </w:p>
        </w:tc>
        <w:tc>
          <w:tcPr>
            <w:tcW w:w="1980" w:type="dxa"/>
          </w:tcPr>
          <w:p w:rsidR="002D6887" w:rsidRPr="004C7830" w:rsidRDefault="002D6887" w:rsidP="002D6887">
            <w:pPr>
              <w:jc w:val="center"/>
              <w:rPr>
                <w:rFonts w:cs="Arial"/>
                <w:sz w:val="24"/>
                <w:szCs w:val="24"/>
              </w:rPr>
            </w:pPr>
            <w:r w:rsidRPr="004C7830">
              <w:rPr>
                <w:rFonts w:cs="Arial"/>
                <w:sz w:val="24"/>
                <w:szCs w:val="24"/>
              </w:rPr>
              <w:t>0.30</w:t>
            </w:r>
          </w:p>
        </w:tc>
        <w:tc>
          <w:tcPr>
            <w:tcW w:w="1705" w:type="dxa"/>
          </w:tcPr>
          <w:p w:rsidR="002D6887" w:rsidRPr="004C7830" w:rsidRDefault="002D6887" w:rsidP="002D6887">
            <w:pPr>
              <w:jc w:val="center"/>
              <w:rPr>
                <w:rFonts w:cs="Arial"/>
                <w:sz w:val="24"/>
                <w:szCs w:val="24"/>
              </w:rPr>
            </w:pPr>
            <w:r w:rsidRPr="004C7830">
              <w:rPr>
                <w:rFonts w:cs="Arial"/>
                <w:sz w:val="24"/>
                <w:szCs w:val="24"/>
              </w:rPr>
              <w:t>0.45</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≥150</w:t>
            </w:r>
          </w:p>
        </w:tc>
        <w:tc>
          <w:tcPr>
            <w:tcW w:w="1350" w:type="dxa"/>
          </w:tcPr>
          <w:p w:rsidR="002D6887" w:rsidRPr="004C7830" w:rsidRDefault="002D6887" w:rsidP="002D6887">
            <w:pPr>
              <w:jc w:val="center"/>
              <w:rPr>
                <w:rFonts w:cs="Arial"/>
                <w:sz w:val="24"/>
                <w:szCs w:val="24"/>
              </w:rPr>
            </w:pPr>
            <w:r w:rsidRPr="004C7830">
              <w:rPr>
                <w:rFonts w:cs="Arial"/>
                <w:sz w:val="24"/>
                <w:szCs w:val="24"/>
              </w:rPr>
              <w:t>5,019</w:t>
            </w:r>
          </w:p>
        </w:tc>
        <w:tc>
          <w:tcPr>
            <w:tcW w:w="1980" w:type="dxa"/>
          </w:tcPr>
          <w:p w:rsidR="002D6887" w:rsidRPr="004C7830" w:rsidRDefault="002D6887" w:rsidP="002D6887">
            <w:pPr>
              <w:jc w:val="center"/>
              <w:rPr>
                <w:rFonts w:cs="Arial"/>
                <w:sz w:val="24"/>
                <w:szCs w:val="24"/>
              </w:rPr>
            </w:pPr>
            <w:r w:rsidRPr="004C7830">
              <w:rPr>
                <w:rFonts w:cs="Arial"/>
                <w:sz w:val="24"/>
                <w:szCs w:val="24"/>
              </w:rPr>
              <w:t>0.42</w:t>
            </w:r>
          </w:p>
        </w:tc>
        <w:tc>
          <w:tcPr>
            <w:tcW w:w="1705" w:type="dxa"/>
          </w:tcPr>
          <w:p w:rsidR="002D6887" w:rsidRPr="004C7830" w:rsidRDefault="002D6887" w:rsidP="002D6887">
            <w:pPr>
              <w:jc w:val="center"/>
              <w:rPr>
                <w:rFonts w:cs="Arial"/>
                <w:sz w:val="24"/>
                <w:szCs w:val="24"/>
              </w:rPr>
            </w:pPr>
            <w:r w:rsidRPr="004C7830">
              <w:rPr>
                <w:rFonts w:cs="Arial"/>
                <w:sz w:val="24"/>
                <w:szCs w:val="24"/>
              </w:rPr>
              <w:t>0.49</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151</w:t>
            </w:r>
          </w:p>
        </w:tc>
        <w:tc>
          <w:tcPr>
            <w:tcW w:w="1980" w:type="dxa"/>
          </w:tcPr>
          <w:p w:rsidR="002D6887" w:rsidRPr="004C7830" w:rsidRDefault="002D6887" w:rsidP="002D6887">
            <w:pPr>
              <w:jc w:val="center"/>
              <w:rPr>
                <w:rFonts w:cs="Arial"/>
                <w:sz w:val="24"/>
                <w:szCs w:val="24"/>
              </w:rPr>
            </w:pPr>
            <w:r w:rsidRPr="004C7830">
              <w:rPr>
                <w:rFonts w:cs="Arial"/>
                <w:sz w:val="24"/>
                <w:szCs w:val="24"/>
              </w:rPr>
              <w:t>0.37</w:t>
            </w:r>
          </w:p>
        </w:tc>
        <w:tc>
          <w:tcPr>
            <w:tcW w:w="1705" w:type="dxa"/>
          </w:tcPr>
          <w:p w:rsidR="002D6887" w:rsidRPr="004C7830" w:rsidRDefault="002D6887" w:rsidP="002D6887">
            <w:pPr>
              <w:jc w:val="center"/>
              <w:rPr>
                <w:rFonts w:cs="Arial"/>
                <w:sz w:val="24"/>
                <w:szCs w:val="24"/>
              </w:rPr>
            </w:pPr>
            <w:r w:rsidRPr="004C7830">
              <w:rPr>
                <w:rFonts w:cs="Arial"/>
                <w:sz w:val="24"/>
                <w:szCs w:val="24"/>
              </w:rPr>
              <w:t>0.62</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30–149</w:t>
            </w:r>
          </w:p>
        </w:tc>
        <w:tc>
          <w:tcPr>
            <w:tcW w:w="1350" w:type="dxa"/>
          </w:tcPr>
          <w:p w:rsidR="002D6887" w:rsidRPr="004C7830" w:rsidRDefault="002D6887" w:rsidP="002D6887">
            <w:pPr>
              <w:jc w:val="center"/>
              <w:rPr>
                <w:rFonts w:cs="Arial"/>
                <w:sz w:val="24"/>
                <w:szCs w:val="24"/>
              </w:rPr>
            </w:pPr>
            <w:r w:rsidRPr="004C7830">
              <w:rPr>
                <w:rFonts w:cs="Arial"/>
                <w:sz w:val="24"/>
                <w:szCs w:val="24"/>
              </w:rPr>
              <w:t>2,175</w:t>
            </w:r>
          </w:p>
        </w:tc>
        <w:tc>
          <w:tcPr>
            <w:tcW w:w="1980" w:type="dxa"/>
          </w:tcPr>
          <w:p w:rsidR="002D6887" w:rsidRPr="004C7830" w:rsidRDefault="002D6887" w:rsidP="002D6887">
            <w:pPr>
              <w:jc w:val="center"/>
              <w:rPr>
                <w:rFonts w:cs="Arial"/>
                <w:sz w:val="24"/>
                <w:szCs w:val="24"/>
              </w:rPr>
            </w:pPr>
            <w:r w:rsidRPr="004C7830">
              <w:rPr>
                <w:rFonts w:cs="Arial"/>
                <w:sz w:val="24"/>
                <w:szCs w:val="24"/>
              </w:rPr>
              <w:t>0.41</w:t>
            </w:r>
          </w:p>
        </w:tc>
        <w:tc>
          <w:tcPr>
            <w:tcW w:w="1705" w:type="dxa"/>
          </w:tcPr>
          <w:p w:rsidR="002D6887" w:rsidRPr="004C7830" w:rsidRDefault="002D6887" w:rsidP="002D6887">
            <w:pPr>
              <w:jc w:val="center"/>
              <w:rPr>
                <w:rFonts w:cs="Arial"/>
                <w:sz w:val="24"/>
                <w:szCs w:val="24"/>
              </w:rPr>
            </w:pPr>
            <w:r w:rsidRPr="004C7830">
              <w:rPr>
                <w:rFonts w:cs="Arial"/>
                <w:sz w:val="24"/>
                <w:szCs w:val="24"/>
              </w:rPr>
              <w:t>0.52</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All</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≥150</w:t>
            </w:r>
          </w:p>
        </w:tc>
        <w:tc>
          <w:tcPr>
            <w:tcW w:w="1350" w:type="dxa"/>
          </w:tcPr>
          <w:p w:rsidR="002D6887" w:rsidRPr="004C7830" w:rsidRDefault="002D6887" w:rsidP="002D6887">
            <w:pPr>
              <w:jc w:val="center"/>
              <w:rPr>
                <w:rFonts w:cs="Arial"/>
                <w:sz w:val="24"/>
                <w:szCs w:val="24"/>
              </w:rPr>
            </w:pPr>
            <w:r w:rsidRPr="004C7830">
              <w:rPr>
                <w:rFonts w:cs="Arial"/>
                <w:sz w:val="24"/>
                <w:szCs w:val="24"/>
              </w:rPr>
              <w:t>5,016</w:t>
            </w:r>
          </w:p>
        </w:tc>
        <w:tc>
          <w:tcPr>
            <w:tcW w:w="1980" w:type="dxa"/>
          </w:tcPr>
          <w:p w:rsidR="002D6887" w:rsidRPr="004C7830" w:rsidRDefault="002D6887" w:rsidP="002D6887">
            <w:pPr>
              <w:jc w:val="center"/>
              <w:rPr>
                <w:rFonts w:cs="Arial"/>
                <w:sz w:val="24"/>
                <w:szCs w:val="24"/>
              </w:rPr>
            </w:pPr>
            <w:r w:rsidRPr="004C7830">
              <w:rPr>
                <w:rFonts w:cs="Arial"/>
                <w:sz w:val="24"/>
                <w:szCs w:val="24"/>
              </w:rPr>
              <w:t>0.58</w:t>
            </w:r>
          </w:p>
        </w:tc>
        <w:tc>
          <w:tcPr>
            <w:tcW w:w="1705" w:type="dxa"/>
          </w:tcPr>
          <w:p w:rsidR="002D6887" w:rsidRPr="004C7830" w:rsidRDefault="002D6887" w:rsidP="002D6887">
            <w:pPr>
              <w:jc w:val="center"/>
              <w:rPr>
                <w:rFonts w:cs="Arial"/>
                <w:sz w:val="24"/>
                <w:szCs w:val="24"/>
              </w:rPr>
            </w:pPr>
            <w:r w:rsidRPr="004C7830">
              <w:rPr>
                <w:rFonts w:cs="Arial"/>
                <w:sz w:val="24"/>
                <w:szCs w:val="24"/>
              </w:rPr>
              <w:t>0.62</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537</w:t>
            </w:r>
          </w:p>
        </w:tc>
        <w:tc>
          <w:tcPr>
            <w:tcW w:w="1980" w:type="dxa"/>
          </w:tcPr>
          <w:p w:rsidR="002D6887" w:rsidRPr="004C7830" w:rsidRDefault="002D6887" w:rsidP="002D6887">
            <w:pPr>
              <w:jc w:val="center"/>
              <w:rPr>
                <w:rFonts w:cs="Arial"/>
                <w:sz w:val="24"/>
                <w:szCs w:val="24"/>
              </w:rPr>
            </w:pPr>
            <w:r w:rsidRPr="004C7830">
              <w:rPr>
                <w:rFonts w:cs="Arial"/>
                <w:sz w:val="24"/>
                <w:szCs w:val="24"/>
              </w:rPr>
              <w:t>0.12</w:t>
            </w:r>
          </w:p>
        </w:tc>
        <w:tc>
          <w:tcPr>
            <w:tcW w:w="1705" w:type="dxa"/>
          </w:tcPr>
          <w:p w:rsidR="002D6887" w:rsidRPr="004C7830" w:rsidRDefault="002D6887" w:rsidP="002D6887">
            <w:pPr>
              <w:jc w:val="center"/>
              <w:rPr>
                <w:rFonts w:cs="Arial"/>
                <w:sz w:val="24"/>
                <w:szCs w:val="24"/>
              </w:rPr>
            </w:pPr>
            <w:r w:rsidRPr="004C7830">
              <w:rPr>
                <w:rFonts w:cs="Arial"/>
                <w:sz w:val="24"/>
                <w:szCs w:val="24"/>
              </w:rPr>
              <w:t>0.50</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30–149</w:t>
            </w:r>
          </w:p>
        </w:tc>
        <w:tc>
          <w:tcPr>
            <w:tcW w:w="1350" w:type="dxa"/>
          </w:tcPr>
          <w:p w:rsidR="002D6887" w:rsidRPr="004C7830" w:rsidRDefault="002D6887" w:rsidP="002D6887">
            <w:pPr>
              <w:jc w:val="center"/>
              <w:rPr>
                <w:rFonts w:cs="Arial"/>
                <w:sz w:val="24"/>
                <w:szCs w:val="24"/>
              </w:rPr>
            </w:pPr>
            <w:r w:rsidRPr="004C7830">
              <w:rPr>
                <w:rFonts w:cs="Arial"/>
                <w:sz w:val="24"/>
                <w:szCs w:val="24"/>
              </w:rPr>
              <w:t>3,452</w:t>
            </w:r>
          </w:p>
        </w:tc>
        <w:tc>
          <w:tcPr>
            <w:tcW w:w="1980" w:type="dxa"/>
          </w:tcPr>
          <w:p w:rsidR="002D6887" w:rsidRPr="004C7830" w:rsidRDefault="002D6887" w:rsidP="002D6887">
            <w:pPr>
              <w:jc w:val="center"/>
              <w:rPr>
                <w:rFonts w:cs="Arial"/>
                <w:sz w:val="24"/>
                <w:szCs w:val="24"/>
              </w:rPr>
            </w:pPr>
            <w:r w:rsidRPr="004C7830">
              <w:rPr>
                <w:rFonts w:cs="Arial"/>
                <w:sz w:val="24"/>
                <w:szCs w:val="24"/>
              </w:rPr>
              <w:t>0.28</w:t>
            </w:r>
          </w:p>
        </w:tc>
        <w:tc>
          <w:tcPr>
            <w:tcW w:w="1705" w:type="dxa"/>
          </w:tcPr>
          <w:p w:rsidR="002D6887" w:rsidRPr="004C7830" w:rsidRDefault="002D6887" w:rsidP="002D6887">
            <w:pPr>
              <w:jc w:val="center"/>
              <w:rPr>
                <w:rFonts w:cs="Arial"/>
                <w:sz w:val="24"/>
                <w:szCs w:val="24"/>
              </w:rPr>
            </w:pPr>
            <w:r w:rsidRPr="004C7830">
              <w:rPr>
                <w:rFonts w:cs="Arial"/>
                <w:sz w:val="24"/>
                <w:szCs w:val="24"/>
              </w:rPr>
              <w:t>0.45</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≥150</w:t>
            </w:r>
          </w:p>
        </w:tc>
        <w:tc>
          <w:tcPr>
            <w:tcW w:w="1350" w:type="dxa"/>
          </w:tcPr>
          <w:p w:rsidR="002D6887" w:rsidRPr="004C7830" w:rsidRDefault="002D6887" w:rsidP="002D6887">
            <w:pPr>
              <w:jc w:val="center"/>
              <w:rPr>
                <w:rFonts w:cs="Arial"/>
                <w:sz w:val="24"/>
                <w:szCs w:val="24"/>
              </w:rPr>
            </w:pPr>
            <w:r w:rsidRPr="004C7830">
              <w:rPr>
                <w:rFonts w:cs="Arial"/>
                <w:sz w:val="24"/>
                <w:szCs w:val="24"/>
              </w:rPr>
              <w:t>3,085</w:t>
            </w:r>
          </w:p>
        </w:tc>
        <w:tc>
          <w:tcPr>
            <w:tcW w:w="1980" w:type="dxa"/>
          </w:tcPr>
          <w:p w:rsidR="002D6887" w:rsidRPr="004C7830" w:rsidRDefault="002D6887" w:rsidP="002D6887">
            <w:pPr>
              <w:jc w:val="center"/>
              <w:rPr>
                <w:rFonts w:cs="Arial"/>
                <w:sz w:val="24"/>
                <w:szCs w:val="24"/>
              </w:rPr>
            </w:pPr>
            <w:r w:rsidRPr="004C7830">
              <w:rPr>
                <w:rFonts w:cs="Arial"/>
                <w:sz w:val="24"/>
                <w:szCs w:val="24"/>
              </w:rPr>
              <w:t>0.40</w:t>
            </w:r>
          </w:p>
        </w:tc>
        <w:tc>
          <w:tcPr>
            <w:tcW w:w="1705" w:type="dxa"/>
          </w:tcPr>
          <w:p w:rsidR="002D6887" w:rsidRPr="004C7830" w:rsidRDefault="002D6887" w:rsidP="002D6887">
            <w:pPr>
              <w:jc w:val="center"/>
              <w:rPr>
                <w:rFonts w:cs="Arial"/>
                <w:sz w:val="24"/>
                <w:szCs w:val="24"/>
              </w:rPr>
            </w:pPr>
            <w:r w:rsidRPr="004C7830">
              <w:rPr>
                <w:rFonts w:cs="Arial"/>
                <w:sz w:val="24"/>
                <w:szCs w:val="24"/>
              </w:rPr>
              <w:t>0.48</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538</w:t>
            </w:r>
          </w:p>
        </w:tc>
        <w:tc>
          <w:tcPr>
            <w:tcW w:w="1980" w:type="dxa"/>
          </w:tcPr>
          <w:p w:rsidR="002D6887" w:rsidRPr="004C7830" w:rsidRDefault="002D6887" w:rsidP="002D6887">
            <w:pPr>
              <w:jc w:val="center"/>
              <w:rPr>
                <w:rFonts w:cs="Arial"/>
                <w:sz w:val="24"/>
                <w:szCs w:val="24"/>
              </w:rPr>
            </w:pPr>
            <w:r w:rsidRPr="004C7830">
              <w:rPr>
                <w:rFonts w:cs="Arial"/>
                <w:sz w:val="24"/>
                <w:szCs w:val="24"/>
              </w:rPr>
              <w:t>0.23</w:t>
            </w:r>
          </w:p>
        </w:tc>
        <w:tc>
          <w:tcPr>
            <w:tcW w:w="1705" w:type="dxa"/>
          </w:tcPr>
          <w:p w:rsidR="002D6887" w:rsidRPr="004C7830" w:rsidRDefault="002D6887" w:rsidP="002D6887">
            <w:pPr>
              <w:jc w:val="center"/>
              <w:rPr>
                <w:rFonts w:cs="Arial"/>
                <w:sz w:val="24"/>
                <w:szCs w:val="24"/>
              </w:rPr>
            </w:pPr>
            <w:r w:rsidRPr="004C7830">
              <w:rPr>
                <w:rFonts w:cs="Arial"/>
                <w:sz w:val="24"/>
                <w:szCs w:val="24"/>
              </w:rPr>
              <w:t>0.51</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30–149</w:t>
            </w:r>
          </w:p>
        </w:tc>
        <w:tc>
          <w:tcPr>
            <w:tcW w:w="1350" w:type="dxa"/>
          </w:tcPr>
          <w:p w:rsidR="002D6887" w:rsidRPr="004C7830" w:rsidRDefault="002D6887" w:rsidP="002D6887">
            <w:pPr>
              <w:jc w:val="center"/>
              <w:rPr>
                <w:rFonts w:cs="Arial"/>
                <w:sz w:val="24"/>
                <w:szCs w:val="24"/>
              </w:rPr>
            </w:pPr>
            <w:r w:rsidRPr="004C7830">
              <w:rPr>
                <w:rFonts w:cs="Arial"/>
                <w:sz w:val="24"/>
                <w:szCs w:val="24"/>
              </w:rPr>
              <w:t>3,457</w:t>
            </w:r>
          </w:p>
        </w:tc>
        <w:tc>
          <w:tcPr>
            <w:tcW w:w="1980" w:type="dxa"/>
          </w:tcPr>
          <w:p w:rsidR="002D6887" w:rsidRPr="004C7830" w:rsidRDefault="002D6887" w:rsidP="002D6887">
            <w:pPr>
              <w:jc w:val="center"/>
              <w:rPr>
                <w:rFonts w:cs="Arial"/>
                <w:sz w:val="24"/>
                <w:szCs w:val="24"/>
              </w:rPr>
            </w:pPr>
            <w:r w:rsidRPr="004C7830">
              <w:rPr>
                <w:rFonts w:cs="Arial"/>
                <w:sz w:val="24"/>
                <w:szCs w:val="24"/>
              </w:rPr>
              <w:t>0.37</w:t>
            </w:r>
          </w:p>
        </w:tc>
        <w:tc>
          <w:tcPr>
            <w:tcW w:w="1705" w:type="dxa"/>
          </w:tcPr>
          <w:p w:rsidR="002D6887" w:rsidRPr="004C7830" w:rsidRDefault="002D6887" w:rsidP="002D6887">
            <w:pPr>
              <w:jc w:val="center"/>
              <w:rPr>
                <w:rFonts w:cs="Arial"/>
                <w:sz w:val="24"/>
                <w:szCs w:val="24"/>
              </w:rPr>
            </w:pPr>
            <w:r w:rsidRPr="004C7830">
              <w:rPr>
                <w:rFonts w:cs="Arial"/>
                <w:sz w:val="24"/>
                <w:szCs w:val="24"/>
              </w:rPr>
              <w:t>0.49</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SED</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≥150</w:t>
            </w:r>
          </w:p>
        </w:tc>
        <w:tc>
          <w:tcPr>
            <w:tcW w:w="1350" w:type="dxa"/>
          </w:tcPr>
          <w:p w:rsidR="002D6887" w:rsidRPr="004C7830" w:rsidRDefault="002D6887" w:rsidP="002D6887">
            <w:pPr>
              <w:jc w:val="center"/>
              <w:rPr>
                <w:rFonts w:cs="Arial"/>
                <w:sz w:val="24"/>
                <w:szCs w:val="24"/>
              </w:rPr>
            </w:pPr>
            <w:r w:rsidRPr="004C7830">
              <w:rPr>
                <w:rFonts w:cs="Arial"/>
                <w:sz w:val="24"/>
                <w:szCs w:val="24"/>
              </w:rPr>
              <w:t>3,078</w:t>
            </w:r>
          </w:p>
        </w:tc>
        <w:tc>
          <w:tcPr>
            <w:tcW w:w="1980" w:type="dxa"/>
          </w:tcPr>
          <w:p w:rsidR="002D6887" w:rsidRPr="004C7830" w:rsidRDefault="002D6887" w:rsidP="002D6887">
            <w:pPr>
              <w:jc w:val="center"/>
              <w:rPr>
                <w:rFonts w:cs="Arial"/>
                <w:sz w:val="24"/>
                <w:szCs w:val="24"/>
              </w:rPr>
            </w:pPr>
            <w:r w:rsidRPr="004C7830">
              <w:rPr>
                <w:rFonts w:cs="Arial"/>
                <w:sz w:val="24"/>
                <w:szCs w:val="24"/>
              </w:rPr>
              <w:t>0.53</w:t>
            </w:r>
          </w:p>
        </w:tc>
        <w:tc>
          <w:tcPr>
            <w:tcW w:w="1705" w:type="dxa"/>
          </w:tcPr>
          <w:p w:rsidR="002D6887" w:rsidRPr="004C7830" w:rsidRDefault="002D6887" w:rsidP="002D6887">
            <w:pPr>
              <w:jc w:val="center"/>
              <w:rPr>
                <w:rFonts w:cs="Arial"/>
                <w:sz w:val="24"/>
                <w:szCs w:val="24"/>
              </w:rPr>
            </w:pPr>
            <w:r w:rsidRPr="004C7830">
              <w:rPr>
                <w:rFonts w:cs="Arial"/>
                <w:sz w:val="24"/>
                <w:szCs w:val="24"/>
              </w:rPr>
              <w:t>0.58</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SWD</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3,221</w:t>
            </w:r>
          </w:p>
        </w:tc>
        <w:tc>
          <w:tcPr>
            <w:tcW w:w="1980" w:type="dxa"/>
          </w:tcPr>
          <w:p w:rsidR="002D6887" w:rsidRPr="004C7830" w:rsidRDefault="002D6887" w:rsidP="002D6887">
            <w:pPr>
              <w:jc w:val="center"/>
              <w:rPr>
                <w:rFonts w:cs="Arial"/>
                <w:sz w:val="24"/>
                <w:szCs w:val="24"/>
              </w:rPr>
            </w:pPr>
            <w:r w:rsidRPr="004C7830">
              <w:rPr>
                <w:rFonts w:cs="Arial"/>
                <w:sz w:val="24"/>
                <w:szCs w:val="24"/>
              </w:rPr>
              <w:t>0.04</w:t>
            </w:r>
          </w:p>
        </w:tc>
        <w:tc>
          <w:tcPr>
            <w:tcW w:w="1705" w:type="dxa"/>
          </w:tcPr>
          <w:p w:rsidR="002D6887" w:rsidRPr="004C7830" w:rsidRDefault="002D6887" w:rsidP="002D6887">
            <w:pPr>
              <w:jc w:val="center"/>
              <w:rPr>
                <w:rFonts w:cs="Arial"/>
                <w:sz w:val="24"/>
                <w:szCs w:val="24"/>
              </w:rPr>
            </w:pPr>
            <w:r w:rsidRPr="004C7830">
              <w:rPr>
                <w:rFonts w:cs="Arial"/>
                <w:sz w:val="24"/>
                <w:szCs w:val="24"/>
              </w:rPr>
              <w:t>0.38</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SWD</w:t>
            </w:r>
          </w:p>
        </w:tc>
        <w:tc>
          <w:tcPr>
            <w:tcW w:w="1710" w:type="dxa"/>
          </w:tcPr>
          <w:p w:rsidR="002D6887" w:rsidRPr="004C7830" w:rsidRDefault="002D6887" w:rsidP="002D6887">
            <w:pPr>
              <w:jc w:val="center"/>
              <w:rPr>
                <w:rFonts w:cs="Arial"/>
                <w:sz w:val="24"/>
                <w:szCs w:val="24"/>
              </w:rPr>
            </w:pPr>
            <w:r w:rsidRPr="004C7830">
              <w:rPr>
                <w:rFonts w:cs="Arial"/>
                <w:sz w:val="24"/>
                <w:szCs w:val="24"/>
              </w:rPr>
              <w:t>ELA</w:t>
            </w:r>
          </w:p>
        </w:tc>
        <w:tc>
          <w:tcPr>
            <w:tcW w:w="1350" w:type="dxa"/>
          </w:tcPr>
          <w:p w:rsidR="002D6887" w:rsidRPr="004C7830" w:rsidRDefault="002D6887" w:rsidP="002D6887">
            <w:pPr>
              <w:jc w:val="center"/>
              <w:rPr>
                <w:rFonts w:cs="Arial"/>
                <w:sz w:val="24"/>
                <w:szCs w:val="24"/>
              </w:rPr>
            </w:pPr>
            <w:r w:rsidRPr="004C7830">
              <w:rPr>
                <w:rFonts w:cs="Arial"/>
                <w:sz w:val="24"/>
                <w:szCs w:val="24"/>
              </w:rPr>
              <w:t>≥30</w:t>
            </w:r>
          </w:p>
        </w:tc>
        <w:tc>
          <w:tcPr>
            <w:tcW w:w="1350" w:type="dxa"/>
          </w:tcPr>
          <w:p w:rsidR="002D6887" w:rsidRPr="004C7830" w:rsidRDefault="002D6887" w:rsidP="002D6887">
            <w:pPr>
              <w:jc w:val="center"/>
              <w:rPr>
                <w:rFonts w:cs="Arial"/>
                <w:sz w:val="24"/>
                <w:szCs w:val="24"/>
              </w:rPr>
            </w:pPr>
            <w:r w:rsidRPr="004C7830">
              <w:rPr>
                <w:rFonts w:cs="Arial"/>
                <w:sz w:val="24"/>
                <w:szCs w:val="24"/>
              </w:rPr>
              <w:t>3,039</w:t>
            </w:r>
          </w:p>
        </w:tc>
        <w:tc>
          <w:tcPr>
            <w:tcW w:w="1980" w:type="dxa"/>
          </w:tcPr>
          <w:p w:rsidR="002D6887" w:rsidRPr="004C7830" w:rsidRDefault="002D6887" w:rsidP="002D6887">
            <w:pPr>
              <w:jc w:val="center"/>
              <w:rPr>
                <w:rFonts w:cs="Arial"/>
                <w:sz w:val="24"/>
                <w:szCs w:val="24"/>
              </w:rPr>
            </w:pPr>
            <w:r w:rsidRPr="004C7830">
              <w:rPr>
                <w:rFonts w:cs="Arial"/>
                <w:sz w:val="24"/>
                <w:szCs w:val="24"/>
              </w:rPr>
              <w:t>0.19</w:t>
            </w:r>
          </w:p>
        </w:tc>
        <w:tc>
          <w:tcPr>
            <w:tcW w:w="1705" w:type="dxa"/>
          </w:tcPr>
          <w:p w:rsidR="002D6887" w:rsidRPr="004C7830" w:rsidRDefault="002D6887" w:rsidP="002D6887">
            <w:pPr>
              <w:jc w:val="center"/>
              <w:rPr>
                <w:rFonts w:cs="Arial"/>
                <w:sz w:val="24"/>
                <w:szCs w:val="24"/>
              </w:rPr>
            </w:pPr>
            <w:r w:rsidRPr="004C7830">
              <w:rPr>
                <w:rFonts w:cs="Arial"/>
                <w:sz w:val="24"/>
                <w:szCs w:val="24"/>
              </w:rPr>
              <w:t>0.41</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t>SWD</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11–29</w:t>
            </w:r>
          </w:p>
        </w:tc>
        <w:tc>
          <w:tcPr>
            <w:tcW w:w="1350" w:type="dxa"/>
          </w:tcPr>
          <w:p w:rsidR="002D6887" w:rsidRPr="004C7830" w:rsidRDefault="002D6887" w:rsidP="002D6887">
            <w:pPr>
              <w:jc w:val="center"/>
              <w:rPr>
                <w:rFonts w:cs="Arial"/>
                <w:sz w:val="24"/>
                <w:szCs w:val="24"/>
              </w:rPr>
            </w:pPr>
            <w:r w:rsidRPr="004C7830">
              <w:rPr>
                <w:rFonts w:cs="Arial"/>
                <w:sz w:val="24"/>
                <w:szCs w:val="24"/>
              </w:rPr>
              <w:t>3,226</w:t>
            </w:r>
          </w:p>
        </w:tc>
        <w:tc>
          <w:tcPr>
            <w:tcW w:w="1980" w:type="dxa"/>
          </w:tcPr>
          <w:p w:rsidR="002D6887" w:rsidRPr="004C7830" w:rsidRDefault="002D6887" w:rsidP="002D6887">
            <w:pPr>
              <w:jc w:val="center"/>
              <w:rPr>
                <w:rFonts w:cs="Arial"/>
                <w:sz w:val="24"/>
                <w:szCs w:val="24"/>
              </w:rPr>
            </w:pPr>
            <w:r w:rsidRPr="004C7830">
              <w:rPr>
                <w:rFonts w:cs="Arial"/>
                <w:sz w:val="24"/>
                <w:szCs w:val="24"/>
              </w:rPr>
              <w:t>0.04</w:t>
            </w:r>
          </w:p>
        </w:tc>
        <w:tc>
          <w:tcPr>
            <w:tcW w:w="1705" w:type="dxa"/>
          </w:tcPr>
          <w:p w:rsidR="002D6887" w:rsidRPr="004C7830" w:rsidRDefault="002D6887" w:rsidP="002D6887">
            <w:pPr>
              <w:jc w:val="center"/>
              <w:rPr>
                <w:rFonts w:cs="Arial"/>
                <w:sz w:val="24"/>
                <w:szCs w:val="24"/>
              </w:rPr>
            </w:pPr>
            <w:r w:rsidRPr="004C7830">
              <w:rPr>
                <w:rFonts w:cs="Arial"/>
                <w:sz w:val="24"/>
                <w:szCs w:val="24"/>
              </w:rPr>
              <w:t>0.33</w:t>
            </w:r>
          </w:p>
        </w:tc>
      </w:tr>
      <w:tr w:rsidR="002D6887" w:rsidRPr="004C7830" w:rsidTr="00AF5C05">
        <w:tc>
          <w:tcPr>
            <w:tcW w:w="1255" w:type="dxa"/>
          </w:tcPr>
          <w:p w:rsidR="002D6887" w:rsidRPr="004C7830" w:rsidRDefault="002D6887" w:rsidP="002D6887">
            <w:pPr>
              <w:jc w:val="center"/>
              <w:rPr>
                <w:rFonts w:cs="Arial"/>
                <w:sz w:val="24"/>
                <w:szCs w:val="24"/>
              </w:rPr>
            </w:pPr>
            <w:r w:rsidRPr="004C7830">
              <w:rPr>
                <w:rFonts w:cs="Arial"/>
                <w:sz w:val="24"/>
                <w:szCs w:val="24"/>
              </w:rPr>
              <w:lastRenderedPageBreak/>
              <w:t>SWD</w:t>
            </w:r>
          </w:p>
        </w:tc>
        <w:tc>
          <w:tcPr>
            <w:tcW w:w="1710" w:type="dxa"/>
          </w:tcPr>
          <w:p w:rsidR="002D6887" w:rsidRPr="004C7830" w:rsidRDefault="002D6887" w:rsidP="002D6887">
            <w:pPr>
              <w:jc w:val="center"/>
              <w:rPr>
                <w:rFonts w:cs="Arial"/>
                <w:sz w:val="24"/>
                <w:szCs w:val="24"/>
              </w:rPr>
            </w:pPr>
            <w:r w:rsidRPr="004C7830">
              <w:rPr>
                <w:rFonts w:cs="Arial"/>
                <w:sz w:val="24"/>
                <w:szCs w:val="24"/>
              </w:rPr>
              <w:t>Mathematics</w:t>
            </w:r>
          </w:p>
        </w:tc>
        <w:tc>
          <w:tcPr>
            <w:tcW w:w="1350" w:type="dxa"/>
          </w:tcPr>
          <w:p w:rsidR="002D6887" w:rsidRPr="004C7830" w:rsidRDefault="002D6887" w:rsidP="002D6887">
            <w:pPr>
              <w:jc w:val="center"/>
              <w:rPr>
                <w:rFonts w:cs="Arial"/>
                <w:sz w:val="24"/>
                <w:szCs w:val="24"/>
              </w:rPr>
            </w:pPr>
            <w:r w:rsidRPr="004C7830">
              <w:rPr>
                <w:rFonts w:cs="Arial"/>
                <w:sz w:val="24"/>
                <w:szCs w:val="24"/>
              </w:rPr>
              <w:t>≥30</w:t>
            </w:r>
          </w:p>
        </w:tc>
        <w:tc>
          <w:tcPr>
            <w:tcW w:w="1350" w:type="dxa"/>
          </w:tcPr>
          <w:p w:rsidR="002D6887" w:rsidRPr="004C7830" w:rsidRDefault="002D6887" w:rsidP="002D6887">
            <w:pPr>
              <w:jc w:val="center"/>
              <w:rPr>
                <w:rFonts w:cs="Arial"/>
                <w:sz w:val="24"/>
                <w:szCs w:val="24"/>
              </w:rPr>
            </w:pPr>
            <w:r w:rsidRPr="004C7830">
              <w:rPr>
                <w:rFonts w:cs="Arial"/>
                <w:sz w:val="24"/>
                <w:szCs w:val="24"/>
              </w:rPr>
              <w:t>3,033</w:t>
            </w:r>
          </w:p>
        </w:tc>
        <w:tc>
          <w:tcPr>
            <w:tcW w:w="1980" w:type="dxa"/>
          </w:tcPr>
          <w:p w:rsidR="002D6887" w:rsidRPr="004C7830" w:rsidRDefault="002D6887" w:rsidP="002D6887">
            <w:pPr>
              <w:jc w:val="center"/>
              <w:rPr>
                <w:rFonts w:cs="Arial"/>
                <w:sz w:val="24"/>
                <w:szCs w:val="24"/>
              </w:rPr>
            </w:pPr>
            <w:r w:rsidRPr="004C7830">
              <w:rPr>
                <w:rFonts w:cs="Arial"/>
                <w:sz w:val="24"/>
                <w:szCs w:val="24"/>
              </w:rPr>
              <w:t>0.17</w:t>
            </w:r>
          </w:p>
        </w:tc>
        <w:tc>
          <w:tcPr>
            <w:tcW w:w="1705" w:type="dxa"/>
          </w:tcPr>
          <w:p w:rsidR="002D6887" w:rsidRPr="004C7830" w:rsidRDefault="002D6887" w:rsidP="002D6887">
            <w:pPr>
              <w:jc w:val="center"/>
              <w:rPr>
                <w:rFonts w:cs="Arial"/>
                <w:sz w:val="24"/>
                <w:szCs w:val="24"/>
              </w:rPr>
            </w:pPr>
            <w:r w:rsidRPr="004C7830">
              <w:rPr>
                <w:rFonts w:cs="Arial"/>
                <w:sz w:val="24"/>
                <w:szCs w:val="24"/>
              </w:rPr>
              <w:t>0.33</w:t>
            </w:r>
          </w:p>
        </w:tc>
      </w:tr>
    </w:tbl>
    <w:p w:rsidR="002D6887" w:rsidRPr="004C7830" w:rsidRDefault="002D6887" w:rsidP="002D6887">
      <w:pPr>
        <w:pStyle w:val="ListParagraph"/>
        <w:numPr>
          <w:ilvl w:val="0"/>
          <w:numId w:val="24"/>
        </w:numPr>
        <w:spacing w:before="120" w:after="120"/>
        <w:contextualSpacing w:val="0"/>
      </w:pPr>
      <w:r w:rsidRPr="004C7830">
        <w:t xml:space="preserve">The size bins refer to the number of students within schools with growth scores in grades four through eight in </w:t>
      </w:r>
      <w:r w:rsidRPr="004C7830">
        <w:rPr>
          <w:i/>
        </w:rPr>
        <w:t xml:space="preserve">both </w:t>
      </w:r>
      <w:r w:rsidRPr="004C7830">
        <w:t>2017–18 and 2018–19 for the student group and subject of interest (indicated in the first two columns). The number of schools in each bin is smaller than i</w:t>
      </w:r>
      <w:r w:rsidR="00BE0680" w:rsidRPr="004C7830">
        <w:t>n Table 1</w:t>
      </w:r>
      <w:r w:rsidRPr="004C7830">
        <w:t>, given that not all schools have estimates in both years.</w:t>
      </w:r>
    </w:p>
    <w:p w:rsidR="007A312A" w:rsidRPr="004C7830" w:rsidRDefault="002D6887" w:rsidP="005C6380">
      <w:pPr>
        <w:spacing w:after="240"/>
      </w:pPr>
      <w:r w:rsidRPr="004C7830">
        <w:br/>
      </w:r>
      <w:r w:rsidR="007A312A" w:rsidRPr="004C7830">
        <w:t xml:space="preserve">Table </w:t>
      </w:r>
      <w:r w:rsidR="00234885" w:rsidRPr="004C7830">
        <w:t>4</w:t>
      </w:r>
      <w:r w:rsidR="007A312A" w:rsidRPr="004C7830">
        <w:t xml:space="preserve"> provides results </w:t>
      </w:r>
      <w:r w:rsidR="00234885" w:rsidRPr="004C7830">
        <w:t>for LEAs.</w:t>
      </w:r>
    </w:p>
    <w:p w:rsidR="00685069" w:rsidRPr="004C7830" w:rsidRDefault="0573F57A" w:rsidP="00646083">
      <w:pPr>
        <w:pStyle w:val="Heading3"/>
        <w:jc w:val="center"/>
        <w:rPr>
          <w:rFonts w:eastAsia="Arial"/>
        </w:rPr>
      </w:pPr>
      <w:r w:rsidRPr="004C7830">
        <w:rPr>
          <w:rFonts w:eastAsia="Arial"/>
        </w:rPr>
        <w:t xml:space="preserve">Table </w:t>
      </w:r>
      <w:r w:rsidR="00234885" w:rsidRPr="004C7830">
        <w:rPr>
          <w:rFonts w:eastAsia="Arial"/>
        </w:rPr>
        <w:t>4</w:t>
      </w:r>
      <w:r w:rsidRPr="004C7830">
        <w:rPr>
          <w:rFonts w:eastAsia="Arial"/>
        </w:rPr>
        <w:t>. Cross</w:t>
      </w:r>
      <w:r w:rsidR="00234885" w:rsidRPr="004C7830">
        <w:rPr>
          <w:rFonts w:eastAsia="Arial"/>
        </w:rPr>
        <w:t xml:space="preserve"> </w:t>
      </w:r>
      <w:r w:rsidRPr="004C7830">
        <w:rPr>
          <w:rFonts w:eastAsia="Arial"/>
        </w:rPr>
        <w:t>Year Stability of the 20</w:t>
      </w:r>
      <w:r w:rsidR="00234885" w:rsidRPr="004C7830">
        <w:rPr>
          <w:rFonts w:eastAsia="Arial"/>
        </w:rPr>
        <w:t>18–</w:t>
      </w:r>
      <w:r w:rsidRPr="004C7830">
        <w:rPr>
          <w:rFonts w:eastAsia="Arial"/>
        </w:rPr>
        <w:t>19 EBLP Weighted Average and the Simple Average for LEA</w:t>
      </w:r>
      <w:r w:rsidR="002D6887" w:rsidRPr="004C7830">
        <w:rPr>
          <w:rFonts w:eastAsia="Arial"/>
        </w:rPr>
        <w:t>s</w:t>
      </w:r>
      <w:r w:rsidR="002D6887" w:rsidRPr="004C7830">
        <w:rPr>
          <w:rFonts w:eastAsia="Arial"/>
        </w:rPr>
        <w:br/>
      </w:r>
    </w:p>
    <w:tbl>
      <w:tblPr>
        <w:tblStyle w:val="TableGrid"/>
        <w:tblW w:w="0" w:type="auto"/>
        <w:tblLayout w:type="fixed"/>
        <w:tblLook w:val="04A0" w:firstRow="1" w:lastRow="0" w:firstColumn="1" w:lastColumn="0" w:noHBand="0" w:noVBand="1"/>
        <w:tblDescription w:val="Table 3. Cross-Year Stability of the 2019 EBLP Weighted Average and the Simple Average for LEAs"/>
      </w:tblPr>
      <w:tblGrid>
        <w:gridCol w:w="1165"/>
        <w:gridCol w:w="1800"/>
        <w:gridCol w:w="1530"/>
        <w:gridCol w:w="1170"/>
        <w:gridCol w:w="1980"/>
        <w:gridCol w:w="1705"/>
      </w:tblGrid>
      <w:tr w:rsidR="00AD508F" w:rsidRPr="004C7830" w:rsidTr="005855B0">
        <w:trPr>
          <w:tblHeader/>
        </w:trPr>
        <w:tc>
          <w:tcPr>
            <w:tcW w:w="1165" w:type="dxa"/>
            <w:vAlign w:val="bottom"/>
          </w:tcPr>
          <w:p w:rsidR="00AD508F" w:rsidRPr="004C7830" w:rsidRDefault="00AD508F" w:rsidP="002A4DFB">
            <w:pPr>
              <w:jc w:val="center"/>
              <w:rPr>
                <w:sz w:val="24"/>
                <w:szCs w:val="24"/>
              </w:rPr>
            </w:pPr>
            <w:r w:rsidRPr="004C7830">
              <w:rPr>
                <w:rFonts w:eastAsia="Arial" w:cs="Arial"/>
                <w:b/>
                <w:bCs/>
                <w:color w:val="000000" w:themeColor="text1"/>
                <w:sz w:val="24"/>
                <w:szCs w:val="24"/>
              </w:rPr>
              <w:t>Student Group</w:t>
            </w:r>
          </w:p>
        </w:tc>
        <w:tc>
          <w:tcPr>
            <w:tcW w:w="1800" w:type="dxa"/>
            <w:vAlign w:val="bottom"/>
          </w:tcPr>
          <w:p w:rsidR="00AD508F" w:rsidRPr="004C7830" w:rsidRDefault="00AD508F" w:rsidP="002A4DFB">
            <w:pPr>
              <w:jc w:val="center"/>
              <w:rPr>
                <w:sz w:val="24"/>
                <w:szCs w:val="24"/>
              </w:rPr>
            </w:pPr>
            <w:r w:rsidRPr="004C7830">
              <w:rPr>
                <w:rFonts w:eastAsia="Arial" w:cs="Arial"/>
                <w:b/>
                <w:bCs/>
                <w:color w:val="000000" w:themeColor="text1"/>
                <w:sz w:val="24"/>
                <w:szCs w:val="24"/>
              </w:rPr>
              <w:t>Subject</w:t>
            </w:r>
          </w:p>
        </w:tc>
        <w:tc>
          <w:tcPr>
            <w:tcW w:w="1530" w:type="dxa"/>
            <w:vAlign w:val="bottom"/>
          </w:tcPr>
          <w:p w:rsidR="00AD508F" w:rsidRPr="004C7830" w:rsidRDefault="00AD508F" w:rsidP="002A4DFB">
            <w:pPr>
              <w:jc w:val="center"/>
              <w:rPr>
                <w:sz w:val="24"/>
                <w:szCs w:val="24"/>
              </w:rPr>
            </w:pPr>
            <w:r w:rsidRPr="004C7830">
              <w:rPr>
                <w:rFonts w:eastAsia="Arial" w:cs="Arial"/>
                <w:b/>
                <w:bCs/>
                <w:color w:val="000000" w:themeColor="text1"/>
                <w:sz w:val="24"/>
                <w:szCs w:val="24"/>
              </w:rPr>
              <w:t>20</w:t>
            </w:r>
            <w:r w:rsidR="00234885" w:rsidRPr="004C7830">
              <w:rPr>
                <w:rFonts w:eastAsia="Arial" w:cs="Arial"/>
                <w:b/>
                <w:bCs/>
                <w:color w:val="000000" w:themeColor="text1"/>
                <w:sz w:val="24"/>
                <w:szCs w:val="24"/>
              </w:rPr>
              <w:t>18</w:t>
            </w:r>
            <w:r w:rsidR="00234885" w:rsidRPr="004C7830">
              <w:rPr>
                <w:rFonts w:eastAsia="Arial" w:cs="Arial"/>
                <w:color w:val="000000" w:themeColor="text1"/>
                <w:sz w:val="24"/>
                <w:szCs w:val="24"/>
              </w:rPr>
              <w:t>–</w:t>
            </w:r>
            <w:r w:rsidRPr="004C7830">
              <w:rPr>
                <w:rFonts w:eastAsia="Arial" w:cs="Arial"/>
                <w:b/>
                <w:bCs/>
                <w:color w:val="000000" w:themeColor="text1"/>
                <w:sz w:val="24"/>
                <w:szCs w:val="24"/>
              </w:rPr>
              <w:t>19 LEA Size</w:t>
            </w:r>
            <w:r w:rsidRPr="004C7830">
              <w:rPr>
                <w:rFonts w:eastAsia="Arial" w:cs="Arial"/>
                <w:b/>
                <w:bCs/>
                <w:color w:val="000000" w:themeColor="text1"/>
                <w:sz w:val="24"/>
                <w:szCs w:val="24"/>
                <w:vertAlign w:val="superscript"/>
              </w:rPr>
              <w:t>1</w:t>
            </w:r>
          </w:p>
        </w:tc>
        <w:tc>
          <w:tcPr>
            <w:tcW w:w="1170" w:type="dxa"/>
            <w:vAlign w:val="bottom"/>
          </w:tcPr>
          <w:p w:rsidR="00AD508F" w:rsidRPr="004C7830" w:rsidRDefault="00AD508F" w:rsidP="002A4DFB">
            <w:pPr>
              <w:jc w:val="center"/>
              <w:rPr>
                <w:sz w:val="24"/>
                <w:szCs w:val="24"/>
              </w:rPr>
            </w:pPr>
            <w:r w:rsidRPr="004C7830">
              <w:rPr>
                <w:rFonts w:eastAsia="Arial" w:cs="Arial"/>
                <w:b/>
                <w:bCs/>
                <w:color w:val="000000" w:themeColor="text1"/>
                <w:sz w:val="24"/>
                <w:szCs w:val="24"/>
              </w:rPr>
              <w:t>Number of LEAs</w:t>
            </w:r>
          </w:p>
        </w:tc>
        <w:tc>
          <w:tcPr>
            <w:tcW w:w="1980" w:type="dxa"/>
            <w:vAlign w:val="bottom"/>
          </w:tcPr>
          <w:p w:rsidR="00071222" w:rsidRPr="004C7830" w:rsidRDefault="00071222" w:rsidP="00071222">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Correlation between </w:t>
            </w:r>
          </w:p>
          <w:p w:rsidR="00AD508F" w:rsidRPr="004C7830" w:rsidRDefault="00071222" w:rsidP="00071222">
            <w:pPr>
              <w:jc w:val="center"/>
              <w:rPr>
                <w:sz w:val="24"/>
                <w:szCs w:val="24"/>
              </w:rPr>
            </w:pPr>
            <w:r w:rsidRPr="004C7830">
              <w:rPr>
                <w:rFonts w:eastAsia="Arial" w:cs="Arial"/>
                <w:b/>
                <w:bCs/>
                <w:color w:val="000000" w:themeColor="text1"/>
                <w:sz w:val="24"/>
                <w:szCs w:val="24"/>
              </w:rPr>
              <w:t>2017</w:t>
            </w:r>
            <w:r w:rsidRPr="004C7830">
              <w:rPr>
                <w:rFonts w:eastAsia="Arial" w:cs="Arial"/>
                <w:b/>
                <w:color w:val="000000" w:themeColor="text1"/>
                <w:sz w:val="24"/>
                <w:szCs w:val="24"/>
              </w:rPr>
              <w:t>–18 and 2018–19</w:t>
            </w:r>
            <w:r w:rsidRPr="004C7830">
              <w:rPr>
                <w:rFonts w:eastAsia="Arial" w:cs="Arial"/>
                <w:b/>
                <w:bCs/>
                <w:color w:val="000000" w:themeColor="text1"/>
                <w:sz w:val="24"/>
                <w:szCs w:val="24"/>
              </w:rPr>
              <w:t xml:space="preserve"> </w:t>
            </w:r>
            <w:r w:rsidR="00AD508F" w:rsidRPr="004C7830">
              <w:rPr>
                <w:rFonts w:eastAsia="Arial" w:cs="Arial"/>
                <w:b/>
                <w:bCs/>
                <w:color w:val="000000" w:themeColor="text1"/>
                <w:sz w:val="24"/>
                <w:szCs w:val="24"/>
              </w:rPr>
              <w:t>Simple Average</w:t>
            </w:r>
          </w:p>
        </w:tc>
        <w:tc>
          <w:tcPr>
            <w:tcW w:w="1705" w:type="dxa"/>
          </w:tcPr>
          <w:p w:rsidR="005855B0" w:rsidRPr="004C7830" w:rsidRDefault="005855B0" w:rsidP="005855B0">
            <w:pPr>
              <w:jc w:val="center"/>
              <w:rPr>
                <w:rFonts w:eastAsia="Arial" w:cs="Arial"/>
                <w:b/>
                <w:bCs/>
                <w:color w:val="000000" w:themeColor="text1"/>
                <w:sz w:val="24"/>
                <w:szCs w:val="24"/>
              </w:rPr>
            </w:pPr>
            <w:r w:rsidRPr="004C7830">
              <w:rPr>
                <w:rFonts w:eastAsia="Arial" w:cs="Arial"/>
                <w:b/>
                <w:bCs/>
                <w:color w:val="000000" w:themeColor="text1"/>
                <w:sz w:val="24"/>
                <w:szCs w:val="24"/>
              </w:rPr>
              <w:t xml:space="preserve">Correlation between </w:t>
            </w:r>
          </w:p>
          <w:p w:rsidR="005855B0" w:rsidRPr="004C7830" w:rsidRDefault="005855B0" w:rsidP="005855B0">
            <w:pPr>
              <w:jc w:val="center"/>
              <w:rPr>
                <w:rFonts w:eastAsia="Arial" w:cs="Arial"/>
                <w:b/>
                <w:bCs/>
                <w:color w:val="000000" w:themeColor="text1"/>
                <w:sz w:val="24"/>
                <w:szCs w:val="24"/>
              </w:rPr>
            </w:pPr>
            <w:r w:rsidRPr="004C7830">
              <w:rPr>
                <w:rFonts w:eastAsia="Arial" w:cs="Arial"/>
                <w:b/>
                <w:bCs/>
                <w:color w:val="000000" w:themeColor="text1"/>
                <w:sz w:val="24"/>
                <w:szCs w:val="24"/>
              </w:rPr>
              <w:t>2017</w:t>
            </w:r>
            <w:r w:rsidRPr="004C7830">
              <w:rPr>
                <w:rFonts w:eastAsia="Arial" w:cs="Arial"/>
                <w:b/>
                <w:color w:val="000000" w:themeColor="text1"/>
                <w:sz w:val="24"/>
                <w:szCs w:val="24"/>
              </w:rPr>
              <w:t>–18 and 2018–19</w:t>
            </w:r>
            <w:r w:rsidRPr="004C7830">
              <w:rPr>
                <w:rFonts w:eastAsia="Arial" w:cs="Arial"/>
                <w:b/>
                <w:bCs/>
                <w:color w:val="000000" w:themeColor="text1"/>
                <w:sz w:val="24"/>
                <w:szCs w:val="24"/>
              </w:rPr>
              <w:t xml:space="preserve"> </w:t>
            </w:r>
          </w:p>
          <w:p w:rsidR="00AD508F" w:rsidRPr="004C7830" w:rsidRDefault="00AD508F" w:rsidP="005855B0">
            <w:pPr>
              <w:jc w:val="center"/>
              <w:rPr>
                <w:sz w:val="24"/>
                <w:szCs w:val="24"/>
              </w:rPr>
            </w:pPr>
            <w:r w:rsidRPr="004C7830">
              <w:rPr>
                <w:rFonts w:eastAsia="Arial" w:cs="Arial"/>
                <w:b/>
                <w:bCs/>
                <w:color w:val="000000" w:themeColor="text1"/>
                <w:sz w:val="24"/>
                <w:szCs w:val="24"/>
              </w:rPr>
              <w:t xml:space="preserve">2-year EBLP </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200</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0.32</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0.56</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150 – 1</w:t>
            </w:r>
            <w:r w:rsidR="002D6887" w:rsidRPr="004C7830">
              <w:rPr>
                <w:rFonts w:eastAsia="Arial" w:cs="Arial"/>
                <w:color w:val="000000" w:themeColor="text1"/>
                <w:sz w:val="24"/>
                <w:szCs w:val="24"/>
              </w:rPr>
              <w:t>,</w:t>
            </w:r>
            <w:r w:rsidRPr="004C7830">
              <w:rPr>
                <w:rFonts w:eastAsia="Arial" w:cs="Arial"/>
                <w:color w:val="000000" w:themeColor="text1"/>
                <w:sz w:val="24"/>
                <w:szCs w:val="24"/>
              </w:rPr>
              <w:t>499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323</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0.37</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0.47</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2D6887" w:rsidRPr="004C7830">
              <w:rPr>
                <w:rFonts w:eastAsia="Arial" w:cs="Arial"/>
                <w:color w:val="000000" w:themeColor="text1"/>
                <w:sz w:val="24"/>
                <w:szCs w:val="24"/>
              </w:rPr>
              <w:t>,</w:t>
            </w:r>
            <w:r w:rsidRPr="004C7830">
              <w:rPr>
                <w:rFonts w:eastAsia="Arial" w:cs="Arial"/>
                <w:color w:val="000000" w:themeColor="text1"/>
                <w:sz w:val="24"/>
                <w:szCs w:val="24"/>
              </w:rPr>
              <w:t>500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299</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0.65</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0.67</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200</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0.33</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0.56</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150 – 1</w:t>
            </w:r>
            <w:r w:rsidR="002D6887" w:rsidRPr="004C7830">
              <w:rPr>
                <w:rFonts w:eastAsia="Arial" w:cs="Arial"/>
                <w:color w:val="000000" w:themeColor="text1"/>
                <w:sz w:val="24"/>
                <w:szCs w:val="24"/>
              </w:rPr>
              <w:t>,</w:t>
            </w:r>
            <w:r w:rsidRPr="004C7830">
              <w:rPr>
                <w:rFonts w:eastAsia="Arial" w:cs="Arial"/>
                <w:color w:val="000000" w:themeColor="text1"/>
                <w:sz w:val="24"/>
                <w:szCs w:val="24"/>
              </w:rPr>
              <w:t>499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324</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0.43</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0.51</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All</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2D6887" w:rsidRPr="004C7830">
              <w:rPr>
                <w:rFonts w:eastAsia="Arial" w:cs="Arial"/>
                <w:color w:val="000000" w:themeColor="text1"/>
                <w:sz w:val="24"/>
                <w:szCs w:val="24"/>
              </w:rPr>
              <w:t>,</w:t>
            </w:r>
            <w:r w:rsidRPr="004C7830">
              <w:rPr>
                <w:rFonts w:eastAsia="Arial" w:cs="Arial"/>
                <w:color w:val="000000" w:themeColor="text1"/>
                <w:sz w:val="24"/>
                <w:szCs w:val="24"/>
              </w:rPr>
              <w:t>500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298</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0.85</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0.85</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257</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0.15</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0.51</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150 – 1</w:t>
            </w:r>
            <w:r w:rsidR="002D6887" w:rsidRPr="004C7830">
              <w:rPr>
                <w:rFonts w:eastAsia="Arial" w:cs="Arial"/>
                <w:color w:val="000000" w:themeColor="text1"/>
                <w:sz w:val="24"/>
                <w:szCs w:val="24"/>
              </w:rPr>
              <w:t>,</w:t>
            </w:r>
            <w:r w:rsidRPr="004C7830">
              <w:rPr>
                <w:rFonts w:eastAsia="Arial" w:cs="Arial"/>
                <w:color w:val="000000" w:themeColor="text1"/>
                <w:sz w:val="24"/>
                <w:szCs w:val="24"/>
              </w:rPr>
              <w:t>499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330</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0.43</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0.56</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2D6887" w:rsidRPr="004C7830">
              <w:rPr>
                <w:rFonts w:eastAsia="Arial" w:cs="Arial"/>
                <w:color w:val="000000" w:themeColor="text1"/>
                <w:sz w:val="24"/>
                <w:szCs w:val="24"/>
              </w:rPr>
              <w:t>,</w:t>
            </w:r>
            <w:r w:rsidRPr="004C7830">
              <w:rPr>
                <w:rFonts w:eastAsia="Arial" w:cs="Arial"/>
                <w:color w:val="000000" w:themeColor="text1"/>
                <w:sz w:val="24"/>
                <w:szCs w:val="24"/>
              </w:rPr>
              <w:t>500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199</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0.58</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0.63</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257</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0.25</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0.51</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150 – 1</w:t>
            </w:r>
            <w:r w:rsidR="002D6887" w:rsidRPr="004C7830">
              <w:rPr>
                <w:rFonts w:eastAsia="Arial" w:cs="Arial"/>
                <w:color w:val="000000" w:themeColor="text1"/>
                <w:sz w:val="24"/>
                <w:szCs w:val="24"/>
              </w:rPr>
              <w:t>,</w:t>
            </w:r>
            <w:r w:rsidRPr="004C7830">
              <w:rPr>
                <w:rFonts w:eastAsia="Arial" w:cs="Arial"/>
                <w:color w:val="000000" w:themeColor="text1"/>
                <w:sz w:val="24"/>
                <w:szCs w:val="24"/>
              </w:rPr>
              <w:t>499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330</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0.42</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0.52</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SED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w:t>
            </w:r>
            <w:r w:rsidR="002D6887" w:rsidRPr="004C7830">
              <w:rPr>
                <w:rFonts w:eastAsia="Arial" w:cs="Arial"/>
                <w:color w:val="000000" w:themeColor="text1"/>
                <w:sz w:val="24"/>
                <w:szCs w:val="24"/>
              </w:rPr>
              <w:t>,</w:t>
            </w:r>
            <w:r w:rsidRPr="004C7830">
              <w:rPr>
                <w:rFonts w:eastAsia="Arial" w:cs="Arial"/>
                <w:color w:val="000000" w:themeColor="text1"/>
                <w:sz w:val="24"/>
                <w:szCs w:val="24"/>
              </w:rPr>
              <w:t>500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199</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0.74</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0.76</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29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114</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-0.06</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0.26</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30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232</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0.05</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0.39</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ELA</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150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322</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0.51</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0.62</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11 – 29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113</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-0.18</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0.18</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eastAsia="Arial" w:cs="Arial"/>
                <w:color w:val="000000" w:themeColor="text1"/>
                <w:sz w:val="24"/>
                <w:szCs w:val="24"/>
              </w:rPr>
              <w:t>30 – 149</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232</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0.04</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0.30</w:t>
            </w:r>
          </w:p>
        </w:tc>
      </w:tr>
      <w:tr w:rsidR="00AD508F" w:rsidRPr="004C7830" w:rsidTr="005855B0">
        <w:tc>
          <w:tcPr>
            <w:tcW w:w="1165" w:type="dxa"/>
            <w:vAlign w:val="center"/>
          </w:tcPr>
          <w:p w:rsidR="00AD508F" w:rsidRPr="004C7830" w:rsidRDefault="00AD508F" w:rsidP="002A4DFB">
            <w:pPr>
              <w:jc w:val="center"/>
            </w:pPr>
            <w:r w:rsidRPr="004C7830">
              <w:rPr>
                <w:rFonts w:eastAsia="Arial" w:cs="Arial"/>
                <w:color w:val="000000" w:themeColor="text1"/>
                <w:sz w:val="24"/>
                <w:szCs w:val="24"/>
              </w:rPr>
              <w:t>SWD</w:t>
            </w:r>
          </w:p>
        </w:tc>
        <w:tc>
          <w:tcPr>
            <w:tcW w:w="1800" w:type="dxa"/>
            <w:vAlign w:val="center"/>
          </w:tcPr>
          <w:p w:rsidR="00AD508F" w:rsidRPr="004C7830" w:rsidRDefault="00AD508F" w:rsidP="002A4DFB">
            <w:pPr>
              <w:jc w:val="center"/>
            </w:pPr>
            <w:r w:rsidRPr="004C7830">
              <w:rPr>
                <w:rFonts w:eastAsia="Arial" w:cs="Arial"/>
                <w:color w:val="000000" w:themeColor="text1"/>
                <w:sz w:val="24"/>
                <w:szCs w:val="24"/>
              </w:rPr>
              <w:t>Math</w:t>
            </w:r>
            <w:r w:rsidR="002D6887" w:rsidRPr="004C7830">
              <w:rPr>
                <w:rFonts w:eastAsia="Arial" w:cs="Arial"/>
                <w:color w:val="000000" w:themeColor="text1"/>
                <w:sz w:val="24"/>
                <w:szCs w:val="24"/>
              </w:rPr>
              <w:t>ematics</w:t>
            </w:r>
          </w:p>
        </w:tc>
        <w:tc>
          <w:tcPr>
            <w:tcW w:w="1530" w:type="dxa"/>
            <w:vAlign w:val="center"/>
          </w:tcPr>
          <w:p w:rsidR="00AD508F" w:rsidRPr="004C7830" w:rsidRDefault="00AD508F" w:rsidP="002A4DFB">
            <w:pPr>
              <w:jc w:val="center"/>
            </w:pPr>
            <w:r w:rsidRPr="004C7830">
              <w:rPr>
                <w:rFonts w:ascii="Calibri" w:eastAsia="Calibri" w:hAnsi="Calibri" w:cs="Calibri"/>
                <w:color w:val="000000" w:themeColor="text1"/>
                <w:sz w:val="24"/>
                <w:szCs w:val="24"/>
              </w:rPr>
              <w:t>≥</w:t>
            </w:r>
            <w:r w:rsidRPr="004C7830">
              <w:rPr>
                <w:rFonts w:eastAsia="Arial" w:cs="Arial"/>
                <w:color w:val="000000" w:themeColor="text1"/>
                <w:sz w:val="24"/>
                <w:szCs w:val="24"/>
              </w:rPr>
              <w:t>150</w:t>
            </w:r>
          </w:p>
        </w:tc>
        <w:tc>
          <w:tcPr>
            <w:tcW w:w="1170" w:type="dxa"/>
            <w:vAlign w:val="center"/>
          </w:tcPr>
          <w:p w:rsidR="00AD508F" w:rsidRPr="004C7830" w:rsidRDefault="00AD508F" w:rsidP="002A4DFB">
            <w:pPr>
              <w:jc w:val="center"/>
            </w:pPr>
            <w:r w:rsidRPr="004C7830">
              <w:rPr>
                <w:rFonts w:eastAsia="Arial" w:cs="Arial"/>
                <w:color w:val="000000" w:themeColor="text1"/>
                <w:sz w:val="24"/>
                <w:szCs w:val="24"/>
              </w:rPr>
              <w:t>322</w:t>
            </w:r>
          </w:p>
        </w:tc>
        <w:tc>
          <w:tcPr>
            <w:tcW w:w="1980" w:type="dxa"/>
            <w:vAlign w:val="center"/>
          </w:tcPr>
          <w:p w:rsidR="00AD508F" w:rsidRPr="004C7830" w:rsidRDefault="00AD508F" w:rsidP="002A4DFB">
            <w:pPr>
              <w:jc w:val="center"/>
            </w:pPr>
            <w:r w:rsidRPr="004C7830">
              <w:rPr>
                <w:rFonts w:eastAsia="Arial" w:cs="Arial"/>
                <w:color w:val="000000" w:themeColor="text1"/>
                <w:sz w:val="24"/>
                <w:szCs w:val="24"/>
              </w:rPr>
              <w:t>0.49</w:t>
            </w:r>
          </w:p>
        </w:tc>
        <w:tc>
          <w:tcPr>
            <w:tcW w:w="1705" w:type="dxa"/>
            <w:vAlign w:val="center"/>
          </w:tcPr>
          <w:p w:rsidR="00AD508F" w:rsidRPr="004C7830" w:rsidRDefault="00AD508F" w:rsidP="002A4DFB">
            <w:pPr>
              <w:jc w:val="center"/>
            </w:pPr>
            <w:r w:rsidRPr="004C7830">
              <w:rPr>
                <w:rFonts w:eastAsia="Arial" w:cs="Arial"/>
                <w:color w:val="000000" w:themeColor="text1"/>
                <w:sz w:val="24"/>
                <w:szCs w:val="24"/>
              </w:rPr>
              <w:t>0.55</w:t>
            </w:r>
          </w:p>
        </w:tc>
      </w:tr>
    </w:tbl>
    <w:p w:rsidR="00AD508F" w:rsidRPr="004C7830" w:rsidRDefault="00AD508F" w:rsidP="4CA4A074">
      <w:pPr>
        <w:jc w:val="center"/>
      </w:pPr>
    </w:p>
    <w:p w:rsidR="00685069" w:rsidRPr="004C7830" w:rsidRDefault="0573F57A" w:rsidP="005C6380">
      <w:pPr>
        <w:pStyle w:val="ListParagraph"/>
        <w:numPr>
          <w:ilvl w:val="0"/>
          <w:numId w:val="3"/>
        </w:numPr>
        <w:spacing w:after="240"/>
        <w:rPr>
          <w:rFonts w:asciiTheme="minorHAnsi" w:eastAsiaTheme="minorEastAsia" w:hAnsiTheme="minorHAnsi" w:cstheme="minorBidi"/>
        </w:rPr>
      </w:pPr>
      <w:r w:rsidRPr="004C7830">
        <w:rPr>
          <w:rFonts w:eastAsia="Arial" w:cs="Arial"/>
        </w:rPr>
        <w:t>The size bins refer to the number of students within LEA</w:t>
      </w:r>
      <w:r w:rsidR="00944A47" w:rsidRPr="004C7830">
        <w:rPr>
          <w:rFonts w:eastAsia="Arial" w:cs="Arial"/>
        </w:rPr>
        <w:t>s with growth scores in grades four</w:t>
      </w:r>
      <w:r w:rsidRPr="004C7830">
        <w:rPr>
          <w:rFonts w:eastAsia="Arial" w:cs="Arial"/>
        </w:rPr>
        <w:t xml:space="preserve"> </w:t>
      </w:r>
      <w:r w:rsidR="009A59BC" w:rsidRPr="004C7830">
        <w:rPr>
          <w:rFonts w:eastAsia="Arial" w:cs="Arial"/>
        </w:rPr>
        <w:t xml:space="preserve">through </w:t>
      </w:r>
      <w:r w:rsidR="00944A47" w:rsidRPr="004C7830">
        <w:rPr>
          <w:rFonts w:eastAsia="Arial" w:cs="Arial"/>
        </w:rPr>
        <w:t>eight</w:t>
      </w:r>
      <w:r w:rsidRPr="004C7830">
        <w:rPr>
          <w:rFonts w:eastAsia="Arial" w:cs="Arial"/>
        </w:rPr>
        <w:t xml:space="preserve"> in </w:t>
      </w:r>
      <w:r w:rsidRPr="004C7830">
        <w:rPr>
          <w:rFonts w:eastAsia="Arial" w:cs="Arial"/>
          <w:i/>
          <w:iCs/>
        </w:rPr>
        <w:t xml:space="preserve">both </w:t>
      </w:r>
      <w:r w:rsidRPr="004C7830">
        <w:rPr>
          <w:rFonts w:eastAsia="Arial" w:cs="Arial"/>
        </w:rPr>
        <w:t>201</w:t>
      </w:r>
      <w:r w:rsidR="009A59BC" w:rsidRPr="004C7830">
        <w:rPr>
          <w:rFonts w:eastAsia="Arial" w:cs="Arial"/>
        </w:rPr>
        <w:t>7</w:t>
      </w:r>
      <w:r w:rsidR="009A59BC" w:rsidRPr="004C7830">
        <w:rPr>
          <w:rFonts w:eastAsia="Arial" w:cs="Arial"/>
          <w:color w:val="000000" w:themeColor="text1"/>
        </w:rPr>
        <w:t>–1</w:t>
      </w:r>
      <w:r w:rsidRPr="004C7830">
        <w:rPr>
          <w:rFonts w:eastAsia="Arial" w:cs="Arial"/>
        </w:rPr>
        <w:t>8 and 201</w:t>
      </w:r>
      <w:r w:rsidR="009A59BC" w:rsidRPr="004C7830">
        <w:rPr>
          <w:rFonts w:eastAsia="Arial" w:cs="Arial"/>
        </w:rPr>
        <w:t>8</w:t>
      </w:r>
      <w:r w:rsidR="009A59BC" w:rsidRPr="004C7830">
        <w:rPr>
          <w:rFonts w:eastAsia="Arial" w:cs="Arial"/>
          <w:color w:val="000000" w:themeColor="text1"/>
        </w:rPr>
        <w:t>–1</w:t>
      </w:r>
      <w:r w:rsidRPr="004C7830">
        <w:rPr>
          <w:rFonts w:eastAsia="Arial" w:cs="Arial"/>
        </w:rPr>
        <w:t>9 for the student group and subject of interest (indicated in the first two columns). The number of LEAs in each bin is smaller than in Table 2 given</w:t>
      </w:r>
      <w:r w:rsidR="009A59BC" w:rsidRPr="004C7830">
        <w:rPr>
          <w:rFonts w:eastAsia="Arial" w:cs="Arial"/>
        </w:rPr>
        <w:t xml:space="preserve"> that</w:t>
      </w:r>
      <w:r w:rsidRPr="004C7830">
        <w:rPr>
          <w:rFonts w:eastAsia="Arial" w:cs="Arial"/>
        </w:rPr>
        <w:t xml:space="preserve"> not all LEAs have estimates in both years. </w:t>
      </w:r>
    </w:p>
    <w:p w:rsidR="002D6887" w:rsidRPr="004C7830" w:rsidRDefault="002D6887">
      <w:pPr>
        <w:rPr>
          <w:rFonts w:eastAsia="Arial" w:cs="Arial"/>
          <w:b/>
          <w:bCs/>
          <w:color w:val="000000" w:themeColor="text1"/>
          <w:sz w:val="32"/>
          <w:szCs w:val="32"/>
        </w:rPr>
      </w:pPr>
      <w:r w:rsidRPr="004C7830">
        <w:rPr>
          <w:rFonts w:eastAsia="Arial" w:cs="Arial"/>
          <w:b/>
          <w:bCs/>
          <w:color w:val="000000" w:themeColor="text1"/>
          <w:sz w:val="32"/>
          <w:szCs w:val="32"/>
        </w:rPr>
        <w:br w:type="page"/>
      </w:r>
    </w:p>
    <w:p w:rsidR="00685069" w:rsidRPr="004C7830" w:rsidRDefault="0573F57A" w:rsidP="00685069">
      <w:r w:rsidRPr="004C7830">
        <w:rPr>
          <w:rFonts w:eastAsia="Arial" w:cs="Arial"/>
          <w:b/>
          <w:bCs/>
          <w:color w:val="000000" w:themeColor="text1"/>
          <w:sz w:val="32"/>
          <w:szCs w:val="32"/>
        </w:rPr>
        <w:lastRenderedPageBreak/>
        <w:t>Research Question 3</w:t>
      </w:r>
    </w:p>
    <w:p w:rsidR="00685069" w:rsidRPr="004C7830" w:rsidRDefault="0093566F" w:rsidP="00AA7C92">
      <w:pPr>
        <w:spacing w:after="240"/>
      </w:pPr>
      <w:r w:rsidRPr="004C7830">
        <w:rPr>
          <w:rFonts w:eastAsia="Arial" w:cs="Arial"/>
          <w:i/>
          <w:iCs/>
          <w:color w:val="000000" w:themeColor="text1"/>
        </w:rPr>
        <w:br/>
      </w:r>
      <w:r w:rsidR="0573F57A" w:rsidRPr="004C7830">
        <w:rPr>
          <w:rFonts w:eastAsia="Arial" w:cs="Arial"/>
          <w:i/>
          <w:iCs/>
          <w:color w:val="000000" w:themeColor="text1"/>
        </w:rPr>
        <w:t xml:space="preserve">To what extent does using </w:t>
      </w:r>
      <w:r w:rsidR="0573F57A" w:rsidRPr="004C7830">
        <w:rPr>
          <w:rFonts w:eastAsia="Arial" w:cs="Arial"/>
          <w:b/>
          <w:i/>
          <w:iCs/>
          <w:color w:val="000000" w:themeColor="text1"/>
        </w:rPr>
        <w:t>two versus three years</w:t>
      </w:r>
      <w:r w:rsidR="0573F57A" w:rsidRPr="004C7830">
        <w:rPr>
          <w:rFonts w:eastAsia="Arial" w:cs="Arial"/>
          <w:i/>
          <w:iCs/>
          <w:color w:val="000000" w:themeColor="text1"/>
        </w:rPr>
        <w:t xml:space="preserve"> in the estimation of the EBLP weighted average impact its comparability with the simple average and its gain in stability and accuracy? </w:t>
      </w:r>
      <w:r w:rsidR="00AA7C92" w:rsidRPr="004C7830">
        <w:rPr>
          <w:rFonts w:eastAsia="Arial" w:cs="Arial"/>
          <w:i/>
          <w:iCs/>
          <w:color w:val="000000" w:themeColor="text1"/>
        </w:rPr>
        <w:br/>
      </w:r>
      <w:r w:rsidR="00AA7C92" w:rsidRPr="004C7830">
        <w:rPr>
          <w:rFonts w:eastAsia="Arial" w:cs="Arial"/>
          <w:i/>
          <w:iCs/>
          <w:color w:val="000000" w:themeColor="text1"/>
        </w:rPr>
        <w:br/>
      </w:r>
      <w:r w:rsidR="0573F57A" w:rsidRPr="004C7830">
        <w:rPr>
          <w:rFonts w:eastAsia="Arial" w:cs="Arial"/>
          <w:color w:val="000000" w:themeColor="text1"/>
        </w:rPr>
        <w:t xml:space="preserve">There were minimal differences in using the </w:t>
      </w:r>
      <w:r w:rsidRPr="004C7830">
        <w:rPr>
          <w:rFonts w:eastAsia="Arial" w:cs="Arial"/>
          <w:color w:val="000000" w:themeColor="text1"/>
        </w:rPr>
        <w:t>three</w:t>
      </w:r>
      <w:r w:rsidR="0573F57A" w:rsidRPr="004C7830">
        <w:rPr>
          <w:rFonts w:eastAsia="Arial" w:cs="Arial"/>
          <w:color w:val="000000" w:themeColor="text1"/>
        </w:rPr>
        <w:t>-year EBLP weighted average (that uses student growth data from the 2015</w:t>
      </w:r>
      <w:r w:rsidR="00164F72" w:rsidRPr="004C7830">
        <w:rPr>
          <w:rFonts w:eastAsia="Arial" w:cs="Arial"/>
          <w:color w:val="000000" w:themeColor="text1"/>
        </w:rPr>
        <w:t>–</w:t>
      </w:r>
      <w:r w:rsidR="0573F57A" w:rsidRPr="004C7830">
        <w:rPr>
          <w:rFonts w:eastAsia="Arial" w:cs="Arial"/>
          <w:color w:val="000000" w:themeColor="text1"/>
        </w:rPr>
        <w:t>16, 2017</w:t>
      </w:r>
      <w:r w:rsidR="00164F72" w:rsidRPr="004C7830">
        <w:rPr>
          <w:rFonts w:eastAsia="Arial" w:cs="Arial"/>
          <w:color w:val="000000" w:themeColor="text1"/>
        </w:rPr>
        <w:t>–</w:t>
      </w:r>
      <w:r w:rsidR="0573F57A" w:rsidRPr="004C7830">
        <w:rPr>
          <w:rFonts w:eastAsia="Arial" w:cs="Arial"/>
          <w:color w:val="000000" w:themeColor="text1"/>
        </w:rPr>
        <w:t>18, and 2018</w:t>
      </w:r>
      <w:r w:rsidR="00164F72" w:rsidRPr="004C7830">
        <w:rPr>
          <w:rFonts w:eastAsia="Arial" w:cs="Arial"/>
          <w:color w:val="000000" w:themeColor="text1"/>
        </w:rPr>
        <w:t>–</w:t>
      </w:r>
      <w:r w:rsidR="0573F57A" w:rsidRPr="004C7830">
        <w:rPr>
          <w:rFonts w:eastAsia="Arial" w:cs="Arial"/>
          <w:color w:val="000000" w:themeColor="text1"/>
        </w:rPr>
        <w:t xml:space="preserve">19 school years) in place of the </w:t>
      </w:r>
      <w:r w:rsidRPr="004C7830">
        <w:rPr>
          <w:rFonts w:eastAsia="Arial" w:cs="Arial"/>
          <w:color w:val="000000" w:themeColor="text1"/>
        </w:rPr>
        <w:t>two</w:t>
      </w:r>
      <w:r w:rsidR="0573F57A" w:rsidRPr="004C7830">
        <w:rPr>
          <w:rFonts w:eastAsia="Arial" w:cs="Arial"/>
          <w:color w:val="000000" w:themeColor="text1"/>
        </w:rPr>
        <w:t>-year EBLP weighted average (that uses student growth data from 2017</w:t>
      </w:r>
      <w:r w:rsidR="00FE54C5" w:rsidRPr="004C7830">
        <w:rPr>
          <w:rFonts w:eastAsia="Arial" w:cs="Arial"/>
          <w:color w:val="000000" w:themeColor="text1"/>
        </w:rPr>
        <w:t>–</w:t>
      </w:r>
      <w:r w:rsidR="0573F57A" w:rsidRPr="004C7830">
        <w:rPr>
          <w:rFonts w:eastAsia="Arial" w:cs="Arial"/>
          <w:color w:val="000000" w:themeColor="text1"/>
        </w:rPr>
        <w:t>18 and 2018</w:t>
      </w:r>
      <w:r w:rsidR="00FE54C5" w:rsidRPr="004C7830">
        <w:rPr>
          <w:rFonts w:eastAsia="Arial" w:cs="Arial"/>
          <w:color w:val="000000" w:themeColor="text1"/>
        </w:rPr>
        <w:t>–</w:t>
      </w:r>
      <w:r w:rsidR="0573F57A" w:rsidRPr="004C7830">
        <w:rPr>
          <w:rFonts w:eastAsia="Arial" w:cs="Arial"/>
          <w:color w:val="000000" w:themeColor="text1"/>
        </w:rPr>
        <w:t xml:space="preserve">19). The accuracy and the cross-year correlation of the </w:t>
      </w:r>
      <w:r w:rsidR="00516DC8" w:rsidRPr="004C7830">
        <w:rPr>
          <w:rFonts w:eastAsia="Arial" w:cs="Arial"/>
          <w:color w:val="000000" w:themeColor="text1"/>
        </w:rPr>
        <w:t>three</w:t>
      </w:r>
      <w:r w:rsidR="0573F57A" w:rsidRPr="004C7830">
        <w:rPr>
          <w:rFonts w:eastAsia="Arial" w:cs="Arial"/>
          <w:color w:val="000000" w:themeColor="text1"/>
        </w:rPr>
        <w:t xml:space="preserve">-year EBLP weighted averages were very similar to the </w:t>
      </w:r>
      <w:r w:rsidRPr="004C7830">
        <w:rPr>
          <w:rFonts w:eastAsia="Arial" w:cs="Arial"/>
          <w:color w:val="000000" w:themeColor="text1"/>
        </w:rPr>
        <w:t>two</w:t>
      </w:r>
      <w:r w:rsidR="0573F57A" w:rsidRPr="004C7830">
        <w:rPr>
          <w:rFonts w:eastAsia="Arial" w:cs="Arial"/>
          <w:color w:val="000000" w:themeColor="text1"/>
        </w:rPr>
        <w:t xml:space="preserve">-year EBLP weighed averages. This was true for both schools and LEAs and all the subjects and student groups considered in the study. The most notable difference was </w:t>
      </w:r>
      <w:r w:rsidRPr="004C7830">
        <w:rPr>
          <w:rFonts w:eastAsia="Arial" w:cs="Arial"/>
          <w:color w:val="000000" w:themeColor="text1"/>
        </w:rPr>
        <w:t xml:space="preserve">a </w:t>
      </w:r>
      <w:r w:rsidR="0573F57A" w:rsidRPr="004C7830">
        <w:rPr>
          <w:rFonts w:eastAsia="Arial" w:cs="Arial"/>
          <w:color w:val="000000" w:themeColor="text1"/>
        </w:rPr>
        <w:t xml:space="preserve">modest improvement to the accuracy of the </w:t>
      </w:r>
      <w:r w:rsidRPr="004C7830">
        <w:rPr>
          <w:rFonts w:eastAsia="Arial" w:cs="Arial"/>
          <w:color w:val="000000" w:themeColor="text1"/>
        </w:rPr>
        <w:t>three</w:t>
      </w:r>
      <w:r w:rsidR="0573F57A" w:rsidRPr="004C7830">
        <w:rPr>
          <w:rFonts w:eastAsia="Arial" w:cs="Arial"/>
          <w:color w:val="000000" w:themeColor="text1"/>
        </w:rPr>
        <w:t xml:space="preserve">-year EBLP weighted average compared to the </w:t>
      </w:r>
      <w:r w:rsidRPr="004C7830">
        <w:rPr>
          <w:rFonts w:eastAsia="Arial" w:cs="Arial"/>
          <w:color w:val="000000" w:themeColor="text1"/>
        </w:rPr>
        <w:t>two</w:t>
      </w:r>
      <w:r w:rsidR="0573F57A" w:rsidRPr="004C7830">
        <w:rPr>
          <w:rFonts w:eastAsia="Arial" w:cs="Arial"/>
          <w:color w:val="000000" w:themeColor="text1"/>
        </w:rPr>
        <w:t>-year EBLP for smaller schools.</w:t>
      </w:r>
    </w:p>
    <w:p w:rsidR="00685069" w:rsidRPr="004C7830" w:rsidRDefault="0573F57A" w:rsidP="4CA4A074">
      <w:pPr>
        <w:pStyle w:val="Heading3"/>
      </w:pPr>
      <w:r w:rsidRPr="004C7830">
        <w:rPr>
          <w:rFonts w:eastAsia="Arial" w:cs="Arial"/>
          <w:color w:val="000000" w:themeColor="text1"/>
          <w:sz w:val="32"/>
          <w:szCs w:val="32"/>
        </w:rPr>
        <w:t>Summary</w:t>
      </w:r>
      <w:r w:rsidRPr="004C7830">
        <w:rPr>
          <w:rFonts w:eastAsia="Arial" w:cs="Arial"/>
          <w:b w:val="0"/>
          <w:color w:val="000000" w:themeColor="text1"/>
          <w:sz w:val="32"/>
          <w:szCs w:val="32"/>
        </w:rPr>
        <w:t xml:space="preserve"> </w:t>
      </w:r>
    </w:p>
    <w:p w:rsidR="00685069" w:rsidRPr="004C7830" w:rsidRDefault="0573F57A" w:rsidP="00685069">
      <w:pPr>
        <w:rPr>
          <w:rFonts w:eastAsia="Arial" w:cs="Arial"/>
          <w:color w:val="000000" w:themeColor="text1"/>
        </w:rPr>
      </w:pPr>
      <w:r w:rsidRPr="004C7830">
        <w:rPr>
          <w:rFonts w:eastAsia="Arial" w:cs="Arial"/>
          <w:color w:val="000000" w:themeColor="text1"/>
        </w:rPr>
        <w:t>Overall, the EBLP weighted average outperformed the simple average in terms of improved accuracy and cross-year stability for small and large schools. For LEAs, the EBLP weighted average outperformed the simple average in terms of cross</w:t>
      </w:r>
      <w:r w:rsidR="0093566F" w:rsidRPr="004C7830">
        <w:rPr>
          <w:rFonts w:eastAsia="Arial" w:cs="Arial"/>
          <w:color w:val="000000" w:themeColor="text1"/>
        </w:rPr>
        <w:t xml:space="preserve"> </w:t>
      </w:r>
      <w:r w:rsidRPr="004C7830">
        <w:rPr>
          <w:rFonts w:eastAsia="Arial" w:cs="Arial"/>
          <w:color w:val="000000" w:themeColor="text1"/>
        </w:rPr>
        <w:t xml:space="preserve">year stability for both small and large schools but </w:t>
      </w:r>
      <w:r w:rsidR="0093566F" w:rsidRPr="004C7830">
        <w:rPr>
          <w:rFonts w:eastAsia="Arial" w:cs="Arial"/>
          <w:color w:val="000000" w:themeColor="text1"/>
        </w:rPr>
        <w:t xml:space="preserve">outperformed </w:t>
      </w:r>
      <w:r w:rsidRPr="004C7830">
        <w:rPr>
          <w:rFonts w:eastAsia="Arial" w:cs="Arial"/>
          <w:color w:val="000000" w:themeColor="text1"/>
        </w:rPr>
        <w:t xml:space="preserve">in terms of accuracy only for small LEAs. </w:t>
      </w:r>
      <w:r w:rsidR="00AA7C92" w:rsidRPr="004C7830">
        <w:rPr>
          <w:rFonts w:eastAsia="Arial" w:cs="Arial"/>
          <w:color w:val="000000" w:themeColor="text1"/>
        </w:rPr>
        <w:br/>
      </w:r>
      <w:r w:rsidR="00AA7C92" w:rsidRPr="004C7830">
        <w:rPr>
          <w:rFonts w:eastAsia="Arial" w:cs="Arial"/>
          <w:color w:val="000000" w:themeColor="text1"/>
        </w:rPr>
        <w:br/>
      </w:r>
      <w:r w:rsidRPr="004C7830">
        <w:rPr>
          <w:rFonts w:eastAsia="Arial" w:cs="Arial"/>
          <w:color w:val="000000" w:themeColor="text1"/>
        </w:rPr>
        <w:t>Specifically, across the research questions, the study found the following for schools (across the three student groups studied):</w:t>
      </w:r>
    </w:p>
    <w:p w:rsidR="00311117" w:rsidRPr="004C7830" w:rsidRDefault="00311117" w:rsidP="00685069"/>
    <w:p w:rsidR="00DA5324" w:rsidRPr="004C7830" w:rsidRDefault="0573F57A" w:rsidP="005C6380">
      <w:pPr>
        <w:pStyle w:val="ListParagraph"/>
        <w:numPr>
          <w:ilvl w:val="0"/>
          <w:numId w:val="2"/>
        </w:numPr>
        <w:spacing w:after="240"/>
        <w:rPr>
          <w:rFonts w:asciiTheme="minorHAnsi" w:eastAsiaTheme="minorEastAsia" w:hAnsiTheme="minorHAnsi" w:cstheme="minorBidi"/>
        </w:rPr>
      </w:pPr>
      <w:r w:rsidRPr="004C7830">
        <w:rPr>
          <w:rFonts w:eastAsia="Arial" w:cs="Arial"/>
        </w:rPr>
        <w:t xml:space="preserve">The </w:t>
      </w:r>
      <w:r w:rsidR="0093566F" w:rsidRPr="004C7830">
        <w:rPr>
          <w:rFonts w:eastAsia="Arial" w:cs="Arial"/>
        </w:rPr>
        <w:t>two</w:t>
      </w:r>
      <w:r w:rsidRPr="004C7830">
        <w:rPr>
          <w:rFonts w:eastAsia="Arial" w:cs="Arial"/>
        </w:rPr>
        <w:t>-year EBLP weighted averages are more accurate than the simple averages for almost every school, with smaller schools having larger improvements in accuracy than larger schools.</w:t>
      </w:r>
    </w:p>
    <w:p w:rsidR="00DA5324" w:rsidRPr="004C7830" w:rsidRDefault="00DA5324" w:rsidP="005C6380">
      <w:pPr>
        <w:pStyle w:val="ListParagraph"/>
        <w:spacing w:after="240"/>
        <w:rPr>
          <w:rFonts w:asciiTheme="minorHAnsi" w:eastAsiaTheme="minorEastAsia" w:hAnsiTheme="minorHAnsi" w:cstheme="minorBidi"/>
        </w:rPr>
      </w:pPr>
    </w:p>
    <w:p w:rsidR="00685069" w:rsidRPr="004C7830" w:rsidRDefault="0573F57A" w:rsidP="4CA4A074">
      <w:pPr>
        <w:pStyle w:val="ListParagraph"/>
        <w:numPr>
          <w:ilvl w:val="0"/>
          <w:numId w:val="2"/>
        </w:numPr>
        <w:rPr>
          <w:rFonts w:asciiTheme="minorHAnsi" w:eastAsiaTheme="minorEastAsia" w:hAnsiTheme="minorHAnsi" w:cstheme="minorBidi"/>
        </w:rPr>
      </w:pPr>
      <w:r w:rsidRPr="004C7830">
        <w:rPr>
          <w:rFonts w:eastAsia="Arial" w:cs="Arial"/>
        </w:rPr>
        <w:t xml:space="preserve">The </w:t>
      </w:r>
      <w:r w:rsidR="0093566F" w:rsidRPr="004C7830">
        <w:rPr>
          <w:rFonts w:eastAsia="Arial" w:cs="Arial"/>
        </w:rPr>
        <w:t>two</w:t>
      </w:r>
      <w:r w:rsidRPr="004C7830">
        <w:rPr>
          <w:rFonts w:eastAsia="Arial" w:cs="Arial"/>
        </w:rPr>
        <w:t>-year EBLP weighted averages increase cross-year correlations for all school sizes compared to the simple average, with largest increases for smaller schools, resulting in more comparable cross-year correlations across school size using the EBLP over the simple average.</w:t>
      </w:r>
    </w:p>
    <w:p w:rsidR="00DA5324" w:rsidRPr="004C7830" w:rsidRDefault="00DA5324" w:rsidP="005C6380">
      <w:pPr>
        <w:pStyle w:val="ListParagraph"/>
        <w:rPr>
          <w:rFonts w:asciiTheme="minorHAnsi" w:eastAsiaTheme="minorEastAsia" w:hAnsiTheme="minorHAnsi" w:cstheme="minorBidi"/>
        </w:rPr>
      </w:pPr>
    </w:p>
    <w:p w:rsidR="00685069" w:rsidRPr="004C7830" w:rsidRDefault="0573F57A" w:rsidP="4CA4A074">
      <w:pPr>
        <w:pStyle w:val="ListParagraph"/>
        <w:numPr>
          <w:ilvl w:val="0"/>
          <w:numId w:val="2"/>
        </w:numPr>
        <w:rPr>
          <w:rFonts w:asciiTheme="minorHAnsi" w:eastAsiaTheme="minorEastAsia" w:hAnsiTheme="minorHAnsi" w:cstheme="minorBidi"/>
        </w:rPr>
      </w:pPr>
      <w:r w:rsidRPr="004C7830">
        <w:rPr>
          <w:rFonts w:eastAsia="Arial" w:cs="Arial"/>
        </w:rPr>
        <w:t xml:space="preserve">The advantages of EBLP weighted averages, </w:t>
      </w:r>
      <w:r w:rsidR="0093566F" w:rsidRPr="004C7830">
        <w:rPr>
          <w:rFonts w:eastAsia="Arial" w:cs="Arial"/>
        </w:rPr>
        <w:t>such as</w:t>
      </w:r>
      <w:r w:rsidRPr="004C7830">
        <w:rPr>
          <w:rFonts w:eastAsia="Arial" w:cs="Arial"/>
        </w:rPr>
        <w:t xml:space="preserve"> improved accuracy and greater stability, are more pronounced when restricting to the SED and SWD student groups than for </w:t>
      </w:r>
      <w:r w:rsidR="0093566F" w:rsidRPr="004C7830">
        <w:rPr>
          <w:rFonts w:eastAsia="Arial" w:cs="Arial"/>
        </w:rPr>
        <w:t>a</w:t>
      </w:r>
      <w:r w:rsidRPr="004C7830">
        <w:rPr>
          <w:rFonts w:eastAsia="Arial" w:cs="Arial"/>
        </w:rPr>
        <w:t xml:space="preserve">ll students. </w:t>
      </w:r>
    </w:p>
    <w:p w:rsidR="00DA5324" w:rsidRPr="004C7830" w:rsidRDefault="00DA5324" w:rsidP="005C6380">
      <w:pPr>
        <w:pStyle w:val="ListParagraph"/>
        <w:rPr>
          <w:rFonts w:asciiTheme="minorHAnsi" w:eastAsiaTheme="minorEastAsia" w:hAnsiTheme="minorHAnsi" w:cstheme="minorBidi"/>
        </w:rPr>
      </w:pPr>
    </w:p>
    <w:p w:rsidR="00685069" w:rsidRPr="004C7830" w:rsidRDefault="0573F57A" w:rsidP="4CA4A074">
      <w:pPr>
        <w:pStyle w:val="ListParagraph"/>
        <w:numPr>
          <w:ilvl w:val="0"/>
          <w:numId w:val="2"/>
        </w:numPr>
        <w:rPr>
          <w:rFonts w:asciiTheme="minorHAnsi" w:eastAsiaTheme="minorEastAsia" w:hAnsiTheme="minorHAnsi" w:cstheme="minorBidi"/>
        </w:rPr>
      </w:pPr>
      <w:r w:rsidRPr="004C7830">
        <w:rPr>
          <w:rFonts w:eastAsia="Arial" w:cs="Arial"/>
        </w:rPr>
        <w:t xml:space="preserve">There </w:t>
      </w:r>
      <w:r w:rsidR="0093566F" w:rsidRPr="004C7830">
        <w:rPr>
          <w:rFonts w:eastAsia="Arial" w:cs="Arial"/>
        </w:rPr>
        <w:t>are</w:t>
      </w:r>
      <w:r w:rsidRPr="004C7830">
        <w:rPr>
          <w:rFonts w:eastAsia="Arial" w:cs="Arial"/>
        </w:rPr>
        <w:t xml:space="preserve"> minimal differences in using the </w:t>
      </w:r>
      <w:r w:rsidR="0093566F" w:rsidRPr="004C7830">
        <w:rPr>
          <w:rFonts w:eastAsia="Arial" w:cs="Arial"/>
        </w:rPr>
        <w:t>three</w:t>
      </w:r>
      <w:r w:rsidRPr="004C7830">
        <w:rPr>
          <w:rFonts w:eastAsia="Arial" w:cs="Arial"/>
        </w:rPr>
        <w:t xml:space="preserve">-year EBLP weighted average in place of the </w:t>
      </w:r>
      <w:r w:rsidR="0093566F" w:rsidRPr="004C7830">
        <w:rPr>
          <w:rFonts w:eastAsia="Arial" w:cs="Arial"/>
        </w:rPr>
        <w:t>two</w:t>
      </w:r>
      <w:r w:rsidRPr="004C7830">
        <w:rPr>
          <w:rFonts w:eastAsia="Arial" w:cs="Arial"/>
        </w:rPr>
        <w:t xml:space="preserve">-year EBLP weighted average. The most notable difference </w:t>
      </w:r>
      <w:r w:rsidR="0093566F" w:rsidRPr="004C7830">
        <w:rPr>
          <w:rFonts w:eastAsia="Arial" w:cs="Arial"/>
        </w:rPr>
        <w:t>is</w:t>
      </w:r>
      <w:r w:rsidRPr="004C7830">
        <w:rPr>
          <w:rFonts w:eastAsia="Arial" w:cs="Arial"/>
        </w:rPr>
        <w:t xml:space="preserve"> improved accuracy of the </w:t>
      </w:r>
      <w:r w:rsidR="0093566F" w:rsidRPr="004C7830">
        <w:rPr>
          <w:rFonts w:eastAsia="Arial" w:cs="Arial"/>
        </w:rPr>
        <w:t>three</w:t>
      </w:r>
      <w:r w:rsidRPr="004C7830">
        <w:rPr>
          <w:rFonts w:eastAsia="Arial" w:cs="Arial"/>
        </w:rPr>
        <w:t>-year EBLP weighted average for smaller schools.</w:t>
      </w:r>
    </w:p>
    <w:p w:rsidR="00676E96" w:rsidRPr="004C7830" w:rsidRDefault="00676E96" w:rsidP="00F05F52">
      <w:pPr>
        <w:ind w:firstLine="720"/>
        <w:rPr>
          <w:rFonts w:eastAsia="Arial" w:cs="Arial"/>
          <w:color w:val="000000" w:themeColor="text1"/>
        </w:rPr>
      </w:pPr>
    </w:p>
    <w:p w:rsidR="00DA5324" w:rsidRPr="004C7830" w:rsidRDefault="00F05F52" w:rsidP="00676E96">
      <w:pPr>
        <w:rPr>
          <w:rFonts w:eastAsia="Arial" w:cs="Arial"/>
          <w:color w:val="000000" w:themeColor="text1"/>
        </w:rPr>
      </w:pPr>
      <w:r w:rsidRPr="004C7830">
        <w:rPr>
          <w:rFonts w:eastAsia="Arial" w:cs="Arial"/>
          <w:color w:val="000000" w:themeColor="text1"/>
        </w:rPr>
        <w:lastRenderedPageBreak/>
        <w:t>For LEAs (across the three student groups studied), the study found:</w:t>
      </w:r>
    </w:p>
    <w:p w:rsidR="00F05F52" w:rsidRPr="004C7830" w:rsidRDefault="00F05F52" w:rsidP="00676E96"/>
    <w:p w:rsidR="00685069" w:rsidRPr="004C7830" w:rsidRDefault="0573F57A" w:rsidP="002A4DFB">
      <w:pPr>
        <w:pStyle w:val="ListParagraph"/>
        <w:numPr>
          <w:ilvl w:val="0"/>
          <w:numId w:val="1"/>
        </w:numPr>
        <w:rPr>
          <w:rFonts w:asciiTheme="minorHAnsi" w:eastAsiaTheme="minorEastAsia" w:hAnsiTheme="minorHAnsi" w:cstheme="minorBidi"/>
        </w:rPr>
      </w:pPr>
      <w:r w:rsidRPr="004C7830">
        <w:rPr>
          <w:rFonts w:eastAsia="Arial" w:cs="Arial"/>
        </w:rPr>
        <w:t xml:space="preserve">For all smaller LEAs, the </w:t>
      </w:r>
      <w:r w:rsidR="0093566F" w:rsidRPr="004C7830">
        <w:rPr>
          <w:rFonts w:eastAsia="Arial" w:cs="Arial"/>
        </w:rPr>
        <w:t>two</w:t>
      </w:r>
      <w:r w:rsidRPr="004C7830">
        <w:rPr>
          <w:rFonts w:eastAsia="Arial" w:cs="Arial"/>
        </w:rPr>
        <w:t>-year EBLP weighted average is more accurate than the simple average. However, for a sizeable proportion of larger LEAs, the EBLP weighted average is less accurate than the simple average. This is because the simple average is already very accurate for larger LEAs. Thus, EBLP weighted averages</w:t>
      </w:r>
      <w:r w:rsidR="00E757E2" w:rsidRPr="004C7830">
        <w:rPr>
          <w:rFonts w:eastAsia="Arial" w:cs="Arial"/>
        </w:rPr>
        <w:t>,</w:t>
      </w:r>
      <w:r w:rsidRPr="004C7830">
        <w:rPr>
          <w:rFonts w:eastAsia="Arial" w:cs="Arial"/>
        </w:rPr>
        <w:t xml:space="preserve"> at best</w:t>
      </w:r>
      <w:r w:rsidR="00E757E2" w:rsidRPr="004C7830">
        <w:rPr>
          <w:rFonts w:eastAsia="Arial" w:cs="Arial"/>
        </w:rPr>
        <w:t>,</w:t>
      </w:r>
      <w:r w:rsidRPr="004C7830">
        <w:rPr>
          <w:rFonts w:eastAsia="Arial" w:cs="Arial"/>
        </w:rPr>
        <w:t xml:space="preserve"> have limited ability to improve accuracy, and the imprecision in the EBLP weights arising from the relatively small number of LEAs (compared to the number of schools) leads to loss of accuracy for large LEAs.</w:t>
      </w:r>
    </w:p>
    <w:p w:rsidR="005219BB" w:rsidRPr="004C7830" w:rsidRDefault="005219BB" w:rsidP="005219BB">
      <w:pPr>
        <w:pStyle w:val="ListParagraph"/>
        <w:rPr>
          <w:rFonts w:asciiTheme="minorHAnsi" w:eastAsiaTheme="minorEastAsia" w:hAnsiTheme="minorHAnsi" w:cstheme="minorBidi"/>
        </w:rPr>
      </w:pPr>
    </w:p>
    <w:p w:rsidR="00676E96" w:rsidRPr="004C7830" w:rsidRDefault="0573F57A" w:rsidP="00676E96">
      <w:pPr>
        <w:pStyle w:val="ListParagraph"/>
        <w:numPr>
          <w:ilvl w:val="0"/>
          <w:numId w:val="1"/>
        </w:numPr>
        <w:rPr>
          <w:rFonts w:asciiTheme="minorHAnsi" w:eastAsiaTheme="minorEastAsia" w:hAnsiTheme="minorHAnsi" w:cstheme="minorBidi"/>
        </w:rPr>
      </w:pPr>
      <w:r w:rsidRPr="004C7830">
        <w:rPr>
          <w:rFonts w:eastAsia="Arial" w:cs="Arial"/>
        </w:rPr>
        <w:t xml:space="preserve">The </w:t>
      </w:r>
      <w:r w:rsidR="00E757E2" w:rsidRPr="004C7830">
        <w:rPr>
          <w:rFonts w:eastAsia="Arial" w:cs="Arial"/>
        </w:rPr>
        <w:t>two</w:t>
      </w:r>
      <w:r w:rsidRPr="004C7830">
        <w:rPr>
          <w:rFonts w:eastAsia="Arial" w:cs="Arial"/>
        </w:rPr>
        <w:t>-year EBLP weighted average increase</w:t>
      </w:r>
      <w:r w:rsidR="00E757E2" w:rsidRPr="004C7830">
        <w:rPr>
          <w:rFonts w:eastAsia="Arial" w:cs="Arial"/>
        </w:rPr>
        <w:t>s</w:t>
      </w:r>
      <w:r w:rsidRPr="004C7830">
        <w:rPr>
          <w:rFonts w:eastAsia="Arial" w:cs="Arial"/>
        </w:rPr>
        <w:t xml:space="preserve"> cross-year correlations for all LEA sizes compared to the simple average, with</w:t>
      </w:r>
      <w:r w:rsidR="00E757E2" w:rsidRPr="004C7830">
        <w:rPr>
          <w:rFonts w:eastAsia="Arial" w:cs="Arial"/>
        </w:rPr>
        <w:t xml:space="preserve"> the</w:t>
      </w:r>
      <w:r w:rsidRPr="004C7830">
        <w:rPr>
          <w:rFonts w:eastAsia="Arial" w:cs="Arial"/>
        </w:rPr>
        <w:t xml:space="preserve"> largest increases for smaller LEAs. Consequently, the cross-year correlations for the EBLP weighted average are much more similar across LEA size than the simple averages.</w:t>
      </w:r>
    </w:p>
    <w:p w:rsidR="00685069" w:rsidRPr="004C7830" w:rsidRDefault="00685069" w:rsidP="005C6380">
      <w:pPr>
        <w:rPr>
          <w:rFonts w:asciiTheme="minorHAnsi" w:eastAsiaTheme="minorEastAsia" w:hAnsiTheme="minorHAnsi" w:cstheme="minorBidi"/>
        </w:rPr>
      </w:pPr>
    </w:p>
    <w:p w:rsidR="00685069" w:rsidRPr="004C7830" w:rsidRDefault="0573F57A" w:rsidP="4CA4A074">
      <w:pPr>
        <w:pStyle w:val="ListParagraph"/>
        <w:numPr>
          <w:ilvl w:val="0"/>
          <w:numId w:val="1"/>
        </w:numPr>
        <w:rPr>
          <w:rFonts w:asciiTheme="minorHAnsi" w:eastAsiaTheme="minorEastAsia" w:hAnsiTheme="minorHAnsi" w:cstheme="minorBidi"/>
        </w:rPr>
      </w:pPr>
      <w:r w:rsidRPr="004C7830">
        <w:rPr>
          <w:rFonts w:eastAsia="Arial" w:cs="Arial"/>
        </w:rPr>
        <w:t xml:space="preserve">There </w:t>
      </w:r>
      <w:r w:rsidR="00E757E2" w:rsidRPr="004C7830">
        <w:rPr>
          <w:rFonts w:eastAsia="Arial" w:cs="Arial"/>
        </w:rPr>
        <w:t>are</w:t>
      </w:r>
      <w:r w:rsidRPr="004C7830">
        <w:rPr>
          <w:rFonts w:eastAsia="Arial" w:cs="Arial"/>
        </w:rPr>
        <w:t xml:space="preserve"> minimal differences in using the </w:t>
      </w:r>
      <w:r w:rsidR="00E757E2" w:rsidRPr="004C7830">
        <w:rPr>
          <w:rFonts w:eastAsia="Arial" w:cs="Arial"/>
        </w:rPr>
        <w:t>three</w:t>
      </w:r>
      <w:r w:rsidRPr="004C7830">
        <w:rPr>
          <w:rFonts w:eastAsia="Arial" w:cs="Arial"/>
        </w:rPr>
        <w:t xml:space="preserve">-year EBLP weighted average in place of the </w:t>
      </w:r>
      <w:r w:rsidR="00E757E2" w:rsidRPr="004C7830">
        <w:rPr>
          <w:rFonts w:eastAsia="Arial" w:cs="Arial"/>
        </w:rPr>
        <w:t>two</w:t>
      </w:r>
      <w:r w:rsidRPr="004C7830">
        <w:rPr>
          <w:rFonts w:eastAsia="Arial" w:cs="Arial"/>
        </w:rPr>
        <w:t>-year EBLP weighted average for LEAs.</w:t>
      </w:r>
    </w:p>
    <w:p w:rsidR="39AE16E4" w:rsidRPr="004C7830" w:rsidRDefault="39AE16E4" w:rsidP="6AD48670">
      <w:pPr>
        <w:pStyle w:val="Heading2"/>
        <w:rPr>
          <w:rFonts w:eastAsia="Arial" w:cs="Arial"/>
          <w:sz w:val="32"/>
          <w:szCs w:val="32"/>
        </w:rPr>
      </w:pPr>
      <w:r w:rsidRPr="004C7830">
        <w:rPr>
          <w:rFonts w:eastAsia="Arial" w:cs="Arial"/>
          <w:sz w:val="32"/>
          <w:szCs w:val="32"/>
        </w:rPr>
        <w:t>Stakeholder Input</w:t>
      </w:r>
    </w:p>
    <w:p w:rsidR="39AE16E4" w:rsidRPr="004C7830" w:rsidRDefault="39AE16E4" w:rsidP="00BD6C1A">
      <w:pPr>
        <w:rPr>
          <w:rFonts w:eastAsia="Arial" w:cs="Arial"/>
        </w:rPr>
      </w:pPr>
      <w:r w:rsidRPr="004C7830">
        <w:rPr>
          <w:rFonts w:eastAsia="Arial" w:cs="Arial"/>
        </w:rPr>
        <w:t>ETS and the CDE presented the preliminary EBLP model data to the Technical Design Group (TDG) on August 1</w:t>
      </w:r>
      <w:r w:rsidR="5135E0C5" w:rsidRPr="004C7830">
        <w:rPr>
          <w:rFonts w:eastAsia="Arial" w:cs="Arial"/>
        </w:rPr>
        <w:t>1</w:t>
      </w:r>
      <w:r w:rsidRPr="004C7830">
        <w:rPr>
          <w:rFonts w:eastAsia="Arial" w:cs="Arial"/>
        </w:rPr>
        <w:t>, 2020</w:t>
      </w:r>
      <w:r w:rsidR="009C47C0" w:rsidRPr="004C7830">
        <w:rPr>
          <w:rFonts w:eastAsia="Arial" w:cs="Arial"/>
        </w:rPr>
        <w:t>,</w:t>
      </w:r>
      <w:r w:rsidR="00E42FE3" w:rsidRPr="004C7830">
        <w:rPr>
          <w:rFonts w:eastAsia="Arial" w:cs="Arial"/>
        </w:rPr>
        <w:t xml:space="preserve"> and</w:t>
      </w:r>
      <w:r w:rsidRPr="004C7830">
        <w:rPr>
          <w:rFonts w:eastAsia="Arial" w:cs="Arial"/>
        </w:rPr>
        <w:t xml:space="preserve"> </w:t>
      </w:r>
      <w:r w:rsidR="00DA0B84" w:rsidRPr="004C7830">
        <w:rPr>
          <w:rFonts w:eastAsia="Arial" w:cs="Arial"/>
        </w:rPr>
        <w:t xml:space="preserve">CDE presented </w:t>
      </w:r>
      <w:r w:rsidRPr="004C7830">
        <w:rPr>
          <w:rFonts w:eastAsia="Arial" w:cs="Arial"/>
        </w:rPr>
        <w:t>to the California Practitioners Advisory Group (CPAG) on August 14, 2020.</w:t>
      </w:r>
      <w:r w:rsidR="6010A663" w:rsidRPr="004C7830">
        <w:rPr>
          <w:rFonts w:eastAsia="Arial" w:cs="Arial"/>
        </w:rPr>
        <w:t xml:space="preserve"> </w:t>
      </w:r>
      <w:r w:rsidR="14567AC7" w:rsidRPr="004C7830">
        <w:rPr>
          <w:rFonts w:eastAsia="Arial" w:cs="Arial"/>
        </w:rPr>
        <w:t>The TDG was encouraged to see how the EBLP was handling the technical issues that had been observed with the simple average RG results</w:t>
      </w:r>
      <w:r w:rsidR="1A7319F6" w:rsidRPr="004C7830">
        <w:rPr>
          <w:rFonts w:eastAsia="Arial" w:cs="Arial"/>
        </w:rPr>
        <w:t xml:space="preserve">. </w:t>
      </w:r>
      <w:r w:rsidR="00E757E2" w:rsidRPr="004C7830">
        <w:rPr>
          <w:rFonts w:eastAsia="Arial" w:cs="Arial"/>
        </w:rPr>
        <w:t>The TDG R</w:t>
      </w:r>
      <w:r w:rsidR="1717B632" w:rsidRPr="004C7830">
        <w:rPr>
          <w:rFonts w:eastAsia="Arial" w:cs="Arial"/>
        </w:rPr>
        <w:t>ecommen</w:t>
      </w:r>
      <w:r w:rsidR="00E757E2" w:rsidRPr="004C7830">
        <w:rPr>
          <w:rFonts w:eastAsia="Arial" w:cs="Arial"/>
        </w:rPr>
        <w:t>ded ETS</w:t>
      </w:r>
      <w:r w:rsidR="1717B632" w:rsidRPr="004C7830">
        <w:rPr>
          <w:rFonts w:eastAsia="Arial" w:cs="Arial"/>
        </w:rPr>
        <w:t xml:space="preserve"> further research </w:t>
      </w:r>
      <w:r w:rsidR="59CAD02E" w:rsidRPr="004C7830">
        <w:rPr>
          <w:rFonts w:eastAsia="Arial" w:cs="Arial"/>
        </w:rPr>
        <w:t>and explor</w:t>
      </w:r>
      <w:r w:rsidR="00E757E2" w:rsidRPr="004C7830">
        <w:rPr>
          <w:rFonts w:eastAsia="Arial" w:cs="Arial"/>
        </w:rPr>
        <w:t>e technical adjustments to the</w:t>
      </w:r>
      <w:r w:rsidR="1717B632" w:rsidRPr="004C7830">
        <w:rPr>
          <w:rFonts w:eastAsia="Arial" w:cs="Arial"/>
        </w:rPr>
        <w:t xml:space="preserve"> EBLP</w:t>
      </w:r>
      <w:r w:rsidR="18C4BA18" w:rsidRPr="004C7830">
        <w:rPr>
          <w:rFonts w:eastAsia="Arial" w:cs="Arial"/>
        </w:rPr>
        <w:t xml:space="preserve"> and present the TDG with updated results </w:t>
      </w:r>
      <w:r w:rsidR="1C136AD9" w:rsidRPr="004C7830">
        <w:rPr>
          <w:rFonts w:eastAsia="Arial" w:cs="Arial"/>
        </w:rPr>
        <w:t xml:space="preserve">in </w:t>
      </w:r>
      <w:r w:rsidR="005F48DE" w:rsidRPr="004C7830">
        <w:rPr>
          <w:rFonts w:eastAsia="Arial" w:cs="Arial"/>
        </w:rPr>
        <w:t>November</w:t>
      </w:r>
      <w:r w:rsidR="1C136AD9" w:rsidRPr="004C7830">
        <w:rPr>
          <w:rFonts w:eastAsia="Arial" w:cs="Arial"/>
        </w:rPr>
        <w:t xml:space="preserve">. The CPAG </w:t>
      </w:r>
      <w:r w:rsidR="47655E36" w:rsidRPr="004C7830">
        <w:rPr>
          <w:rFonts w:eastAsia="Arial" w:cs="Arial"/>
        </w:rPr>
        <w:t xml:space="preserve">members </w:t>
      </w:r>
      <w:r w:rsidR="1C136AD9" w:rsidRPr="004C7830">
        <w:rPr>
          <w:rFonts w:eastAsia="Arial" w:cs="Arial"/>
        </w:rPr>
        <w:t>w</w:t>
      </w:r>
      <w:r w:rsidR="0EA3FF9A" w:rsidRPr="004C7830">
        <w:rPr>
          <w:rFonts w:eastAsia="Arial" w:cs="Arial"/>
        </w:rPr>
        <w:t>ere</w:t>
      </w:r>
      <w:r w:rsidR="1C136AD9" w:rsidRPr="004C7830">
        <w:rPr>
          <w:rFonts w:eastAsia="Arial" w:cs="Arial"/>
        </w:rPr>
        <w:t xml:space="preserve"> also very encouraged by the </w:t>
      </w:r>
      <w:r w:rsidR="02211DF3" w:rsidRPr="004C7830">
        <w:rPr>
          <w:rFonts w:eastAsia="Arial" w:cs="Arial"/>
        </w:rPr>
        <w:t xml:space="preserve">EBLP results </w:t>
      </w:r>
      <w:r w:rsidR="1C136AD9" w:rsidRPr="004C7830">
        <w:rPr>
          <w:rFonts w:eastAsia="Arial" w:cs="Arial"/>
        </w:rPr>
        <w:t xml:space="preserve">and noted </w:t>
      </w:r>
      <w:r w:rsidR="7C7F19EB" w:rsidRPr="004C7830">
        <w:rPr>
          <w:rFonts w:eastAsia="Arial" w:cs="Arial"/>
        </w:rPr>
        <w:t>their appreciation for the diligence by everyone to find a fair and valid solution for California’s individual student growth model.</w:t>
      </w:r>
      <w:r w:rsidR="001A6D25" w:rsidRPr="004C7830">
        <w:rPr>
          <w:rFonts w:eastAsia="Arial" w:cs="Arial"/>
        </w:rPr>
        <w:t xml:space="preserve"> </w:t>
      </w:r>
      <w:r w:rsidR="00091B48" w:rsidRPr="004C7830">
        <w:rPr>
          <w:rFonts w:eastAsia="Arial" w:cs="Arial"/>
        </w:rPr>
        <w:t>On August 18, 2020</w:t>
      </w:r>
      <w:r w:rsidR="00491440" w:rsidRPr="004C7830">
        <w:rPr>
          <w:rFonts w:eastAsia="Arial" w:cs="Arial"/>
        </w:rPr>
        <w:t>, the CDE provided the</w:t>
      </w:r>
      <w:r w:rsidR="00091B48" w:rsidRPr="004C7830">
        <w:rPr>
          <w:rFonts w:eastAsia="Arial" w:cs="Arial"/>
        </w:rPr>
        <w:t xml:space="preserve"> local control funding formula (LCFF) stakeholders </w:t>
      </w:r>
      <w:r w:rsidR="00491440" w:rsidRPr="004C7830">
        <w:rPr>
          <w:rFonts w:eastAsia="Arial" w:cs="Arial"/>
        </w:rPr>
        <w:t xml:space="preserve">the opportunity to ask questions and provided feedback to the material that was presented to CPAG. </w:t>
      </w:r>
      <w:r w:rsidR="001A6D25" w:rsidRPr="004C7830">
        <w:rPr>
          <w:rFonts w:eastAsia="Arial" w:cs="Arial"/>
        </w:rPr>
        <w:t>The LCFF stakeholder</w:t>
      </w:r>
      <w:r w:rsidR="0077546E" w:rsidRPr="004C7830">
        <w:rPr>
          <w:rFonts w:eastAsia="Arial" w:cs="Arial"/>
        </w:rPr>
        <w:t>s</w:t>
      </w:r>
      <w:r w:rsidR="001A6D25" w:rsidRPr="004C7830">
        <w:rPr>
          <w:rFonts w:eastAsia="Arial" w:cs="Arial"/>
        </w:rPr>
        <w:t xml:space="preserve"> did not provide any feedback.</w:t>
      </w:r>
      <w:r w:rsidR="7C7F19EB" w:rsidRPr="004C7830">
        <w:rPr>
          <w:rFonts w:eastAsia="Arial" w:cs="Arial"/>
        </w:rPr>
        <w:t xml:space="preserve"> </w:t>
      </w:r>
    </w:p>
    <w:p w:rsidR="001A6D25" w:rsidRPr="004C7830" w:rsidRDefault="001A6D25" w:rsidP="6AD48670">
      <w:pPr>
        <w:spacing w:line="259" w:lineRule="auto"/>
        <w:rPr>
          <w:rFonts w:eastAsia="Arial" w:cs="Arial"/>
        </w:rPr>
      </w:pPr>
    </w:p>
    <w:p w:rsidR="00C74968" w:rsidRPr="004C7830" w:rsidRDefault="00C74968" w:rsidP="00C74968">
      <w:pPr>
        <w:pStyle w:val="Heading3"/>
        <w:rPr>
          <w:sz w:val="32"/>
          <w:szCs w:val="32"/>
        </w:rPr>
      </w:pPr>
      <w:bookmarkStart w:id="3" w:name="_Toc47430465"/>
      <w:r w:rsidRPr="004C7830">
        <w:rPr>
          <w:sz w:val="32"/>
          <w:szCs w:val="32"/>
        </w:rPr>
        <w:t>References</w:t>
      </w:r>
      <w:bookmarkEnd w:id="3"/>
    </w:p>
    <w:p w:rsidR="00C74968" w:rsidRPr="004C7830" w:rsidRDefault="00C74968" w:rsidP="00C74968">
      <w:pPr>
        <w:pStyle w:val="References"/>
        <w:rPr>
          <w:lang w:eastAsia="ko-KR"/>
        </w:rPr>
      </w:pPr>
      <w:r w:rsidRPr="004C7830">
        <w:rPr>
          <w:lang w:eastAsia="ko-KR"/>
        </w:rPr>
        <w:t>Lockwood, J. R., Castellano, K. E., &amp; McCaffrey, D. M. (2020). Improving accuracy and stability of aggregate student growth measures using best linear prediction. Unpublished manuscript.</w:t>
      </w:r>
    </w:p>
    <w:p w:rsidR="001A6D25" w:rsidRPr="004C7830" w:rsidRDefault="001A6D25" w:rsidP="6AD48670">
      <w:pPr>
        <w:spacing w:line="259" w:lineRule="auto"/>
        <w:rPr>
          <w:rFonts w:eastAsia="Arial" w:cs="Arial"/>
        </w:rPr>
      </w:pPr>
    </w:p>
    <w:p w:rsidR="001A6D25" w:rsidRPr="004C7830" w:rsidRDefault="001A6D25" w:rsidP="6AD48670">
      <w:pPr>
        <w:spacing w:line="259" w:lineRule="auto"/>
        <w:rPr>
          <w:rFonts w:eastAsia="Arial" w:cs="Arial"/>
        </w:rPr>
        <w:sectPr w:rsidR="001A6D25" w:rsidRPr="004C7830" w:rsidSect="000B1725">
          <w:headerReference w:type="default" r:id="rId54"/>
          <w:pgSz w:w="12240" w:h="15840"/>
          <w:pgMar w:top="1440" w:right="1440" w:bottom="1440" w:left="1440" w:header="720" w:footer="720" w:gutter="0"/>
          <w:pgNumType w:start="1"/>
          <w:cols w:space="720"/>
          <w:docGrid w:linePitch="360"/>
        </w:sectPr>
      </w:pPr>
    </w:p>
    <w:p w:rsidR="00685069" w:rsidRPr="004C7830" w:rsidRDefault="00685069" w:rsidP="00685069">
      <w:pPr>
        <w:pStyle w:val="Heading1"/>
        <w:spacing w:before="0" w:after="240"/>
        <w:rPr>
          <w:rFonts w:cs="Arial"/>
          <w:sz w:val="40"/>
          <w:szCs w:val="40"/>
        </w:rPr>
      </w:pPr>
      <w:r w:rsidRPr="004C7830">
        <w:rPr>
          <w:rFonts w:cs="Arial"/>
          <w:sz w:val="40"/>
          <w:szCs w:val="40"/>
        </w:rPr>
        <w:lastRenderedPageBreak/>
        <w:t xml:space="preserve">Attachment </w:t>
      </w:r>
      <w:r w:rsidR="00CA7047" w:rsidRPr="004C7830">
        <w:rPr>
          <w:rFonts w:cs="Arial"/>
          <w:sz w:val="40"/>
          <w:szCs w:val="40"/>
        </w:rPr>
        <w:t>3</w:t>
      </w:r>
    </w:p>
    <w:p w:rsidR="2287F8E9" w:rsidRPr="004C7830" w:rsidRDefault="56F83A6C" w:rsidP="00F003EB">
      <w:pPr>
        <w:pStyle w:val="Heading2"/>
      </w:pPr>
      <w:r w:rsidRPr="004C7830">
        <w:t xml:space="preserve">Implementation of California Education Code Section 52064.5 </w:t>
      </w:r>
    </w:p>
    <w:p w:rsidR="2287F8E9" w:rsidRPr="004C7830" w:rsidRDefault="2287F8E9">
      <w:r w:rsidRPr="004C7830">
        <w:rPr>
          <w:rFonts w:eastAsia="Arial" w:cs="Arial"/>
          <w:i/>
          <w:iCs/>
        </w:rPr>
        <w:t>EC</w:t>
      </w:r>
      <w:r w:rsidRPr="004C7830">
        <w:rPr>
          <w:rFonts w:eastAsia="Arial" w:cs="Arial"/>
        </w:rPr>
        <w:t xml:space="preserve"> Section 52064.5 required the State Board of Education (SBE), on or before </w:t>
      </w:r>
    </w:p>
    <w:p w:rsidR="2287F8E9" w:rsidRPr="004C7830" w:rsidRDefault="2287F8E9">
      <w:r w:rsidRPr="004C7830">
        <w:rPr>
          <w:rFonts w:eastAsia="Arial" w:cs="Arial"/>
        </w:rPr>
        <w:t xml:space="preserve">October 1, 2016, to adopt evaluation rubrics, known as the California School Dashboard (Dashboard), as a tool to help districts and schools identify strengths and weaknesses and to assist county superintendents in identifying school districts and charter schools in need of technical assistance. The Dashboard reports performance and progress on both state and local measures. The state and local measures are drawn from the ten priority areas of the Local Control Funding Formula (LCFF). </w:t>
      </w:r>
    </w:p>
    <w:p w:rsidR="2287F8E9" w:rsidRPr="004C7830" w:rsidRDefault="2287F8E9" w:rsidP="79ED0307">
      <w:pPr>
        <w:pStyle w:val="Heading2"/>
      </w:pPr>
      <w:r w:rsidRPr="004C7830">
        <w:rPr>
          <w:rFonts w:eastAsia="Arial" w:cs="Arial"/>
          <w:szCs w:val="36"/>
        </w:rPr>
        <w:t>Local Indicators</w:t>
      </w:r>
    </w:p>
    <w:p w:rsidR="2287F8E9" w:rsidRPr="004C7830" w:rsidRDefault="2287F8E9">
      <w:r w:rsidRPr="004C7830">
        <w:rPr>
          <w:rFonts w:ascii="Helvetica" w:eastAsia="Helvetica" w:hAnsi="Helvetica" w:cs="Helvetica"/>
        </w:rPr>
        <w:t>The SBE approved standards for the local indicators that support local educational agencies (LEAs) in measuring and reporting their progress within the appropriate priority area. For each local indicator, the performance standards are as follows:</w:t>
      </w:r>
    </w:p>
    <w:p w:rsidR="79ED0307" w:rsidRPr="004C7830" w:rsidRDefault="79ED0307" w:rsidP="79ED0307">
      <w:pPr>
        <w:rPr>
          <w:rFonts w:ascii="Helvetica" w:eastAsia="Helvetica" w:hAnsi="Helvetica" w:cs="Helvetica"/>
        </w:rPr>
      </w:pPr>
    </w:p>
    <w:p w:rsidR="009E4A8B" w:rsidRPr="004C7830" w:rsidRDefault="009E4A8B" w:rsidP="009E4A8B">
      <w:pPr>
        <w:pStyle w:val="ListParagraph"/>
        <w:numPr>
          <w:ilvl w:val="0"/>
          <w:numId w:val="12"/>
        </w:numPr>
        <w:spacing w:after="240"/>
        <w:contextualSpacing w:val="0"/>
        <w:rPr>
          <w:rFonts w:cs="Arial"/>
        </w:rPr>
      </w:pPr>
      <w:r w:rsidRPr="004C7830">
        <w:rPr>
          <w:rFonts w:cs="Arial"/>
        </w:rPr>
        <w:t>Annually measure its progress in meeting the requirements of the specific LCFF priority.</w:t>
      </w:r>
    </w:p>
    <w:p w:rsidR="009E4A8B" w:rsidRPr="004C7830" w:rsidRDefault="009E4A8B" w:rsidP="009E4A8B">
      <w:pPr>
        <w:pStyle w:val="ListParagraph"/>
        <w:numPr>
          <w:ilvl w:val="0"/>
          <w:numId w:val="12"/>
        </w:numPr>
        <w:spacing w:after="240"/>
        <w:contextualSpacing w:val="0"/>
        <w:rPr>
          <w:rFonts w:cs="Arial"/>
        </w:rPr>
      </w:pPr>
      <w:r w:rsidRPr="004C7830">
        <w:rPr>
          <w:rFonts w:cs="Arial"/>
        </w:rPr>
        <w:t>Report the results as part of a non-consent item at a regularly scheduled public meeting of the local governing board/body in conjunction with the adoption of the LCAP.</w:t>
      </w:r>
    </w:p>
    <w:p w:rsidR="009E4A8B" w:rsidRPr="004C7830" w:rsidRDefault="009E4A8B" w:rsidP="009E4A8B">
      <w:pPr>
        <w:pStyle w:val="ListParagraph"/>
        <w:numPr>
          <w:ilvl w:val="0"/>
          <w:numId w:val="12"/>
        </w:numPr>
        <w:spacing w:after="240"/>
        <w:rPr>
          <w:rFonts w:cs="Arial"/>
        </w:rPr>
      </w:pPr>
      <w:r w:rsidRPr="004C7830">
        <w:rPr>
          <w:rFonts w:cs="Arial"/>
        </w:rPr>
        <w:t>Report results to the public through the Dashboard utilizing the SBE-adopted self-reflection tools for each local indicator.</w:t>
      </w:r>
    </w:p>
    <w:p w:rsidR="2287F8E9" w:rsidRPr="004C7830" w:rsidRDefault="2287F8E9">
      <w:r w:rsidRPr="004C7830">
        <w:rPr>
          <w:rFonts w:ascii="Helvetica" w:eastAsia="Helvetica" w:hAnsi="Helvetica" w:cs="Helvetica"/>
        </w:rPr>
        <w:t>An LEA uses the SBE-adopted self-reflection tools to report its progress through the Dashboard. The collection and reflection on locally available information relevant to progress regarding local priority areas will support LEAs in completing the self-reflection tools, reporting in the Dashboard, and in local planning and improvement efforts.</w:t>
      </w:r>
    </w:p>
    <w:p w:rsidR="2287F8E9" w:rsidRPr="004C7830" w:rsidRDefault="2287F8E9">
      <w:r w:rsidRPr="004C7830">
        <w:rPr>
          <w:rFonts w:ascii="Helvetica" w:eastAsia="Helvetica" w:hAnsi="Helvetica" w:cs="Helvetica"/>
        </w:rPr>
        <w:t>Provided an LEA satisfies the performance standards for each local indicator, the Dashboard will automatically assign a performance level of Met. If an LEA does not meet the performance standards, the Dashboard will automatically assign a performance level of Not Met or Not Met for Two or More Years, as applicable.</w:t>
      </w:r>
    </w:p>
    <w:p w:rsidR="2287F8E9" w:rsidRPr="004C7830" w:rsidRDefault="2287F8E9" w:rsidP="79ED0307">
      <w:pPr>
        <w:pStyle w:val="Heading2"/>
      </w:pPr>
      <w:r w:rsidRPr="004C7830">
        <w:rPr>
          <w:rFonts w:eastAsia="Arial" w:cs="Arial"/>
          <w:szCs w:val="36"/>
        </w:rPr>
        <w:t>Overview and Implementation of Senate Bill 75</w:t>
      </w:r>
    </w:p>
    <w:p w:rsidR="2287F8E9" w:rsidRPr="004C7830" w:rsidRDefault="2287F8E9">
      <w:r w:rsidRPr="004C7830">
        <w:rPr>
          <w:rFonts w:eastAsia="Arial" w:cs="Arial"/>
        </w:rPr>
        <w:t xml:space="preserve">In 2019, the Omnibus Education Budget Bill, Senate Bill (SB) 75 (Chapter 51, Statutes of 2019), added the following bolded language to </w:t>
      </w:r>
      <w:r w:rsidRPr="004C7830">
        <w:rPr>
          <w:rFonts w:eastAsia="Arial" w:cs="Arial"/>
          <w:i/>
          <w:iCs/>
        </w:rPr>
        <w:t>EC</w:t>
      </w:r>
      <w:r w:rsidRPr="004C7830">
        <w:rPr>
          <w:rFonts w:eastAsia="Arial" w:cs="Arial"/>
        </w:rPr>
        <w:t xml:space="preserve"> Section 52064.5(c):</w:t>
      </w:r>
    </w:p>
    <w:p w:rsidR="2287F8E9" w:rsidRPr="004C7830" w:rsidRDefault="2287F8E9" w:rsidP="7E984D5B">
      <w:pPr>
        <w:spacing w:before="240" w:after="240"/>
        <w:ind w:left="720" w:right="720"/>
        <w:rPr>
          <w:rFonts w:eastAsia="Arial" w:cs="Arial"/>
          <w:b/>
          <w:bCs/>
        </w:rPr>
      </w:pPr>
      <w:r w:rsidRPr="004C7830">
        <w:rPr>
          <w:rFonts w:eastAsia="Arial" w:cs="Arial"/>
        </w:rPr>
        <w:t xml:space="preserve">(c) As part of the evaluation rubrics, the state board shall adopt state and local indicators to measure school district and individual </w:t>
      </w:r>
      <w:proofErr w:type="spellStart"/>
      <w:r w:rsidRPr="004C7830">
        <w:rPr>
          <w:rFonts w:eastAsia="Arial" w:cs="Arial"/>
        </w:rPr>
        <w:t>schoolsite</w:t>
      </w:r>
      <w:proofErr w:type="spellEnd"/>
      <w:r w:rsidRPr="004C7830">
        <w:rPr>
          <w:rFonts w:eastAsia="Arial" w:cs="Arial"/>
        </w:rPr>
        <w:t xml:space="preserve"> </w:t>
      </w:r>
      <w:r w:rsidRPr="004C7830">
        <w:rPr>
          <w:rFonts w:eastAsia="Arial" w:cs="Arial"/>
        </w:rPr>
        <w:lastRenderedPageBreak/>
        <w:t>performance in regard to each of the state priorities described in subdivision (d) of Section 52060.</w:t>
      </w:r>
      <w:r w:rsidRPr="004C7830">
        <w:rPr>
          <w:rFonts w:eastAsia="Arial" w:cs="Arial"/>
          <w:b/>
          <w:bCs/>
        </w:rPr>
        <w:t xml:space="preserve"> No later than January 31, 2021, local indicators shall reflect school-level data to the extent the department collects or otherwise has access to relevant and reliable school-level data for all schools statewide.</w:t>
      </w:r>
    </w:p>
    <w:p w:rsidR="2287F8E9" w:rsidRPr="004C7830" w:rsidRDefault="2287F8E9" w:rsidP="7E984D5B">
      <w:pPr>
        <w:rPr>
          <w:rFonts w:eastAsia="Arial" w:cs="Arial"/>
          <w:b/>
          <w:bCs/>
        </w:rPr>
      </w:pPr>
      <w:r w:rsidRPr="004C7830">
        <w:rPr>
          <w:rFonts w:eastAsia="Arial" w:cs="Arial"/>
        </w:rPr>
        <w:t xml:space="preserve">Additionally, SB 75 amended </w:t>
      </w:r>
      <w:r w:rsidRPr="004C7830">
        <w:rPr>
          <w:rFonts w:eastAsia="Arial" w:cs="Arial"/>
          <w:i/>
          <w:iCs/>
        </w:rPr>
        <w:t>EC</w:t>
      </w:r>
      <w:r w:rsidRPr="004C7830">
        <w:rPr>
          <w:rFonts w:eastAsia="Arial" w:cs="Arial"/>
        </w:rPr>
        <w:t xml:space="preserve"> Section 52064.5(e)(2) to include the following bolded language related to the Local Control Accountability Plan:</w:t>
      </w:r>
    </w:p>
    <w:p w:rsidR="2287F8E9" w:rsidRPr="004C7830" w:rsidRDefault="2287F8E9" w:rsidP="009878D7">
      <w:pPr>
        <w:spacing w:before="240" w:after="240"/>
        <w:ind w:left="720" w:right="720"/>
        <w:rPr>
          <w:rFonts w:eastAsia="Arial" w:cs="Arial"/>
          <w:b/>
          <w:bCs/>
        </w:rPr>
      </w:pPr>
      <w:r w:rsidRPr="004C7830">
        <w:rPr>
          <w:rFonts w:eastAsia="Arial" w:cs="Arial"/>
          <w:b/>
          <w:bCs/>
        </w:rPr>
        <w:t xml:space="preserve">(2) No later than January 31, 2020, the standards for local indicators shall, at a minimum, ensure that the governing board of a school district, the county board of education, and the governing body of a charter school review any data to be publicly reported for local indicators in conjunction with adoption of the local control and accountability plan pursuant to Section 52062, 52068, or 47606.5, as applicable. No later than January 31, 2021, the standards for local indicators for which the department collects or otherwise has access to relevant and reliable school-level data for all schools statewide shall, to the extent practicable, be based on objective criteria, which may include, but are not necessarily limited to, the extent of any disparities across </w:t>
      </w:r>
      <w:proofErr w:type="spellStart"/>
      <w:r w:rsidRPr="004C7830">
        <w:rPr>
          <w:rFonts w:eastAsia="Arial" w:cs="Arial"/>
          <w:b/>
          <w:bCs/>
        </w:rPr>
        <w:t>schoolsites</w:t>
      </w:r>
      <w:proofErr w:type="spellEnd"/>
      <w:r w:rsidRPr="004C7830">
        <w:rPr>
          <w:rFonts w:eastAsia="Arial" w:cs="Arial"/>
          <w:b/>
          <w:bCs/>
        </w:rPr>
        <w:t xml:space="preserve"> within a school district or county office of education or performance relative to statewide data.</w:t>
      </w:r>
    </w:p>
    <w:p w:rsidR="2287F8E9" w:rsidRPr="004C7830" w:rsidRDefault="2287F8E9" w:rsidP="7E984D5B">
      <w:pPr>
        <w:rPr>
          <w:rFonts w:eastAsia="Arial" w:cs="Arial"/>
          <w:b/>
          <w:bCs/>
        </w:rPr>
      </w:pPr>
      <w:r w:rsidRPr="004C7830">
        <w:rPr>
          <w:rFonts w:eastAsia="Arial" w:cs="Arial"/>
        </w:rPr>
        <w:t xml:space="preserve">Based on this language, the </w:t>
      </w:r>
      <w:r w:rsidR="002824B8" w:rsidRPr="004C7830">
        <w:rPr>
          <w:rFonts w:eastAsia="Arial" w:cs="Arial"/>
        </w:rPr>
        <w:t>California Department of Education (</w:t>
      </w:r>
      <w:r w:rsidRPr="004C7830">
        <w:rPr>
          <w:rFonts w:eastAsia="Arial" w:cs="Arial"/>
        </w:rPr>
        <w:t>CDE</w:t>
      </w:r>
      <w:r w:rsidR="002824B8" w:rsidRPr="004C7830">
        <w:rPr>
          <w:rFonts w:eastAsia="Arial" w:cs="Arial"/>
        </w:rPr>
        <w:t>)</w:t>
      </w:r>
      <w:r w:rsidRPr="004C7830">
        <w:rPr>
          <w:rFonts w:eastAsia="Arial" w:cs="Arial"/>
        </w:rPr>
        <w:t xml:space="preserve"> reviewed the local indicators and one data point from Priority 1, related to the assignment of teachers, and plans to explore further whether this data set meets the criteria outlined in SB 75. Priority 1 relates to Basic Services and Conditions at schools and includes three parts: 1) text books availability, 2) adequate facilities, and 3) correctly assigned teachers. </w:t>
      </w:r>
    </w:p>
    <w:p w:rsidR="2287F8E9" w:rsidRPr="004C7830" w:rsidRDefault="2287F8E9" w:rsidP="79ED0307">
      <w:pPr>
        <w:pStyle w:val="Heading2"/>
      </w:pPr>
      <w:r w:rsidRPr="004C7830">
        <w:rPr>
          <w:rFonts w:eastAsia="Arial" w:cs="Arial"/>
          <w:szCs w:val="36"/>
        </w:rPr>
        <w:t xml:space="preserve">Teacher </w:t>
      </w:r>
      <w:proofErr w:type="spellStart"/>
      <w:r w:rsidRPr="004C7830">
        <w:rPr>
          <w:rFonts w:eastAsia="Arial" w:cs="Arial"/>
          <w:szCs w:val="36"/>
        </w:rPr>
        <w:t>Misassignment</w:t>
      </w:r>
      <w:proofErr w:type="spellEnd"/>
      <w:r w:rsidRPr="004C7830">
        <w:rPr>
          <w:rFonts w:eastAsia="Arial" w:cs="Arial"/>
          <w:szCs w:val="36"/>
        </w:rPr>
        <w:t xml:space="preserve"> Data </w:t>
      </w:r>
    </w:p>
    <w:p w:rsidR="2287F8E9" w:rsidRPr="004C7830" w:rsidRDefault="2287F8E9">
      <w:r w:rsidRPr="004C7830">
        <w:rPr>
          <w:rFonts w:eastAsia="Arial" w:cs="Arial"/>
        </w:rPr>
        <w:t xml:space="preserve">The first data set that the CDE has identified may meet the standards under SB 75 for local indicators to “reflect school-level data to the extent the department collects or otherwise has access to relevant and reliable school-level data for all schools statewide”, is the teacher </w:t>
      </w:r>
      <w:proofErr w:type="spellStart"/>
      <w:r w:rsidRPr="004C7830">
        <w:rPr>
          <w:rFonts w:eastAsia="Arial" w:cs="Arial"/>
        </w:rPr>
        <w:t>misassignment</w:t>
      </w:r>
      <w:proofErr w:type="spellEnd"/>
      <w:r w:rsidRPr="004C7830">
        <w:rPr>
          <w:rFonts w:eastAsia="Arial" w:cs="Arial"/>
        </w:rPr>
        <w:t xml:space="preserve"> data set. </w:t>
      </w:r>
    </w:p>
    <w:p w:rsidR="79ED0307" w:rsidRPr="004C7830" w:rsidRDefault="79ED0307" w:rsidP="79ED0307">
      <w:pPr>
        <w:rPr>
          <w:rFonts w:eastAsia="Arial" w:cs="Arial"/>
        </w:rPr>
      </w:pPr>
    </w:p>
    <w:p w:rsidR="00C00139" w:rsidRPr="004C7830" w:rsidRDefault="2287F8E9" w:rsidP="00C00139">
      <w:pPr>
        <w:rPr>
          <w:rFonts w:eastAsia="Arial" w:cs="Arial"/>
        </w:rPr>
      </w:pPr>
      <w:r w:rsidRPr="004C7830">
        <w:rPr>
          <w:rFonts w:eastAsia="Arial" w:cs="Arial"/>
        </w:rPr>
        <w:t xml:space="preserve">The CDE annually collects staffing information through the California Longitudinal Pupil Achievement Data System (CALPADS). This data is matched with data collected by the CTC, which will allow the CDE meet the necessary reporting requirements in California’s </w:t>
      </w:r>
      <w:r w:rsidR="00A8715B" w:rsidRPr="004C7830">
        <w:rPr>
          <w:rFonts w:eastAsia="Arial" w:cs="Arial"/>
        </w:rPr>
        <w:t>Every Student Succeeds Act (ESSA)</w:t>
      </w:r>
      <w:r w:rsidRPr="004C7830">
        <w:rPr>
          <w:rFonts w:eastAsia="Arial" w:cs="Arial"/>
        </w:rPr>
        <w:t xml:space="preserve"> State Plan. In 2018, the CDE and the CTC signed a data sharing memorandum of understanding (MOU) to formally exchange teacher and credential data. Since that time, the parties have worked on developing an expanded data exchange to allow the CDE to begin reporting on </w:t>
      </w:r>
      <w:proofErr w:type="spellStart"/>
      <w:r w:rsidRPr="004C7830">
        <w:rPr>
          <w:rFonts w:eastAsia="Arial" w:cs="Arial"/>
        </w:rPr>
        <w:t>misassignment</w:t>
      </w:r>
      <w:proofErr w:type="spellEnd"/>
      <w:r w:rsidRPr="004C7830">
        <w:rPr>
          <w:rFonts w:eastAsia="Arial" w:cs="Arial"/>
        </w:rPr>
        <w:t xml:space="preserve"> data at the state, LEA, and school level. </w:t>
      </w:r>
      <w:r w:rsidR="00C00139" w:rsidRPr="004C7830">
        <w:rPr>
          <w:rFonts w:eastAsia="Arial" w:cs="Arial"/>
        </w:rPr>
        <w:t>The 2019–20 school year is the first year of this expanded data exchange.</w:t>
      </w:r>
    </w:p>
    <w:p w:rsidR="2287F8E9" w:rsidRPr="004C7830" w:rsidRDefault="2287F8E9" w:rsidP="7E984D5B">
      <w:pPr>
        <w:rPr>
          <w:rFonts w:eastAsia="Arial" w:cs="Arial"/>
          <w:i/>
          <w:iCs/>
        </w:rPr>
      </w:pPr>
    </w:p>
    <w:p w:rsidR="00B52ACC" w:rsidRPr="004C7830" w:rsidRDefault="00B52ACC" w:rsidP="7E984D5B">
      <w:pPr>
        <w:spacing w:after="240"/>
        <w:rPr>
          <w:rFonts w:cs="Arial"/>
        </w:rPr>
      </w:pPr>
      <w:r w:rsidRPr="004C7830">
        <w:t xml:space="preserve">As of August 2020, the CDE </w:t>
      </w:r>
      <w:r w:rsidR="007C7DAB" w:rsidRPr="004C7830">
        <w:t xml:space="preserve">is </w:t>
      </w:r>
      <w:r w:rsidRPr="004C7830">
        <w:t>continu</w:t>
      </w:r>
      <w:r w:rsidR="007C7DAB" w:rsidRPr="004C7830">
        <w:t>ing</w:t>
      </w:r>
      <w:r w:rsidRPr="004C7830">
        <w:t xml:space="preserve"> </w:t>
      </w:r>
      <w:r w:rsidR="007C7DAB" w:rsidRPr="004C7830">
        <w:t xml:space="preserve">to </w:t>
      </w:r>
      <w:r w:rsidRPr="004C7830">
        <w:t>prepare</w:t>
      </w:r>
      <w:r w:rsidR="007C7DAB" w:rsidRPr="004C7830">
        <w:t xml:space="preserve"> </w:t>
      </w:r>
      <w:r w:rsidRPr="004C7830">
        <w:t xml:space="preserve">the final data files extracted from the CALPADS Fall 2 collection to </w:t>
      </w:r>
      <w:r w:rsidR="007C7DAB" w:rsidRPr="004C7830">
        <w:t xml:space="preserve">provide this information </w:t>
      </w:r>
      <w:r w:rsidRPr="004C7830">
        <w:t>the CTC</w:t>
      </w:r>
      <w:r w:rsidR="00A8715B" w:rsidRPr="004C7830">
        <w:t>. These data files will p</w:t>
      </w:r>
      <w:r w:rsidRPr="004C7830">
        <w:t>rovide essential data elements including staff profile and assignment</w:t>
      </w:r>
      <w:r w:rsidR="23D3561C" w:rsidRPr="004C7830">
        <w:t xml:space="preserve"> and </w:t>
      </w:r>
      <w:r w:rsidRPr="004C7830">
        <w:t xml:space="preserve">course and student enrollment data needed to upload into </w:t>
      </w:r>
      <w:r w:rsidR="007C7DAB" w:rsidRPr="004C7830">
        <w:t xml:space="preserve">the </w:t>
      </w:r>
      <w:r w:rsidR="007C7DAB" w:rsidRPr="004C7830">
        <w:rPr>
          <w:rFonts w:cs="Arial"/>
        </w:rPr>
        <w:t>California Statewide Assignment Accountability System (</w:t>
      </w:r>
      <w:proofErr w:type="spellStart"/>
      <w:r w:rsidRPr="004C7830">
        <w:rPr>
          <w:rFonts w:cs="Arial"/>
        </w:rPr>
        <w:t>CalSAAS</w:t>
      </w:r>
      <w:proofErr w:type="spellEnd"/>
      <w:r w:rsidR="007C7DAB" w:rsidRPr="004C7830">
        <w:rPr>
          <w:rFonts w:cs="Arial"/>
        </w:rPr>
        <w:t>)</w:t>
      </w:r>
      <w:r w:rsidRPr="004C7830">
        <w:rPr>
          <w:rFonts w:cs="Arial"/>
        </w:rPr>
        <w:t>.</w:t>
      </w:r>
      <w:r w:rsidR="007C7DAB" w:rsidRPr="004C7830">
        <w:rPr>
          <w:rFonts w:cs="Arial"/>
        </w:rPr>
        <w:t xml:space="preserve"> </w:t>
      </w:r>
      <w:proofErr w:type="spellStart"/>
      <w:r w:rsidR="007C7DAB" w:rsidRPr="004C7830">
        <w:rPr>
          <w:rFonts w:cs="Arial"/>
        </w:rPr>
        <w:t>CalSAAS</w:t>
      </w:r>
      <w:proofErr w:type="spellEnd"/>
      <w:r w:rsidR="007C7DAB" w:rsidRPr="004C7830">
        <w:rPr>
          <w:rFonts w:cs="Arial"/>
        </w:rPr>
        <w:t xml:space="preserve"> is</w:t>
      </w:r>
      <w:r w:rsidRPr="004C7830">
        <w:rPr>
          <w:rFonts w:cs="Arial"/>
        </w:rPr>
        <w:t xml:space="preserve"> </w:t>
      </w:r>
      <w:r w:rsidR="007C7DAB" w:rsidRPr="004C7830">
        <w:rPr>
          <w:rFonts w:cs="Arial"/>
        </w:rPr>
        <w:t xml:space="preserve">a </w:t>
      </w:r>
      <w:r w:rsidR="00A8715B" w:rsidRPr="004C7830">
        <w:rPr>
          <w:rFonts w:cs="Arial"/>
        </w:rPr>
        <w:t>(</w:t>
      </w:r>
      <w:r w:rsidR="007C7DAB" w:rsidRPr="004C7830">
        <w:rPr>
          <w:rFonts w:cs="Arial"/>
        </w:rPr>
        <w:t>CTC developed</w:t>
      </w:r>
      <w:r w:rsidR="00A8715B" w:rsidRPr="004C7830">
        <w:rPr>
          <w:rFonts w:cs="Arial"/>
        </w:rPr>
        <w:t>)</w:t>
      </w:r>
      <w:r w:rsidR="007C7DAB" w:rsidRPr="004C7830">
        <w:rPr>
          <w:rFonts w:cs="Arial"/>
        </w:rPr>
        <w:t xml:space="preserve"> streamlined and partially automated assignment monitoring system that will allow annual monitoring of all schools.</w:t>
      </w:r>
    </w:p>
    <w:p w:rsidR="2287F8E9" w:rsidRPr="004C7830" w:rsidRDefault="2287F8E9">
      <w:r w:rsidRPr="004C7830">
        <w:rPr>
          <w:rFonts w:eastAsia="Arial" w:cs="Arial"/>
          <w:i/>
          <w:iCs/>
        </w:rPr>
        <w:t>The CTC anticipates processing the data received by the CDE in two phases:</w:t>
      </w:r>
    </w:p>
    <w:p w:rsidR="79ED0307" w:rsidRPr="004C7830" w:rsidRDefault="79ED0307" w:rsidP="79ED0307">
      <w:pPr>
        <w:rPr>
          <w:rFonts w:eastAsia="Arial" w:cs="Arial"/>
          <w:i/>
          <w:iCs/>
        </w:rPr>
      </w:pPr>
    </w:p>
    <w:p w:rsidR="2287F8E9" w:rsidRPr="004C7830" w:rsidRDefault="2287F8E9">
      <w:r w:rsidRPr="004C7830">
        <w:rPr>
          <w:rFonts w:eastAsia="Arial" w:cs="Arial"/>
          <w:b/>
          <w:bCs/>
        </w:rPr>
        <w:t xml:space="preserve">Phase One: </w:t>
      </w:r>
      <w:r w:rsidRPr="004C7830">
        <w:rPr>
          <w:rFonts w:eastAsia="Arial" w:cs="Arial"/>
        </w:rPr>
        <w:t xml:space="preserve">For each assignment present in the initial CALPADS assignment data set, CTC will indicate simply that the educator was properly assigned or </w:t>
      </w:r>
      <w:proofErr w:type="spellStart"/>
      <w:r w:rsidRPr="004C7830">
        <w:rPr>
          <w:rFonts w:eastAsia="Arial" w:cs="Arial"/>
        </w:rPr>
        <w:t>misassigned</w:t>
      </w:r>
      <w:proofErr w:type="spellEnd"/>
      <w:r w:rsidRPr="004C7830">
        <w:rPr>
          <w:rFonts w:eastAsia="Arial" w:cs="Arial"/>
        </w:rPr>
        <w:t xml:space="preserve">, and if </w:t>
      </w:r>
      <w:proofErr w:type="spellStart"/>
      <w:r w:rsidRPr="004C7830">
        <w:rPr>
          <w:rFonts w:eastAsia="Arial" w:cs="Arial"/>
        </w:rPr>
        <w:t>misassigned</w:t>
      </w:r>
      <w:proofErr w:type="spellEnd"/>
      <w:r w:rsidRPr="004C7830">
        <w:rPr>
          <w:rFonts w:eastAsia="Arial" w:cs="Arial"/>
        </w:rPr>
        <w:t>, in which dimensions.</w:t>
      </w:r>
    </w:p>
    <w:p w:rsidR="79ED0307" w:rsidRPr="004C7830" w:rsidRDefault="79ED0307" w:rsidP="79ED0307">
      <w:pPr>
        <w:rPr>
          <w:rFonts w:eastAsia="Arial" w:cs="Arial"/>
        </w:rPr>
      </w:pPr>
    </w:p>
    <w:p w:rsidR="2287F8E9" w:rsidRPr="004C7830" w:rsidRDefault="2287F8E9">
      <w:r w:rsidRPr="004C7830">
        <w:rPr>
          <w:rFonts w:eastAsia="Arial" w:cs="Arial"/>
          <w:b/>
          <w:bCs/>
        </w:rPr>
        <w:t xml:space="preserve">Phase Two: </w:t>
      </w:r>
      <w:r w:rsidRPr="004C7830">
        <w:rPr>
          <w:rFonts w:eastAsia="Arial" w:cs="Arial"/>
        </w:rPr>
        <w:t>In the second phase of data exchange, the CTC will evaluate the quality of those assignments deemed properly assigned to meet ESSA reporting requirements.</w:t>
      </w:r>
    </w:p>
    <w:p w:rsidR="2287F8E9" w:rsidRPr="004C7830" w:rsidRDefault="2287F8E9">
      <w:r w:rsidRPr="004C7830">
        <w:rPr>
          <w:rFonts w:eastAsia="Arial" w:cs="Arial"/>
        </w:rPr>
        <w:t>Upon receipt of a complete data set from the CTC that is determined to be valid and reliable, the CDE will publicly report out on this first year of data. The CDE will also begin discussions in 2021 and bring together stakeholders to commence the vetting process on the most appropriate way to report this information on the local indicators and in the pre-populated SARC application.</w:t>
      </w:r>
    </w:p>
    <w:p w:rsidR="3F82D83A" w:rsidRPr="004C7830" w:rsidRDefault="00B9664B" w:rsidP="7E984D5B">
      <w:pPr>
        <w:pStyle w:val="Heading2"/>
        <w:rPr>
          <w:rFonts w:eastAsia="Arial" w:cs="Arial"/>
        </w:rPr>
      </w:pPr>
      <w:r w:rsidRPr="004C7830">
        <w:rPr>
          <w:rFonts w:eastAsia="Arial" w:cs="Arial"/>
        </w:rPr>
        <w:t>Stakeholder Input</w:t>
      </w:r>
    </w:p>
    <w:p w:rsidR="79ED0307" w:rsidRPr="004C7830" w:rsidRDefault="3F82D83A" w:rsidP="79ED0307">
      <w:r w:rsidRPr="004C7830">
        <w:rPr>
          <w:rFonts w:eastAsia="Arial" w:cs="Arial"/>
        </w:rPr>
        <w:t>The CDE presented the teacher and credentialing data to the California Practitioners Advisory Group (CPAG) on August 14, 2020</w:t>
      </w:r>
      <w:r w:rsidR="00B9664B" w:rsidRPr="004C7830">
        <w:rPr>
          <w:rFonts w:eastAsia="Arial" w:cs="Arial"/>
        </w:rPr>
        <w:t xml:space="preserve">. </w:t>
      </w:r>
      <w:r w:rsidR="00F1700E" w:rsidRPr="004C7830">
        <w:rPr>
          <w:rFonts w:eastAsia="Arial" w:cs="Arial"/>
        </w:rPr>
        <w:t>There was a question about the review of other local indicators and excitement expressed about the release of this data set by CPAG members.</w:t>
      </w:r>
    </w:p>
    <w:p w:rsidR="00685069" w:rsidRPr="004C7830" w:rsidRDefault="00685069" w:rsidP="00685069">
      <w:pPr>
        <w:rPr>
          <w:rFonts w:cs="Arial"/>
          <w:color w:val="000000" w:themeColor="text1"/>
        </w:rPr>
        <w:sectPr w:rsidR="00685069" w:rsidRPr="004C7830" w:rsidSect="000B1725">
          <w:headerReference w:type="default" r:id="rId55"/>
          <w:pgSz w:w="12240" w:h="15840"/>
          <w:pgMar w:top="1440" w:right="1440" w:bottom="1440" w:left="1440" w:header="720" w:footer="720" w:gutter="0"/>
          <w:pgNumType w:start="1"/>
          <w:cols w:space="720"/>
          <w:docGrid w:linePitch="360"/>
        </w:sectPr>
      </w:pPr>
    </w:p>
    <w:p w:rsidR="00685069" w:rsidRPr="004C7830" w:rsidRDefault="00685069" w:rsidP="00685069">
      <w:pPr>
        <w:pStyle w:val="Heading1"/>
        <w:rPr>
          <w:rFonts w:cs="Arial"/>
          <w:sz w:val="40"/>
          <w:szCs w:val="40"/>
        </w:rPr>
      </w:pPr>
      <w:r w:rsidRPr="004C7830">
        <w:rPr>
          <w:rFonts w:cs="Arial"/>
          <w:sz w:val="40"/>
          <w:szCs w:val="40"/>
        </w:rPr>
        <w:lastRenderedPageBreak/>
        <w:t xml:space="preserve">Attachment </w:t>
      </w:r>
      <w:r w:rsidR="00D941EA" w:rsidRPr="004C7830">
        <w:rPr>
          <w:rFonts w:cs="Arial"/>
          <w:sz w:val="40"/>
          <w:szCs w:val="40"/>
        </w:rPr>
        <w:t>4</w:t>
      </w:r>
    </w:p>
    <w:p w:rsidR="00685069" w:rsidRPr="004C7830" w:rsidRDefault="00685069" w:rsidP="00685069">
      <w:pPr>
        <w:pStyle w:val="Heading2"/>
        <w:spacing w:before="240" w:after="240"/>
        <w:rPr>
          <w:rFonts w:cs="Arial"/>
          <w:szCs w:val="36"/>
        </w:rPr>
      </w:pPr>
      <w:r w:rsidRPr="004C7830">
        <w:rPr>
          <w:rFonts w:cs="Arial"/>
          <w:szCs w:val="36"/>
        </w:rPr>
        <w:t>California School Dashboard Educational Outreach Activities</w:t>
      </w:r>
    </w:p>
    <w:p w:rsidR="00685069" w:rsidRPr="004C7830" w:rsidRDefault="00685069" w:rsidP="00685069">
      <w:pPr>
        <w:pStyle w:val="Heading3"/>
        <w:jc w:val="center"/>
        <w:rPr>
          <w:rFonts w:cs="Arial"/>
        </w:rPr>
      </w:pPr>
      <w:r w:rsidRPr="004C7830">
        <w:rPr>
          <w:rFonts w:cs="Arial"/>
        </w:rPr>
        <w:t>Table 1</w:t>
      </w:r>
    </w:p>
    <w:p w:rsidR="00685069" w:rsidRPr="004C7830" w:rsidRDefault="00685069" w:rsidP="00646083">
      <w:pPr>
        <w:pStyle w:val="Heading3"/>
        <w:jc w:val="center"/>
      </w:pPr>
      <w:r w:rsidRPr="004C7830">
        <w:t>California Department of Education Policy Work Group Meetings</w:t>
      </w:r>
    </w:p>
    <w:tbl>
      <w:tblPr>
        <w:tblStyle w:val="TableGrid"/>
        <w:tblW w:w="4999" w:type="pct"/>
        <w:tblLook w:val="04A0" w:firstRow="1" w:lastRow="0" w:firstColumn="1" w:lastColumn="0" w:noHBand="0" w:noVBand="1"/>
        <w:tblCaption w:val="Table 1. California Department of Education Policy Work Group Meetings"/>
        <w:tblDescription w:val="Table 1. California Department of Education Policy Work Group Meetings"/>
      </w:tblPr>
      <w:tblGrid>
        <w:gridCol w:w="1616"/>
        <w:gridCol w:w="2879"/>
        <w:gridCol w:w="2250"/>
        <w:gridCol w:w="6202"/>
      </w:tblGrid>
      <w:tr w:rsidR="00685069" w:rsidRPr="004C7830" w:rsidTr="4CA4A074">
        <w:trPr>
          <w:cantSplit/>
          <w:tblHeader/>
        </w:trPr>
        <w:tc>
          <w:tcPr>
            <w:tcW w:w="62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rPr>
            </w:pPr>
            <w:r w:rsidRPr="004C7830">
              <w:rPr>
                <w:rFonts w:cs="Arial"/>
                <w:b/>
              </w:rPr>
              <w:t>Date</w:t>
            </w:r>
          </w:p>
        </w:tc>
        <w:tc>
          <w:tcPr>
            <w:tcW w:w="11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rPr>
            </w:pPr>
            <w:r w:rsidRPr="004C7830">
              <w:rPr>
                <w:rFonts w:cs="Arial"/>
                <w:b/>
              </w:rPr>
              <w:t>Title</w:t>
            </w:r>
          </w:p>
        </w:tc>
        <w:tc>
          <w:tcPr>
            <w:tcW w:w="86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rPr>
            </w:pPr>
            <w:r w:rsidRPr="004C7830">
              <w:rPr>
                <w:rFonts w:cs="Arial"/>
                <w:b/>
              </w:rPr>
              <w:t>Estimated Number of Attendees</w:t>
            </w:r>
          </w:p>
        </w:tc>
        <w:tc>
          <w:tcPr>
            <w:tcW w:w="239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rPr>
            </w:pPr>
            <w:r w:rsidRPr="004C7830">
              <w:rPr>
                <w:rFonts w:cs="Arial"/>
                <w:b/>
              </w:rPr>
              <w:t>Topics</w:t>
            </w: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0B1725">
            <w:pPr>
              <w:jc w:val="center"/>
              <w:rPr>
                <w:rFonts w:eastAsiaTheme="minorHAnsi" w:cs="Arial"/>
                <w:sz w:val="24"/>
                <w:szCs w:val="24"/>
              </w:rPr>
            </w:pPr>
            <w:r w:rsidRPr="004C7830">
              <w:rPr>
                <w:rFonts w:eastAsiaTheme="minorHAnsi" w:cs="Arial"/>
                <w:sz w:val="24"/>
                <w:szCs w:val="24"/>
              </w:rPr>
              <w:t>May 4,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College/Career Indicator (CCI) Subcommittee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EastAsia" w:cs="Arial"/>
                <w:sz w:val="24"/>
                <w:szCs w:val="24"/>
              </w:rPr>
            </w:pPr>
            <w:r w:rsidRPr="004C7830">
              <w:rPr>
                <w:rFonts w:eastAsiaTheme="minorEastAsia" w:cs="Arial"/>
                <w:sz w:val="24"/>
                <w:szCs w:val="24"/>
              </w:rPr>
              <w:t>12</w:t>
            </w:r>
          </w:p>
        </w:tc>
        <w:tc>
          <w:tcPr>
            <w:tcW w:w="2395" w:type="pct"/>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ListParagraph"/>
              <w:numPr>
                <w:ilvl w:val="0"/>
                <w:numId w:val="15"/>
              </w:numPr>
              <w:rPr>
                <w:rFonts w:eastAsiaTheme="majorEastAsia" w:cs="Arial"/>
                <w:bCs/>
                <w:iCs/>
                <w:sz w:val="24"/>
                <w:szCs w:val="24"/>
              </w:rPr>
            </w:pPr>
            <w:r w:rsidRPr="004C7830">
              <w:rPr>
                <w:rFonts w:eastAsiaTheme="minorHAnsi" w:cs="Arial"/>
                <w:sz w:val="24"/>
                <w:szCs w:val="24"/>
              </w:rPr>
              <w:t>Proposed New Career Measures for CCI</w:t>
            </w: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0B1725">
            <w:pPr>
              <w:jc w:val="center"/>
              <w:rPr>
                <w:rFonts w:eastAsiaTheme="minorHAnsi" w:cs="Arial"/>
                <w:sz w:val="24"/>
                <w:szCs w:val="24"/>
              </w:rPr>
            </w:pPr>
            <w:r w:rsidRPr="004C7830">
              <w:rPr>
                <w:rFonts w:eastAsiaTheme="minorHAnsi" w:cs="Arial"/>
                <w:sz w:val="24"/>
                <w:szCs w:val="24"/>
              </w:rPr>
              <w:t>May 1,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Alternative Task Force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201EF1" w:rsidP="000B1725">
            <w:pPr>
              <w:jc w:val="center"/>
              <w:rPr>
                <w:rFonts w:eastAsiaTheme="minorEastAsia" w:cs="Arial"/>
                <w:sz w:val="24"/>
                <w:szCs w:val="24"/>
              </w:rPr>
            </w:pPr>
            <w:r w:rsidRPr="004C7830">
              <w:rPr>
                <w:rFonts w:eastAsiaTheme="minorEastAsia" w:cs="Arial"/>
                <w:sz w:val="24"/>
                <w:szCs w:val="24"/>
              </w:rPr>
              <w:t>9</w:t>
            </w:r>
          </w:p>
        </w:tc>
        <w:tc>
          <w:tcPr>
            <w:tcW w:w="2395"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685069">
            <w:pPr>
              <w:pStyle w:val="ListParagraph"/>
              <w:numPr>
                <w:ilvl w:val="0"/>
                <w:numId w:val="15"/>
              </w:numPr>
              <w:rPr>
                <w:rFonts w:eastAsiaTheme="minorHAnsi" w:cs="Arial"/>
                <w:sz w:val="24"/>
                <w:szCs w:val="24"/>
              </w:rPr>
            </w:pPr>
            <w:r w:rsidRPr="004C7830">
              <w:rPr>
                <w:rFonts w:eastAsiaTheme="minorHAnsi" w:cs="Arial"/>
                <w:sz w:val="24"/>
                <w:szCs w:val="24"/>
              </w:rPr>
              <w:t>Proposed New Career Measures for CCI</w:t>
            </w: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0B1725">
            <w:pPr>
              <w:jc w:val="center"/>
              <w:rPr>
                <w:rFonts w:eastAsiaTheme="minorHAnsi" w:cs="Arial"/>
                <w:sz w:val="24"/>
                <w:szCs w:val="24"/>
              </w:rPr>
            </w:pPr>
            <w:r w:rsidRPr="004C7830">
              <w:rPr>
                <w:rFonts w:eastAsiaTheme="minorHAnsi" w:cs="Arial"/>
                <w:sz w:val="24"/>
                <w:szCs w:val="24"/>
              </w:rPr>
              <w:t>July 27</w:t>
            </w:r>
            <w:r w:rsidR="00685069" w:rsidRPr="004C7830">
              <w:rPr>
                <w:rFonts w:eastAsiaTheme="minorHAnsi" w:cs="Arial"/>
                <w:sz w:val="24"/>
                <w:szCs w:val="24"/>
              </w:rPr>
              <w:t>,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CCI Subcommittee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706959" w:rsidP="000B1725">
            <w:pPr>
              <w:jc w:val="center"/>
              <w:rPr>
                <w:rFonts w:eastAsiaTheme="minorEastAsia" w:cs="Arial"/>
                <w:sz w:val="24"/>
                <w:szCs w:val="24"/>
              </w:rPr>
            </w:pPr>
            <w:r w:rsidRPr="004C7830">
              <w:rPr>
                <w:rFonts w:eastAsiaTheme="minorEastAsia" w:cs="Arial"/>
                <w:sz w:val="24"/>
                <w:szCs w:val="24"/>
              </w:rPr>
              <w:t>12</w:t>
            </w:r>
          </w:p>
        </w:tc>
        <w:tc>
          <w:tcPr>
            <w:tcW w:w="2395"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685069">
            <w:pPr>
              <w:pStyle w:val="ListParagraph"/>
              <w:numPr>
                <w:ilvl w:val="0"/>
                <w:numId w:val="15"/>
              </w:numPr>
              <w:rPr>
                <w:rFonts w:eastAsiaTheme="minorHAnsi" w:cs="Arial"/>
                <w:sz w:val="24"/>
                <w:szCs w:val="24"/>
              </w:rPr>
            </w:pPr>
            <w:r w:rsidRPr="004C7830">
              <w:rPr>
                <w:rFonts w:eastAsiaTheme="minorHAnsi" w:cs="Arial"/>
                <w:sz w:val="24"/>
                <w:szCs w:val="24"/>
              </w:rPr>
              <w:t xml:space="preserve">Inclusion of </w:t>
            </w:r>
            <w:r w:rsidR="00685069" w:rsidRPr="004C7830">
              <w:rPr>
                <w:rFonts w:eastAsiaTheme="minorHAnsi" w:cs="Arial"/>
                <w:sz w:val="24"/>
                <w:szCs w:val="24"/>
              </w:rPr>
              <w:t>State and Federal Job Programs</w:t>
            </w:r>
            <w:r w:rsidRPr="004C7830">
              <w:rPr>
                <w:rFonts w:eastAsiaTheme="minorHAnsi" w:cs="Arial"/>
                <w:sz w:val="24"/>
                <w:szCs w:val="24"/>
              </w:rPr>
              <w:t xml:space="preserve"> in the CCI</w:t>
            </w: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 xml:space="preserve">August </w:t>
            </w:r>
            <w:r w:rsidR="00706959" w:rsidRPr="004C7830">
              <w:rPr>
                <w:rFonts w:eastAsiaTheme="minorHAnsi" w:cs="Arial"/>
                <w:sz w:val="24"/>
                <w:szCs w:val="24"/>
              </w:rPr>
              <w:t>4, 2020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Alternative Task Force</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201EF1" w:rsidP="000B1725">
            <w:pPr>
              <w:jc w:val="center"/>
              <w:rPr>
                <w:rFonts w:eastAsiaTheme="minorEastAsia" w:cs="Arial"/>
                <w:sz w:val="24"/>
                <w:szCs w:val="24"/>
              </w:rPr>
            </w:pPr>
            <w:r w:rsidRPr="004C7830">
              <w:rPr>
                <w:rFonts w:eastAsiaTheme="minorEastAsia" w:cs="Arial"/>
                <w:sz w:val="24"/>
                <w:szCs w:val="24"/>
              </w:rPr>
              <w:t>7</w:t>
            </w:r>
          </w:p>
        </w:tc>
        <w:tc>
          <w:tcPr>
            <w:tcW w:w="2395" w:type="pct"/>
            <w:tcBorders>
              <w:top w:val="single" w:sz="4" w:space="0" w:color="auto"/>
              <w:left w:val="single" w:sz="4" w:space="0" w:color="auto"/>
              <w:bottom w:val="single" w:sz="4" w:space="0" w:color="auto"/>
              <w:right w:val="single" w:sz="4" w:space="0" w:color="auto"/>
            </w:tcBorders>
            <w:vAlign w:val="center"/>
          </w:tcPr>
          <w:p w:rsidR="00685069" w:rsidRPr="004C7830" w:rsidRDefault="00706959" w:rsidP="00685069">
            <w:pPr>
              <w:pStyle w:val="ListParagraph"/>
              <w:numPr>
                <w:ilvl w:val="0"/>
                <w:numId w:val="15"/>
              </w:numPr>
              <w:rPr>
                <w:rFonts w:eastAsiaTheme="minorHAnsi" w:cs="Arial"/>
                <w:sz w:val="24"/>
                <w:szCs w:val="24"/>
              </w:rPr>
            </w:pPr>
            <w:r w:rsidRPr="004C7830">
              <w:rPr>
                <w:rFonts w:eastAsiaTheme="minorHAnsi" w:cs="Arial"/>
                <w:sz w:val="24"/>
                <w:szCs w:val="24"/>
              </w:rPr>
              <w:t xml:space="preserve">Inclusion of </w:t>
            </w:r>
            <w:r w:rsidR="00685069" w:rsidRPr="004C7830">
              <w:rPr>
                <w:rFonts w:eastAsiaTheme="minorHAnsi" w:cs="Arial"/>
                <w:sz w:val="24"/>
                <w:szCs w:val="24"/>
              </w:rPr>
              <w:t>State and Federal Job Programs</w:t>
            </w:r>
            <w:r w:rsidRPr="004C7830">
              <w:rPr>
                <w:rFonts w:eastAsiaTheme="minorHAnsi" w:cs="Arial"/>
                <w:sz w:val="24"/>
                <w:szCs w:val="24"/>
              </w:rPr>
              <w:t xml:space="preserve"> in the CCI</w:t>
            </w: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August 11,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F003EB" w:rsidP="000B1725">
            <w:pPr>
              <w:jc w:val="center"/>
              <w:rPr>
                <w:rFonts w:eastAsiaTheme="minorHAnsi" w:cs="Arial"/>
                <w:sz w:val="24"/>
                <w:szCs w:val="24"/>
              </w:rPr>
            </w:pPr>
            <w:r w:rsidRPr="004C7830">
              <w:rPr>
                <w:rFonts w:eastAsiaTheme="minorHAnsi" w:cs="Arial"/>
                <w:sz w:val="24"/>
                <w:szCs w:val="24"/>
              </w:rPr>
              <w:t>Technical Design Group (</w:t>
            </w:r>
            <w:r w:rsidR="00685069" w:rsidRPr="004C7830">
              <w:rPr>
                <w:rFonts w:eastAsiaTheme="minorHAnsi" w:cs="Arial"/>
                <w:sz w:val="24"/>
                <w:szCs w:val="24"/>
              </w:rPr>
              <w:t>TDG</w:t>
            </w:r>
            <w:r w:rsidRPr="004C7830">
              <w:rPr>
                <w:rFonts w:eastAsiaTheme="minorHAnsi" w:cs="Arial"/>
                <w:sz w:val="24"/>
                <w:szCs w:val="24"/>
              </w:rPr>
              <w:t>)</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7F7F27" w:rsidP="000B1725">
            <w:pPr>
              <w:jc w:val="center"/>
              <w:rPr>
                <w:rFonts w:eastAsiaTheme="minorEastAsia" w:cs="Arial"/>
                <w:sz w:val="24"/>
                <w:szCs w:val="24"/>
              </w:rPr>
            </w:pPr>
            <w:r w:rsidRPr="004C7830">
              <w:rPr>
                <w:rFonts w:eastAsiaTheme="minorEastAsia" w:cs="Arial"/>
                <w:sz w:val="24"/>
                <w:szCs w:val="24"/>
              </w:rPr>
              <w:t>6</w:t>
            </w:r>
          </w:p>
        </w:tc>
        <w:tc>
          <w:tcPr>
            <w:tcW w:w="2395" w:type="pct"/>
            <w:tcBorders>
              <w:top w:val="single" w:sz="4" w:space="0" w:color="auto"/>
              <w:left w:val="single" w:sz="4" w:space="0" w:color="auto"/>
              <w:bottom w:val="single" w:sz="4" w:space="0" w:color="auto"/>
              <w:right w:val="single" w:sz="4" w:space="0" w:color="auto"/>
            </w:tcBorders>
            <w:vAlign w:val="center"/>
          </w:tcPr>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Student Growth Model: Empirical Best Linear Projection (EBLP)</w:t>
            </w:r>
          </w:p>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 xml:space="preserve">Communicating the Growth Model: A Graphical Display </w:t>
            </w:r>
          </w:p>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Update on the 2020 Dashboard and Reporting of Data</w:t>
            </w:r>
          </w:p>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Stability, Consistency, and Reliability of the Dashboard Colors for State Indicators</w:t>
            </w:r>
          </w:p>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New Career Measures for Possible Inclusion i</w:t>
            </w:r>
            <w:r w:rsidR="00F003EB" w:rsidRPr="004C7830">
              <w:rPr>
                <w:rFonts w:eastAsiaTheme="minorHAnsi" w:cs="Arial"/>
                <w:sz w:val="24"/>
                <w:szCs w:val="24"/>
              </w:rPr>
              <w:t xml:space="preserve">n the </w:t>
            </w:r>
            <w:r w:rsidRPr="004C7830">
              <w:rPr>
                <w:rFonts w:eastAsiaTheme="minorHAnsi" w:cs="Arial"/>
                <w:sz w:val="24"/>
                <w:szCs w:val="24"/>
              </w:rPr>
              <w:t>CCI</w:t>
            </w:r>
          </w:p>
          <w:p w:rsidR="00706959" w:rsidRPr="004C7830" w:rsidRDefault="00706959" w:rsidP="00706959">
            <w:pPr>
              <w:pStyle w:val="ListParagraph"/>
              <w:numPr>
                <w:ilvl w:val="0"/>
                <w:numId w:val="15"/>
              </w:numPr>
              <w:rPr>
                <w:rFonts w:eastAsiaTheme="minorHAnsi" w:cs="Arial"/>
                <w:sz w:val="24"/>
                <w:szCs w:val="24"/>
              </w:rPr>
            </w:pPr>
            <w:r w:rsidRPr="004C7830">
              <w:rPr>
                <w:rFonts w:eastAsiaTheme="minorHAnsi" w:cs="Arial"/>
                <w:sz w:val="24"/>
                <w:szCs w:val="24"/>
              </w:rPr>
              <w:t xml:space="preserve">Suspension Rate Indicator </w:t>
            </w:r>
          </w:p>
          <w:p w:rsidR="00685069" w:rsidRPr="004C7830" w:rsidRDefault="00685069" w:rsidP="000B1725">
            <w:pPr>
              <w:rPr>
                <w:rFonts w:eastAsiaTheme="minorHAnsi" w:cs="Arial"/>
                <w:sz w:val="24"/>
                <w:szCs w:val="24"/>
              </w:rPr>
            </w:pPr>
          </w:p>
        </w:tc>
      </w:tr>
      <w:tr w:rsidR="00685069" w:rsidRPr="004C7830" w:rsidTr="4CA4A074">
        <w:trPr>
          <w:cantSplit/>
        </w:trPr>
        <w:tc>
          <w:tcPr>
            <w:tcW w:w="624" w:type="pct"/>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lastRenderedPageBreak/>
              <w:t>August 14, 2020</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685069" w:rsidP="000B1725">
            <w:pPr>
              <w:jc w:val="center"/>
              <w:rPr>
                <w:rFonts w:eastAsiaTheme="minorHAnsi" w:cs="Arial"/>
                <w:sz w:val="24"/>
                <w:szCs w:val="24"/>
              </w:rPr>
            </w:pPr>
            <w:r w:rsidRPr="004C7830">
              <w:rPr>
                <w:rFonts w:eastAsiaTheme="minorHAnsi" w:cs="Arial"/>
                <w:sz w:val="24"/>
                <w:szCs w:val="24"/>
              </w:rPr>
              <w:t>California Practitioners Advisory Committee (CPAG)</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685069" w:rsidRPr="004C7830" w:rsidRDefault="00922E15" w:rsidP="4CA4A074">
            <w:pPr>
              <w:jc w:val="center"/>
              <w:rPr>
                <w:rFonts w:eastAsiaTheme="minorEastAsia" w:cs="Arial"/>
                <w:sz w:val="24"/>
                <w:szCs w:val="24"/>
              </w:rPr>
            </w:pPr>
            <w:r w:rsidRPr="004C7830">
              <w:rPr>
                <w:rFonts w:eastAsiaTheme="minorEastAsia" w:cs="Arial"/>
              </w:rPr>
              <w:t>144</w:t>
            </w:r>
          </w:p>
        </w:tc>
        <w:tc>
          <w:tcPr>
            <w:tcW w:w="2395" w:type="pct"/>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ListParagraph"/>
              <w:numPr>
                <w:ilvl w:val="0"/>
                <w:numId w:val="16"/>
              </w:numPr>
              <w:rPr>
                <w:rFonts w:eastAsiaTheme="minorHAnsi" w:cs="Arial"/>
                <w:sz w:val="24"/>
                <w:szCs w:val="24"/>
              </w:rPr>
            </w:pPr>
            <w:r w:rsidRPr="004C7830">
              <w:rPr>
                <w:rFonts w:eastAsiaTheme="minorHAnsi" w:cs="Arial"/>
                <w:sz w:val="24"/>
                <w:szCs w:val="24"/>
              </w:rPr>
              <w:t>Update on the 2020 California School Dashboard (Dashboard) and Reporting Requirements</w:t>
            </w:r>
          </w:p>
          <w:p w:rsidR="00685069" w:rsidRPr="004C7830" w:rsidRDefault="00685069" w:rsidP="00685069">
            <w:pPr>
              <w:pStyle w:val="ListParagraph"/>
              <w:numPr>
                <w:ilvl w:val="0"/>
                <w:numId w:val="16"/>
              </w:numPr>
              <w:rPr>
                <w:rFonts w:eastAsiaTheme="minorHAnsi" w:cs="Arial"/>
                <w:sz w:val="24"/>
                <w:szCs w:val="24"/>
              </w:rPr>
            </w:pPr>
            <w:r w:rsidRPr="004C7830">
              <w:rPr>
                <w:rFonts w:eastAsiaTheme="minorHAnsi" w:cs="Arial"/>
                <w:sz w:val="24"/>
                <w:szCs w:val="24"/>
              </w:rPr>
              <w:t>Student Growth Model</w:t>
            </w:r>
          </w:p>
          <w:p w:rsidR="00685069" w:rsidRPr="004C7830" w:rsidRDefault="00685069" w:rsidP="79ED0307">
            <w:pPr>
              <w:pStyle w:val="ListParagraph"/>
              <w:numPr>
                <w:ilvl w:val="0"/>
                <w:numId w:val="16"/>
              </w:numPr>
              <w:rPr>
                <w:rFonts w:eastAsiaTheme="minorEastAsia" w:cs="Arial"/>
                <w:sz w:val="24"/>
                <w:szCs w:val="24"/>
              </w:rPr>
            </w:pPr>
            <w:r w:rsidRPr="004C7830">
              <w:rPr>
                <w:rFonts w:eastAsiaTheme="minorEastAsia" w:cs="Arial"/>
                <w:sz w:val="24"/>
                <w:szCs w:val="24"/>
              </w:rPr>
              <w:t>Stability of the Five-by-Five Color Grids for the State Indicators</w:t>
            </w:r>
          </w:p>
          <w:p w:rsidR="5468BA6E" w:rsidRPr="004C7830" w:rsidRDefault="5468BA6E" w:rsidP="79ED0307">
            <w:pPr>
              <w:pStyle w:val="ListParagraph"/>
              <w:numPr>
                <w:ilvl w:val="0"/>
                <w:numId w:val="16"/>
              </w:numPr>
              <w:rPr>
                <w:sz w:val="24"/>
                <w:szCs w:val="24"/>
              </w:rPr>
            </w:pPr>
            <w:r w:rsidRPr="004C7830">
              <w:rPr>
                <w:rFonts w:eastAsiaTheme="minorEastAsia" w:cs="Arial"/>
                <w:sz w:val="24"/>
                <w:szCs w:val="24"/>
              </w:rPr>
              <w:t xml:space="preserve">Teacher and Credentialing Data </w:t>
            </w:r>
          </w:p>
          <w:p w:rsidR="00685069" w:rsidRPr="004C7830" w:rsidRDefault="00685069" w:rsidP="00706959">
            <w:pPr>
              <w:pStyle w:val="ListParagraph"/>
              <w:numPr>
                <w:ilvl w:val="0"/>
                <w:numId w:val="16"/>
              </w:numPr>
              <w:rPr>
                <w:rFonts w:eastAsiaTheme="minorHAnsi" w:cs="Arial"/>
                <w:sz w:val="24"/>
                <w:szCs w:val="24"/>
              </w:rPr>
            </w:pPr>
            <w:r w:rsidRPr="004C7830">
              <w:rPr>
                <w:rFonts w:eastAsiaTheme="minorHAnsi" w:cs="Arial"/>
                <w:sz w:val="24"/>
                <w:szCs w:val="24"/>
              </w:rPr>
              <w:t xml:space="preserve">New Career Measures Proposed for the CCI </w:t>
            </w:r>
          </w:p>
        </w:tc>
      </w:tr>
    </w:tbl>
    <w:p w:rsidR="00685069" w:rsidRPr="004C7830" w:rsidRDefault="00685069" w:rsidP="00685069"/>
    <w:p w:rsidR="00685069" w:rsidRPr="00004538" w:rsidRDefault="00685069" w:rsidP="00004538"/>
    <w:p w:rsidR="00685069" w:rsidRPr="004C7830" w:rsidRDefault="00685069" w:rsidP="00685069">
      <w:pPr>
        <w:pStyle w:val="Heading3"/>
        <w:spacing w:before="0"/>
        <w:jc w:val="center"/>
        <w:rPr>
          <w:rFonts w:cs="Arial"/>
        </w:rPr>
      </w:pPr>
      <w:r w:rsidRPr="004C7830">
        <w:rPr>
          <w:rFonts w:cs="Arial"/>
        </w:rPr>
        <w:t>Table 2</w:t>
      </w:r>
    </w:p>
    <w:p w:rsidR="00685069" w:rsidRPr="004C7830" w:rsidRDefault="00685069" w:rsidP="00646083">
      <w:pPr>
        <w:pStyle w:val="Heading3"/>
        <w:jc w:val="center"/>
        <w:rPr>
          <w:sz w:val="12"/>
          <w:szCs w:val="12"/>
        </w:rPr>
      </w:pPr>
      <w:r w:rsidRPr="004C7830">
        <w:t>Virtual Meetings</w:t>
      </w:r>
    </w:p>
    <w:tbl>
      <w:tblPr>
        <w:tblStyle w:val="TableGrid"/>
        <w:tblW w:w="13225" w:type="dxa"/>
        <w:tblLook w:val="04A0" w:firstRow="1" w:lastRow="0" w:firstColumn="1" w:lastColumn="0" w:noHBand="0" w:noVBand="1"/>
        <w:tblDescription w:val="Table indicating webinars."/>
      </w:tblPr>
      <w:tblGrid>
        <w:gridCol w:w="2250"/>
        <w:gridCol w:w="3145"/>
        <w:gridCol w:w="1980"/>
        <w:gridCol w:w="5850"/>
      </w:tblGrid>
      <w:tr w:rsidR="00685069" w:rsidRPr="004C7830" w:rsidTr="4CA4A074">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sz w:val="24"/>
              </w:rPr>
            </w:pPr>
            <w:r w:rsidRPr="004C7830">
              <w:rPr>
                <w:rFonts w:cs="Arial"/>
                <w:b/>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sz w:val="24"/>
              </w:rPr>
            </w:pPr>
            <w:r w:rsidRPr="004C7830">
              <w:rPr>
                <w:rFonts w:cs="Arial"/>
                <w:b/>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sz w:val="24"/>
              </w:rPr>
            </w:pPr>
            <w:r w:rsidRPr="004C7830">
              <w:rPr>
                <w:rFonts w:cs="Arial"/>
                <w:b/>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685069" w:rsidRPr="004C7830" w:rsidRDefault="00685069" w:rsidP="000B1725">
            <w:pPr>
              <w:jc w:val="center"/>
              <w:rPr>
                <w:rFonts w:cs="Arial"/>
                <w:b/>
                <w:sz w:val="24"/>
              </w:rPr>
            </w:pPr>
            <w:r w:rsidRPr="004C7830">
              <w:rPr>
                <w:rFonts w:cs="Arial"/>
                <w:b/>
                <w:sz w:val="24"/>
              </w:rPr>
              <w:t>Topics</w:t>
            </w:r>
          </w:p>
        </w:tc>
      </w:tr>
      <w:tr w:rsidR="7E984D5B"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4DA8BA57" w:rsidRPr="004C7830" w:rsidRDefault="4DA8BA57" w:rsidP="7E984D5B">
            <w:pPr>
              <w:jc w:val="center"/>
              <w:rPr>
                <w:rFonts w:eastAsiaTheme="minorEastAsia" w:cs="Arial"/>
                <w:sz w:val="24"/>
              </w:rPr>
            </w:pPr>
            <w:r w:rsidRPr="004C7830">
              <w:rPr>
                <w:rFonts w:eastAsiaTheme="minorEastAsia" w:cs="Arial"/>
                <w:sz w:val="24"/>
              </w:rPr>
              <w:t>April 9, 2020</w:t>
            </w:r>
          </w:p>
        </w:tc>
        <w:tc>
          <w:tcPr>
            <w:tcW w:w="3145" w:type="dxa"/>
            <w:tcBorders>
              <w:top w:val="single" w:sz="4" w:space="0" w:color="auto"/>
              <w:left w:val="single" w:sz="4" w:space="0" w:color="auto"/>
              <w:bottom w:val="single" w:sz="4" w:space="0" w:color="auto"/>
              <w:right w:val="single" w:sz="4" w:space="0" w:color="auto"/>
            </w:tcBorders>
            <w:vAlign w:val="center"/>
          </w:tcPr>
          <w:p w:rsidR="4DA8BA57" w:rsidRPr="004C7830" w:rsidRDefault="4DA8BA57" w:rsidP="7E984D5B">
            <w:pPr>
              <w:jc w:val="center"/>
              <w:rPr>
                <w:rFonts w:cs="Arial"/>
                <w:sz w:val="24"/>
              </w:rPr>
            </w:pPr>
            <w:r w:rsidRPr="004C7830">
              <w:rPr>
                <w:rFonts w:cs="Arial"/>
                <w:sz w:val="24"/>
              </w:rPr>
              <w:t>Bilingual Coordinators Meeting</w:t>
            </w:r>
          </w:p>
        </w:tc>
        <w:tc>
          <w:tcPr>
            <w:tcW w:w="1980" w:type="dxa"/>
            <w:tcBorders>
              <w:top w:val="single" w:sz="4" w:space="0" w:color="auto"/>
              <w:left w:val="single" w:sz="4" w:space="0" w:color="auto"/>
              <w:bottom w:val="single" w:sz="4" w:space="0" w:color="auto"/>
              <w:right w:val="single" w:sz="4" w:space="0" w:color="auto"/>
            </w:tcBorders>
            <w:vAlign w:val="center"/>
          </w:tcPr>
          <w:p w:rsidR="5D5FB4FF" w:rsidRPr="004C7830" w:rsidRDefault="5D5FB4FF" w:rsidP="7E984D5B">
            <w:pPr>
              <w:jc w:val="center"/>
              <w:rPr>
                <w:rFonts w:eastAsiaTheme="minorEastAsia" w:cs="Arial"/>
                <w:sz w:val="24"/>
              </w:rPr>
            </w:pPr>
            <w:r w:rsidRPr="004C7830">
              <w:rPr>
                <w:rFonts w:eastAsiaTheme="minorEastAsia" w:cs="Arial"/>
                <w:sz w:val="24"/>
              </w:rPr>
              <w:t>80</w:t>
            </w:r>
          </w:p>
        </w:tc>
        <w:tc>
          <w:tcPr>
            <w:tcW w:w="5850" w:type="dxa"/>
            <w:tcBorders>
              <w:top w:val="single" w:sz="4" w:space="0" w:color="auto"/>
              <w:left w:val="single" w:sz="4" w:space="0" w:color="auto"/>
              <w:bottom w:val="single" w:sz="4" w:space="0" w:color="auto"/>
              <w:right w:val="single" w:sz="4" w:space="0" w:color="auto"/>
            </w:tcBorders>
            <w:vAlign w:val="center"/>
          </w:tcPr>
          <w:p w:rsidR="51230DFB" w:rsidRPr="004C7830" w:rsidRDefault="51230DFB" w:rsidP="7E984D5B">
            <w:pPr>
              <w:pStyle w:val="ListParagraph"/>
              <w:numPr>
                <w:ilvl w:val="0"/>
                <w:numId w:val="15"/>
              </w:numPr>
              <w:rPr>
                <w:rFonts w:eastAsiaTheme="minorEastAsia" w:cs="Arial"/>
                <w:sz w:val="24"/>
              </w:rPr>
            </w:pPr>
            <w:r w:rsidRPr="004C7830">
              <w:rPr>
                <w:rFonts w:cs="Arial"/>
                <w:sz w:val="24"/>
              </w:rPr>
              <w:t>Updates on the Differentiated Assistance and Comprehensive Support and Improvement eligibility lists</w:t>
            </w:r>
          </w:p>
          <w:p w:rsidR="51230DFB" w:rsidRPr="004C7830" w:rsidRDefault="51230DFB" w:rsidP="7E984D5B">
            <w:pPr>
              <w:pStyle w:val="ListParagraph"/>
              <w:numPr>
                <w:ilvl w:val="0"/>
                <w:numId w:val="15"/>
              </w:numPr>
              <w:rPr>
                <w:sz w:val="24"/>
              </w:rPr>
            </w:pPr>
            <w:r w:rsidRPr="004C7830">
              <w:rPr>
                <w:rFonts w:cs="Arial"/>
                <w:sz w:val="24"/>
              </w:rPr>
              <w:t>Elementary and Secondary Education Act Waiver Update</w:t>
            </w:r>
          </w:p>
        </w:tc>
      </w:tr>
      <w:tr w:rsidR="00685069"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HAnsi" w:cs="Arial"/>
                <w:sz w:val="24"/>
              </w:rPr>
            </w:pPr>
            <w:r w:rsidRPr="004C7830">
              <w:rPr>
                <w:rFonts w:eastAsiaTheme="minorHAnsi" w:cs="Arial"/>
                <w:sz w:val="24"/>
              </w:rPr>
              <w:t>May 13, 2020</w:t>
            </w:r>
          </w:p>
        </w:tc>
        <w:tc>
          <w:tcPr>
            <w:tcW w:w="3145"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EastAsia" w:cs="Arial"/>
                <w:sz w:val="24"/>
              </w:rPr>
            </w:pPr>
            <w:r w:rsidRPr="004C7830">
              <w:rPr>
                <w:rFonts w:cs="Arial"/>
                <w:sz w:val="24"/>
              </w:rPr>
              <w:t>Regional Assessment Group</w:t>
            </w:r>
          </w:p>
        </w:tc>
        <w:tc>
          <w:tcPr>
            <w:tcW w:w="1980" w:type="dxa"/>
            <w:tcBorders>
              <w:top w:val="single" w:sz="4" w:space="0" w:color="auto"/>
              <w:left w:val="single" w:sz="4" w:space="0" w:color="auto"/>
              <w:bottom w:val="single" w:sz="4" w:space="0" w:color="auto"/>
              <w:right w:val="single" w:sz="4" w:space="0" w:color="auto"/>
            </w:tcBorders>
            <w:vAlign w:val="center"/>
          </w:tcPr>
          <w:p w:rsidR="00685069" w:rsidRPr="004C7830" w:rsidRDefault="0013787F" w:rsidP="000B1725">
            <w:pPr>
              <w:jc w:val="center"/>
              <w:rPr>
                <w:rFonts w:eastAsiaTheme="minorHAnsi" w:cs="Arial"/>
                <w:sz w:val="24"/>
              </w:rPr>
            </w:pPr>
            <w:r w:rsidRPr="004C7830">
              <w:rPr>
                <w:rFonts w:eastAsiaTheme="minorHAnsi" w:cs="Arial"/>
                <w:sz w:val="24"/>
              </w:rPr>
              <w:t>32</w:t>
            </w:r>
          </w:p>
        </w:tc>
        <w:tc>
          <w:tcPr>
            <w:tcW w:w="58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ListParagraph"/>
              <w:numPr>
                <w:ilvl w:val="0"/>
                <w:numId w:val="15"/>
              </w:numPr>
              <w:rPr>
                <w:rFonts w:eastAsiaTheme="minorHAnsi" w:cs="Arial"/>
                <w:sz w:val="24"/>
              </w:rPr>
            </w:pPr>
            <w:r w:rsidRPr="004C7830">
              <w:rPr>
                <w:rFonts w:cs="Arial"/>
                <w:sz w:val="24"/>
              </w:rPr>
              <w:t xml:space="preserve">Stability of the Current Color Scheme Used for the Five-by-Five Color Grids </w:t>
            </w:r>
          </w:p>
          <w:p w:rsidR="00685069" w:rsidRPr="004C7830" w:rsidRDefault="00685069" w:rsidP="00685069">
            <w:pPr>
              <w:pStyle w:val="ListParagraph"/>
              <w:numPr>
                <w:ilvl w:val="0"/>
                <w:numId w:val="15"/>
              </w:numPr>
              <w:rPr>
                <w:rFonts w:eastAsiaTheme="minorHAnsi" w:cs="Arial"/>
                <w:sz w:val="24"/>
              </w:rPr>
            </w:pPr>
            <w:r w:rsidRPr="004C7830">
              <w:rPr>
                <w:rFonts w:eastAsiaTheme="minorHAnsi" w:cs="Arial"/>
                <w:sz w:val="24"/>
              </w:rPr>
              <w:t>New Career Measures for the CCI</w:t>
            </w:r>
          </w:p>
          <w:p w:rsidR="00685069" w:rsidRPr="004C7830" w:rsidRDefault="00685069" w:rsidP="00685069">
            <w:pPr>
              <w:pStyle w:val="ListParagraph"/>
              <w:numPr>
                <w:ilvl w:val="0"/>
                <w:numId w:val="14"/>
              </w:numPr>
              <w:rPr>
                <w:rFonts w:eastAsiaTheme="minorHAnsi" w:cs="Arial"/>
                <w:sz w:val="24"/>
              </w:rPr>
            </w:pPr>
            <w:r w:rsidRPr="004C7830">
              <w:rPr>
                <w:rFonts w:eastAsiaTheme="minorHAnsi" w:cs="Arial"/>
                <w:sz w:val="24"/>
              </w:rPr>
              <w:t>Student Growth Model</w:t>
            </w:r>
          </w:p>
        </w:tc>
      </w:tr>
      <w:tr w:rsidR="007E1CCA"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7E1CCA" w:rsidRPr="004C7830" w:rsidRDefault="007E1CCA" w:rsidP="000B1725">
            <w:pPr>
              <w:jc w:val="center"/>
              <w:rPr>
                <w:rFonts w:eastAsiaTheme="minorHAnsi" w:cs="Arial"/>
                <w:sz w:val="24"/>
              </w:rPr>
            </w:pPr>
            <w:r w:rsidRPr="004C7830">
              <w:rPr>
                <w:rFonts w:eastAsiaTheme="minorHAnsi" w:cs="Arial"/>
                <w:sz w:val="24"/>
              </w:rPr>
              <w:t>May 15, 2020</w:t>
            </w:r>
          </w:p>
        </w:tc>
        <w:tc>
          <w:tcPr>
            <w:tcW w:w="3145" w:type="dxa"/>
            <w:tcBorders>
              <w:top w:val="single" w:sz="4" w:space="0" w:color="auto"/>
              <w:left w:val="single" w:sz="4" w:space="0" w:color="auto"/>
              <w:bottom w:val="single" w:sz="4" w:space="0" w:color="auto"/>
              <w:right w:val="single" w:sz="4" w:space="0" w:color="auto"/>
            </w:tcBorders>
            <w:vAlign w:val="center"/>
          </w:tcPr>
          <w:p w:rsidR="007E1CCA" w:rsidRPr="004C7830" w:rsidRDefault="00EE5EF3" w:rsidP="000B1725">
            <w:pPr>
              <w:jc w:val="center"/>
              <w:rPr>
                <w:rFonts w:cs="Arial"/>
                <w:sz w:val="24"/>
              </w:rPr>
            </w:pPr>
            <w:r w:rsidRPr="004C7830">
              <w:rPr>
                <w:rFonts w:cs="Arial"/>
                <w:sz w:val="24"/>
              </w:rPr>
              <w:t>State and Federal Directors Meeting</w:t>
            </w:r>
          </w:p>
        </w:tc>
        <w:tc>
          <w:tcPr>
            <w:tcW w:w="1980" w:type="dxa"/>
            <w:tcBorders>
              <w:top w:val="single" w:sz="4" w:space="0" w:color="auto"/>
              <w:left w:val="single" w:sz="4" w:space="0" w:color="auto"/>
              <w:bottom w:val="single" w:sz="4" w:space="0" w:color="auto"/>
              <w:right w:val="single" w:sz="4" w:space="0" w:color="auto"/>
            </w:tcBorders>
            <w:vAlign w:val="center"/>
          </w:tcPr>
          <w:p w:rsidR="007E1CCA" w:rsidRPr="004C7830" w:rsidRDefault="00EE5EF3" w:rsidP="000B1725">
            <w:pPr>
              <w:jc w:val="center"/>
              <w:rPr>
                <w:rFonts w:eastAsiaTheme="minorHAnsi" w:cs="Arial"/>
                <w:sz w:val="24"/>
              </w:rPr>
            </w:pPr>
            <w:r w:rsidRPr="004C7830">
              <w:rPr>
                <w:rFonts w:eastAsiaTheme="minorHAnsi" w:cs="Arial"/>
                <w:sz w:val="24"/>
              </w:rPr>
              <w:t>22</w:t>
            </w:r>
            <w:r w:rsidR="00F83FC8" w:rsidRPr="004C7830">
              <w:rPr>
                <w:rFonts w:eastAsiaTheme="minorHAnsi" w:cs="Arial"/>
                <w:sz w:val="24"/>
              </w:rPr>
              <w:t>3</w:t>
            </w:r>
          </w:p>
        </w:tc>
        <w:tc>
          <w:tcPr>
            <w:tcW w:w="5850" w:type="dxa"/>
            <w:tcBorders>
              <w:top w:val="single" w:sz="4" w:space="0" w:color="auto"/>
              <w:left w:val="single" w:sz="4" w:space="0" w:color="auto"/>
              <w:bottom w:val="single" w:sz="4" w:space="0" w:color="auto"/>
              <w:right w:val="single" w:sz="4" w:space="0" w:color="auto"/>
            </w:tcBorders>
            <w:vAlign w:val="center"/>
          </w:tcPr>
          <w:p w:rsidR="007E1CCA" w:rsidRPr="004C7830" w:rsidRDefault="00F83FC8" w:rsidP="00685069">
            <w:pPr>
              <w:pStyle w:val="ListParagraph"/>
              <w:numPr>
                <w:ilvl w:val="0"/>
                <w:numId w:val="15"/>
              </w:numPr>
              <w:rPr>
                <w:rFonts w:cs="Arial"/>
                <w:sz w:val="24"/>
              </w:rPr>
            </w:pPr>
            <w:r w:rsidRPr="004C7830">
              <w:rPr>
                <w:rFonts w:cs="Arial"/>
                <w:sz w:val="24"/>
              </w:rPr>
              <w:t>Update on the California School Dashboard Workplan</w:t>
            </w:r>
          </w:p>
        </w:tc>
      </w:tr>
      <w:tr w:rsidR="00685069"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HAnsi" w:cs="Arial"/>
                <w:sz w:val="24"/>
              </w:rPr>
            </w:pPr>
            <w:r w:rsidRPr="004C7830">
              <w:rPr>
                <w:rFonts w:eastAsiaTheme="minorHAnsi" w:cs="Arial"/>
                <w:sz w:val="24"/>
              </w:rPr>
              <w:lastRenderedPageBreak/>
              <w:t>May 19, 2020</w:t>
            </w:r>
          </w:p>
        </w:tc>
        <w:tc>
          <w:tcPr>
            <w:tcW w:w="3145" w:type="dxa"/>
            <w:tcBorders>
              <w:top w:val="single" w:sz="4" w:space="0" w:color="auto"/>
              <w:left w:val="single" w:sz="4" w:space="0" w:color="auto"/>
              <w:bottom w:val="single" w:sz="4" w:space="0" w:color="auto"/>
              <w:right w:val="single" w:sz="4" w:space="0" w:color="auto"/>
            </w:tcBorders>
            <w:vAlign w:val="center"/>
          </w:tcPr>
          <w:p w:rsidR="00685069" w:rsidRPr="004C7830" w:rsidRDefault="007E2323" w:rsidP="000B1725">
            <w:pPr>
              <w:jc w:val="center"/>
              <w:rPr>
                <w:rFonts w:cs="Arial"/>
                <w:sz w:val="24"/>
              </w:rPr>
            </w:pPr>
            <w:r w:rsidRPr="004C7830">
              <w:rPr>
                <w:rFonts w:cs="Arial"/>
                <w:sz w:val="24"/>
              </w:rPr>
              <w:t>C</w:t>
            </w:r>
            <w:r w:rsidR="00E379C8" w:rsidRPr="004C7830">
              <w:rPr>
                <w:rFonts w:cs="Arial"/>
                <w:sz w:val="24"/>
              </w:rPr>
              <w:t>alifornia County Superintendents Educational Services Association</w:t>
            </w:r>
          </w:p>
        </w:tc>
        <w:tc>
          <w:tcPr>
            <w:tcW w:w="1980" w:type="dxa"/>
            <w:tcBorders>
              <w:top w:val="single" w:sz="4" w:space="0" w:color="auto"/>
              <w:left w:val="single" w:sz="4" w:space="0" w:color="auto"/>
              <w:bottom w:val="single" w:sz="4" w:space="0" w:color="auto"/>
              <w:right w:val="single" w:sz="4" w:space="0" w:color="auto"/>
            </w:tcBorders>
            <w:vAlign w:val="center"/>
          </w:tcPr>
          <w:p w:rsidR="00685069" w:rsidRPr="004C7830" w:rsidRDefault="0091721C" w:rsidP="000B1725">
            <w:pPr>
              <w:jc w:val="center"/>
              <w:rPr>
                <w:rFonts w:eastAsiaTheme="minorHAnsi" w:cs="Arial"/>
                <w:sz w:val="24"/>
              </w:rPr>
            </w:pPr>
            <w:r w:rsidRPr="004C7830">
              <w:rPr>
                <w:rFonts w:eastAsiaTheme="minorHAnsi" w:cs="Arial"/>
                <w:sz w:val="24"/>
              </w:rPr>
              <w:t>30</w:t>
            </w:r>
          </w:p>
        </w:tc>
        <w:tc>
          <w:tcPr>
            <w:tcW w:w="58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ListParagraph"/>
              <w:numPr>
                <w:ilvl w:val="0"/>
                <w:numId w:val="14"/>
              </w:numPr>
              <w:rPr>
                <w:rFonts w:cs="Arial"/>
                <w:color w:val="000000"/>
                <w:sz w:val="24"/>
              </w:rPr>
            </w:pPr>
            <w:r w:rsidRPr="004C7830">
              <w:rPr>
                <w:rFonts w:cs="Arial"/>
                <w:color w:val="000000"/>
                <w:sz w:val="24"/>
              </w:rPr>
              <w:t>New Career Measures for Possible Inclusion in the 2021</w:t>
            </w:r>
            <w:r w:rsidR="00EC0E07" w:rsidRPr="004C7830">
              <w:rPr>
                <w:rFonts w:cs="Arial"/>
                <w:color w:val="000000"/>
                <w:sz w:val="24"/>
              </w:rPr>
              <w:t xml:space="preserve"> </w:t>
            </w:r>
            <w:r w:rsidRPr="004C7830">
              <w:rPr>
                <w:rFonts w:cs="Arial"/>
                <w:color w:val="000000"/>
                <w:sz w:val="24"/>
              </w:rPr>
              <w:t>Dashboard</w:t>
            </w:r>
          </w:p>
        </w:tc>
      </w:tr>
      <w:tr w:rsidR="00DA1828"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DA1828" w:rsidRPr="004C7830" w:rsidRDefault="00DA1828" w:rsidP="000B1725">
            <w:pPr>
              <w:jc w:val="center"/>
              <w:rPr>
                <w:rFonts w:eastAsiaTheme="minorEastAsia" w:cs="Arial"/>
                <w:sz w:val="24"/>
              </w:rPr>
            </w:pPr>
            <w:r w:rsidRPr="004C7830">
              <w:rPr>
                <w:rFonts w:eastAsiaTheme="minorEastAsia" w:cs="Arial"/>
                <w:sz w:val="24"/>
              </w:rPr>
              <w:t>May 21, 2020</w:t>
            </w:r>
          </w:p>
        </w:tc>
        <w:tc>
          <w:tcPr>
            <w:tcW w:w="3145" w:type="dxa"/>
            <w:tcBorders>
              <w:top w:val="single" w:sz="4" w:space="0" w:color="auto"/>
              <w:left w:val="single" w:sz="4" w:space="0" w:color="auto"/>
              <w:bottom w:val="single" w:sz="4" w:space="0" w:color="auto"/>
              <w:right w:val="single" w:sz="4" w:space="0" w:color="auto"/>
            </w:tcBorders>
            <w:vAlign w:val="center"/>
          </w:tcPr>
          <w:p w:rsidR="00DA1828" w:rsidRPr="004C7830" w:rsidRDefault="00DA1828" w:rsidP="000B1725">
            <w:pPr>
              <w:jc w:val="center"/>
              <w:rPr>
                <w:rFonts w:cs="Arial"/>
                <w:sz w:val="24"/>
              </w:rPr>
            </w:pPr>
            <w:r w:rsidRPr="004C7830">
              <w:rPr>
                <w:rFonts w:cs="Arial"/>
                <w:sz w:val="24"/>
              </w:rPr>
              <w:t xml:space="preserve">Ventura County </w:t>
            </w:r>
            <w:r w:rsidR="00EC0E07" w:rsidRPr="004C7830">
              <w:rPr>
                <w:rFonts w:cs="Arial"/>
                <w:sz w:val="24"/>
              </w:rPr>
              <w:t>Office of Education</w:t>
            </w:r>
          </w:p>
        </w:tc>
        <w:tc>
          <w:tcPr>
            <w:tcW w:w="1980" w:type="dxa"/>
            <w:tcBorders>
              <w:top w:val="single" w:sz="4" w:space="0" w:color="auto"/>
              <w:left w:val="single" w:sz="4" w:space="0" w:color="auto"/>
              <w:bottom w:val="single" w:sz="4" w:space="0" w:color="auto"/>
              <w:right w:val="single" w:sz="4" w:space="0" w:color="auto"/>
            </w:tcBorders>
            <w:vAlign w:val="center"/>
          </w:tcPr>
          <w:p w:rsidR="00DA1828" w:rsidRPr="004C7830" w:rsidRDefault="0045659B" w:rsidP="000B1725">
            <w:pPr>
              <w:jc w:val="center"/>
              <w:rPr>
                <w:rFonts w:eastAsiaTheme="minorEastAsia" w:cs="Arial"/>
                <w:sz w:val="24"/>
              </w:rPr>
            </w:pPr>
            <w:r w:rsidRPr="004C7830">
              <w:rPr>
                <w:rFonts w:eastAsiaTheme="minorEastAsia" w:cs="Arial"/>
                <w:sz w:val="24"/>
              </w:rPr>
              <w:t>42</w:t>
            </w:r>
          </w:p>
        </w:tc>
        <w:tc>
          <w:tcPr>
            <w:tcW w:w="5850" w:type="dxa"/>
            <w:tcBorders>
              <w:top w:val="single" w:sz="4" w:space="0" w:color="auto"/>
              <w:left w:val="single" w:sz="4" w:space="0" w:color="auto"/>
              <w:bottom w:val="single" w:sz="4" w:space="0" w:color="auto"/>
              <w:right w:val="single" w:sz="4" w:space="0" w:color="auto"/>
            </w:tcBorders>
            <w:vAlign w:val="center"/>
          </w:tcPr>
          <w:p w:rsidR="00DA1828" w:rsidRPr="004C7830" w:rsidRDefault="00B93567" w:rsidP="00685069">
            <w:pPr>
              <w:pStyle w:val="paragraph"/>
              <w:numPr>
                <w:ilvl w:val="0"/>
                <w:numId w:val="14"/>
              </w:numPr>
              <w:spacing w:before="0" w:beforeAutospacing="0" w:after="0" w:afterAutospacing="0"/>
              <w:textAlignment w:val="baseline"/>
              <w:rPr>
                <w:rStyle w:val="normaltextrun"/>
                <w:rFonts w:cs="Arial"/>
                <w:color w:val="000000"/>
                <w:position w:val="2"/>
                <w:sz w:val="24"/>
              </w:rPr>
            </w:pPr>
            <w:r w:rsidRPr="004C7830">
              <w:rPr>
                <w:rStyle w:val="normaltextrun"/>
                <w:rFonts w:cs="Arial"/>
                <w:color w:val="000000"/>
                <w:position w:val="2"/>
                <w:sz w:val="24"/>
              </w:rPr>
              <w:t>S</w:t>
            </w:r>
            <w:r w:rsidRPr="004C7830">
              <w:rPr>
                <w:rStyle w:val="normaltextrun"/>
                <w:color w:val="000000"/>
                <w:position w:val="2"/>
                <w:sz w:val="24"/>
              </w:rPr>
              <w:t xml:space="preserve">tudent </w:t>
            </w:r>
            <w:r w:rsidR="0045659B" w:rsidRPr="004C7830">
              <w:rPr>
                <w:rStyle w:val="normaltextrun"/>
                <w:rFonts w:cs="Arial"/>
                <w:color w:val="000000"/>
                <w:position w:val="2"/>
                <w:sz w:val="24"/>
              </w:rPr>
              <w:t>G</w:t>
            </w:r>
            <w:r w:rsidR="0045659B" w:rsidRPr="004C7830">
              <w:rPr>
                <w:rStyle w:val="normaltextrun"/>
                <w:color w:val="000000"/>
                <w:position w:val="2"/>
                <w:sz w:val="24"/>
              </w:rPr>
              <w:t>rowth Model</w:t>
            </w:r>
          </w:p>
        </w:tc>
      </w:tr>
      <w:tr w:rsidR="00685069"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EastAsia" w:cs="Arial"/>
                <w:sz w:val="24"/>
              </w:rPr>
            </w:pPr>
            <w:r w:rsidRPr="004C7830">
              <w:rPr>
                <w:rFonts w:eastAsiaTheme="minorEastAsia" w:cs="Arial"/>
                <w:sz w:val="24"/>
              </w:rPr>
              <w:t>June 19, 2020</w:t>
            </w:r>
          </w:p>
        </w:tc>
        <w:tc>
          <w:tcPr>
            <w:tcW w:w="3145"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cs="Arial"/>
                <w:sz w:val="24"/>
              </w:rPr>
            </w:pPr>
            <w:r w:rsidRPr="004C7830">
              <w:rPr>
                <w:rFonts w:cs="Arial"/>
                <w:sz w:val="24"/>
              </w:rPr>
              <w:t>State and Federal Directors Meeting</w:t>
            </w:r>
          </w:p>
        </w:tc>
        <w:tc>
          <w:tcPr>
            <w:tcW w:w="1980" w:type="dxa"/>
            <w:tcBorders>
              <w:top w:val="single" w:sz="4" w:space="0" w:color="auto"/>
              <w:left w:val="single" w:sz="4" w:space="0" w:color="auto"/>
              <w:bottom w:val="single" w:sz="4" w:space="0" w:color="auto"/>
              <w:right w:val="single" w:sz="4" w:space="0" w:color="auto"/>
            </w:tcBorders>
            <w:vAlign w:val="center"/>
          </w:tcPr>
          <w:p w:rsidR="00685069" w:rsidRPr="004C7830" w:rsidRDefault="00B04B04" w:rsidP="000B1725">
            <w:pPr>
              <w:jc w:val="center"/>
              <w:rPr>
                <w:rFonts w:eastAsiaTheme="minorEastAsia" w:cs="Arial"/>
                <w:sz w:val="24"/>
              </w:rPr>
            </w:pPr>
            <w:r w:rsidRPr="004C7830">
              <w:rPr>
                <w:rFonts w:eastAsiaTheme="minorEastAsia" w:cs="Arial"/>
                <w:sz w:val="24"/>
              </w:rPr>
              <w:t>20</w:t>
            </w:r>
            <w:r w:rsidR="00B9244B" w:rsidRPr="004C7830">
              <w:rPr>
                <w:rFonts w:eastAsiaTheme="minorEastAsia" w:cs="Arial"/>
                <w:sz w:val="24"/>
              </w:rPr>
              <w:t>8</w:t>
            </w:r>
          </w:p>
        </w:tc>
        <w:tc>
          <w:tcPr>
            <w:tcW w:w="58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paragraph"/>
              <w:numPr>
                <w:ilvl w:val="0"/>
                <w:numId w:val="14"/>
              </w:numPr>
              <w:spacing w:before="0" w:beforeAutospacing="0" w:after="0" w:afterAutospacing="0"/>
              <w:textAlignment w:val="baseline"/>
              <w:rPr>
                <w:rFonts w:cs="Arial"/>
                <w:sz w:val="24"/>
              </w:rPr>
            </w:pPr>
            <w:r w:rsidRPr="004C7830">
              <w:rPr>
                <w:rStyle w:val="normaltextrun"/>
                <w:rFonts w:cs="Arial"/>
                <w:color w:val="000000"/>
                <w:position w:val="2"/>
                <w:sz w:val="24"/>
              </w:rPr>
              <w:t>Executive Orders and Federal Waivers</w:t>
            </w:r>
            <w:r w:rsidRPr="004C7830">
              <w:rPr>
                <w:rStyle w:val="eop"/>
                <w:rFonts w:eastAsiaTheme="majorEastAsia" w:cs="Arial"/>
                <w:sz w:val="24"/>
              </w:rPr>
              <w:t>​</w:t>
            </w:r>
          </w:p>
          <w:p w:rsidR="00685069" w:rsidRPr="004C7830" w:rsidRDefault="00685069" w:rsidP="00685069">
            <w:pPr>
              <w:pStyle w:val="paragraph"/>
              <w:numPr>
                <w:ilvl w:val="0"/>
                <w:numId w:val="14"/>
              </w:numPr>
              <w:spacing w:before="0" w:beforeAutospacing="0" w:after="0" w:afterAutospacing="0"/>
              <w:textAlignment w:val="baseline"/>
              <w:rPr>
                <w:rFonts w:cs="Arial"/>
                <w:sz w:val="24"/>
              </w:rPr>
            </w:pPr>
            <w:r w:rsidRPr="004C7830">
              <w:rPr>
                <w:rStyle w:val="normaltextrun"/>
                <w:rFonts w:cs="Arial"/>
                <w:color w:val="000000"/>
                <w:position w:val="2"/>
                <w:sz w:val="24"/>
              </w:rPr>
              <w:t>Updated California School Dashboard Workplan</w:t>
            </w:r>
            <w:r w:rsidRPr="004C7830">
              <w:rPr>
                <w:rStyle w:val="eop"/>
                <w:rFonts w:eastAsiaTheme="majorEastAsia" w:cs="Arial"/>
                <w:sz w:val="24"/>
              </w:rPr>
              <w:t>​</w:t>
            </w:r>
          </w:p>
        </w:tc>
      </w:tr>
      <w:tr w:rsidR="4CA4A074"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1C34F35C" w:rsidRPr="004C7830" w:rsidRDefault="1C34F35C" w:rsidP="4CA4A074">
            <w:pPr>
              <w:jc w:val="center"/>
              <w:rPr>
                <w:rFonts w:eastAsiaTheme="minorEastAsia" w:cs="Arial"/>
                <w:sz w:val="24"/>
                <w:szCs w:val="24"/>
              </w:rPr>
            </w:pPr>
            <w:r w:rsidRPr="004C7830">
              <w:rPr>
                <w:rFonts w:eastAsiaTheme="minorEastAsia" w:cs="Arial"/>
                <w:sz w:val="24"/>
                <w:szCs w:val="24"/>
              </w:rPr>
              <w:t>August 18, 2020</w:t>
            </w:r>
          </w:p>
        </w:tc>
        <w:tc>
          <w:tcPr>
            <w:tcW w:w="3145" w:type="dxa"/>
            <w:tcBorders>
              <w:top w:val="single" w:sz="4" w:space="0" w:color="auto"/>
              <w:left w:val="single" w:sz="4" w:space="0" w:color="auto"/>
              <w:bottom w:val="single" w:sz="4" w:space="0" w:color="auto"/>
              <w:right w:val="single" w:sz="4" w:space="0" w:color="auto"/>
            </w:tcBorders>
            <w:vAlign w:val="center"/>
          </w:tcPr>
          <w:p w:rsidR="1C34F35C" w:rsidRPr="004C7830" w:rsidRDefault="1C34F35C" w:rsidP="4CA4A074">
            <w:pPr>
              <w:jc w:val="center"/>
              <w:rPr>
                <w:rFonts w:cs="Arial"/>
                <w:sz w:val="24"/>
                <w:szCs w:val="24"/>
              </w:rPr>
            </w:pPr>
            <w:r w:rsidRPr="004C7830">
              <w:rPr>
                <w:rFonts w:cs="Arial"/>
                <w:sz w:val="24"/>
                <w:szCs w:val="24"/>
              </w:rPr>
              <w:t>Local Control Funding Formula (LCFF) Stakeholders Meeting</w:t>
            </w:r>
          </w:p>
        </w:tc>
        <w:tc>
          <w:tcPr>
            <w:tcW w:w="1980" w:type="dxa"/>
            <w:tcBorders>
              <w:top w:val="single" w:sz="4" w:space="0" w:color="auto"/>
              <w:left w:val="single" w:sz="4" w:space="0" w:color="auto"/>
              <w:bottom w:val="single" w:sz="4" w:space="0" w:color="auto"/>
              <w:right w:val="single" w:sz="4" w:space="0" w:color="auto"/>
            </w:tcBorders>
            <w:vAlign w:val="center"/>
          </w:tcPr>
          <w:p w:rsidR="4CA4A074" w:rsidRPr="004C7830" w:rsidRDefault="00871A32" w:rsidP="4CA4A074">
            <w:pPr>
              <w:jc w:val="center"/>
              <w:rPr>
                <w:rFonts w:eastAsiaTheme="minorEastAsia" w:cs="Arial"/>
                <w:sz w:val="24"/>
                <w:szCs w:val="24"/>
              </w:rPr>
            </w:pPr>
            <w:r w:rsidRPr="004C7830">
              <w:rPr>
                <w:rFonts w:eastAsiaTheme="minorEastAsia" w:cs="Arial"/>
                <w:sz w:val="24"/>
                <w:szCs w:val="24"/>
              </w:rPr>
              <w:t>3</w:t>
            </w:r>
          </w:p>
        </w:tc>
        <w:tc>
          <w:tcPr>
            <w:tcW w:w="5850" w:type="dxa"/>
            <w:tcBorders>
              <w:top w:val="single" w:sz="4" w:space="0" w:color="auto"/>
              <w:left w:val="single" w:sz="4" w:space="0" w:color="auto"/>
              <w:bottom w:val="single" w:sz="4" w:space="0" w:color="auto"/>
              <w:right w:val="single" w:sz="4" w:space="0" w:color="auto"/>
            </w:tcBorders>
            <w:vAlign w:val="center"/>
          </w:tcPr>
          <w:p w:rsidR="4CA4A074" w:rsidRPr="004C7830" w:rsidRDefault="00871A32" w:rsidP="00871A32">
            <w:pPr>
              <w:pStyle w:val="paragraph"/>
              <w:numPr>
                <w:ilvl w:val="0"/>
                <w:numId w:val="20"/>
              </w:numPr>
              <w:rPr>
                <w:rStyle w:val="normaltextrun"/>
                <w:rFonts w:cs="Arial"/>
                <w:color w:val="000000" w:themeColor="text1"/>
                <w:sz w:val="24"/>
                <w:szCs w:val="24"/>
              </w:rPr>
            </w:pPr>
            <w:r w:rsidRPr="004C7830">
              <w:rPr>
                <w:rStyle w:val="normaltextrun"/>
                <w:rFonts w:cs="Arial"/>
                <w:color w:val="000000" w:themeColor="text1"/>
                <w:sz w:val="24"/>
                <w:szCs w:val="24"/>
              </w:rPr>
              <w:t>Responded to questions related to items presented at the CPAG meeting on August 14</w:t>
            </w:r>
          </w:p>
          <w:p w:rsidR="00D860DC" w:rsidRPr="004C7830" w:rsidRDefault="00D860DC" w:rsidP="00871A32">
            <w:pPr>
              <w:pStyle w:val="paragraph"/>
              <w:numPr>
                <w:ilvl w:val="0"/>
                <w:numId w:val="20"/>
              </w:numPr>
              <w:rPr>
                <w:rStyle w:val="normaltextrun"/>
                <w:rFonts w:cs="Arial"/>
                <w:color w:val="000000" w:themeColor="text1"/>
                <w:sz w:val="24"/>
                <w:szCs w:val="24"/>
              </w:rPr>
            </w:pPr>
            <w:r w:rsidRPr="004C7830">
              <w:rPr>
                <w:rStyle w:val="normaltextrun"/>
                <w:color w:val="000000" w:themeColor="text1"/>
                <w:sz w:val="24"/>
                <w:szCs w:val="24"/>
              </w:rPr>
              <w:t xml:space="preserve">Provided LCFF stakeholders an opportunity to </w:t>
            </w:r>
            <w:proofErr w:type="spellStart"/>
            <w:r w:rsidRPr="004C7830">
              <w:rPr>
                <w:rStyle w:val="normaltextrun"/>
                <w:color w:val="000000" w:themeColor="text1"/>
                <w:sz w:val="24"/>
                <w:szCs w:val="24"/>
              </w:rPr>
              <w:t>provided</w:t>
            </w:r>
            <w:proofErr w:type="spellEnd"/>
            <w:r w:rsidRPr="004C7830">
              <w:rPr>
                <w:rStyle w:val="normaltextrun"/>
                <w:color w:val="000000" w:themeColor="text1"/>
                <w:sz w:val="24"/>
                <w:szCs w:val="24"/>
              </w:rPr>
              <w:t xml:space="preserve"> feedback. </w:t>
            </w:r>
          </w:p>
        </w:tc>
      </w:tr>
      <w:tr w:rsidR="4CA4A074"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1C34F35C" w:rsidRPr="004C7830" w:rsidRDefault="1C34F35C" w:rsidP="4CA4A074">
            <w:pPr>
              <w:jc w:val="center"/>
              <w:rPr>
                <w:rFonts w:eastAsiaTheme="minorEastAsia" w:cs="Arial"/>
                <w:sz w:val="24"/>
                <w:szCs w:val="24"/>
              </w:rPr>
            </w:pPr>
            <w:r w:rsidRPr="004C7830">
              <w:rPr>
                <w:rFonts w:eastAsiaTheme="minorEastAsia" w:cs="Arial"/>
                <w:sz w:val="24"/>
                <w:szCs w:val="24"/>
              </w:rPr>
              <w:t>August 18, 2020</w:t>
            </w:r>
          </w:p>
        </w:tc>
        <w:tc>
          <w:tcPr>
            <w:tcW w:w="3145" w:type="dxa"/>
            <w:tcBorders>
              <w:top w:val="single" w:sz="4" w:space="0" w:color="auto"/>
              <w:left w:val="single" w:sz="4" w:space="0" w:color="auto"/>
              <w:bottom w:val="single" w:sz="4" w:space="0" w:color="auto"/>
              <w:right w:val="single" w:sz="4" w:space="0" w:color="auto"/>
            </w:tcBorders>
            <w:vAlign w:val="center"/>
          </w:tcPr>
          <w:p w:rsidR="1C34F35C" w:rsidRPr="004C7830" w:rsidRDefault="1C34F35C" w:rsidP="4CA4A074">
            <w:pPr>
              <w:jc w:val="center"/>
              <w:rPr>
                <w:rFonts w:eastAsia="Arial" w:cs="Arial"/>
                <w:sz w:val="24"/>
                <w:szCs w:val="24"/>
              </w:rPr>
            </w:pPr>
            <w:r w:rsidRPr="004C7830">
              <w:rPr>
                <w:rFonts w:eastAsia="Arial" w:cs="Arial"/>
                <w:sz w:val="24"/>
                <w:szCs w:val="24"/>
              </w:rPr>
              <w:t>State Seal of Civic Engagement Workgroup</w:t>
            </w:r>
          </w:p>
        </w:tc>
        <w:tc>
          <w:tcPr>
            <w:tcW w:w="1980" w:type="dxa"/>
            <w:tcBorders>
              <w:top w:val="single" w:sz="4" w:space="0" w:color="auto"/>
              <w:left w:val="single" w:sz="4" w:space="0" w:color="auto"/>
              <w:bottom w:val="single" w:sz="4" w:space="0" w:color="auto"/>
              <w:right w:val="single" w:sz="4" w:space="0" w:color="auto"/>
            </w:tcBorders>
            <w:vAlign w:val="center"/>
          </w:tcPr>
          <w:p w:rsidR="4CA4A074" w:rsidRPr="004C7830" w:rsidRDefault="00906818" w:rsidP="4CA4A074">
            <w:pPr>
              <w:jc w:val="center"/>
              <w:rPr>
                <w:rFonts w:eastAsiaTheme="minorEastAsia" w:cs="Arial"/>
                <w:sz w:val="24"/>
                <w:szCs w:val="24"/>
              </w:rPr>
            </w:pPr>
            <w:r w:rsidRPr="004C7830">
              <w:rPr>
                <w:rFonts w:eastAsiaTheme="minorEastAsia" w:cs="Arial"/>
                <w:sz w:val="24"/>
                <w:szCs w:val="24"/>
              </w:rPr>
              <w:t>15</w:t>
            </w:r>
          </w:p>
        </w:tc>
        <w:tc>
          <w:tcPr>
            <w:tcW w:w="5850" w:type="dxa"/>
            <w:tcBorders>
              <w:top w:val="single" w:sz="4" w:space="0" w:color="auto"/>
              <w:left w:val="single" w:sz="4" w:space="0" w:color="auto"/>
              <w:bottom w:val="single" w:sz="4" w:space="0" w:color="auto"/>
              <w:right w:val="single" w:sz="4" w:space="0" w:color="auto"/>
            </w:tcBorders>
            <w:vAlign w:val="center"/>
          </w:tcPr>
          <w:p w:rsidR="005D6F0E" w:rsidRPr="004C7830" w:rsidRDefault="005D6F0E" w:rsidP="00AB20EC">
            <w:pPr>
              <w:pStyle w:val="ListParagraph"/>
              <w:numPr>
                <w:ilvl w:val="0"/>
                <w:numId w:val="20"/>
              </w:numPr>
              <w:contextualSpacing w:val="0"/>
              <w:rPr>
                <w:rFonts w:eastAsia="Arial"/>
                <w:sz w:val="24"/>
                <w:szCs w:val="24"/>
              </w:rPr>
            </w:pPr>
            <w:r w:rsidRPr="004C7830">
              <w:rPr>
                <w:sz w:val="24"/>
                <w:szCs w:val="24"/>
              </w:rPr>
              <w:t xml:space="preserve">Provided background on the State Seal of Civic Engagement (SSCE) authorizing statute and past SBE discussion and action </w:t>
            </w:r>
          </w:p>
          <w:p w:rsidR="00A016A5" w:rsidRPr="004C7830" w:rsidRDefault="005D6F0E" w:rsidP="00AB20EC">
            <w:pPr>
              <w:pStyle w:val="ListParagraph"/>
              <w:numPr>
                <w:ilvl w:val="0"/>
                <w:numId w:val="20"/>
              </w:numPr>
              <w:rPr>
                <w:sz w:val="24"/>
                <w:szCs w:val="24"/>
              </w:rPr>
            </w:pPr>
            <w:r w:rsidRPr="004C7830">
              <w:rPr>
                <w:sz w:val="24"/>
                <w:szCs w:val="24"/>
              </w:rPr>
              <w:t xml:space="preserve">Review history of the College and Career Indicator (CCI) Work Group </w:t>
            </w:r>
          </w:p>
          <w:p w:rsidR="4CA4A074" w:rsidRPr="004C7830" w:rsidRDefault="005D6F0E" w:rsidP="00AB20EC">
            <w:pPr>
              <w:pStyle w:val="ListParagraph"/>
              <w:numPr>
                <w:ilvl w:val="0"/>
                <w:numId w:val="20"/>
              </w:numPr>
              <w:rPr>
                <w:rStyle w:val="normaltextrun"/>
                <w:rFonts w:cs="Arial"/>
                <w:color w:val="000000" w:themeColor="text1"/>
                <w:sz w:val="24"/>
                <w:szCs w:val="24"/>
              </w:rPr>
            </w:pPr>
            <w:r w:rsidRPr="004C7830">
              <w:rPr>
                <w:sz w:val="24"/>
                <w:szCs w:val="24"/>
              </w:rPr>
              <w:t>Discuss</w:t>
            </w:r>
            <w:r w:rsidR="00A016A5" w:rsidRPr="004C7830">
              <w:rPr>
                <w:sz w:val="24"/>
                <w:szCs w:val="24"/>
              </w:rPr>
              <w:t>ed w</w:t>
            </w:r>
            <w:r w:rsidRPr="004C7830">
              <w:rPr>
                <w:sz w:val="24"/>
                <w:szCs w:val="24"/>
              </w:rPr>
              <w:t>hat might a CCI-eligible SSCE look like</w:t>
            </w:r>
            <w:r w:rsidR="00AB20EC" w:rsidRPr="004C7830">
              <w:rPr>
                <w:sz w:val="24"/>
                <w:szCs w:val="24"/>
              </w:rPr>
              <w:t xml:space="preserve">, </w:t>
            </w:r>
            <w:r w:rsidR="003D02DC" w:rsidRPr="004C7830">
              <w:rPr>
                <w:sz w:val="24"/>
                <w:szCs w:val="24"/>
              </w:rPr>
              <w:t xml:space="preserve">and the </w:t>
            </w:r>
            <w:r w:rsidRPr="004C7830">
              <w:rPr>
                <w:sz w:val="24"/>
                <w:szCs w:val="24"/>
              </w:rPr>
              <w:t>collect</w:t>
            </w:r>
            <w:r w:rsidR="003D02DC" w:rsidRPr="004C7830">
              <w:rPr>
                <w:sz w:val="24"/>
                <w:szCs w:val="24"/>
              </w:rPr>
              <w:t>ion</w:t>
            </w:r>
            <w:r w:rsidRPr="004C7830">
              <w:rPr>
                <w:sz w:val="24"/>
                <w:szCs w:val="24"/>
              </w:rPr>
              <w:t xml:space="preserve"> and report</w:t>
            </w:r>
            <w:r w:rsidR="00AB20EC" w:rsidRPr="004C7830">
              <w:rPr>
                <w:sz w:val="24"/>
                <w:szCs w:val="24"/>
              </w:rPr>
              <w:t xml:space="preserve">ing of </w:t>
            </w:r>
            <w:r w:rsidR="003D02DC" w:rsidRPr="004C7830">
              <w:rPr>
                <w:sz w:val="24"/>
                <w:szCs w:val="24"/>
              </w:rPr>
              <w:t xml:space="preserve">this </w:t>
            </w:r>
            <w:r w:rsidR="00AB20EC" w:rsidRPr="004C7830">
              <w:rPr>
                <w:sz w:val="24"/>
                <w:szCs w:val="24"/>
              </w:rPr>
              <w:t>data</w:t>
            </w:r>
            <w:r w:rsidR="003D02DC" w:rsidRPr="004C7830">
              <w:rPr>
                <w:sz w:val="24"/>
                <w:szCs w:val="24"/>
              </w:rPr>
              <w:t xml:space="preserve"> at the student-level</w:t>
            </w:r>
            <w:r w:rsidR="00AB20EC" w:rsidRPr="004C7830">
              <w:t xml:space="preserve"> </w:t>
            </w:r>
          </w:p>
        </w:tc>
      </w:tr>
      <w:tr w:rsidR="00526A9C"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526A9C" w:rsidRPr="004C7830" w:rsidRDefault="00526A9C" w:rsidP="4CA4A074">
            <w:pPr>
              <w:jc w:val="center"/>
              <w:rPr>
                <w:rFonts w:eastAsiaTheme="minorEastAsia" w:cs="Arial"/>
                <w:sz w:val="24"/>
                <w:szCs w:val="24"/>
              </w:rPr>
            </w:pPr>
            <w:r w:rsidRPr="004C7830">
              <w:rPr>
                <w:rFonts w:eastAsiaTheme="minorEastAsia" w:cs="Arial"/>
                <w:sz w:val="24"/>
                <w:szCs w:val="24"/>
              </w:rPr>
              <w:t xml:space="preserve">August </w:t>
            </w:r>
            <w:r w:rsidR="009E0226" w:rsidRPr="004C7830">
              <w:rPr>
                <w:rFonts w:eastAsiaTheme="minorEastAsia" w:cs="Arial"/>
                <w:sz w:val="24"/>
                <w:szCs w:val="24"/>
              </w:rPr>
              <w:t>19, 2020</w:t>
            </w:r>
          </w:p>
        </w:tc>
        <w:tc>
          <w:tcPr>
            <w:tcW w:w="3145" w:type="dxa"/>
            <w:tcBorders>
              <w:top w:val="single" w:sz="4" w:space="0" w:color="auto"/>
              <w:left w:val="single" w:sz="4" w:space="0" w:color="auto"/>
              <w:bottom w:val="single" w:sz="4" w:space="0" w:color="auto"/>
              <w:right w:val="single" w:sz="4" w:space="0" w:color="auto"/>
            </w:tcBorders>
            <w:vAlign w:val="center"/>
          </w:tcPr>
          <w:p w:rsidR="00526A9C" w:rsidRPr="004C7830" w:rsidRDefault="00BE0680" w:rsidP="000B1725">
            <w:pPr>
              <w:jc w:val="center"/>
              <w:rPr>
                <w:rFonts w:cs="Arial"/>
                <w:sz w:val="24"/>
              </w:rPr>
            </w:pPr>
            <w:r w:rsidRPr="004C7830">
              <w:rPr>
                <w:rFonts w:cs="Arial"/>
                <w:sz w:val="24"/>
              </w:rPr>
              <w:t>2020 Assessment &amp; Accountability Meeting</w:t>
            </w:r>
          </w:p>
        </w:tc>
        <w:tc>
          <w:tcPr>
            <w:tcW w:w="1980" w:type="dxa"/>
            <w:tcBorders>
              <w:top w:val="single" w:sz="4" w:space="0" w:color="auto"/>
              <w:left w:val="single" w:sz="4" w:space="0" w:color="auto"/>
              <w:bottom w:val="single" w:sz="4" w:space="0" w:color="auto"/>
              <w:right w:val="single" w:sz="4" w:space="0" w:color="auto"/>
            </w:tcBorders>
            <w:vAlign w:val="center"/>
          </w:tcPr>
          <w:p w:rsidR="00526A9C" w:rsidRPr="004C7830" w:rsidRDefault="009E0226" w:rsidP="000B1725">
            <w:pPr>
              <w:jc w:val="center"/>
              <w:rPr>
                <w:rFonts w:eastAsiaTheme="minorHAnsi" w:cs="Arial"/>
                <w:sz w:val="24"/>
              </w:rPr>
            </w:pPr>
            <w:r w:rsidRPr="004C7830">
              <w:rPr>
                <w:rFonts w:eastAsiaTheme="minorHAnsi" w:cs="Arial"/>
                <w:sz w:val="24"/>
              </w:rPr>
              <w:t>530</w:t>
            </w:r>
          </w:p>
        </w:tc>
        <w:tc>
          <w:tcPr>
            <w:tcW w:w="5850" w:type="dxa"/>
            <w:tcBorders>
              <w:top w:val="single" w:sz="4" w:space="0" w:color="auto"/>
              <w:left w:val="single" w:sz="4" w:space="0" w:color="auto"/>
              <w:bottom w:val="single" w:sz="4" w:space="0" w:color="auto"/>
              <w:right w:val="single" w:sz="4" w:space="0" w:color="auto"/>
            </w:tcBorders>
            <w:vAlign w:val="center"/>
          </w:tcPr>
          <w:p w:rsidR="00526A9C" w:rsidRPr="004C7830" w:rsidRDefault="009E0226" w:rsidP="00685069">
            <w:pPr>
              <w:pStyle w:val="paragraph"/>
              <w:numPr>
                <w:ilvl w:val="0"/>
                <w:numId w:val="14"/>
              </w:numPr>
              <w:spacing w:before="0" w:beforeAutospacing="0" w:after="0" w:afterAutospacing="0"/>
              <w:textAlignment w:val="baseline"/>
              <w:rPr>
                <w:rStyle w:val="normaltextrun"/>
                <w:rFonts w:cs="Arial"/>
                <w:color w:val="000000"/>
                <w:position w:val="2"/>
                <w:sz w:val="24"/>
                <w:szCs w:val="24"/>
              </w:rPr>
            </w:pPr>
            <w:r w:rsidRPr="004C7830">
              <w:rPr>
                <w:rStyle w:val="normaltextrun"/>
                <w:rFonts w:cs="Arial"/>
                <w:color w:val="000000"/>
                <w:position w:val="2"/>
                <w:sz w:val="24"/>
                <w:szCs w:val="24"/>
              </w:rPr>
              <w:t>Update on the progress of developing a g</w:t>
            </w:r>
            <w:r w:rsidRPr="004C7830">
              <w:rPr>
                <w:rStyle w:val="normaltextrun"/>
                <w:color w:val="000000"/>
                <w:position w:val="2"/>
                <w:sz w:val="24"/>
                <w:szCs w:val="24"/>
              </w:rPr>
              <w:t xml:space="preserve">rowth model </w:t>
            </w:r>
          </w:p>
        </w:tc>
      </w:tr>
      <w:tr w:rsidR="00B04B04"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B04B04" w:rsidRPr="004C7830" w:rsidRDefault="00B04B04" w:rsidP="4CA4A074">
            <w:pPr>
              <w:jc w:val="center"/>
              <w:rPr>
                <w:rFonts w:eastAsiaTheme="minorEastAsia" w:cs="Arial"/>
                <w:sz w:val="24"/>
                <w:szCs w:val="24"/>
              </w:rPr>
            </w:pPr>
            <w:r w:rsidRPr="004C7830">
              <w:rPr>
                <w:rFonts w:eastAsiaTheme="minorEastAsia" w:cs="Arial"/>
                <w:sz w:val="24"/>
                <w:szCs w:val="24"/>
              </w:rPr>
              <w:t xml:space="preserve">August </w:t>
            </w:r>
            <w:r w:rsidR="69212296" w:rsidRPr="004C7830">
              <w:rPr>
                <w:rFonts w:eastAsiaTheme="minorEastAsia" w:cs="Arial"/>
                <w:sz w:val="24"/>
                <w:szCs w:val="24"/>
              </w:rPr>
              <w:t>21</w:t>
            </w:r>
            <w:r w:rsidR="00B9244B" w:rsidRPr="004C7830">
              <w:rPr>
                <w:rFonts w:eastAsiaTheme="minorEastAsia" w:cs="Arial"/>
                <w:sz w:val="24"/>
                <w:szCs w:val="24"/>
              </w:rPr>
              <w:t>, 2020</w:t>
            </w:r>
          </w:p>
        </w:tc>
        <w:tc>
          <w:tcPr>
            <w:tcW w:w="3145" w:type="dxa"/>
            <w:tcBorders>
              <w:top w:val="single" w:sz="4" w:space="0" w:color="auto"/>
              <w:left w:val="single" w:sz="4" w:space="0" w:color="auto"/>
              <w:bottom w:val="single" w:sz="4" w:space="0" w:color="auto"/>
              <w:right w:val="single" w:sz="4" w:space="0" w:color="auto"/>
            </w:tcBorders>
            <w:vAlign w:val="center"/>
          </w:tcPr>
          <w:p w:rsidR="00B04B04" w:rsidRPr="004C7830" w:rsidRDefault="00B9244B" w:rsidP="000B1725">
            <w:pPr>
              <w:jc w:val="center"/>
              <w:rPr>
                <w:rFonts w:cs="Arial"/>
                <w:sz w:val="24"/>
                <w:szCs w:val="24"/>
              </w:rPr>
            </w:pPr>
            <w:r w:rsidRPr="004C7830">
              <w:rPr>
                <w:rFonts w:cs="Arial"/>
                <w:sz w:val="24"/>
                <w:szCs w:val="24"/>
              </w:rPr>
              <w:t>State and Federal Directors Meeting</w:t>
            </w:r>
          </w:p>
        </w:tc>
        <w:tc>
          <w:tcPr>
            <w:tcW w:w="1980" w:type="dxa"/>
            <w:tcBorders>
              <w:top w:val="single" w:sz="4" w:space="0" w:color="auto"/>
              <w:left w:val="single" w:sz="4" w:space="0" w:color="auto"/>
              <w:bottom w:val="single" w:sz="4" w:space="0" w:color="auto"/>
              <w:right w:val="single" w:sz="4" w:space="0" w:color="auto"/>
            </w:tcBorders>
            <w:vAlign w:val="center"/>
          </w:tcPr>
          <w:p w:rsidR="00B04B04" w:rsidRPr="004C7830" w:rsidRDefault="007728C5" w:rsidP="000B1725">
            <w:pPr>
              <w:jc w:val="center"/>
              <w:rPr>
                <w:rFonts w:eastAsiaTheme="minorEastAsia" w:cs="Arial"/>
                <w:sz w:val="24"/>
                <w:szCs w:val="24"/>
              </w:rPr>
            </w:pPr>
            <w:r w:rsidRPr="004C7830">
              <w:rPr>
                <w:rFonts w:eastAsiaTheme="minorHAnsi" w:cs="Arial"/>
                <w:sz w:val="24"/>
                <w:szCs w:val="24"/>
              </w:rPr>
              <w:t>262</w:t>
            </w:r>
          </w:p>
        </w:tc>
        <w:tc>
          <w:tcPr>
            <w:tcW w:w="5850" w:type="dxa"/>
            <w:tcBorders>
              <w:top w:val="single" w:sz="4" w:space="0" w:color="auto"/>
              <w:left w:val="single" w:sz="4" w:space="0" w:color="auto"/>
              <w:bottom w:val="single" w:sz="4" w:space="0" w:color="auto"/>
              <w:right w:val="single" w:sz="4" w:space="0" w:color="auto"/>
            </w:tcBorders>
            <w:vAlign w:val="center"/>
          </w:tcPr>
          <w:p w:rsidR="00B04B04" w:rsidRPr="004C7830" w:rsidRDefault="007728C5" w:rsidP="00685069">
            <w:pPr>
              <w:pStyle w:val="paragraph"/>
              <w:numPr>
                <w:ilvl w:val="0"/>
                <w:numId w:val="14"/>
              </w:numPr>
              <w:spacing w:before="0" w:beforeAutospacing="0" w:after="0" w:afterAutospacing="0"/>
              <w:textAlignment w:val="baseline"/>
              <w:rPr>
                <w:rStyle w:val="normaltextrun"/>
                <w:rFonts w:cs="Arial"/>
                <w:color w:val="000000"/>
                <w:position w:val="2"/>
                <w:sz w:val="24"/>
                <w:szCs w:val="24"/>
              </w:rPr>
            </w:pPr>
            <w:r w:rsidRPr="004C7830">
              <w:rPr>
                <w:rStyle w:val="normaltextrun"/>
                <w:rFonts w:cs="Arial"/>
                <w:color w:val="000000"/>
                <w:position w:val="2"/>
                <w:sz w:val="24"/>
                <w:szCs w:val="24"/>
              </w:rPr>
              <w:t>Update on the progress of developing a g</w:t>
            </w:r>
            <w:r w:rsidRPr="004C7830">
              <w:rPr>
                <w:rStyle w:val="normaltextrun"/>
                <w:color w:val="000000"/>
                <w:position w:val="2"/>
                <w:sz w:val="24"/>
                <w:szCs w:val="24"/>
              </w:rPr>
              <w:t>rowth model</w:t>
            </w:r>
          </w:p>
        </w:tc>
      </w:tr>
      <w:tr w:rsidR="00B74426"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B74426" w:rsidRPr="004C7830" w:rsidRDefault="00B74426" w:rsidP="4CA4A074">
            <w:pPr>
              <w:jc w:val="center"/>
              <w:rPr>
                <w:rFonts w:eastAsiaTheme="minorEastAsia" w:cs="Arial"/>
                <w:sz w:val="24"/>
                <w:szCs w:val="24"/>
              </w:rPr>
            </w:pPr>
            <w:r w:rsidRPr="004C7830">
              <w:rPr>
                <w:rFonts w:eastAsiaTheme="minorEastAsia" w:cs="Arial"/>
                <w:sz w:val="24"/>
                <w:szCs w:val="24"/>
              </w:rPr>
              <w:lastRenderedPageBreak/>
              <w:t>August 26, 2020</w:t>
            </w:r>
          </w:p>
        </w:tc>
        <w:tc>
          <w:tcPr>
            <w:tcW w:w="3145" w:type="dxa"/>
            <w:tcBorders>
              <w:top w:val="single" w:sz="4" w:space="0" w:color="auto"/>
              <w:left w:val="single" w:sz="4" w:space="0" w:color="auto"/>
              <w:bottom w:val="single" w:sz="4" w:space="0" w:color="auto"/>
              <w:right w:val="single" w:sz="4" w:space="0" w:color="auto"/>
            </w:tcBorders>
            <w:vAlign w:val="center"/>
          </w:tcPr>
          <w:p w:rsidR="00B74426" w:rsidRPr="004C7830" w:rsidRDefault="00B74426" w:rsidP="000B1725">
            <w:pPr>
              <w:jc w:val="center"/>
              <w:rPr>
                <w:rFonts w:cs="Arial"/>
                <w:sz w:val="24"/>
                <w:szCs w:val="24"/>
              </w:rPr>
            </w:pPr>
            <w:r w:rsidRPr="004C7830">
              <w:rPr>
                <w:rFonts w:cs="Arial"/>
                <w:sz w:val="24"/>
                <w:szCs w:val="24"/>
              </w:rPr>
              <w:t xml:space="preserve">Bilingual Coordinators Meeting </w:t>
            </w:r>
          </w:p>
        </w:tc>
        <w:tc>
          <w:tcPr>
            <w:tcW w:w="1980" w:type="dxa"/>
            <w:tcBorders>
              <w:top w:val="single" w:sz="4" w:space="0" w:color="auto"/>
              <w:left w:val="single" w:sz="4" w:space="0" w:color="auto"/>
              <w:bottom w:val="single" w:sz="4" w:space="0" w:color="auto"/>
              <w:right w:val="single" w:sz="4" w:space="0" w:color="auto"/>
            </w:tcBorders>
            <w:vAlign w:val="center"/>
          </w:tcPr>
          <w:p w:rsidR="00B74426" w:rsidRPr="004C7830" w:rsidRDefault="00B74426" w:rsidP="000B1725">
            <w:pPr>
              <w:jc w:val="center"/>
              <w:rPr>
                <w:rFonts w:eastAsiaTheme="minorHAnsi" w:cs="Arial"/>
                <w:sz w:val="24"/>
                <w:szCs w:val="24"/>
              </w:rPr>
            </w:pPr>
            <w:r w:rsidRPr="004C7830">
              <w:rPr>
                <w:rFonts w:eastAsiaTheme="minorHAnsi" w:cs="Arial"/>
                <w:sz w:val="24"/>
                <w:szCs w:val="24"/>
              </w:rPr>
              <w:t>105</w:t>
            </w:r>
          </w:p>
        </w:tc>
        <w:tc>
          <w:tcPr>
            <w:tcW w:w="5850" w:type="dxa"/>
            <w:tcBorders>
              <w:top w:val="single" w:sz="4" w:space="0" w:color="auto"/>
              <w:left w:val="single" w:sz="4" w:space="0" w:color="auto"/>
              <w:bottom w:val="single" w:sz="4" w:space="0" w:color="auto"/>
              <w:right w:val="single" w:sz="4" w:space="0" w:color="auto"/>
            </w:tcBorders>
            <w:vAlign w:val="center"/>
          </w:tcPr>
          <w:p w:rsidR="004E7913" w:rsidRPr="004C7830" w:rsidRDefault="004E7913" w:rsidP="004E7913">
            <w:pPr>
              <w:numPr>
                <w:ilvl w:val="0"/>
                <w:numId w:val="14"/>
              </w:numPr>
              <w:spacing w:before="100" w:beforeAutospacing="1" w:after="100" w:afterAutospacing="1"/>
              <w:rPr>
                <w:rFonts w:cs="Arial"/>
                <w:color w:val="000000"/>
                <w:sz w:val="24"/>
                <w:szCs w:val="24"/>
              </w:rPr>
            </w:pPr>
            <w:r w:rsidRPr="004C7830">
              <w:rPr>
                <w:rFonts w:cs="Arial"/>
                <w:color w:val="000000"/>
                <w:sz w:val="24"/>
                <w:szCs w:val="24"/>
              </w:rPr>
              <w:t>Update on the 2020 California School Dashboard (Dashboard) and Reporting of Data</w:t>
            </w:r>
          </w:p>
          <w:p w:rsidR="004E7913" w:rsidRPr="004C7830" w:rsidRDefault="004E7913" w:rsidP="004E7913">
            <w:pPr>
              <w:numPr>
                <w:ilvl w:val="0"/>
                <w:numId w:val="14"/>
              </w:numPr>
              <w:spacing w:before="100" w:beforeAutospacing="1" w:after="100" w:afterAutospacing="1"/>
              <w:rPr>
                <w:rFonts w:cs="Arial"/>
                <w:color w:val="000000"/>
                <w:sz w:val="24"/>
                <w:szCs w:val="24"/>
              </w:rPr>
            </w:pPr>
            <w:r w:rsidRPr="004C7830">
              <w:rPr>
                <w:rFonts w:cs="Arial"/>
                <w:color w:val="000000"/>
                <w:sz w:val="24"/>
                <w:szCs w:val="24"/>
              </w:rPr>
              <w:t>Annual Release of Enrollment Data Related to English Learners (EL),</w:t>
            </w:r>
            <w:r w:rsidRPr="004C7830">
              <w:rPr>
                <w:rStyle w:val="apple-converted-space"/>
                <w:rFonts w:eastAsiaTheme="majorEastAsia" w:cs="Arial"/>
                <w:color w:val="000000"/>
                <w:sz w:val="24"/>
                <w:szCs w:val="24"/>
              </w:rPr>
              <w:t> </w:t>
            </w:r>
            <w:r w:rsidRPr="004C7830">
              <w:rPr>
                <w:rFonts w:cs="Arial"/>
                <w:color w:val="000000"/>
                <w:sz w:val="24"/>
                <w:szCs w:val="24"/>
              </w:rPr>
              <w:t>Re-designated Fluent English Proficient (RFEP) students, Long-Term ELs (LTELs), At-Risk</w:t>
            </w:r>
            <w:r w:rsidRPr="004C7830">
              <w:rPr>
                <w:rStyle w:val="apple-converted-space"/>
                <w:rFonts w:eastAsiaTheme="majorEastAsia" w:cs="Arial"/>
                <w:color w:val="000000"/>
                <w:sz w:val="24"/>
                <w:szCs w:val="24"/>
              </w:rPr>
              <w:t> </w:t>
            </w:r>
            <w:r w:rsidRPr="004C7830">
              <w:rPr>
                <w:rFonts w:cs="Arial"/>
                <w:color w:val="000000"/>
                <w:sz w:val="24"/>
                <w:szCs w:val="24"/>
              </w:rPr>
              <w:t>LTELs (AR-LTELs)</w:t>
            </w:r>
          </w:p>
          <w:p w:rsidR="004E7913" w:rsidRPr="004C7830" w:rsidRDefault="004E7913" w:rsidP="004E7913">
            <w:pPr>
              <w:numPr>
                <w:ilvl w:val="0"/>
                <w:numId w:val="14"/>
              </w:numPr>
              <w:spacing w:before="100" w:beforeAutospacing="1" w:after="100" w:afterAutospacing="1"/>
              <w:rPr>
                <w:rFonts w:cs="Arial"/>
                <w:color w:val="000000"/>
                <w:sz w:val="24"/>
                <w:szCs w:val="24"/>
              </w:rPr>
            </w:pPr>
            <w:r w:rsidRPr="004C7830">
              <w:rPr>
                <w:rFonts w:cs="Arial"/>
                <w:color w:val="000000"/>
                <w:sz w:val="24"/>
                <w:szCs w:val="24"/>
              </w:rPr>
              <w:t>Update on the English Learner Progress Indicator (ELPI) Workgroup</w:t>
            </w:r>
          </w:p>
          <w:p w:rsidR="00B74426" w:rsidRPr="004C7830" w:rsidRDefault="004E7913" w:rsidP="004E7913">
            <w:pPr>
              <w:numPr>
                <w:ilvl w:val="0"/>
                <w:numId w:val="14"/>
              </w:numPr>
              <w:spacing w:before="100" w:beforeAutospacing="1" w:after="100" w:afterAutospacing="1"/>
              <w:rPr>
                <w:rStyle w:val="normaltextrun"/>
                <w:rFonts w:cs="Arial"/>
                <w:color w:val="000000"/>
                <w:sz w:val="24"/>
                <w:szCs w:val="24"/>
              </w:rPr>
            </w:pPr>
            <w:r w:rsidRPr="004C7830">
              <w:rPr>
                <w:rFonts w:cs="Arial"/>
                <w:color w:val="000000"/>
                <w:sz w:val="24"/>
                <w:szCs w:val="24"/>
              </w:rPr>
              <w:t>Update on the EL Student Data Web Page</w:t>
            </w:r>
          </w:p>
        </w:tc>
      </w:tr>
      <w:tr w:rsidR="009C47C0"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9C47C0" w:rsidRPr="004C7830" w:rsidRDefault="009C47C0" w:rsidP="009C47C0">
            <w:pPr>
              <w:jc w:val="center"/>
              <w:rPr>
                <w:rFonts w:eastAsiaTheme="minorEastAsia" w:cs="Arial"/>
              </w:rPr>
            </w:pPr>
            <w:r w:rsidRPr="004C7830">
              <w:rPr>
                <w:rFonts w:eastAsiaTheme="minorEastAsia" w:cs="Arial"/>
                <w:sz w:val="24"/>
                <w:szCs w:val="24"/>
              </w:rPr>
              <w:t>August 26, 2020</w:t>
            </w:r>
          </w:p>
        </w:tc>
        <w:tc>
          <w:tcPr>
            <w:tcW w:w="3145" w:type="dxa"/>
            <w:tcBorders>
              <w:top w:val="single" w:sz="4" w:space="0" w:color="auto"/>
              <w:left w:val="single" w:sz="4" w:space="0" w:color="auto"/>
              <w:bottom w:val="single" w:sz="4" w:space="0" w:color="auto"/>
              <w:right w:val="single" w:sz="4" w:space="0" w:color="auto"/>
            </w:tcBorders>
            <w:vAlign w:val="center"/>
          </w:tcPr>
          <w:p w:rsidR="009C47C0" w:rsidRPr="004C7830" w:rsidRDefault="009C47C0" w:rsidP="009C47C0">
            <w:pPr>
              <w:jc w:val="center"/>
              <w:rPr>
                <w:rFonts w:cs="Arial"/>
              </w:rPr>
            </w:pPr>
            <w:r w:rsidRPr="004C7830">
              <w:rPr>
                <w:rFonts w:cs="Arial"/>
                <w:sz w:val="24"/>
              </w:rPr>
              <w:t>2020 Assessment &amp; Accountability Meeting</w:t>
            </w:r>
          </w:p>
        </w:tc>
        <w:tc>
          <w:tcPr>
            <w:tcW w:w="1980" w:type="dxa"/>
            <w:tcBorders>
              <w:top w:val="single" w:sz="4" w:space="0" w:color="auto"/>
              <w:left w:val="single" w:sz="4" w:space="0" w:color="auto"/>
              <w:bottom w:val="single" w:sz="4" w:space="0" w:color="auto"/>
              <w:right w:val="single" w:sz="4" w:space="0" w:color="auto"/>
            </w:tcBorders>
            <w:vAlign w:val="center"/>
          </w:tcPr>
          <w:p w:rsidR="009C47C0" w:rsidRPr="004C7830" w:rsidRDefault="0032517D" w:rsidP="009C47C0">
            <w:pPr>
              <w:jc w:val="center"/>
              <w:rPr>
                <w:rFonts w:eastAsiaTheme="minorHAnsi" w:cs="Arial"/>
              </w:rPr>
            </w:pPr>
            <w:r w:rsidRPr="003E00A3">
              <w:rPr>
                <w:rFonts w:eastAsiaTheme="minorHAnsi" w:cs="Arial"/>
                <w:sz w:val="24"/>
              </w:rPr>
              <w:t>888</w:t>
            </w:r>
          </w:p>
        </w:tc>
        <w:tc>
          <w:tcPr>
            <w:tcW w:w="5850" w:type="dxa"/>
            <w:tcBorders>
              <w:top w:val="single" w:sz="4" w:space="0" w:color="auto"/>
              <w:left w:val="single" w:sz="4" w:space="0" w:color="auto"/>
              <w:bottom w:val="single" w:sz="4" w:space="0" w:color="auto"/>
              <w:right w:val="single" w:sz="4" w:space="0" w:color="auto"/>
            </w:tcBorders>
            <w:vAlign w:val="center"/>
          </w:tcPr>
          <w:p w:rsidR="009C47C0" w:rsidRPr="004C7830" w:rsidRDefault="009C47C0" w:rsidP="009C47C0">
            <w:pPr>
              <w:numPr>
                <w:ilvl w:val="0"/>
                <w:numId w:val="14"/>
              </w:numPr>
              <w:spacing w:before="100" w:beforeAutospacing="1" w:after="100" w:afterAutospacing="1"/>
              <w:rPr>
                <w:rFonts w:cs="Arial"/>
                <w:color w:val="000000"/>
              </w:rPr>
            </w:pPr>
            <w:r w:rsidRPr="004C7830">
              <w:rPr>
                <w:rStyle w:val="normaltextrun"/>
                <w:rFonts w:cs="Arial"/>
                <w:color w:val="000000"/>
                <w:position w:val="2"/>
                <w:sz w:val="24"/>
                <w:szCs w:val="24"/>
              </w:rPr>
              <w:t>Update on the progress of developing a g</w:t>
            </w:r>
            <w:r w:rsidRPr="004C7830">
              <w:rPr>
                <w:rStyle w:val="normaltextrun"/>
                <w:color w:val="000000"/>
                <w:position w:val="2"/>
                <w:sz w:val="24"/>
                <w:szCs w:val="24"/>
              </w:rPr>
              <w:t xml:space="preserve">rowth model </w:t>
            </w:r>
          </w:p>
        </w:tc>
      </w:tr>
      <w:tr w:rsidR="004C7830" w:rsidRPr="004C7830" w:rsidTr="4CA4A074">
        <w:trPr>
          <w:cantSplit/>
        </w:trPr>
        <w:tc>
          <w:tcPr>
            <w:tcW w:w="2250" w:type="dxa"/>
            <w:tcBorders>
              <w:top w:val="single" w:sz="4" w:space="0" w:color="auto"/>
              <w:left w:val="single" w:sz="4" w:space="0" w:color="auto"/>
              <w:bottom w:val="single" w:sz="4" w:space="0" w:color="auto"/>
              <w:right w:val="single" w:sz="4" w:space="0" w:color="auto"/>
            </w:tcBorders>
            <w:vAlign w:val="center"/>
          </w:tcPr>
          <w:p w:rsidR="004C7830" w:rsidRPr="00373E59" w:rsidRDefault="004C7830" w:rsidP="004C7830">
            <w:pPr>
              <w:jc w:val="center"/>
              <w:rPr>
                <w:rFonts w:eastAsiaTheme="minorEastAsia" w:cs="Arial"/>
              </w:rPr>
            </w:pPr>
            <w:r w:rsidRPr="00373E59">
              <w:rPr>
                <w:rFonts w:eastAsiaTheme="minorEastAsia" w:cs="Arial"/>
                <w:sz w:val="24"/>
                <w:szCs w:val="24"/>
              </w:rPr>
              <w:t>August 27, 2020</w:t>
            </w:r>
          </w:p>
        </w:tc>
        <w:tc>
          <w:tcPr>
            <w:tcW w:w="3145" w:type="dxa"/>
            <w:tcBorders>
              <w:top w:val="single" w:sz="4" w:space="0" w:color="auto"/>
              <w:left w:val="single" w:sz="4" w:space="0" w:color="auto"/>
              <w:bottom w:val="single" w:sz="4" w:space="0" w:color="auto"/>
              <w:right w:val="single" w:sz="4" w:space="0" w:color="auto"/>
            </w:tcBorders>
            <w:vAlign w:val="center"/>
          </w:tcPr>
          <w:p w:rsidR="004C7830" w:rsidRPr="00373E59" w:rsidRDefault="004C7830" w:rsidP="004C7830">
            <w:pPr>
              <w:jc w:val="center"/>
              <w:rPr>
                <w:rFonts w:cs="Arial"/>
              </w:rPr>
            </w:pPr>
            <w:r w:rsidRPr="00373E59">
              <w:rPr>
                <w:rFonts w:cs="Arial"/>
                <w:sz w:val="24"/>
                <w:szCs w:val="24"/>
              </w:rPr>
              <w:t>California Association for Bilingual Education Board of Directors</w:t>
            </w:r>
          </w:p>
        </w:tc>
        <w:tc>
          <w:tcPr>
            <w:tcW w:w="1980" w:type="dxa"/>
            <w:tcBorders>
              <w:top w:val="single" w:sz="4" w:space="0" w:color="auto"/>
              <w:left w:val="single" w:sz="4" w:space="0" w:color="auto"/>
              <w:bottom w:val="single" w:sz="4" w:space="0" w:color="auto"/>
              <w:right w:val="single" w:sz="4" w:space="0" w:color="auto"/>
            </w:tcBorders>
            <w:vAlign w:val="center"/>
          </w:tcPr>
          <w:p w:rsidR="004C7830" w:rsidRPr="00373E59" w:rsidRDefault="004C7830" w:rsidP="004C7830">
            <w:pPr>
              <w:jc w:val="center"/>
              <w:rPr>
                <w:rFonts w:eastAsiaTheme="minorHAnsi" w:cs="Arial"/>
              </w:rPr>
            </w:pPr>
            <w:r w:rsidRPr="00373E59">
              <w:rPr>
                <w:rFonts w:eastAsiaTheme="minorHAnsi" w:cs="Arial"/>
                <w:sz w:val="24"/>
                <w:szCs w:val="24"/>
              </w:rPr>
              <w:t>25</w:t>
            </w:r>
          </w:p>
        </w:tc>
        <w:tc>
          <w:tcPr>
            <w:tcW w:w="5850" w:type="dxa"/>
            <w:tcBorders>
              <w:top w:val="single" w:sz="4" w:space="0" w:color="auto"/>
              <w:left w:val="single" w:sz="4" w:space="0" w:color="auto"/>
              <w:bottom w:val="single" w:sz="4" w:space="0" w:color="auto"/>
              <w:right w:val="single" w:sz="4" w:space="0" w:color="auto"/>
            </w:tcBorders>
            <w:vAlign w:val="center"/>
          </w:tcPr>
          <w:p w:rsidR="004C7830" w:rsidRPr="00373E59" w:rsidRDefault="004C7830" w:rsidP="004C7830">
            <w:pPr>
              <w:numPr>
                <w:ilvl w:val="0"/>
                <w:numId w:val="14"/>
              </w:numPr>
              <w:spacing w:before="100" w:beforeAutospacing="1" w:after="100" w:afterAutospacing="1"/>
              <w:rPr>
                <w:rStyle w:val="normaltextrun"/>
                <w:rFonts w:cs="Arial"/>
                <w:color w:val="000000"/>
                <w:position w:val="2"/>
              </w:rPr>
            </w:pPr>
            <w:r w:rsidRPr="00373E59">
              <w:rPr>
                <w:rStyle w:val="normaltextrun"/>
                <w:rFonts w:cs="Arial"/>
                <w:color w:val="000000"/>
                <w:position w:val="2"/>
                <w:sz w:val="24"/>
                <w:szCs w:val="24"/>
              </w:rPr>
              <w:t>Update on the progress of developing a g</w:t>
            </w:r>
            <w:r w:rsidRPr="00373E59">
              <w:rPr>
                <w:rStyle w:val="normaltextrun"/>
                <w:color w:val="000000"/>
                <w:position w:val="2"/>
                <w:sz w:val="24"/>
                <w:szCs w:val="24"/>
              </w:rPr>
              <w:t>rowth model</w:t>
            </w:r>
          </w:p>
        </w:tc>
      </w:tr>
    </w:tbl>
    <w:p w:rsidR="00F003EB" w:rsidRPr="004C7830" w:rsidRDefault="00F003EB" w:rsidP="00F003EB">
      <w:pPr>
        <w:rPr>
          <w:rFonts w:eastAsiaTheme="majorEastAsia"/>
        </w:rPr>
      </w:pPr>
      <w:r w:rsidRPr="004C7830">
        <w:br w:type="page"/>
      </w:r>
    </w:p>
    <w:p w:rsidR="00685069" w:rsidRPr="004C7830" w:rsidRDefault="00685069" w:rsidP="00F003EB">
      <w:pPr>
        <w:pStyle w:val="Heading3"/>
        <w:jc w:val="center"/>
        <w:rPr>
          <w:rFonts w:cs="Arial"/>
        </w:rPr>
      </w:pPr>
      <w:r w:rsidRPr="004C7830">
        <w:rPr>
          <w:rFonts w:cs="Arial"/>
        </w:rPr>
        <w:lastRenderedPageBreak/>
        <w:t>Table 3</w:t>
      </w:r>
    </w:p>
    <w:p w:rsidR="00685069" w:rsidRPr="004C7830" w:rsidRDefault="00685069" w:rsidP="00646083">
      <w:pPr>
        <w:pStyle w:val="Heading3"/>
        <w:jc w:val="center"/>
      </w:pPr>
      <w:r w:rsidRPr="004C7830">
        <w:t>Webinars</w:t>
      </w:r>
    </w:p>
    <w:tbl>
      <w:tblPr>
        <w:tblStyle w:val="TableGrid"/>
        <w:tblW w:w="0" w:type="auto"/>
        <w:tblLook w:val="04A0" w:firstRow="1" w:lastRow="0" w:firstColumn="1" w:lastColumn="0" w:noHBand="0" w:noVBand="1"/>
        <w:tblDescription w:val="Table indicating webinars."/>
      </w:tblPr>
      <w:tblGrid>
        <w:gridCol w:w="2197"/>
        <w:gridCol w:w="3079"/>
        <w:gridCol w:w="1959"/>
        <w:gridCol w:w="5715"/>
      </w:tblGrid>
      <w:tr w:rsidR="00685069" w:rsidRPr="004C7830" w:rsidTr="000B1725">
        <w:trPr>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069" w:rsidRPr="004C7830" w:rsidRDefault="00685069" w:rsidP="000B1725">
            <w:pPr>
              <w:jc w:val="center"/>
              <w:rPr>
                <w:rFonts w:cs="Arial"/>
                <w:b/>
                <w:bCs/>
                <w:sz w:val="24"/>
              </w:rPr>
            </w:pPr>
            <w:r w:rsidRPr="004C7830">
              <w:rPr>
                <w:rFonts w:cs="Arial"/>
                <w:b/>
                <w:bCs/>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069" w:rsidRPr="004C7830" w:rsidRDefault="00685069" w:rsidP="000B1725">
            <w:pPr>
              <w:jc w:val="center"/>
              <w:rPr>
                <w:rFonts w:cs="Arial"/>
                <w:b/>
                <w:bCs/>
                <w:sz w:val="24"/>
              </w:rPr>
            </w:pPr>
            <w:r w:rsidRPr="004C7830">
              <w:rPr>
                <w:rFonts w:cs="Arial"/>
                <w:b/>
                <w:bCs/>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069" w:rsidRPr="004C7830" w:rsidRDefault="00685069" w:rsidP="000B1725">
            <w:pPr>
              <w:jc w:val="center"/>
              <w:rPr>
                <w:rFonts w:cs="Arial"/>
                <w:b/>
                <w:bCs/>
                <w:sz w:val="24"/>
              </w:rPr>
            </w:pPr>
            <w:r w:rsidRPr="004C7830">
              <w:rPr>
                <w:rFonts w:cs="Arial"/>
                <w:b/>
                <w:bCs/>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85069" w:rsidRPr="004C7830" w:rsidRDefault="00685069" w:rsidP="000B1725">
            <w:pPr>
              <w:jc w:val="center"/>
              <w:rPr>
                <w:rFonts w:cs="Arial"/>
                <w:b/>
                <w:bCs/>
                <w:sz w:val="24"/>
              </w:rPr>
            </w:pPr>
            <w:r w:rsidRPr="004C7830">
              <w:rPr>
                <w:rFonts w:cs="Arial"/>
                <w:b/>
                <w:bCs/>
                <w:sz w:val="24"/>
              </w:rPr>
              <w:t>Topics</w:t>
            </w:r>
          </w:p>
        </w:tc>
      </w:tr>
      <w:tr w:rsidR="00685069" w:rsidTr="000B1725">
        <w:tc>
          <w:tcPr>
            <w:tcW w:w="22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eastAsiaTheme="minorEastAsia" w:cs="Arial"/>
                <w:sz w:val="24"/>
              </w:rPr>
            </w:pPr>
            <w:r w:rsidRPr="004C7830">
              <w:rPr>
                <w:rFonts w:eastAsiaTheme="minorEastAsia" w:cs="Arial"/>
                <w:sz w:val="24"/>
              </w:rPr>
              <w:t>June 23, 20</w:t>
            </w:r>
            <w:r w:rsidR="00434D0B" w:rsidRPr="004C7830">
              <w:rPr>
                <w:rFonts w:eastAsiaTheme="minorEastAsia" w:cs="Arial"/>
                <w:sz w:val="24"/>
              </w:rPr>
              <w:t>20</w:t>
            </w:r>
          </w:p>
        </w:tc>
        <w:tc>
          <w:tcPr>
            <w:tcW w:w="3145"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0B1725">
            <w:pPr>
              <w:jc w:val="center"/>
              <w:rPr>
                <w:rFonts w:cs="Arial"/>
                <w:sz w:val="24"/>
              </w:rPr>
            </w:pPr>
            <w:r w:rsidRPr="004C7830">
              <w:rPr>
                <w:rFonts w:cs="Arial"/>
                <w:sz w:val="24"/>
              </w:rPr>
              <w:t>Criteria for Charter School Renewal under Assembly Bill (AB) 1505</w:t>
            </w:r>
          </w:p>
        </w:tc>
        <w:tc>
          <w:tcPr>
            <w:tcW w:w="1980" w:type="dxa"/>
            <w:tcBorders>
              <w:top w:val="single" w:sz="4" w:space="0" w:color="auto"/>
              <w:left w:val="single" w:sz="4" w:space="0" w:color="auto"/>
              <w:bottom w:val="single" w:sz="4" w:space="0" w:color="auto"/>
              <w:right w:val="single" w:sz="4" w:space="0" w:color="auto"/>
            </w:tcBorders>
            <w:vAlign w:val="center"/>
          </w:tcPr>
          <w:p w:rsidR="00685069" w:rsidRPr="004C7830" w:rsidRDefault="00434D0B" w:rsidP="000B1725">
            <w:pPr>
              <w:jc w:val="center"/>
              <w:rPr>
                <w:rFonts w:eastAsiaTheme="minorEastAsia" w:cs="Arial"/>
                <w:sz w:val="24"/>
              </w:rPr>
            </w:pPr>
            <w:r w:rsidRPr="004C7830">
              <w:rPr>
                <w:rFonts w:eastAsiaTheme="minorEastAsia" w:cs="Arial"/>
                <w:sz w:val="24"/>
              </w:rPr>
              <w:t>370</w:t>
            </w:r>
          </w:p>
        </w:tc>
        <w:tc>
          <w:tcPr>
            <w:tcW w:w="5850" w:type="dxa"/>
            <w:tcBorders>
              <w:top w:val="single" w:sz="4" w:space="0" w:color="auto"/>
              <w:left w:val="single" w:sz="4" w:space="0" w:color="auto"/>
              <w:bottom w:val="single" w:sz="4" w:space="0" w:color="auto"/>
              <w:right w:val="single" w:sz="4" w:space="0" w:color="auto"/>
            </w:tcBorders>
            <w:vAlign w:val="center"/>
          </w:tcPr>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Overview of AB 1505 and the Charter Renewal Process</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Performance Categories</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Terminology</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Criteria for Determining Performance Categories</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How Are Student Groups Identified as Performing at or Above/Below the Statewide Average? Steps to Follow for Criterion 2</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Results for High, Middle, and Low Performing Charter Schools</w:t>
            </w:r>
          </w:p>
          <w:p w:rsidR="00685069" w:rsidRPr="004C7830" w:rsidRDefault="00685069" w:rsidP="00685069">
            <w:pPr>
              <w:pStyle w:val="ListParagraph"/>
              <w:numPr>
                <w:ilvl w:val="0"/>
                <w:numId w:val="15"/>
              </w:numPr>
              <w:spacing w:line="240" w:lineRule="exact"/>
              <w:rPr>
                <w:rFonts w:asciiTheme="minorHAnsi" w:eastAsiaTheme="minorEastAsia" w:hAnsiTheme="minorHAnsi" w:cstheme="minorBidi"/>
                <w:sz w:val="24"/>
              </w:rPr>
            </w:pPr>
            <w:r w:rsidRPr="004C7830">
              <w:rPr>
                <w:rFonts w:eastAsia="Arial" w:cs="Arial"/>
                <w:sz w:val="24"/>
              </w:rPr>
              <w:t>The Gap Year and its Impact on AB 1505</w:t>
            </w:r>
          </w:p>
          <w:p w:rsidR="00685069" w:rsidRPr="004C7830" w:rsidRDefault="00685069" w:rsidP="000B1725">
            <w:pPr>
              <w:rPr>
                <w:rFonts w:cs="Arial"/>
                <w:color w:val="FF0000"/>
                <w:sz w:val="24"/>
              </w:rPr>
            </w:pPr>
          </w:p>
        </w:tc>
      </w:tr>
    </w:tbl>
    <w:p w:rsidR="000B1725" w:rsidRDefault="000B1725"/>
    <w:sectPr w:rsidR="000B1725" w:rsidSect="004D78F3">
      <w:headerReference w:type="default" r:id="rId56"/>
      <w:pgSz w:w="15840" w:h="12240" w:orient="landscape"/>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C626A" w16cex:dateUtc="2020-08-13T17:43:19.974Z"/>
  <w16cex:commentExtensible w16cex:durableId="7FD8E17E" w16cex:dateUtc="2020-08-13T17:44:34.459Z"/>
  <w16cex:commentExtensible w16cex:durableId="70D4E237" w16cex:dateUtc="2020-08-13T17:45:17.916Z"/>
  <w16cex:commentExtensible w16cex:durableId="3C772271" w16cex:dateUtc="2020-08-13T17:55:29.4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4B" w:rsidRDefault="00EC784B" w:rsidP="00685069">
      <w:r>
        <w:separator/>
      </w:r>
    </w:p>
  </w:endnote>
  <w:endnote w:type="continuationSeparator" w:id="0">
    <w:p w:rsidR="00EC784B" w:rsidRDefault="00EC784B" w:rsidP="00685069">
      <w:r>
        <w:continuationSeparator/>
      </w:r>
    </w:p>
  </w:endnote>
  <w:endnote w:type="continuationNotice" w:id="1">
    <w:p w:rsidR="00EC784B" w:rsidRDefault="00EC7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FC2F7B" w:rsidTr="000B1725">
      <w:tc>
        <w:tcPr>
          <w:tcW w:w="3120" w:type="dxa"/>
        </w:tcPr>
        <w:p w:rsidR="00FC2F7B" w:rsidRDefault="00FC2F7B" w:rsidP="000B1725">
          <w:pPr>
            <w:pStyle w:val="Header"/>
            <w:ind w:left="-115"/>
          </w:pPr>
        </w:p>
      </w:tc>
      <w:tc>
        <w:tcPr>
          <w:tcW w:w="3120" w:type="dxa"/>
        </w:tcPr>
        <w:p w:rsidR="00FC2F7B" w:rsidRDefault="00FC2F7B" w:rsidP="000B1725">
          <w:pPr>
            <w:pStyle w:val="Header"/>
            <w:jc w:val="center"/>
          </w:pPr>
        </w:p>
      </w:tc>
      <w:tc>
        <w:tcPr>
          <w:tcW w:w="3120" w:type="dxa"/>
        </w:tcPr>
        <w:p w:rsidR="00FC2F7B" w:rsidRDefault="00FC2F7B" w:rsidP="000B1725">
          <w:pPr>
            <w:pStyle w:val="Header"/>
            <w:ind w:right="-115"/>
            <w:jc w:val="right"/>
          </w:pPr>
        </w:p>
      </w:tc>
    </w:tr>
  </w:tbl>
  <w:p w:rsidR="00FC2F7B" w:rsidRDefault="00FC2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4B" w:rsidRDefault="00EC784B" w:rsidP="00685069">
      <w:r>
        <w:separator/>
      </w:r>
    </w:p>
  </w:footnote>
  <w:footnote w:type="continuationSeparator" w:id="0">
    <w:p w:rsidR="00EC784B" w:rsidRDefault="00EC784B" w:rsidP="00685069">
      <w:r>
        <w:continuationSeparator/>
      </w:r>
    </w:p>
  </w:footnote>
  <w:footnote w:type="continuationNotice" w:id="1">
    <w:p w:rsidR="00EC784B" w:rsidRDefault="00EC7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Pr="00527B0E" w:rsidRDefault="00FC2F7B" w:rsidP="000B1725">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Pr="00006EC2" w:rsidRDefault="00FC2F7B" w:rsidP="000B1725">
    <w:pPr>
      <w:pStyle w:val="Header"/>
      <w:jc w:val="right"/>
      <w:rPr>
        <w:rFonts w:cs="Arial"/>
      </w:rPr>
    </w:pPr>
    <w:r w:rsidRPr="00E57290">
      <w:rPr>
        <w:rFonts w:cs="Arial"/>
      </w:rPr>
      <w:t>imb-amard-</w:t>
    </w:r>
    <w:r>
      <w:rPr>
        <w:rFonts w:cs="Arial"/>
      </w:rPr>
      <w:t>sept</w:t>
    </w:r>
    <w:r w:rsidRPr="00E57290">
      <w:rPr>
        <w:rFonts w:cs="Arial"/>
      </w:rPr>
      <w:t>20item0</w:t>
    </w:r>
    <w:r>
      <w:rPr>
        <w:rFonts w:cs="Arial"/>
      </w:rPr>
      <w:t>2</w:t>
    </w:r>
  </w:p>
  <w:sdt>
    <w:sdtPr>
      <w:rPr>
        <w:rFonts w:cs="Arial"/>
      </w:rPr>
      <w:id w:val="-1318336367"/>
      <w:docPartObj>
        <w:docPartGallery w:val="Page Numbers (Top of Page)"/>
        <w:docPartUnique/>
      </w:docPartObj>
    </w:sdtPr>
    <w:sdtEndPr/>
    <w:sdtContent>
      <w:p w:rsidR="00FC2F7B" w:rsidRPr="00006EC2" w:rsidRDefault="00FC2F7B" w:rsidP="00EC5EB9">
        <w:pPr>
          <w:pStyle w:val="Header"/>
          <w:spacing w:after="480"/>
          <w:jc w:val="right"/>
          <w:rPr>
            <w:rFonts w:cs="Arial"/>
          </w:rPr>
        </w:pPr>
        <w:r w:rsidRPr="00006EC2">
          <w:rPr>
            <w:rFonts w:cs="Arial"/>
          </w:rPr>
          <w:t xml:space="preserve">Page </w:t>
        </w:r>
        <w:r w:rsidRPr="00006EC2">
          <w:rPr>
            <w:rFonts w:cs="Arial"/>
          </w:rPr>
          <w:fldChar w:fldCharType="begin"/>
        </w:r>
        <w:r w:rsidRPr="00006EC2">
          <w:rPr>
            <w:rFonts w:cs="Arial"/>
          </w:rPr>
          <w:instrText xml:space="preserve"> PAGE </w:instrText>
        </w:r>
        <w:r w:rsidRPr="00006EC2">
          <w:rPr>
            <w:rFonts w:cs="Arial"/>
          </w:rPr>
          <w:fldChar w:fldCharType="separate"/>
        </w:r>
        <w:r w:rsidR="001D7EE4">
          <w:rPr>
            <w:rFonts w:cs="Arial"/>
            <w:noProof/>
          </w:rPr>
          <w:t>4</w:t>
        </w:r>
        <w:r w:rsidRPr="00006EC2">
          <w:rPr>
            <w:rFonts w:cs="Arial"/>
          </w:rPr>
          <w:fldChar w:fldCharType="end"/>
        </w:r>
        <w:r w:rsidRPr="00006EC2">
          <w:rPr>
            <w:rFonts w:cs="Arial"/>
          </w:rPr>
          <w:t xml:space="preserve"> of</w:t>
        </w:r>
        <w:r>
          <w:rPr>
            <w:rFonts w:cs="Arial"/>
          </w:rPr>
          <w:t xml:space="preserve"> </w:t>
        </w:r>
        <w:r w:rsidRPr="004C7830">
          <w:rPr>
            <w:rFonts w:cs="Arial"/>
          </w:rPr>
          <w:t>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508259"/>
      <w:docPartObj>
        <w:docPartGallery w:val="Page Numbers (Top of Page)"/>
        <w:docPartUnique/>
      </w:docPartObj>
    </w:sdtPr>
    <w:sdtEndPr/>
    <w:sdtContent>
      <w:p w:rsidR="00FC2F7B" w:rsidRPr="007B5937" w:rsidRDefault="00FC2F7B" w:rsidP="00C929C9">
        <w:pPr>
          <w:pStyle w:val="Header"/>
          <w:jc w:val="right"/>
          <w:rPr>
            <w:rFonts w:cs="Arial"/>
          </w:rPr>
        </w:pPr>
        <w:r>
          <w:rPr>
            <w:rFonts w:cs="Arial"/>
          </w:rPr>
          <w:t>imb</w:t>
        </w:r>
        <w:r w:rsidRPr="005F7FEB">
          <w:rPr>
            <w:rFonts w:cs="Arial"/>
          </w:rPr>
          <w:t>-amard-</w:t>
        </w:r>
        <w:r>
          <w:rPr>
            <w:rFonts w:cs="Arial"/>
          </w:rPr>
          <w:t>sept</w:t>
        </w:r>
        <w:r w:rsidRPr="005F7FEB">
          <w:rPr>
            <w:rFonts w:cs="Arial"/>
          </w:rPr>
          <w:t>20item0</w:t>
        </w:r>
        <w:r>
          <w:rPr>
            <w:rFonts w:cs="Arial"/>
          </w:rPr>
          <w:t>2</w:t>
        </w:r>
      </w:p>
      <w:p w:rsidR="00FC2F7B" w:rsidRPr="00C929C9" w:rsidRDefault="00FC2F7B" w:rsidP="00C929C9">
        <w:pPr>
          <w:pStyle w:val="Header"/>
          <w:jc w:val="right"/>
          <w:rPr>
            <w:rFonts w:cs="Arial"/>
          </w:rPr>
        </w:pPr>
        <w:r w:rsidRPr="00C929C9">
          <w:rPr>
            <w:rFonts w:cs="Arial"/>
          </w:rPr>
          <w:t>Attachment 1</w:t>
        </w:r>
      </w:p>
      <w:p w:rsidR="00FC2F7B" w:rsidRPr="00C929C9" w:rsidRDefault="00FC2F7B">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sidR="001D7EE4">
          <w:rPr>
            <w:bCs/>
            <w:noProof/>
          </w:rPr>
          <w:t>11</w:t>
        </w:r>
        <w:r w:rsidRPr="00C929C9">
          <w:rPr>
            <w:bCs/>
          </w:rPr>
          <w:fldChar w:fldCharType="end"/>
        </w:r>
        <w:r w:rsidRPr="00C929C9">
          <w:t xml:space="preserve"> of </w:t>
        </w:r>
        <w:r>
          <w:rPr>
            <w:bCs/>
          </w:rPr>
          <w:t>14</w:t>
        </w:r>
      </w:p>
    </w:sdtContent>
  </w:sdt>
  <w:p w:rsidR="00FC2F7B" w:rsidRPr="00250015" w:rsidRDefault="00FC2F7B" w:rsidP="000B1725">
    <w:pPr>
      <w:pStyle w:val="Header"/>
      <w:spacing w:after="240"/>
      <w:jc w:val="right"/>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F7B" w:rsidRDefault="00FC2F7B" w:rsidP="000B17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79732"/>
      <w:docPartObj>
        <w:docPartGallery w:val="Page Numbers (Top of Page)"/>
        <w:docPartUnique/>
      </w:docPartObj>
    </w:sdtPr>
    <w:sdtEndPr/>
    <w:sdtContent>
      <w:p w:rsidR="00FC2F7B" w:rsidRPr="007B5937" w:rsidRDefault="00FC2F7B" w:rsidP="00C929C9">
        <w:pPr>
          <w:pStyle w:val="Header"/>
          <w:jc w:val="right"/>
          <w:rPr>
            <w:rFonts w:cs="Arial"/>
          </w:rPr>
        </w:pPr>
        <w:r>
          <w:rPr>
            <w:rFonts w:cs="Arial"/>
          </w:rPr>
          <w:t>imb</w:t>
        </w:r>
        <w:r w:rsidRPr="005F7FEB">
          <w:rPr>
            <w:rFonts w:cs="Arial"/>
          </w:rPr>
          <w:t>-amard-</w:t>
        </w:r>
        <w:r>
          <w:rPr>
            <w:rFonts w:cs="Arial"/>
          </w:rPr>
          <w:t>sept</w:t>
        </w:r>
        <w:r w:rsidRPr="005F7FEB">
          <w:rPr>
            <w:rFonts w:cs="Arial"/>
          </w:rPr>
          <w:t>20item0</w:t>
        </w:r>
        <w:r>
          <w:rPr>
            <w:rFonts w:cs="Arial"/>
          </w:rPr>
          <w:t>2</w:t>
        </w:r>
      </w:p>
      <w:p w:rsidR="00FC2F7B" w:rsidRPr="00C929C9" w:rsidRDefault="00FC2F7B" w:rsidP="00C929C9">
        <w:pPr>
          <w:pStyle w:val="Header"/>
          <w:jc w:val="right"/>
          <w:rPr>
            <w:rFonts w:cs="Arial"/>
          </w:rPr>
        </w:pPr>
        <w:r w:rsidRPr="00C929C9">
          <w:rPr>
            <w:rFonts w:cs="Arial"/>
          </w:rPr>
          <w:t xml:space="preserve">Attachment </w:t>
        </w:r>
        <w:r>
          <w:rPr>
            <w:rFonts w:cs="Arial"/>
          </w:rPr>
          <w:t>2</w:t>
        </w:r>
      </w:p>
      <w:p w:rsidR="00FC2F7B" w:rsidRPr="00C929C9" w:rsidRDefault="00FC2F7B">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sidR="001D7EE4">
          <w:rPr>
            <w:bCs/>
            <w:noProof/>
          </w:rPr>
          <w:t>10</w:t>
        </w:r>
        <w:r w:rsidRPr="00C929C9">
          <w:rPr>
            <w:bCs/>
          </w:rPr>
          <w:fldChar w:fldCharType="end"/>
        </w:r>
        <w:r w:rsidRPr="00C929C9">
          <w:t xml:space="preserve"> of </w:t>
        </w:r>
        <w:r>
          <w:rPr>
            <w:bCs/>
          </w:rPr>
          <w:t>9</w:t>
        </w:r>
      </w:p>
    </w:sdtContent>
  </w:sdt>
  <w:p w:rsidR="00FC2F7B" w:rsidRPr="00250015" w:rsidRDefault="00FC2F7B" w:rsidP="000B1725">
    <w:pPr>
      <w:pStyle w:val="Header"/>
      <w:spacing w:after="240"/>
      <w:jc w:val="righ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30663"/>
      <w:docPartObj>
        <w:docPartGallery w:val="Page Numbers (Top of Page)"/>
        <w:docPartUnique/>
      </w:docPartObj>
    </w:sdtPr>
    <w:sdtEndPr/>
    <w:sdtContent>
      <w:p w:rsidR="00FC2F7B" w:rsidRPr="007B5937" w:rsidRDefault="00FC2F7B" w:rsidP="00C929C9">
        <w:pPr>
          <w:pStyle w:val="Header"/>
          <w:jc w:val="right"/>
          <w:rPr>
            <w:rFonts w:cs="Arial"/>
          </w:rPr>
        </w:pPr>
        <w:r>
          <w:rPr>
            <w:rFonts w:cs="Arial"/>
          </w:rPr>
          <w:t>imb</w:t>
        </w:r>
        <w:r w:rsidRPr="005F7FEB">
          <w:rPr>
            <w:rFonts w:cs="Arial"/>
          </w:rPr>
          <w:t>-amard-</w:t>
        </w:r>
        <w:r>
          <w:rPr>
            <w:rFonts w:cs="Arial"/>
          </w:rPr>
          <w:t>sept</w:t>
        </w:r>
        <w:r w:rsidRPr="005F7FEB">
          <w:rPr>
            <w:rFonts w:cs="Arial"/>
          </w:rPr>
          <w:t>20item0</w:t>
        </w:r>
        <w:r>
          <w:rPr>
            <w:rFonts w:cs="Arial"/>
          </w:rPr>
          <w:t>2</w:t>
        </w:r>
      </w:p>
      <w:p w:rsidR="00FC2F7B" w:rsidRPr="00C929C9" w:rsidRDefault="00FC2F7B" w:rsidP="00C929C9">
        <w:pPr>
          <w:pStyle w:val="Header"/>
          <w:jc w:val="right"/>
          <w:rPr>
            <w:rFonts w:cs="Arial"/>
          </w:rPr>
        </w:pPr>
        <w:r w:rsidRPr="00C929C9">
          <w:rPr>
            <w:rFonts w:cs="Arial"/>
          </w:rPr>
          <w:t xml:space="preserve">Attachment </w:t>
        </w:r>
        <w:r>
          <w:rPr>
            <w:rFonts w:cs="Arial"/>
          </w:rPr>
          <w:t>3</w:t>
        </w:r>
      </w:p>
      <w:p w:rsidR="00FC2F7B" w:rsidRPr="00C929C9" w:rsidRDefault="00FC2F7B">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sidR="001D7EE4">
          <w:rPr>
            <w:bCs/>
            <w:noProof/>
          </w:rPr>
          <w:t>3</w:t>
        </w:r>
        <w:r w:rsidRPr="00C929C9">
          <w:rPr>
            <w:bCs/>
          </w:rPr>
          <w:fldChar w:fldCharType="end"/>
        </w:r>
        <w:r w:rsidRPr="00C929C9">
          <w:t xml:space="preserve"> of </w:t>
        </w:r>
        <w:r>
          <w:rPr>
            <w:bCs/>
          </w:rPr>
          <w:t>3</w:t>
        </w:r>
      </w:p>
    </w:sdtContent>
  </w:sdt>
  <w:p w:rsidR="00FC2F7B" w:rsidRPr="00250015" w:rsidRDefault="00FC2F7B" w:rsidP="000B1725">
    <w:pPr>
      <w:pStyle w:val="Header"/>
      <w:spacing w:after="240"/>
      <w:jc w:val="right"/>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100079"/>
      <w:docPartObj>
        <w:docPartGallery w:val="Page Numbers (Top of Page)"/>
        <w:docPartUnique/>
      </w:docPartObj>
    </w:sdtPr>
    <w:sdtEndPr/>
    <w:sdtContent>
      <w:p w:rsidR="00FC2F7B" w:rsidRPr="007B5937" w:rsidRDefault="00FC2F7B" w:rsidP="00224242">
        <w:pPr>
          <w:pStyle w:val="Header"/>
          <w:jc w:val="right"/>
          <w:rPr>
            <w:rFonts w:cs="Arial"/>
          </w:rPr>
        </w:pPr>
        <w:r>
          <w:rPr>
            <w:rFonts w:cs="Arial"/>
          </w:rPr>
          <w:t>imb</w:t>
        </w:r>
        <w:r w:rsidRPr="005F7FEB">
          <w:rPr>
            <w:rFonts w:cs="Arial"/>
          </w:rPr>
          <w:t>-amard-</w:t>
        </w:r>
        <w:r>
          <w:rPr>
            <w:rFonts w:cs="Arial"/>
          </w:rPr>
          <w:t>sept</w:t>
        </w:r>
        <w:r w:rsidRPr="005F7FEB">
          <w:rPr>
            <w:rFonts w:cs="Arial"/>
          </w:rPr>
          <w:t>20item0</w:t>
        </w:r>
        <w:r>
          <w:rPr>
            <w:rFonts w:cs="Arial"/>
          </w:rPr>
          <w:t>2</w:t>
        </w:r>
      </w:p>
      <w:p w:rsidR="00FC2F7B" w:rsidRDefault="00FC2F7B" w:rsidP="00224242">
        <w:pPr>
          <w:pStyle w:val="Header"/>
          <w:jc w:val="right"/>
          <w:rPr>
            <w:rFonts w:cs="Arial"/>
          </w:rPr>
        </w:pPr>
        <w:r w:rsidRPr="00E57290">
          <w:rPr>
            <w:rFonts w:cs="Arial"/>
          </w:rPr>
          <w:t xml:space="preserve">Attachment </w:t>
        </w:r>
        <w:r>
          <w:rPr>
            <w:rFonts w:cs="Arial"/>
          </w:rPr>
          <w:t>4</w:t>
        </w:r>
      </w:p>
      <w:p w:rsidR="00FC2F7B" w:rsidRPr="00224242" w:rsidRDefault="00FC2F7B" w:rsidP="00224242">
        <w:pPr>
          <w:pStyle w:val="Header"/>
          <w:jc w:val="right"/>
        </w:pPr>
        <w:r w:rsidRPr="00224242">
          <w:t xml:space="preserve">Page </w:t>
        </w:r>
        <w:r w:rsidRPr="00224242">
          <w:rPr>
            <w:bCs/>
          </w:rPr>
          <w:fldChar w:fldCharType="begin"/>
        </w:r>
        <w:r w:rsidRPr="00224242">
          <w:rPr>
            <w:bCs/>
          </w:rPr>
          <w:instrText xml:space="preserve"> PAGE </w:instrText>
        </w:r>
        <w:r w:rsidRPr="00224242">
          <w:rPr>
            <w:bCs/>
          </w:rPr>
          <w:fldChar w:fldCharType="separate"/>
        </w:r>
        <w:r w:rsidR="001D7EE4">
          <w:rPr>
            <w:bCs/>
            <w:noProof/>
          </w:rPr>
          <w:t>5</w:t>
        </w:r>
        <w:r w:rsidRPr="00224242">
          <w:rPr>
            <w:bCs/>
          </w:rPr>
          <w:fldChar w:fldCharType="end"/>
        </w:r>
        <w:r w:rsidRPr="00224242">
          <w:t xml:space="preserve"> of </w:t>
        </w:r>
        <w:r>
          <w:rPr>
            <w:bCs/>
          </w:rPr>
          <w:t>5</w:t>
        </w:r>
      </w:p>
    </w:sdtContent>
  </w:sdt>
  <w:p w:rsidR="00FC2F7B" w:rsidRPr="00250015" w:rsidRDefault="00FC2F7B" w:rsidP="000B1725">
    <w:pPr>
      <w:pStyle w:val="Header"/>
      <w:spacing w:after="24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0E0"/>
    <w:multiLevelType w:val="hybridMultilevel"/>
    <w:tmpl w:val="F35E1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704CF"/>
    <w:multiLevelType w:val="hybridMultilevel"/>
    <w:tmpl w:val="77965358"/>
    <w:lvl w:ilvl="0" w:tplc="1BE0BBC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91F53"/>
    <w:multiLevelType w:val="hybridMultilevel"/>
    <w:tmpl w:val="D01C3CA4"/>
    <w:lvl w:ilvl="0" w:tplc="C62C28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65D0"/>
    <w:multiLevelType w:val="hybridMultilevel"/>
    <w:tmpl w:val="64801B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EE40033"/>
    <w:multiLevelType w:val="hybridMultilevel"/>
    <w:tmpl w:val="BE5A365C"/>
    <w:lvl w:ilvl="0" w:tplc="CA9075FE">
      <w:start w:val="1"/>
      <w:numFmt w:val="decimal"/>
      <w:lvlText w:val="%1."/>
      <w:lvlJc w:val="left"/>
      <w:pPr>
        <w:ind w:left="720" w:hanging="360"/>
      </w:pPr>
    </w:lvl>
    <w:lvl w:ilvl="1" w:tplc="FE9405B4">
      <w:start w:val="1"/>
      <w:numFmt w:val="lowerLetter"/>
      <w:lvlText w:val="%2."/>
      <w:lvlJc w:val="left"/>
      <w:pPr>
        <w:ind w:left="1440" w:hanging="360"/>
      </w:pPr>
    </w:lvl>
    <w:lvl w:ilvl="2" w:tplc="29D8A834">
      <w:start w:val="1"/>
      <w:numFmt w:val="lowerRoman"/>
      <w:lvlText w:val="%3."/>
      <w:lvlJc w:val="right"/>
      <w:pPr>
        <w:ind w:left="2160" w:hanging="180"/>
      </w:pPr>
    </w:lvl>
    <w:lvl w:ilvl="3" w:tplc="722204E6">
      <w:start w:val="1"/>
      <w:numFmt w:val="decimal"/>
      <w:lvlText w:val="%4."/>
      <w:lvlJc w:val="left"/>
      <w:pPr>
        <w:ind w:left="2880" w:hanging="360"/>
      </w:pPr>
    </w:lvl>
    <w:lvl w:ilvl="4" w:tplc="3A72B8E0">
      <w:start w:val="1"/>
      <w:numFmt w:val="lowerLetter"/>
      <w:lvlText w:val="%5."/>
      <w:lvlJc w:val="left"/>
      <w:pPr>
        <w:ind w:left="3600" w:hanging="360"/>
      </w:pPr>
    </w:lvl>
    <w:lvl w:ilvl="5" w:tplc="1A2ED218">
      <w:start w:val="1"/>
      <w:numFmt w:val="lowerRoman"/>
      <w:lvlText w:val="%6."/>
      <w:lvlJc w:val="right"/>
      <w:pPr>
        <w:ind w:left="4320" w:hanging="180"/>
      </w:pPr>
    </w:lvl>
    <w:lvl w:ilvl="6" w:tplc="91669778">
      <w:start w:val="1"/>
      <w:numFmt w:val="decimal"/>
      <w:lvlText w:val="%7."/>
      <w:lvlJc w:val="left"/>
      <w:pPr>
        <w:ind w:left="5040" w:hanging="360"/>
      </w:pPr>
    </w:lvl>
    <w:lvl w:ilvl="7" w:tplc="54943C30">
      <w:start w:val="1"/>
      <w:numFmt w:val="lowerLetter"/>
      <w:lvlText w:val="%8."/>
      <w:lvlJc w:val="left"/>
      <w:pPr>
        <w:ind w:left="5760" w:hanging="360"/>
      </w:pPr>
    </w:lvl>
    <w:lvl w:ilvl="8" w:tplc="4D18EDD4">
      <w:start w:val="1"/>
      <w:numFmt w:val="lowerRoman"/>
      <w:lvlText w:val="%9."/>
      <w:lvlJc w:val="right"/>
      <w:pPr>
        <w:ind w:left="6480" w:hanging="180"/>
      </w:pPr>
    </w:lvl>
  </w:abstractNum>
  <w:abstractNum w:abstractNumId="5" w15:restartNumberingAfterBreak="0">
    <w:nsid w:val="104F5A16"/>
    <w:multiLevelType w:val="hybridMultilevel"/>
    <w:tmpl w:val="8B7ED262"/>
    <w:lvl w:ilvl="0" w:tplc="8E586B7E">
      <w:start w:val="1"/>
      <w:numFmt w:val="bullet"/>
      <w:lvlText w:val=""/>
      <w:lvlJc w:val="left"/>
      <w:pPr>
        <w:ind w:left="720" w:hanging="360"/>
      </w:pPr>
      <w:rPr>
        <w:rFonts w:ascii="Symbol" w:hAnsi="Symbol" w:hint="default"/>
      </w:rPr>
    </w:lvl>
    <w:lvl w:ilvl="1" w:tplc="6234CF04">
      <w:start w:val="1"/>
      <w:numFmt w:val="bullet"/>
      <w:lvlText w:val="o"/>
      <w:lvlJc w:val="left"/>
      <w:pPr>
        <w:ind w:left="1440" w:hanging="360"/>
      </w:pPr>
      <w:rPr>
        <w:rFonts w:ascii="Courier New" w:hAnsi="Courier New" w:hint="default"/>
      </w:rPr>
    </w:lvl>
    <w:lvl w:ilvl="2" w:tplc="733C4B76">
      <w:start w:val="1"/>
      <w:numFmt w:val="bullet"/>
      <w:lvlText w:val=""/>
      <w:lvlJc w:val="left"/>
      <w:pPr>
        <w:ind w:left="2160" w:hanging="360"/>
      </w:pPr>
      <w:rPr>
        <w:rFonts w:ascii="Wingdings" w:hAnsi="Wingdings" w:hint="default"/>
      </w:rPr>
    </w:lvl>
    <w:lvl w:ilvl="3" w:tplc="85662330">
      <w:start w:val="1"/>
      <w:numFmt w:val="bullet"/>
      <w:lvlText w:val=""/>
      <w:lvlJc w:val="left"/>
      <w:pPr>
        <w:ind w:left="2880" w:hanging="360"/>
      </w:pPr>
      <w:rPr>
        <w:rFonts w:ascii="Symbol" w:hAnsi="Symbol" w:hint="default"/>
      </w:rPr>
    </w:lvl>
    <w:lvl w:ilvl="4" w:tplc="737E1476">
      <w:start w:val="1"/>
      <w:numFmt w:val="bullet"/>
      <w:lvlText w:val="o"/>
      <w:lvlJc w:val="left"/>
      <w:pPr>
        <w:ind w:left="3600" w:hanging="360"/>
      </w:pPr>
      <w:rPr>
        <w:rFonts w:ascii="Courier New" w:hAnsi="Courier New" w:hint="default"/>
      </w:rPr>
    </w:lvl>
    <w:lvl w:ilvl="5" w:tplc="70A4C834">
      <w:start w:val="1"/>
      <w:numFmt w:val="bullet"/>
      <w:lvlText w:val=""/>
      <w:lvlJc w:val="left"/>
      <w:pPr>
        <w:ind w:left="4320" w:hanging="360"/>
      </w:pPr>
      <w:rPr>
        <w:rFonts w:ascii="Wingdings" w:hAnsi="Wingdings" w:hint="default"/>
      </w:rPr>
    </w:lvl>
    <w:lvl w:ilvl="6" w:tplc="0DE69F58">
      <w:start w:val="1"/>
      <w:numFmt w:val="bullet"/>
      <w:lvlText w:val=""/>
      <w:lvlJc w:val="left"/>
      <w:pPr>
        <w:ind w:left="5040" w:hanging="360"/>
      </w:pPr>
      <w:rPr>
        <w:rFonts w:ascii="Symbol" w:hAnsi="Symbol" w:hint="default"/>
      </w:rPr>
    </w:lvl>
    <w:lvl w:ilvl="7" w:tplc="6CBC0950">
      <w:start w:val="1"/>
      <w:numFmt w:val="bullet"/>
      <w:lvlText w:val="o"/>
      <w:lvlJc w:val="left"/>
      <w:pPr>
        <w:ind w:left="5760" w:hanging="360"/>
      </w:pPr>
      <w:rPr>
        <w:rFonts w:ascii="Courier New" w:hAnsi="Courier New" w:hint="default"/>
      </w:rPr>
    </w:lvl>
    <w:lvl w:ilvl="8" w:tplc="A7225462">
      <w:start w:val="1"/>
      <w:numFmt w:val="bullet"/>
      <w:lvlText w:val=""/>
      <w:lvlJc w:val="left"/>
      <w:pPr>
        <w:ind w:left="6480" w:hanging="360"/>
      </w:pPr>
      <w:rPr>
        <w:rFonts w:ascii="Wingdings" w:hAnsi="Wingdings" w:hint="default"/>
      </w:rPr>
    </w:lvl>
  </w:abstractNum>
  <w:abstractNum w:abstractNumId="6" w15:restartNumberingAfterBreak="0">
    <w:nsid w:val="1D1B4E18"/>
    <w:multiLevelType w:val="hybridMultilevel"/>
    <w:tmpl w:val="8B223E20"/>
    <w:lvl w:ilvl="0" w:tplc="E9F04B64">
      <w:start w:val="1"/>
      <w:numFmt w:val="bullet"/>
      <w:lvlText w:val=""/>
      <w:lvlJc w:val="left"/>
      <w:pPr>
        <w:tabs>
          <w:tab w:val="num" w:pos="720"/>
        </w:tabs>
        <w:ind w:left="720" w:hanging="360"/>
      </w:pPr>
      <w:rPr>
        <w:rFonts w:ascii="Symbol" w:hAnsi="Symbol" w:hint="default"/>
        <w:sz w:val="20"/>
      </w:rPr>
    </w:lvl>
    <w:lvl w:ilvl="1" w:tplc="BAE460D2" w:tentative="1">
      <w:start w:val="1"/>
      <w:numFmt w:val="bullet"/>
      <w:lvlText w:val="o"/>
      <w:lvlJc w:val="left"/>
      <w:pPr>
        <w:tabs>
          <w:tab w:val="num" w:pos="1440"/>
        </w:tabs>
        <w:ind w:left="1440" w:hanging="360"/>
      </w:pPr>
      <w:rPr>
        <w:rFonts w:ascii="Courier New" w:hAnsi="Courier New" w:hint="default"/>
        <w:sz w:val="20"/>
      </w:rPr>
    </w:lvl>
    <w:lvl w:ilvl="2" w:tplc="BCF0E020" w:tentative="1">
      <w:start w:val="1"/>
      <w:numFmt w:val="bullet"/>
      <w:lvlText w:val=""/>
      <w:lvlJc w:val="left"/>
      <w:pPr>
        <w:tabs>
          <w:tab w:val="num" w:pos="2160"/>
        </w:tabs>
        <w:ind w:left="2160" w:hanging="360"/>
      </w:pPr>
      <w:rPr>
        <w:rFonts w:ascii="Wingdings" w:hAnsi="Wingdings" w:hint="default"/>
        <w:sz w:val="20"/>
      </w:rPr>
    </w:lvl>
    <w:lvl w:ilvl="3" w:tplc="DA1E33F6" w:tentative="1">
      <w:start w:val="1"/>
      <w:numFmt w:val="bullet"/>
      <w:lvlText w:val=""/>
      <w:lvlJc w:val="left"/>
      <w:pPr>
        <w:tabs>
          <w:tab w:val="num" w:pos="2880"/>
        </w:tabs>
        <w:ind w:left="2880" w:hanging="360"/>
      </w:pPr>
      <w:rPr>
        <w:rFonts w:ascii="Wingdings" w:hAnsi="Wingdings" w:hint="default"/>
        <w:sz w:val="20"/>
      </w:rPr>
    </w:lvl>
    <w:lvl w:ilvl="4" w:tplc="D7602438" w:tentative="1">
      <w:start w:val="1"/>
      <w:numFmt w:val="bullet"/>
      <w:lvlText w:val=""/>
      <w:lvlJc w:val="left"/>
      <w:pPr>
        <w:tabs>
          <w:tab w:val="num" w:pos="3600"/>
        </w:tabs>
        <w:ind w:left="3600" w:hanging="360"/>
      </w:pPr>
      <w:rPr>
        <w:rFonts w:ascii="Wingdings" w:hAnsi="Wingdings" w:hint="default"/>
        <w:sz w:val="20"/>
      </w:rPr>
    </w:lvl>
    <w:lvl w:ilvl="5" w:tplc="E65262CA" w:tentative="1">
      <w:start w:val="1"/>
      <w:numFmt w:val="bullet"/>
      <w:lvlText w:val=""/>
      <w:lvlJc w:val="left"/>
      <w:pPr>
        <w:tabs>
          <w:tab w:val="num" w:pos="4320"/>
        </w:tabs>
        <w:ind w:left="4320" w:hanging="360"/>
      </w:pPr>
      <w:rPr>
        <w:rFonts w:ascii="Wingdings" w:hAnsi="Wingdings" w:hint="default"/>
        <w:sz w:val="20"/>
      </w:rPr>
    </w:lvl>
    <w:lvl w:ilvl="6" w:tplc="7FB028E8" w:tentative="1">
      <w:start w:val="1"/>
      <w:numFmt w:val="bullet"/>
      <w:lvlText w:val=""/>
      <w:lvlJc w:val="left"/>
      <w:pPr>
        <w:tabs>
          <w:tab w:val="num" w:pos="5040"/>
        </w:tabs>
        <w:ind w:left="5040" w:hanging="360"/>
      </w:pPr>
      <w:rPr>
        <w:rFonts w:ascii="Wingdings" w:hAnsi="Wingdings" w:hint="default"/>
        <w:sz w:val="20"/>
      </w:rPr>
    </w:lvl>
    <w:lvl w:ilvl="7" w:tplc="A24A9986" w:tentative="1">
      <w:start w:val="1"/>
      <w:numFmt w:val="bullet"/>
      <w:lvlText w:val=""/>
      <w:lvlJc w:val="left"/>
      <w:pPr>
        <w:tabs>
          <w:tab w:val="num" w:pos="5760"/>
        </w:tabs>
        <w:ind w:left="5760" w:hanging="360"/>
      </w:pPr>
      <w:rPr>
        <w:rFonts w:ascii="Wingdings" w:hAnsi="Wingdings" w:hint="default"/>
        <w:sz w:val="20"/>
      </w:rPr>
    </w:lvl>
    <w:lvl w:ilvl="8" w:tplc="452616D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16734"/>
    <w:multiLevelType w:val="hybridMultilevel"/>
    <w:tmpl w:val="F68E62C8"/>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1EB787E"/>
    <w:multiLevelType w:val="hybridMultilevel"/>
    <w:tmpl w:val="622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72DBB"/>
    <w:multiLevelType w:val="hybridMultilevel"/>
    <w:tmpl w:val="6AC8FE9E"/>
    <w:lvl w:ilvl="0" w:tplc="A01A828C">
      <w:start w:val="1"/>
      <w:numFmt w:val="decimal"/>
      <w:lvlText w:val="%1."/>
      <w:lvlJc w:val="left"/>
      <w:pPr>
        <w:ind w:left="720" w:hanging="360"/>
      </w:pPr>
      <w:rPr>
        <w:rFonts w:ascii="Arial" w:hAnsi="Arial" w:cs="Arial" w:hint="default"/>
      </w:rPr>
    </w:lvl>
    <w:lvl w:ilvl="1" w:tplc="EF9E3EC6">
      <w:start w:val="1"/>
      <w:numFmt w:val="lowerLetter"/>
      <w:lvlText w:val="%2."/>
      <w:lvlJc w:val="left"/>
      <w:pPr>
        <w:ind w:left="1440" w:hanging="360"/>
      </w:pPr>
    </w:lvl>
    <w:lvl w:ilvl="2" w:tplc="92B6C8B4">
      <w:start w:val="1"/>
      <w:numFmt w:val="lowerRoman"/>
      <w:lvlText w:val="%3."/>
      <w:lvlJc w:val="right"/>
      <w:pPr>
        <w:ind w:left="2160" w:hanging="180"/>
      </w:pPr>
    </w:lvl>
    <w:lvl w:ilvl="3" w:tplc="37C04B6A">
      <w:start w:val="1"/>
      <w:numFmt w:val="decimal"/>
      <w:lvlText w:val="%4."/>
      <w:lvlJc w:val="left"/>
      <w:pPr>
        <w:ind w:left="2880" w:hanging="360"/>
      </w:pPr>
    </w:lvl>
    <w:lvl w:ilvl="4" w:tplc="8F040152">
      <w:start w:val="1"/>
      <w:numFmt w:val="lowerLetter"/>
      <w:lvlText w:val="%5."/>
      <w:lvlJc w:val="left"/>
      <w:pPr>
        <w:ind w:left="3600" w:hanging="360"/>
      </w:pPr>
    </w:lvl>
    <w:lvl w:ilvl="5" w:tplc="EBA0DCB4">
      <w:start w:val="1"/>
      <w:numFmt w:val="lowerRoman"/>
      <w:lvlText w:val="%6."/>
      <w:lvlJc w:val="right"/>
      <w:pPr>
        <w:ind w:left="4320" w:hanging="180"/>
      </w:pPr>
    </w:lvl>
    <w:lvl w:ilvl="6" w:tplc="73285130">
      <w:start w:val="1"/>
      <w:numFmt w:val="decimal"/>
      <w:lvlText w:val="%7."/>
      <w:lvlJc w:val="left"/>
      <w:pPr>
        <w:ind w:left="5040" w:hanging="360"/>
      </w:pPr>
    </w:lvl>
    <w:lvl w:ilvl="7" w:tplc="37E48286">
      <w:start w:val="1"/>
      <w:numFmt w:val="lowerLetter"/>
      <w:lvlText w:val="%8."/>
      <w:lvlJc w:val="left"/>
      <w:pPr>
        <w:ind w:left="5760" w:hanging="360"/>
      </w:pPr>
    </w:lvl>
    <w:lvl w:ilvl="8" w:tplc="EF32D7FA">
      <w:start w:val="1"/>
      <w:numFmt w:val="lowerRoman"/>
      <w:lvlText w:val="%9."/>
      <w:lvlJc w:val="right"/>
      <w:pPr>
        <w:ind w:left="6480" w:hanging="180"/>
      </w:pPr>
    </w:lvl>
  </w:abstractNum>
  <w:abstractNum w:abstractNumId="10" w15:restartNumberingAfterBreak="0">
    <w:nsid w:val="27D966EE"/>
    <w:multiLevelType w:val="hybridMultilevel"/>
    <w:tmpl w:val="DC88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81A3B"/>
    <w:multiLevelType w:val="hybridMultilevel"/>
    <w:tmpl w:val="DDFCC2C6"/>
    <w:lvl w:ilvl="0" w:tplc="ACD291BE">
      <w:start w:val="1"/>
      <w:numFmt w:val="bullet"/>
      <w:lvlText w:val=""/>
      <w:lvlJc w:val="left"/>
      <w:pPr>
        <w:ind w:left="720" w:hanging="360"/>
      </w:pPr>
      <w:rPr>
        <w:rFonts w:ascii="Symbol" w:hAnsi="Symbol" w:hint="default"/>
      </w:rPr>
    </w:lvl>
    <w:lvl w:ilvl="1" w:tplc="9738AC68">
      <w:start w:val="1"/>
      <w:numFmt w:val="bullet"/>
      <w:lvlText w:val="o"/>
      <w:lvlJc w:val="left"/>
      <w:pPr>
        <w:ind w:left="1440" w:hanging="360"/>
      </w:pPr>
      <w:rPr>
        <w:rFonts w:ascii="Courier New" w:hAnsi="Courier New" w:hint="default"/>
      </w:rPr>
    </w:lvl>
    <w:lvl w:ilvl="2" w:tplc="7D6AED82">
      <w:start w:val="1"/>
      <w:numFmt w:val="bullet"/>
      <w:lvlText w:val=""/>
      <w:lvlJc w:val="left"/>
      <w:pPr>
        <w:ind w:left="2160" w:hanging="360"/>
      </w:pPr>
      <w:rPr>
        <w:rFonts w:ascii="Wingdings" w:hAnsi="Wingdings" w:hint="default"/>
      </w:rPr>
    </w:lvl>
    <w:lvl w:ilvl="3" w:tplc="23C0FFF0">
      <w:start w:val="1"/>
      <w:numFmt w:val="bullet"/>
      <w:lvlText w:val=""/>
      <w:lvlJc w:val="left"/>
      <w:pPr>
        <w:ind w:left="2880" w:hanging="360"/>
      </w:pPr>
      <w:rPr>
        <w:rFonts w:ascii="Symbol" w:hAnsi="Symbol" w:hint="default"/>
      </w:rPr>
    </w:lvl>
    <w:lvl w:ilvl="4" w:tplc="3AAAEDE4">
      <w:start w:val="1"/>
      <w:numFmt w:val="bullet"/>
      <w:lvlText w:val="o"/>
      <w:lvlJc w:val="left"/>
      <w:pPr>
        <w:ind w:left="3600" w:hanging="360"/>
      </w:pPr>
      <w:rPr>
        <w:rFonts w:ascii="Courier New" w:hAnsi="Courier New" w:hint="default"/>
      </w:rPr>
    </w:lvl>
    <w:lvl w:ilvl="5" w:tplc="077A1A3A">
      <w:start w:val="1"/>
      <w:numFmt w:val="bullet"/>
      <w:lvlText w:val=""/>
      <w:lvlJc w:val="left"/>
      <w:pPr>
        <w:ind w:left="4320" w:hanging="360"/>
      </w:pPr>
      <w:rPr>
        <w:rFonts w:ascii="Wingdings" w:hAnsi="Wingdings" w:hint="default"/>
      </w:rPr>
    </w:lvl>
    <w:lvl w:ilvl="6" w:tplc="94CCBE80">
      <w:start w:val="1"/>
      <w:numFmt w:val="bullet"/>
      <w:lvlText w:val=""/>
      <w:lvlJc w:val="left"/>
      <w:pPr>
        <w:ind w:left="5040" w:hanging="360"/>
      </w:pPr>
      <w:rPr>
        <w:rFonts w:ascii="Symbol" w:hAnsi="Symbol" w:hint="default"/>
      </w:rPr>
    </w:lvl>
    <w:lvl w:ilvl="7" w:tplc="CF1E2ABA">
      <w:start w:val="1"/>
      <w:numFmt w:val="bullet"/>
      <w:lvlText w:val="o"/>
      <w:lvlJc w:val="left"/>
      <w:pPr>
        <w:ind w:left="5760" w:hanging="360"/>
      </w:pPr>
      <w:rPr>
        <w:rFonts w:ascii="Courier New" w:hAnsi="Courier New" w:hint="default"/>
      </w:rPr>
    </w:lvl>
    <w:lvl w:ilvl="8" w:tplc="976C896C">
      <w:start w:val="1"/>
      <w:numFmt w:val="bullet"/>
      <w:lvlText w:val=""/>
      <w:lvlJc w:val="left"/>
      <w:pPr>
        <w:ind w:left="6480" w:hanging="360"/>
      </w:pPr>
      <w:rPr>
        <w:rFonts w:ascii="Wingdings" w:hAnsi="Wingdings" w:hint="default"/>
      </w:rPr>
    </w:lvl>
  </w:abstractNum>
  <w:abstractNum w:abstractNumId="12" w15:restartNumberingAfterBreak="0">
    <w:nsid w:val="325A644D"/>
    <w:multiLevelType w:val="hybridMultilevel"/>
    <w:tmpl w:val="6334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4FA1DE2"/>
    <w:multiLevelType w:val="hybridMultilevel"/>
    <w:tmpl w:val="257A1584"/>
    <w:lvl w:ilvl="0" w:tplc="C62C28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07699D"/>
    <w:multiLevelType w:val="hybridMultilevel"/>
    <w:tmpl w:val="ACAE1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5B1E5B"/>
    <w:multiLevelType w:val="hybridMultilevel"/>
    <w:tmpl w:val="F9E46502"/>
    <w:lvl w:ilvl="0" w:tplc="1682D1BC">
      <w:start w:val="1"/>
      <w:numFmt w:val="bullet"/>
      <w:lvlText w:val="•"/>
      <w:lvlJc w:val="left"/>
      <w:pPr>
        <w:tabs>
          <w:tab w:val="num" w:pos="720"/>
        </w:tabs>
        <w:ind w:left="720" w:hanging="360"/>
      </w:pPr>
      <w:rPr>
        <w:rFonts w:ascii="Arial" w:hAnsi="Arial" w:hint="default"/>
      </w:rPr>
    </w:lvl>
    <w:lvl w:ilvl="1" w:tplc="A7B07824">
      <w:start w:val="1896"/>
      <w:numFmt w:val="bullet"/>
      <w:lvlText w:val="‒"/>
      <w:lvlJc w:val="left"/>
      <w:pPr>
        <w:tabs>
          <w:tab w:val="num" w:pos="1440"/>
        </w:tabs>
        <w:ind w:left="1440" w:hanging="360"/>
      </w:pPr>
      <w:rPr>
        <w:rFonts w:ascii="Arial" w:hAnsi="Arial" w:hint="default"/>
      </w:rPr>
    </w:lvl>
    <w:lvl w:ilvl="2" w:tplc="9E98A68E" w:tentative="1">
      <w:start w:val="1"/>
      <w:numFmt w:val="bullet"/>
      <w:lvlText w:val="•"/>
      <w:lvlJc w:val="left"/>
      <w:pPr>
        <w:tabs>
          <w:tab w:val="num" w:pos="2160"/>
        </w:tabs>
        <w:ind w:left="2160" w:hanging="360"/>
      </w:pPr>
      <w:rPr>
        <w:rFonts w:ascii="Arial" w:hAnsi="Arial" w:hint="default"/>
      </w:rPr>
    </w:lvl>
    <w:lvl w:ilvl="3" w:tplc="498E3B82" w:tentative="1">
      <w:start w:val="1"/>
      <w:numFmt w:val="bullet"/>
      <w:lvlText w:val="•"/>
      <w:lvlJc w:val="left"/>
      <w:pPr>
        <w:tabs>
          <w:tab w:val="num" w:pos="2880"/>
        </w:tabs>
        <w:ind w:left="2880" w:hanging="360"/>
      </w:pPr>
      <w:rPr>
        <w:rFonts w:ascii="Arial" w:hAnsi="Arial" w:hint="default"/>
      </w:rPr>
    </w:lvl>
    <w:lvl w:ilvl="4" w:tplc="5F8CE5F4" w:tentative="1">
      <w:start w:val="1"/>
      <w:numFmt w:val="bullet"/>
      <w:lvlText w:val="•"/>
      <w:lvlJc w:val="left"/>
      <w:pPr>
        <w:tabs>
          <w:tab w:val="num" w:pos="3600"/>
        </w:tabs>
        <w:ind w:left="3600" w:hanging="360"/>
      </w:pPr>
      <w:rPr>
        <w:rFonts w:ascii="Arial" w:hAnsi="Arial" w:hint="default"/>
      </w:rPr>
    </w:lvl>
    <w:lvl w:ilvl="5" w:tplc="69985E5C" w:tentative="1">
      <w:start w:val="1"/>
      <w:numFmt w:val="bullet"/>
      <w:lvlText w:val="•"/>
      <w:lvlJc w:val="left"/>
      <w:pPr>
        <w:tabs>
          <w:tab w:val="num" w:pos="4320"/>
        </w:tabs>
        <w:ind w:left="4320" w:hanging="360"/>
      </w:pPr>
      <w:rPr>
        <w:rFonts w:ascii="Arial" w:hAnsi="Arial" w:hint="default"/>
      </w:rPr>
    </w:lvl>
    <w:lvl w:ilvl="6" w:tplc="6568C20E" w:tentative="1">
      <w:start w:val="1"/>
      <w:numFmt w:val="bullet"/>
      <w:lvlText w:val="•"/>
      <w:lvlJc w:val="left"/>
      <w:pPr>
        <w:tabs>
          <w:tab w:val="num" w:pos="5040"/>
        </w:tabs>
        <w:ind w:left="5040" w:hanging="360"/>
      </w:pPr>
      <w:rPr>
        <w:rFonts w:ascii="Arial" w:hAnsi="Arial" w:hint="default"/>
      </w:rPr>
    </w:lvl>
    <w:lvl w:ilvl="7" w:tplc="26A261D4" w:tentative="1">
      <w:start w:val="1"/>
      <w:numFmt w:val="bullet"/>
      <w:lvlText w:val="•"/>
      <w:lvlJc w:val="left"/>
      <w:pPr>
        <w:tabs>
          <w:tab w:val="num" w:pos="5760"/>
        </w:tabs>
        <w:ind w:left="5760" w:hanging="360"/>
      </w:pPr>
      <w:rPr>
        <w:rFonts w:ascii="Arial" w:hAnsi="Arial" w:hint="default"/>
      </w:rPr>
    </w:lvl>
    <w:lvl w:ilvl="8" w:tplc="78CEF5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737BFA"/>
    <w:multiLevelType w:val="hybridMultilevel"/>
    <w:tmpl w:val="A8928742"/>
    <w:lvl w:ilvl="0" w:tplc="64E4F530">
      <w:start w:val="1"/>
      <w:numFmt w:val="decimal"/>
      <w:lvlText w:val="%1."/>
      <w:lvlJc w:val="left"/>
      <w:pPr>
        <w:ind w:left="720" w:hanging="360"/>
      </w:pPr>
      <w:rPr>
        <w:rFonts w:ascii="Arial" w:hAnsi="Arial" w:cs="Arial" w:hint="default"/>
      </w:rPr>
    </w:lvl>
    <w:lvl w:ilvl="1" w:tplc="0C4AB5EA">
      <w:start w:val="1"/>
      <w:numFmt w:val="lowerLetter"/>
      <w:lvlText w:val="%2."/>
      <w:lvlJc w:val="left"/>
      <w:pPr>
        <w:ind w:left="1440" w:hanging="360"/>
      </w:pPr>
    </w:lvl>
    <w:lvl w:ilvl="2" w:tplc="7BBC5D4E">
      <w:start w:val="1"/>
      <w:numFmt w:val="lowerRoman"/>
      <w:lvlText w:val="%3."/>
      <w:lvlJc w:val="right"/>
      <w:pPr>
        <w:ind w:left="2160" w:hanging="180"/>
      </w:pPr>
    </w:lvl>
    <w:lvl w:ilvl="3" w:tplc="132276A2">
      <w:start w:val="1"/>
      <w:numFmt w:val="decimal"/>
      <w:lvlText w:val="%4."/>
      <w:lvlJc w:val="left"/>
      <w:pPr>
        <w:ind w:left="2880" w:hanging="360"/>
      </w:pPr>
    </w:lvl>
    <w:lvl w:ilvl="4" w:tplc="88A0C6C0">
      <w:start w:val="1"/>
      <w:numFmt w:val="lowerLetter"/>
      <w:lvlText w:val="%5."/>
      <w:lvlJc w:val="left"/>
      <w:pPr>
        <w:ind w:left="3600" w:hanging="360"/>
      </w:pPr>
    </w:lvl>
    <w:lvl w:ilvl="5" w:tplc="384E5522">
      <w:start w:val="1"/>
      <w:numFmt w:val="lowerRoman"/>
      <w:lvlText w:val="%6."/>
      <w:lvlJc w:val="right"/>
      <w:pPr>
        <w:ind w:left="4320" w:hanging="180"/>
      </w:pPr>
    </w:lvl>
    <w:lvl w:ilvl="6" w:tplc="7EA4F48E">
      <w:start w:val="1"/>
      <w:numFmt w:val="decimal"/>
      <w:lvlText w:val="%7."/>
      <w:lvlJc w:val="left"/>
      <w:pPr>
        <w:ind w:left="5040" w:hanging="360"/>
      </w:pPr>
    </w:lvl>
    <w:lvl w:ilvl="7" w:tplc="AA3E7B5A">
      <w:start w:val="1"/>
      <w:numFmt w:val="lowerLetter"/>
      <w:lvlText w:val="%8."/>
      <w:lvlJc w:val="left"/>
      <w:pPr>
        <w:ind w:left="5760" w:hanging="360"/>
      </w:pPr>
    </w:lvl>
    <w:lvl w:ilvl="8" w:tplc="8B3044E0">
      <w:start w:val="1"/>
      <w:numFmt w:val="lowerRoman"/>
      <w:lvlText w:val="%9."/>
      <w:lvlJc w:val="right"/>
      <w:pPr>
        <w:ind w:left="6480" w:hanging="180"/>
      </w:pPr>
    </w:lvl>
  </w:abstractNum>
  <w:abstractNum w:abstractNumId="18" w15:restartNumberingAfterBreak="0">
    <w:nsid w:val="3D610180"/>
    <w:multiLevelType w:val="hybridMultilevel"/>
    <w:tmpl w:val="8BF0FFF4"/>
    <w:lvl w:ilvl="0" w:tplc="E0AEF022">
      <w:start w:val="1"/>
      <w:numFmt w:val="bullet"/>
      <w:lvlText w:val=""/>
      <w:lvlJc w:val="left"/>
      <w:pPr>
        <w:ind w:left="360" w:hanging="360"/>
      </w:pPr>
      <w:rPr>
        <w:rFonts w:ascii="Symbol" w:hAnsi="Symbol" w:hint="default"/>
      </w:rPr>
    </w:lvl>
    <w:lvl w:ilvl="1" w:tplc="D24403AC">
      <w:start w:val="1"/>
      <w:numFmt w:val="bullet"/>
      <w:lvlText w:val=""/>
      <w:lvlJc w:val="left"/>
      <w:pPr>
        <w:ind w:left="1080" w:hanging="360"/>
      </w:pPr>
      <w:rPr>
        <w:rFonts w:ascii="Symbol" w:hAnsi="Symbol" w:hint="default"/>
      </w:rPr>
    </w:lvl>
    <w:lvl w:ilvl="2" w:tplc="2864081A">
      <w:start w:val="1"/>
      <w:numFmt w:val="bullet"/>
      <w:lvlText w:val=""/>
      <w:lvlJc w:val="left"/>
      <w:pPr>
        <w:ind w:left="1800" w:hanging="360"/>
      </w:pPr>
      <w:rPr>
        <w:rFonts w:ascii="Wingdings" w:hAnsi="Wingdings" w:hint="default"/>
      </w:rPr>
    </w:lvl>
    <w:lvl w:ilvl="3" w:tplc="3690B208">
      <w:start w:val="1"/>
      <w:numFmt w:val="bullet"/>
      <w:lvlText w:val=""/>
      <w:lvlJc w:val="left"/>
      <w:pPr>
        <w:ind w:left="2520" w:hanging="360"/>
      </w:pPr>
      <w:rPr>
        <w:rFonts w:ascii="Symbol" w:hAnsi="Symbol" w:hint="default"/>
      </w:rPr>
    </w:lvl>
    <w:lvl w:ilvl="4" w:tplc="49465C10">
      <w:start w:val="1"/>
      <w:numFmt w:val="bullet"/>
      <w:lvlText w:val="o"/>
      <w:lvlJc w:val="left"/>
      <w:pPr>
        <w:ind w:left="3240" w:hanging="360"/>
      </w:pPr>
      <w:rPr>
        <w:rFonts w:ascii="Courier New" w:hAnsi="Courier New" w:hint="default"/>
      </w:rPr>
    </w:lvl>
    <w:lvl w:ilvl="5" w:tplc="6BA41570">
      <w:start w:val="1"/>
      <w:numFmt w:val="bullet"/>
      <w:lvlText w:val=""/>
      <w:lvlJc w:val="left"/>
      <w:pPr>
        <w:ind w:left="3960" w:hanging="360"/>
      </w:pPr>
      <w:rPr>
        <w:rFonts w:ascii="Wingdings" w:hAnsi="Wingdings" w:hint="default"/>
      </w:rPr>
    </w:lvl>
    <w:lvl w:ilvl="6" w:tplc="DFECF3FC">
      <w:start w:val="1"/>
      <w:numFmt w:val="bullet"/>
      <w:lvlText w:val=""/>
      <w:lvlJc w:val="left"/>
      <w:pPr>
        <w:ind w:left="4680" w:hanging="360"/>
      </w:pPr>
      <w:rPr>
        <w:rFonts w:ascii="Symbol" w:hAnsi="Symbol" w:hint="default"/>
      </w:rPr>
    </w:lvl>
    <w:lvl w:ilvl="7" w:tplc="B93A7AC6">
      <w:start w:val="1"/>
      <w:numFmt w:val="bullet"/>
      <w:lvlText w:val="o"/>
      <w:lvlJc w:val="left"/>
      <w:pPr>
        <w:ind w:left="5400" w:hanging="360"/>
      </w:pPr>
      <w:rPr>
        <w:rFonts w:ascii="Courier New" w:hAnsi="Courier New" w:hint="default"/>
      </w:rPr>
    </w:lvl>
    <w:lvl w:ilvl="8" w:tplc="7EB2EA6C">
      <w:start w:val="1"/>
      <w:numFmt w:val="bullet"/>
      <w:lvlText w:val=""/>
      <w:lvlJc w:val="left"/>
      <w:pPr>
        <w:ind w:left="6120" w:hanging="360"/>
      </w:pPr>
      <w:rPr>
        <w:rFonts w:ascii="Wingdings" w:hAnsi="Wingdings" w:hint="default"/>
      </w:rPr>
    </w:lvl>
  </w:abstractNum>
  <w:abstractNum w:abstractNumId="19" w15:restartNumberingAfterBreak="0">
    <w:nsid w:val="47542AB6"/>
    <w:multiLevelType w:val="hybridMultilevel"/>
    <w:tmpl w:val="7BE46A1A"/>
    <w:lvl w:ilvl="0" w:tplc="04090001">
      <w:start w:val="1"/>
      <w:numFmt w:val="bullet"/>
      <w:lvlText w:val=""/>
      <w:lvlJc w:val="left"/>
      <w:pPr>
        <w:tabs>
          <w:tab w:val="num" w:pos="720"/>
        </w:tabs>
        <w:ind w:left="720" w:hanging="360"/>
      </w:pPr>
      <w:rPr>
        <w:rFonts w:ascii="Symbol" w:hAnsi="Symbol" w:hint="default"/>
      </w:rPr>
    </w:lvl>
    <w:lvl w:ilvl="1" w:tplc="C40EE700">
      <w:start w:val="1579"/>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1350"/>
        </w:tabs>
        <w:ind w:left="1350" w:hanging="360"/>
      </w:pPr>
      <w:rPr>
        <w:rFonts w:ascii="Symbol" w:hAnsi="Symbol" w:hint="default"/>
      </w:rPr>
    </w:lvl>
    <w:lvl w:ilvl="3" w:tplc="B630F44A">
      <w:start w:val="1582"/>
      <w:numFmt w:val="bullet"/>
      <w:lvlText w:val="•"/>
      <w:lvlJc w:val="left"/>
      <w:pPr>
        <w:tabs>
          <w:tab w:val="num" w:pos="2880"/>
        </w:tabs>
        <w:ind w:left="2880" w:hanging="360"/>
      </w:pPr>
      <w:rPr>
        <w:rFonts w:ascii="Arial" w:hAnsi="Arial" w:hint="default"/>
      </w:rPr>
    </w:lvl>
    <w:lvl w:ilvl="4" w:tplc="47424216" w:tentative="1">
      <w:start w:val="1"/>
      <w:numFmt w:val="bullet"/>
      <w:lvlText w:val="•"/>
      <w:lvlJc w:val="left"/>
      <w:pPr>
        <w:tabs>
          <w:tab w:val="num" w:pos="3600"/>
        </w:tabs>
        <w:ind w:left="3600" w:hanging="360"/>
      </w:pPr>
      <w:rPr>
        <w:rFonts w:ascii="Arial" w:hAnsi="Arial" w:hint="default"/>
      </w:rPr>
    </w:lvl>
    <w:lvl w:ilvl="5" w:tplc="DA64D8D4" w:tentative="1">
      <w:start w:val="1"/>
      <w:numFmt w:val="bullet"/>
      <w:lvlText w:val="•"/>
      <w:lvlJc w:val="left"/>
      <w:pPr>
        <w:tabs>
          <w:tab w:val="num" w:pos="4320"/>
        </w:tabs>
        <w:ind w:left="4320" w:hanging="360"/>
      </w:pPr>
      <w:rPr>
        <w:rFonts w:ascii="Arial" w:hAnsi="Arial" w:hint="default"/>
      </w:rPr>
    </w:lvl>
    <w:lvl w:ilvl="6" w:tplc="B4C6A85E" w:tentative="1">
      <w:start w:val="1"/>
      <w:numFmt w:val="bullet"/>
      <w:lvlText w:val="•"/>
      <w:lvlJc w:val="left"/>
      <w:pPr>
        <w:tabs>
          <w:tab w:val="num" w:pos="5040"/>
        </w:tabs>
        <w:ind w:left="5040" w:hanging="360"/>
      </w:pPr>
      <w:rPr>
        <w:rFonts w:ascii="Arial" w:hAnsi="Arial" w:hint="default"/>
      </w:rPr>
    </w:lvl>
    <w:lvl w:ilvl="7" w:tplc="BE9A9294" w:tentative="1">
      <w:start w:val="1"/>
      <w:numFmt w:val="bullet"/>
      <w:lvlText w:val="•"/>
      <w:lvlJc w:val="left"/>
      <w:pPr>
        <w:tabs>
          <w:tab w:val="num" w:pos="5760"/>
        </w:tabs>
        <w:ind w:left="5760" w:hanging="360"/>
      </w:pPr>
      <w:rPr>
        <w:rFonts w:ascii="Arial" w:hAnsi="Arial" w:hint="default"/>
      </w:rPr>
    </w:lvl>
    <w:lvl w:ilvl="8" w:tplc="E23C94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146C9A"/>
    <w:multiLevelType w:val="hybridMultilevel"/>
    <w:tmpl w:val="2A32484C"/>
    <w:lvl w:ilvl="0" w:tplc="0412699E">
      <w:start w:val="1"/>
      <w:numFmt w:val="bullet"/>
      <w:lvlText w:val=""/>
      <w:lvlJc w:val="left"/>
      <w:pPr>
        <w:ind w:left="720" w:hanging="360"/>
      </w:pPr>
      <w:rPr>
        <w:rFonts w:ascii="Symbol" w:hAnsi="Symbol" w:hint="default"/>
      </w:rPr>
    </w:lvl>
    <w:lvl w:ilvl="1" w:tplc="6F6C120A">
      <w:start w:val="1"/>
      <w:numFmt w:val="bullet"/>
      <w:lvlText w:val="o"/>
      <w:lvlJc w:val="left"/>
      <w:pPr>
        <w:ind w:left="1440" w:hanging="360"/>
      </w:pPr>
      <w:rPr>
        <w:rFonts w:ascii="Courier New" w:hAnsi="Courier New" w:hint="default"/>
      </w:rPr>
    </w:lvl>
    <w:lvl w:ilvl="2" w:tplc="7CE87830">
      <w:start w:val="1"/>
      <w:numFmt w:val="bullet"/>
      <w:lvlText w:val=""/>
      <w:lvlJc w:val="left"/>
      <w:pPr>
        <w:ind w:left="2160" w:hanging="360"/>
      </w:pPr>
      <w:rPr>
        <w:rFonts w:ascii="Wingdings" w:hAnsi="Wingdings" w:hint="default"/>
      </w:rPr>
    </w:lvl>
    <w:lvl w:ilvl="3" w:tplc="39CCAB82">
      <w:start w:val="1"/>
      <w:numFmt w:val="bullet"/>
      <w:lvlText w:val=""/>
      <w:lvlJc w:val="left"/>
      <w:pPr>
        <w:ind w:left="2880" w:hanging="360"/>
      </w:pPr>
      <w:rPr>
        <w:rFonts w:ascii="Symbol" w:hAnsi="Symbol" w:hint="default"/>
      </w:rPr>
    </w:lvl>
    <w:lvl w:ilvl="4" w:tplc="0F9068EA">
      <w:start w:val="1"/>
      <w:numFmt w:val="bullet"/>
      <w:lvlText w:val="o"/>
      <w:lvlJc w:val="left"/>
      <w:pPr>
        <w:ind w:left="3600" w:hanging="360"/>
      </w:pPr>
      <w:rPr>
        <w:rFonts w:ascii="Courier New" w:hAnsi="Courier New" w:hint="default"/>
      </w:rPr>
    </w:lvl>
    <w:lvl w:ilvl="5" w:tplc="697E6BE0">
      <w:start w:val="1"/>
      <w:numFmt w:val="bullet"/>
      <w:lvlText w:val=""/>
      <w:lvlJc w:val="left"/>
      <w:pPr>
        <w:ind w:left="4320" w:hanging="360"/>
      </w:pPr>
      <w:rPr>
        <w:rFonts w:ascii="Wingdings" w:hAnsi="Wingdings" w:hint="default"/>
      </w:rPr>
    </w:lvl>
    <w:lvl w:ilvl="6" w:tplc="F464419E">
      <w:start w:val="1"/>
      <w:numFmt w:val="bullet"/>
      <w:lvlText w:val=""/>
      <w:lvlJc w:val="left"/>
      <w:pPr>
        <w:ind w:left="5040" w:hanging="360"/>
      </w:pPr>
      <w:rPr>
        <w:rFonts w:ascii="Symbol" w:hAnsi="Symbol" w:hint="default"/>
      </w:rPr>
    </w:lvl>
    <w:lvl w:ilvl="7" w:tplc="D4E845FC">
      <w:start w:val="1"/>
      <w:numFmt w:val="bullet"/>
      <w:lvlText w:val="o"/>
      <w:lvlJc w:val="left"/>
      <w:pPr>
        <w:ind w:left="5760" w:hanging="360"/>
      </w:pPr>
      <w:rPr>
        <w:rFonts w:ascii="Courier New" w:hAnsi="Courier New" w:hint="default"/>
      </w:rPr>
    </w:lvl>
    <w:lvl w:ilvl="8" w:tplc="2566345A">
      <w:start w:val="1"/>
      <w:numFmt w:val="bullet"/>
      <w:lvlText w:val=""/>
      <w:lvlJc w:val="left"/>
      <w:pPr>
        <w:ind w:left="6480" w:hanging="360"/>
      </w:pPr>
      <w:rPr>
        <w:rFonts w:ascii="Wingdings" w:hAnsi="Wingdings" w:hint="default"/>
      </w:rPr>
    </w:lvl>
  </w:abstractNum>
  <w:abstractNum w:abstractNumId="21" w15:restartNumberingAfterBreak="0">
    <w:nsid w:val="49452E70"/>
    <w:multiLevelType w:val="hybridMultilevel"/>
    <w:tmpl w:val="8836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15A58"/>
    <w:multiLevelType w:val="hybridMultilevel"/>
    <w:tmpl w:val="677C6CA8"/>
    <w:lvl w:ilvl="0" w:tplc="6FA485EA">
      <w:start w:val="1"/>
      <w:numFmt w:val="bullet"/>
      <w:lvlText w:val=""/>
      <w:lvlJc w:val="left"/>
      <w:pPr>
        <w:tabs>
          <w:tab w:val="num" w:pos="720"/>
        </w:tabs>
        <w:ind w:left="720" w:hanging="360"/>
      </w:pPr>
      <w:rPr>
        <w:rFonts w:ascii="Symbol" w:hAnsi="Symbol" w:hint="default"/>
        <w:sz w:val="20"/>
      </w:rPr>
    </w:lvl>
    <w:lvl w:ilvl="1" w:tplc="EFE82BCE" w:tentative="1">
      <w:start w:val="1"/>
      <w:numFmt w:val="bullet"/>
      <w:lvlText w:val="o"/>
      <w:lvlJc w:val="left"/>
      <w:pPr>
        <w:tabs>
          <w:tab w:val="num" w:pos="1440"/>
        </w:tabs>
        <w:ind w:left="1440" w:hanging="360"/>
      </w:pPr>
      <w:rPr>
        <w:rFonts w:ascii="Courier New" w:hAnsi="Courier New" w:hint="default"/>
        <w:sz w:val="20"/>
      </w:rPr>
    </w:lvl>
    <w:lvl w:ilvl="2" w:tplc="0A8042EE" w:tentative="1">
      <w:start w:val="1"/>
      <w:numFmt w:val="bullet"/>
      <w:lvlText w:val=""/>
      <w:lvlJc w:val="left"/>
      <w:pPr>
        <w:tabs>
          <w:tab w:val="num" w:pos="2160"/>
        </w:tabs>
        <w:ind w:left="2160" w:hanging="360"/>
      </w:pPr>
      <w:rPr>
        <w:rFonts w:ascii="Wingdings" w:hAnsi="Wingdings" w:hint="default"/>
        <w:sz w:val="20"/>
      </w:rPr>
    </w:lvl>
    <w:lvl w:ilvl="3" w:tplc="38BC05DA" w:tentative="1">
      <w:start w:val="1"/>
      <w:numFmt w:val="bullet"/>
      <w:lvlText w:val=""/>
      <w:lvlJc w:val="left"/>
      <w:pPr>
        <w:tabs>
          <w:tab w:val="num" w:pos="2880"/>
        </w:tabs>
        <w:ind w:left="2880" w:hanging="360"/>
      </w:pPr>
      <w:rPr>
        <w:rFonts w:ascii="Wingdings" w:hAnsi="Wingdings" w:hint="default"/>
        <w:sz w:val="20"/>
      </w:rPr>
    </w:lvl>
    <w:lvl w:ilvl="4" w:tplc="DA06BC16" w:tentative="1">
      <w:start w:val="1"/>
      <w:numFmt w:val="bullet"/>
      <w:lvlText w:val=""/>
      <w:lvlJc w:val="left"/>
      <w:pPr>
        <w:tabs>
          <w:tab w:val="num" w:pos="3600"/>
        </w:tabs>
        <w:ind w:left="3600" w:hanging="360"/>
      </w:pPr>
      <w:rPr>
        <w:rFonts w:ascii="Wingdings" w:hAnsi="Wingdings" w:hint="default"/>
        <w:sz w:val="20"/>
      </w:rPr>
    </w:lvl>
    <w:lvl w:ilvl="5" w:tplc="177AF16E" w:tentative="1">
      <w:start w:val="1"/>
      <w:numFmt w:val="bullet"/>
      <w:lvlText w:val=""/>
      <w:lvlJc w:val="left"/>
      <w:pPr>
        <w:tabs>
          <w:tab w:val="num" w:pos="4320"/>
        </w:tabs>
        <w:ind w:left="4320" w:hanging="360"/>
      </w:pPr>
      <w:rPr>
        <w:rFonts w:ascii="Wingdings" w:hAnsi="Wingdings" w:hint="default"/>
        <w:sz w:val="20"/>
      </w:rPr>
    </w:lvl>
    <w:lvl w:ilvl="6" w:tplc="B5DEA1E6" w:tentative="1">
      <w:start w:val="1"/>
      <w:numFmt w:val="bullet"/>
      <w:lvlText w:val=""/>
      <w:lvlJc w:val="left"/>
      <w:pPr>
        <w:tabs>
          <w:tab w:val="num" w:pos="5040"/>
        </w:tabs>
        <w:ind w:left="5040" w:hanging="360"/>
      </w:pPr>
      <w:rPr>
        <w:rFonts w:ascii="Wingdings" w:hAnsi="Wingdings" w:hint="default"/>
        <w:sz w:val="20"/>
      </w:rPr>
    </w:lvl>
    <w:lvl w:ilvl="7" w:tplc="A5BCC30A" w:tentative="1">
      <w:start w:val="1"/>
      <w:numFmt w:val="bullet"/>
      <w:lvlText w:val=""/>
      <w:lvlJc w:val="left"/>
      <w:pPr>
        <w:tabs>
          <w:tab w:val="num" w:pos="5760"/>
        </w:tabs>
        <w:ind w:left="5760" w:hanging="360"/>
      </w:pPr>
      <w:rPr>
        <w:rFonts w:ascii="Wingdings" w:hAnsi="Wingdings" w:hint="default"/>
        <w:sz w:val="20"/>
      </w:rPr>
    </w:lvl>
    <w:lvl w:ilvl="8" w:tplc="F7D6746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07B01"/>
    <w:multiLevelType w:val="hybridMultilevel"/>
    <w:tmpl w:val="A470F8D6"/>
    <w:lvl w:ilvl="0" w:tplc="C09A55A4">
      <w:start w:val="1"/>
      <w:numFmt w:val="decimal"/>
      <w:lvlText w:val="%1."/>
      <w:lvlJc w:val="left"/>
      <w:pPr>
        <w:ind w:left="720" w:hanging="360"/>
      </w:pPr>
      <w:rPr>
        <w:rFonts w:ascii="Arial" w:hAnsi="Arial" w:cs="Arial" w:hint="default"/>
      </w:rPr>
    </w:lvl>
    <w:lvl w:ilvl="1" w:tplc="80EEC33E">
      <w:start w:val="1"/>
      <w:numFmt w:val="lowerLetter"/>
      <w:lvlText w:val="%2."/>
      <w:lvlJc w:val="left"/>
      <w:pPr>
        <w:ind w:left="1440" w:hanging="360"/>
      </w:pPr>
    </w:lvl>
    <w:lvl w:ilvl="2" w:tplc="A538F0BC">
      <w:start w:val="1"/>
      <w:numFmt w:val="lowerRoman"/>
      <w:lvlText w:val="%3."/>
      <w:lvlJc w:val="right"/>
      <w:pPr>
        <w:ind w:left="2160" w:hanging="180"/>
      </w:pPr>
    </w:lvl>
    <w:lvl w:ilvl="3" w:tplc="22244990">
      <w:start w:val="1"/>
      <w:numFmt w:val="decimal"/>
      <w:lvlText w:val="%4."/>
      <w:lvlJc w:val="left"/>
      <w:pPr>
        <w:ind w:left="2880" w:hanging="360"/>
      </w:pPr>
    </w:lvl>
    <w:lvl w:ilvl="4" w:tplc="9C423226">
      <w:start w:val="1"/>
      <w:numFmt w:val="lowerLetter"/>
      <w:lvlText w:val="%5."/>
      <w:lvlJc w:val="left"/>
      <w:pPr>
        <w:ind w:left="3600" w:hanging="360"/>
      </w:pPr>
    </w:lvl>
    <w:lvl w:ilvl="5" w:tplc="583C7F54">
      <w:start w:val="1"/>
      <w:numFmt w:val="lowerRoman"/>
      <w:lvlText w:val="%6."/>
      <w:lvlJc w:val="right"/>
      <w:pPr>
        <w:ind w:left="4320" w:hanging="180"/>
      </w:pPr>
    </w:lvl>
    <w:lvl w:ilvl="6" w:tplc="25688980">
      <w:start w:val="1"/>
      <w:numFmt w:val="decimal"/>
      <w:lvlText w:val="%7."/>
      <w:lvlJc w:val="left"/>
      <w:pPr>
        <w:ind w:left="5040" w:hanging="360"/>
      </w:pPr>
    </w:lvl>
    <w:lvl w:ilvl="7" w:tplc="9F785E32">
      <w:start w:val="1"/>
      <w:numFmt w:val="lowerLetter"/>
      <w:lvlText w:val="%8."/>
      <w:lvlJc w:val="left"/>
      <w:pPr>
        <w:ind w:left="5760" w:hanging="360"/>
      </w:pPr>
    </w:lvl>
    <w:lvl w:ilvl="8" w:tplc="28C21DC8">
      <w:start w:val="1"/>
      <w:numFmt w:val="lowerRoman"/>
      <w:lvlText w:val="%9."/>
      <w:lvlJc w:val="right"/>
      <w:pPr>
        <w:ind w:left="6480" w:hanging="180"/>
      </w:pPr>
    </w:lvl>
  </w:abstractNum>
  <w:abstractNum w:abstractNumId="24" w15:restartNumberingAfterBreak="0">
    <w:nsid w:val="567339D6"/>
    <w:multiLevelType w:val="hybridMultilevel"/>
    <w:tmpl w:val="F85A154E"/>
    <w:lvl w:ilvl="0" w:tplc="9F8E70DC">
      <w:start w:val="1"/>
      <w:numFmt w:val="bullet"/>
      <w:lvlText w:val="•"/>
      <w:lvlJc w:val="left"/>
      <w:pPr>
        <w:tabs>
          <w:tab w:val="num" w:pos="360"/>
        </w:tabs>
        <w:ind w:left="360" w:hanging="360"/>
      </w:pPr>
      <w:rPr>
        <w:rFonts w:ascii="Arial" w:hAnsi="Arial" w:hint="default"/>
      </w:rPr>
    </w:lvl>
    <w:lvl w:ilvl="1" w:tplc="21A89814" w:tentative="1">
      <w:start w:val="1"/>
      <w:numFmt w:val="bullet"/>
      <w:lvlText w:val="•"/>
      <w:lvlJc w:val="left"/>
      <w:pPr>
        <w:tabs>
          <w:tab w:val="num" w:pos="1080"/>
        </w:tabs>
        <w:ind w:left="1080" w:hanging="360"/>
      </w:pPr>
      <w:rPr>
        <w:rFonts w:ascii="Arial" w:hAnsi="Arial" w:hint="default"/>
      </w:rPr>
    </w:lvl>
    <w:lvl w:ilvl="2" w:tplc="A036E024" w:tentative="1">
      <w:start w:val="1"/>
      <w:numFmt w:val="bullet"/>
      <w:lvlText w:val="•"/>
      <w:lvlJc w:val="left"/>
      <w:pPr>
        <w:tabs>
          <w:tab w:val="num" w:pos="1800"/>
        </w:tabs>
        <w:ind w:left="1800" w:hanging="360"/>
      </w:pPr>
      <w:rPr>
        <w:rFonts w:ascii="Arial" w:hAnsi="Arial" w:hint="default"/>
      </w:rPr>
    </w:lvl>
    <w:lvl w:ilvl="3" w:tplc="5BF09344" w:tentative="1">
      <w:start w:val="1"/>
      <w:numFmt w:val="bullet"/>
      <w:lvlText w:val="•"/>
      <w:lvlJc w:val="left"/>
      <w:pPr>
        <w:tabs>
          <w:tab w:val="num" w:pos="2520"/>
        </w:tabs>
        <w:ind w:left="2520" w:hanging="360"/>
      </w:pPr>
      <w:rPr>
        <w:rFonts w:ascii="Arial" w:hAnsi="Arial" w:hint="default"/>
      </w:rPr>
    </w:lvl>
    <w:lvl w:ilvl="4" w:tplc="1708FA72" w:tentative="1">
      <w:start w:val="1"/>
      <w:numFmt w:val="bullet"/>
      <w:lvlText w:val="•"/>
      <w:lvlJc w:val="left"/>
      <w:pPr>
        <w:tabs>
          <w:tab w:val="num" w:pos="3240"/>
        </w:tabs>
        <w:ind w:left="3240" w:hanging="360"/>
      </w:pPr>
      <w:rPr>
        <w:rFonts w:ascii="Arial" w:hAnsi="Arial" w:hint="default"/>
      </w:rPr>
    </w:lvl>
    <w:lvl w:ilvl="5" w:tplc="91480EF0" w:tentative="1">
      <w:start w:val="1"/>
      <w:numFmt w:val="bullet"/>
      <w:lvlText w:val="•"/>
      <w:lvlJc w:val="left"/>
      <w:pPr>
        <w:tabs>
          <w:tab w:val="num" w:pos="3960"/>
        </w:tabs>
        <w:ind w:left="3960" w:hanging="360"/>
      </w:pPr>
      <w:rPr>
        <w:rFonts w:ascii="Arial" w:hAnsi="Arial" w:hint="default"/>
      </w:rPr>
    </w:lvl>
    <w:lvl w:ilvl="6" w:tplc="55E46E08" w:tentative="1">
      <w:start w:val="1"/>
      <w:numFmt w:val="bullet"/>
      <w:lvlText w:val="•"/>
      <w:lvlJc w:val="left"/>
      <w:pPr>
        <w:tabs>
          <w:tab w:val="num" w:pos="4680"/>
        </w:tabs>
        <w:ind w:left="4680" w:hanging="360"/>
      </w:pPr>
      <w:rPr>
        <w:rFonts w:ascii="Arial" w:hAnsi="Arial" w:hint="default"/>
      </w:rPr>
    </w:lvl>
    <w:lvl w:ilvl="7" w:tplc="B74A4548" w:tentative="1">
      <w:start w:val="1"/>
      <w:numFmt w:val="bullet"/>
      <w:lvlText w:val="•"/>
      <w:lvlJc w:val="left"/>
      <w:pPr>
        <w:tabs>
          <w:tab w:val="num" w:pos="5400"/>
        </w:tabs>
        <w:ind w:left="5400" w:hanging="360"/>
      </w:pPr>
      <w:rPr>
        <w:rFonts w:ascii="Arial" w:hAnsi="Arial" w:hint="default"/>
      </w:rPr>
    </w:lvl>
    <w:lvl w:ilvl="8" w:tplc="5800551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68C0F26"/>
    <w:multiLevelType w:val="hybridMultilevel"/>
    <w:tmpl w:val="D534C9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6BD4C75"/>
    <w:multiLevelType w:val="hybridMultilevel"/>
    <w:tmpl w:val="C2A0197C"/>
    <w:lvl w:ilvl="0" w:tplc="0AFE2B7A">
      <w:start w:val="1"/>
      <w:numFmt w:val="bullet"/>
      <w:lvlText w:val=""/>
      <w:lvlJc w:val="left"/>
      <w:pPr>
        <w:ind w:left="720" w:hanging="360"/>
      </w:pPr>
      <w:rPr>
        <w:rFonts w:ascii="Symbol" w:hAnsi="Symbol" w:hint="default"/>
      </w:rPr>
    </w:lvl>
    <w:lvl w:ilvl="1" w:tplc="69C07CAE">
      <w:start w:val="1"/>
      <w:numFmt w:val="bullet"/>
      <w:lvlText w:val="o"/>
      <w:lvlJc w:val="left"/>
      <w:pPr>
        <w:ind w:left="1440" w:hanging="360"/>
      </w:pPr>
      <w:rPr>
        <w:rFonts w:ascii="Courier New" w:hAnsi="Courier New" w:hint="default"/>
      </w:rPr>
    </w:lvl>
    <w:lvl w:ilvl="2" w:tplc="81423C24">
      <w:start w:val="1"/>
      <w:numFmt w:val="bullet"/>
      <w:lvlText w:val=""/>
      <w:lvlJc w:val="left"/>
      <w:pPr>
        <w:ind w:left="2160" w:hanging="360"/>
      </w:pPr>
      <w:rPr>
        <w:rFonts w:ascii="Wingdings" w:hAnsi="Wingdings" w:hint="default"/>
      </w:rPr>
    </w:lvl>
    <w:lvl w:ilvl="3" w:tplc="BA748F30">
      <w:start w:val="1"/>
      <w:numFmt w:val="bullet"/>
      <w:lvlText w:val=""/>
      <w:lvlJc w:val="left"/>
      <w:pPr>
        <w:ind w:left="2880" w:hanging="360"/>
      </w:pPr>
      <w:rPr>
        <w:rFonts w:ascii="Symbol" w:hAnsi="Symbol" w:hint="default"/>
      </w:rPr>
    </w:lvl>
    <w:lvl w:ilvl="4" w:tplc="CA607884">
      <w:start w:val="1"/>
      <w:numFmt w:val="bullet"/>
      <w:lvlText w:val="o"/>
      <w:lvlJc w:val="left"/>
      <w:pPr>
        <w:ind w:left="3600" w:hanging="360"/>
      </w:pPr>
      <w:rPr>
        <w:rFonts w:ascii="Courier New" w:hAnsi="Courier New" w:hint="default"/>
      </w:rPr>
    </w:lvl>
    <w:lvl w:ilvl="5" w:tplc="02ACB88E">
      <w:start w:val="1"/>
      <w:numFmt w:val="bullet"/>
      <w:lvlText w:val=""/>
      <w:lvlJc w:val="left"/>
      <w:pPr>
        <w:ind w:left="4320" w:hanging="360"/>
      </w:pPr>
      <w:rPr>
        <w:rFonts w:ascii="Wingdings" w:hAnsi="Wingdings" w:hint="default"/>
      </w:rPr>
    </w:lvl>
    <w:lvl w:ilvl="6" w:tplc="A6AA6E46">
      <w:start w:val="1"/>
      <w:numFmt w:val="bullet"/>
      <w:lvlText w:val=""/>
      <w:lvlJc w:val="left"/>
      <w:pPr>
        <w:ind w:left="5040" w:hanging="360"/>
      </w:pPr>
      <w:rPr>
        <w:rFonts w:ascii="Symbol" w:hAnsi="Symbol" w:hint="default"/>
      </w:rPr>
    </w:lvl>
    <w:lvl w:ilvl="7" w:tplc="F16ED0BA">
      <w:start w:val="1"/>
      <w:numFmt w:val="bullet"/>
      <w:lvlText w:val="o"/>
      <w:lvlJc w:val="left"/>
      <w:pPr>
        <w:ind w:left="5760" w:hanging="360"/>
      </w:pPr>
      <w:rPr>
        <w:rFonts w:ascii="Courier New" w:hAnsi="Courier New" w:hint="default"/>
      </w:rPr>
    </w:lvl>
    <w:lvl w:ilvl="8" w:tplc="E8E2A2AA">
      <w:start w:val="1"/>
      <w:numFmt w:val="bullet"/>
      <w:lvlText w:val=""/>
      <w:lvlJc w:val="left"/>
      <w:pPr>
        <w:ind w:left="6480" w:hanging="360"/>
      </w:pPr>
      <w:rPr>
        <w:rFonts w:ascii="Wingdings" w:hAnsi="Wingdings" w:hint="default"/>
      </w:rPr>
    </w:lvl>
  </w:abstractNum>
  <w:abstractNum w:abstractNumId="27" w15:restartNumberingAfterBreak="0">
    <w:nsid w:val="59391FF1"/>
    <w:multiLevelType w:val="hybridMultilevel"/>
    <w:tmpl w:val="AA30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533640"/>
    <w:multiLevelType w:val="hybridMultilevel"/>
    <w:tmpl w:val="E38AC1B2"/>
    <w:lvl w:ilvl="0" w:tplc="4AF2B1D4">
      <w:start w:val="1"/>
      <w:numFmt w:val="bullet"/>
      <w:lvlText w:val=""/>
      <w:lvlJc w:val="left"/>
      <w:pPr>
        <w:ind w:left="720" w:hanging="360"/>
      </w:pPr>
      <w:rPr>
        <w:rFonts w:ascii="Symbol" w:hAnsi="Symbol" w:hint="default"/>
      </w:rPr>
    </w:lvl>
    <w:lvl w:ilvl="1" w:tplc="8F6C95CC">
      <w:start w:val="1"/>
      <w:numFmt w:val="bullet"/>
      <w:lvlText w:val="o"/>
      <w:lvlJc w:val="left"/>
      <w:pPr>
        <w:ind w:left="1440" w:hanging="360"/>
      </w:pPr>
      <w:rPr>
        <w:rFonts w:ascii="Courier New" w:hAnsi="Courier New" w:hint="default"/>
      </w:rPr>
    </w:lvl>
    <w:lvl w:ilvl="2" w:tplc="4E8CC490">
      <w:start w:val="1"/>
      <w:numFmt w:val="bullet"/>
      <w:lvlText w:val=""/>
      <w:lvlJc w:val="left"/>
      <w:pPr>
        <w:ind w:left="2160" w:hanging="360"/>
      </w:pPr>
      <w:rPr>
        <w:rFonts w:ascii="Wingdings" w:hAnsi="Wingdings" w:hint="default"/>
      </w:rPr>
    </w:lvl>
    <w:lvl w:ilvl="3" w:tplc="655A8640">
      <w:start w:val="1"/>
      <w:numFmt w:val="bullet"/>
      <w:lvlText w:val=""/>
      <w:lvlJc w:val="left"/>
      <w:pPr>
        <w:ind w:left="2880" w:hanging="360"/>
      </w:pPr>
      <w:rPr>
        <w:rFonts w:ascii="Symbol" w:hAnsi="Symbol" w:hint="default"/>
      </w:rPr>
    </w:lvl>
    <w:lvl w:ilvl="4" w:tplc="BE5C460C">
      <w:start w:val="1"/>
      <w:numFmt w:val="bullet"/>
      <w:lvlText w:val="o"/>
      <w:lvlJc w:val="left"/>
      <w:pPr>
        <w:ind w:left="3600" w:hanging="360"/>
      </w:pPr>
      <w:rPr>
        <w:rFonts w:ascii="Courier New" w:hAnsi="Courier New" w:hint="default"/>
      </w:rPr>
    </w:lvl>
    <w:lvl w:ilvl="5" w:tplc="ADCABD08">
      <w:start w:val="1"/>
      <w:numFmt w:val="bullet"/>
      <w:lvlText w:val=""/>
      <w:lvlJc w:val="left"/>
      <w:pPr>
        <w:ind w:left="4320" w:hanging="360"/>
      </w:pPr>
      <w:rPr>
        <w:rFonts w:ascii="Wingdings" w:hAnsi="Wingdings" w:hint="default"/>
      </w:rPr>
    </w:lvl>
    <w:lvl w:ilvl="6" w:tplc="8112FCE0">
      <w:start w:val="1"/>
      <w:numFmt w:val="bullet"/>
      <w:lvlText w:val=""/>
      <w:lvlJc w:val="left"/>
      <w:pPr>
        <w:ind w:left="5040" w:hanging="360"/>
      </w:pPr>
      <w:rPr>
        <w:rFonts w:ascii="Symbol" w:hAnsi="Symbol" w:hint="default"/>
      </w:rPr>
    </w:lvl>
    <w:lvl w:ilvl="7" w:tplc="CFD0138C">
      <w:start w:val="1"/>
      <w:numFmt w:val="bullet"/>
      <w:lvlText w:val="o"/>
      <w:lvlJc w:val="left"/>
      <w:pPr>
        <w:ind w:left="5760" w:hanging="360"/>
      </w:pPr>
      <w:rPr>
        <w:rFonts w:ascii="Courier New" w:hAnsi="Courier New" w:hint="default"/>
      </w:rPr>
    </w:lvl>
    <w:lvl w:ilvl="8" w:tplc="2E780B7E">
      <w:start w:val="1"/>
      <w:numFmt w:val="bullet"/>
      <w:lvlText w:val=""/>
      <w:lvlJc w:val="left"/>
      <w:pPr>
        <w:ind w:left="6480" w:hanging="360"/>
      </w:pPr>
      <w:rPr>
        <w:rFonts w:ascii="Wingdings" w:hAnsi="Wingdings" w:hint="default"/>
      </w:rPr>
    </w:lvl>
  </w:abstractNum>
  <w:abstractNum w:abstractNumId="29" w15:restartNumberingAfterBreak="0">
    <w:nsid w:val="5BB73A14"/>
    <w:multiLevelType w:val="hybridMultilevel"/>
    <w:tmpl w:val="4912C1DE"/>
    <w:lvl w:ilvl="0" w:tplc="7146E8AA">
      <w:start w:val="1"/>
      <w:numFmt w:val="decimal"/>
      <w:lvlText w:val="%1."/>
      <w:lvlJc w:val="left"/>
      <w:pPr>
        <w:ind w:left="720" w:hanging="360"/>
      </w:pPr>
      <w:rPr>
        <w:rFonts w:ascii="Arial" w:eastAsiaTheme="majorEastAsia"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25CD8"/>
    <w:multiLevelType w:val="hybridMultilevel"/>
    <w:tmpl w:val="CD9A01F0"/>
    <w:lvl w:ilvl="0" w:tplc="A49EE19C">
      <w:start w:val="1"/>
      <w:numFmt w:val="decimal"/>
      <w:lvlText w:val="%1."/>
      <w:lvlJc w:val="left"/>
      <w:pPr>
        <w:ind w:left="720" w:hanging="360"/>
      </w:pPr>
      <w:rPr>
        <w:rFonts w:ascii="Arial" w:hAnsi="Arial" w:cs="Arial" w:hint="default"/>
      </w:rPr>
    </w:lvl>
    <w:lvl w:ilvl="1" w:tplc="A68839C8">
      <w:start w:val="1"/>
      <w:numFmt w:val="lowerLetter"/>
      <w:lvlText w:val="%2."/>
      <w:lvlJc w:val="left"/>
      <w:pPr>
        <w:ind w:left="1440" w:hanging="360"/>
      </w:pPr>
    </w:lvl>
    <w:lvl w:ilvl="2" w:tplc="0A827DE0">
      <w:start w:val="1"/>
      <w:numFmt w:val="lowerRoman"/>
      <w:lvlText w:val="%3."/>
      <w:lvlJc w:val="right"/>
      <w:pPr>
        <w:ind w:left="2160" w:hanging="180"/>
      </w:pPr>
    </w:lvl>
    <w:lvl w:ilvl="3" w:tplc="7ACEB71E">
      <w:start w:val="1"/>
      <w:numFmt w:val="decimal"/>
      <w:lvlText w:val="%4."/>
      <w:lvlJc w:val="left"/>
      <w:pPr>
        <w:ind w:left="2880" w:hanging="360"/>
      </w:pPr>
    </w:lvl>
    <w:lvl w:ilvl="4" w:tplc="B19E9E5C">
      <w:start w:val="1"/>
      <w:numFmt w:val="lowerLetter"/>
      <w:lvlText w:val="%5."/>
      <w:lvlJc w:val="left"/>
      <w:pPr>
        <w:ind w:left="3600" w:hanging="360"/>
      </w:pPr>
    </w:lvl>
    <w:lvl w:ilvl="5" w:tplc="AACE48B8">
      <w:start w:val="1"/>
      <w:numFmt w:val="lowerRoman"/>
      <w:lvlText w:val="%6."/>
      <w:lvlJc w:val="right"/>
      <w:pPr>
        <w:ind w:left="4320" w:hanging="180"/>
      </w:pPr>
    </w:lvl>
    <w:lvl w:ilvl="6" w:tplc="11B0F17C">
      <w:start w:val="1"/>
      <w:numFmt w:val="decimal"/>
      <w:lvlText w:val="%7."/>
      <w:lvlJc w:val="left"/>
      <w:pPr>
        <w:ind w:left="5040" w:hanging="360"/>
      </w:pPr>
    </w:lvl>
    <w:lvl w:ilvl="7" w:tplc="B2063384">
      <w:start w:val="1"/>
      <w:numFmt w:val="lowerLetter"/>
      <w:lvlText w:val="%8."/>
      <w:lvlJc w:val="left"/>
      <w:pPr>
        <w:ind w:left="5760" w:hanging="360"/>
      </w:pPr>
    </w:lvl>
    <w:lvl w:ilvl="8" w:tplc="9C829476">
      <w:start w:val="1"/>
      <w:numFmt w:val="lowerRoman"/>
      <w:lvlText w:val="%9."/>
      <w:lvlJc w:val="right"/>
      <w:pPr>
        <w:ind w:left="6480" w:hanging="180"/>
      </w:pPr>
    </w:lvl>
  </w:abstractNum>
  <w:abstractNum w:abstractNumId="31" w15:restartNumberingAfterBreak="0">
    <w:nsid w:val="62B16B3F"/>
    <w:multiLevelType w:val="hybridMultilevel"/>
    <w:tmpl w:val="5E567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3B27C0"/>
    <w:multiLevelType w:val="hybridMultilevel"/>
    <w:tmpl w:val="78B4FC46"/>
    <w:lvl w:ilvl="0" w:tplc="C80E4AFC">
      <w:start w:val="1"/>
      <w:numFmt w:val="bullet"/>
      <w:lvlText w:val=""/>
      <w:lvlJc w:val="left"/>
      <w:pPr>
        <w:ind w:left="360" w:hanging="360"/>
      </w:pPr>
      <w:rPr>
        <w:rFonts w:ascii="Symbol" w:hAnsi="Symbol" w:hint="default"/>
      </w:rPr>
    </w:lvl>
    <w:lvl w:ilvl="1" w:tplc="FEEC636C">
      <w:start w:val="1"/>
      <w:numFmt w:val="bullet"/>
      <w:lvlText w:val="o"/>
      <w:lvlJc w:val="left"/>
      <w:pPr>
        <w:ind w:left="1080" w:hanging="360"/>
      </w:pPr>
      <w:rPr>
        <w:rFonts w:ascii="Courier New" w:hAnsi="Courier New" w:hint="default"/>
      </w:rPr>
    </w:lvl>
    <w:lvl w:ilvl="2" w:tplc="BE0ED4A2">
      <w:start w:val="1"/>
      <w:numFmt w:val="bullet"/>
      <w:lvlText w:val=""/>
      <w:lvlJc w:val="left"/>
      <w:pPr>
        <w:ind w:left="1800" w:hanging="360"/>
      </w:pPr>
      <w:rPr>
        <w:rFonts w:ascii="Wingdings" w:hAnsi="Wingdings" w:hint="default"/>
      </w:rPr>
    </w:lvl>
    <w:lvl w:ilvl="3" w:tplc="E092D14C">
      <w:start w:val="1"/>
      <w:numFmt w:val="bullet"/>
      <w:lvlText w:val=""/>
      <w:lvlJc w:val="left"/>
      <w:pPr>
        <w:ind w:left="2520" w:hanging="360"/>
      </w:pPr>
      <w:rPr>
        <w:rFonts w:ascii="Symbol" w:hAnsi="Symbol" w:hint="default"/>
      </w:rPr>
    </w:lvl>
    <w:lvl w:ilvl="4" w:tplc="DD3E2DCE">
      <w:start w:val="1"/>
      <w:numFmt w:val="bullet"/>
      <w:lvlText w:val="o"/>
      <w:lvlJc w:val="left"/>
      <w:pPr>
        <w:ind w:left="3240" w:hanging="360"/>
      </w:pPr>
      <w:rPr>
        <w:rFonts w:ascii="Courier New" w:hAnsi="Courier New" w:hint="default"/>
      </w:rPr>
    </w:lvl>
    <w:lvl w:ilvl="5" w:tplc="A65469C8">
      <w:start w:val="1"/>
      <w:numFmt w:val="bullet"/>
      <w:lvlText w:val=""/>
      <w:lvlJc w:val="left"/>
      <w:pPr>
        <w:ind w:left="3960" w:hanging="360"/>
      </w:pPr>
      <w:rPr>
        <w:rFonts w:ascii="Wingdings" w:hAnsi="Wingdings" w:hint="default"/>
      </w:rPr>
    </w:lvl>
    <w:lvl w:ilvl="6" w:tplc="819EF5DC">
      <w:start w:val="1"/>
      <w:numFmt w:val="bullet"/>
      <w:lvlText w:val=""/>
      <w:lvlJc w:val="left"/>
      <w:pPr>
        <w:ind w:left="4680" w:hanging="360"/>
      </w:pPr>
      <w:rPr>
        <w:rFonts w:ascii="Symbol" w:hAnsi="Symbol" w:hint="default"/>
      </w:rPr>
    </w:lvl>
    <w:lvl w:ilvl="7" w:tplc="A776C802">
      <w:start w:val="1"/>
      <w:numFmt w:val="bullet"/>
      <w:lvlText w:val="o"/>
      <w:lvlJc w:val="left"/>
      <w:pPr>
        <w:ind w:left="5400" w:hanging="360"/>
      </w:pPr>
      <w:rPr>
        <w:rFonts w:ascii="Courier New" w:hAnsi="Courier New" w:hint="default"/>
      </w:rPr>
    </w:lvl>
    <w:lvl w:ilvl="8" w:tplc="708AB912">
      <w:start w:val="1"/>
      <w:numFmt w:val="bullet"/>
      <w:lvlText w:val=""/>
      <w:lvlJc w:val="left"/>
      <w:pPr>
        <w:ind w:left="6120" w:hanging="360"/>
      </w:pPr>
      <w:rPr>
        <w:rFonts w:ascii="Wingdings" w:hAnsi="Wingdings" w:hint="default"/>
      </w:rPr>
    </w:lvl>
  </w:abstractNum>
  <w:abstractNum w:abstractNumId="33" w15:restartNumberingAfterBreak="0">
    <w:nsid w:val="63684868"/>
    <w:multiLevelType w:val="hybridMultilevel"/>
    <w:tmpl w:val="04CEA8F8"/>
    <w:lvl w:ilvl="0" w:tplc="C62C28DE">
      <w:start w:val="1"/>
      <w:numFmt w:val="bullet"/>
      <w:lvlText w:val="•"/>
      <w:lvlJc w:val="left"/>
      <w:pPr>
        <w:tabs>
          <w:tab w:val="num" w:pos="720"/>
        </w:tabs>
        <w:ind w:left="720" w:hanging="360"/>
      </w:pPr>
      <w:rPr>
        <w:rFonts w:ascii="Arial" w:hAnsi="Arial" w:hint="default"/>
      </w:rPr>
    </w:lvl>
    <w:lvl w:ilvl="1" w:tplc="2020F3AC">
      <w:start w:val="1"/>
      <w:numFmt w:val="bullet"/>
      <w:lvlText w:val="•"/>
      <w:lvlJc w:val="left"/>
      <w:pPr>
        <w:tabs>
          <w:tab w:val="num" w:pos="1440"/>
        </w:tabs>
        <w:ind w:left="1440" w:hanging="360"/>
      </w:pPr>
      <w:rPr>
        <w:rFonts w:ascii="Arial" w:hAnsi="Arial" w:hint="default"/>
      </w:rPr>
    </w:lvl>
    <w:lvl w:ilvl="2" w:tplc="925EC960">
      <w:start w:val="1"/>
      <w:numFmt w:val="bullet"/>
      <w:lvlText w:val="•"/>
      <w:lvlJc w:val="left"/>
      <w:pPr>
        <w:tabs>
          <w:tab w:val="num" w:pos="2160"/>
        </w:tabs>
        <w:ind w:left="2160" w:hanging="360"/>
      </w:pPr>
      <w:rPr>
        <w:rFonts w:ascii="Arial" w:hAnsi="Arial" w:hint="default"/>
      </w:rPr>
    </w:lvl>
    <w:lvl w:ilvl="3" w:tplc="DE26E64C">
      <w:start w:val="1"/>
      <w:numFmt w:val="bullet"/>
      <w:lvlText w:val="•"/>
      <w:lvlJc w:val="left"/>
      <w:pPr>
        <w:tabs>
          <w:tab w:val="num" w:pos="2880"/>
        </w:tabs>
        <w:ind w:left="2880" w:hanging="360"/>
      </w:pPr>
      <w:rPr>
        <w:rFonts w:ascii="Arial" w:hAnsi="Arial" w:hint="default"/>
      </w:rPr>
    </w:lvl>
    <w:lvl w:ilvl="4" w:tplc="81C4A62E" w:tentative="1">
      <w:start w:val="1"/>
      <w:numFmt w:val="bullet"/>
      <w:lvlText w:val="•"/>
      <w:lvlJc w:val="left"/>
      <w:pPr>
        <w:tabs>
          <w:tab w:val="num" w:pos="3600"/>
        </w:tabs>
        <w:ind w:left="3600" w:hanging="360"/>
      </w:pPr>
      <w:rPr>
        <w:rFonts w:ascii="Arial" w:hAnsi="Arial" w:hint="default"/>
      </w:rPr>
    </w:lvl>
    <w:lvl w:ilvl="5" w:tplc="D41019FC" w:tentative="1">
      <w:start w:val="1"/>
      <w:numFmt w:val="bullet"/>
      <w:lvlText w:val="•"/>
      <w:lvlJc w:val="left"/>
      <w:pPr>
        <w:tabs>
          <w:tab w:val="num" w:pos="4320"/>
        </w:tabs>
        <w:ind w:left="4320" w:hanging="360"/>
      </w:pPr>
      <w:rPr>
        <w:rFonts w:ascii="Arial" w:hAnsi="Arial" w:hint="default"/>
      </w:rPr>
    </w:lvl>
    <w:lvl w:ilvl="6" w:tplc="5D840D02" w:tentative="1">
      <w:start w:val="1"/>
      <w:numFmt w:val="bullet"/>
      <w:lvlText w:val="•"/>
      <w:lvlJc w:val="left"/>
      <w:pPr>
        <w:tabs>
          <w:tab w:val="num" w:pos="5040"/>
        </w:tabs>
        <w:ind w:left="5040" w:hanging="360"/>
      </w:pPr>
      <w:rPr>
        <w:rFonts w:ascii="Arial" w:hAnsi="Arial" w:hint="default"/>
      </w:rPr>
    </w:lvl>
    <w:lvl w:ilvl="7" w:tplc="61880A68" w:tentative="1">
      <w:start w:val="1"/>
      <w:numFmt w:val="bullet"/>
      <w:lvlText w:val="•"/>
      <w:lvlJc w:val="left"/>
      <w:pPr>
        <w:tabs>
          <w:tab w:val="num" w:pos="5760"/>
        </w:tabs>
        <w:ind w:left="5760" w:hanging="360"/>
      </w:pPr>
      <w:rPr>
        <w:rFonts w:ascii="Arial" w:hAnsi="Arial" w:hint="default"/>
      </w:rPr>
    </w:lvl>
    <w:lvl w:ilvl="8" w:tplc="B0C608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7E6984"/>
    <w:multiLevelType w:val="hybridMultilevel"/>
    <w:tmpl w:val="83200566"/>
    <w:lvl w:ilvl="0" w:tplc="04090001">
      <w:start w:val="1"/>
      <w:numFmt w:val="bullet"/>
      <w:lvlText w:val=""/>
      <w:lvlJc w:val="left"/>
      <w:pPr>
        <w:ind w:left="3311" w:hanging="360"/>
      </w:pPr>
      <w:rPr>
        <w:rFonts w:ascii="Symbol" w:hAnsi="Symbol" w:hint="default"/>
      </w:rPr>
    </w:lvl>
    <w:lvl w:ilvl="1" w:tplc="04090003" w:tentative="1">
      <w:start w:val="1"/>
      <w:numFmt w:val="bullet"/>
      <w:lvlText w:val="o"/>
      <w:lvlJc w:val="left"/>
      <w:pPr>
        <w:ind w:left="4031" w:hanging="360"/>
      </w:pPr>
      <w:rPr>
        <w:rFonts w:ascii="Courier New" w:hAnsi="Courier New" w:cs="Courier New" w:hint="default"/>
      </w:rPr>
    </w:lvl>
    <w:lvl w:ilvl="2" w:tplc="04090005" w:tentative="1">
      <w:start w:val="1"/>
      <w:numFmt w:val="bullet"/>
      <w:lvlText w:val=""/>
      <w:lvlJc w:val="left"/>
      <w:pPr>
        <w:ind w:left="4751" w:hanging="360"/>
      </w:pPr>
      <w:rPr>
        <w:rFonts w:ascii="Wingdings" w:hAnsi="Wingdings" w:hint="default"/>
      </w:rPr>
    </w:lvl>
    <w:lvl w:ilvl="3" w:tplc="04090001" w:tentative="1">
      <w:start w:val="1"/>
      <w:numFmt w:val="bullet"/>
      <w:lvlText w:val=""/>
      <w:lvlJc w:val="left"/>
      <w:pPr>
        <w:ind w:left="5471" w:hanging="360"/>
      </w:pPr>
      <w:rPr>
        <w:rFonts w:ascii="Symbol" w:hAnsi="Symbol" w:hint="default"/>
      </w:rPr>
    </w:lvl>
    <w:lvl w:ilvl="4" w:tplc="04090003" w:tentative="1">
      <w:start w:val="1"/>
      <w:numFmt w:val="bullet"/>
      <w:lvlText w:val="o"/>
      <w:lvlJc w:val="left"/>
      <w:pPr>
        <w:ind w:left="6191" w:hanging="360"/>
      </w:pPr>
      <w:rPr>
        <w:rFonts w:ascii="Courier New" w:hAnsi="Courier New" w:cs="Courier New" w:hint="default"/>
      </w:rPr>
    </w:lvl>
    <w:lvl w:ilvl="5" w:tplc="04090005" w:tentative="1">
      <w:start w:val="1"/>
      <w:numFmt w:val="bullet"/>
      <w:lvlText w:val=""/>
      <w:lvlJc w:val="left"/>
      <w:pPr>
        <w:ind w:left="6911" w:hanging="360"/>
      </w:pPr>
      <w:rPr>
        <w:rFonts w:ascii="Wingdings" w:hAnsi="Wingdings" w:hint="default"/>
      </w:rPr>
    </w:lvl>
    <w:lvl w:ilvl="6" w:tplc="04090001" w:tentative="1">
      <w:start w:val="1"/>
      <w:numFmt w:val="bullet"/>
      <w:lvlText w:val=""/>
      <w:lvlJc w:val="left"/>
      <w:pPr>
        <w:ind w:left="7631" w:hanging="360"/>
      </w:pPr>
      <w:rPr>
        <w:rFonts w:ascii="Symbol" w:hAnsi="Symbol" w:hint="default"/>
      </w:rPr>
    </w:lvl>
    <w:lvl w:ilvl="7" w:tplc="04090003" w:tentative="1">
      <w:start w:val="1"/>
      <w:numFmt w:val="bullet"/>
      <w:lvlText w:val="o"/>
      <w:lvlJc w:val="left"/>
      <w:pPr>
        <w:ind w:left="8351" w:hanging="360"/>
      </w:pPr>
      <w:rPr>
        <w:rFonts w:ascii="Courier New" w:hAnsi="Courier New" w:cs="Courier New" w:hint="default"/>
      </w:rPr>
    </w:lvl>
    <w:lvl w:ilvl="8" w:tplc="04090005" w:tentative="1">
      <w:start w:val="1"/>
      <w:numFmt w:val="bullet"/>
      <w:lvlText w:val=""/>
      <w:lvlJc w:val="left"/>
      <w:pPr>
        <w:ind w:left="9071" w:hanging="360"/>
      </w:pPr>
      <w:rPr>
        <w:rFonts w:ascii="Wingdings" w:hAnsi="Wingdings" w:hint="default"/>
      </w:rPr>
    </w:lvl>
  </w:abstractNum>
  <w:abstractNum w:abstractNumId="35" w15:restartNumberingAfterBreak="0">
    <w:nsid w:val="67753706"/>
    <w:multiLevelType w:val="hybridMultilevel"/>
    <w:tmpl w:val="09D6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D2977"/>
    <w:multiLevelType w:val="hybridMultilevel"/>
    <w:tmpl w:val="E468FB8E"/>
    <w:lvl w:ilvl="0" w:tplc="1C9C10BE">
      <w:start w:val="1"/>
      <w:numFmt w:val="decimal"/>
      <w:lvlText w:val="%1."/>
      <w:lvlJc w:val="left"/>
      <w:pPr>
        <w:ind w:left="2160"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7" w15:restartNumberingAfterBreak="0">
    <w:nsid w:val="6C391539"/>
    <w:multiLevelType w:val="hybridMultilevel"/>
    <w:tmpl w:val="E2822860"/>
    <w:lvl w:ilvl="0" w:tplc="40F0B37E">
      <w:start w:val="1"/>
      <w:numFmt w:val="bullet"/>
      <w:lvlText w:val=""/>
      <w:lvlJc w:val="left"/>
      <w:pPr>
        <w:ind w:left="720" w:hanging="360"/>
      </w:pPr>
      <w:rPr>
        <w:rFonts w:ascii="Symbol" w:hAnsi="Symbol" w:hint="default"/>
      </w:rPr>
    </w:lvl>
    <w:lvl w:ilvl="1" w:tplc="90EC4D94">
      <w:start w:val="1"/>
      <w:numFmt w:val="bullet"/>
      <w:lvlText w:val="o"/>
      <w:lvlJc w:val="left"/>
      <w:pPr>
        <w:ind w:left="1440" w:hanging="360"/>
      </w:pPr>
      <w:rPr>
        <w:rFonts w:ascii="Courier New" w:hAnsi="Courier New" w:hint="default"/>
      </w:rPr>
    </w:lvl>
    <w:lvl w:ilvl="2" w:tplc="7BE47EA6">
      <w:start w:val="1"/>
      <w:numFmt w:val="bullet"/>
      <w:lvlText w:val=""/>
      <w:lvlJc w:val="left"/>
      <w:pPr>
        <w:ind w:left="2160" w:hanging="360"/>
      </w:pPr>
      <w:rPr>
        <w:rFonts w:ascii="Wingdings" w:hAnsi="Wingdings" w:hint="default"/>
      </w:rPr>
    </w:lvl>
    <w:lvl w:ilvl="3" w:tplc="38101054">
      <w:start w:val="1"/>
      <w:numFmt w:val="bullet"/>
      <w:lvlText w:val=""/>
      <w:lvlJc w:val="left"/>
      <w:pPr>
        <w:ind w:left="2880" w:hanging="360"/>
      </w:pPr>
      <w:rPr>
        <w:rFonts w:ascii="Symbol" w:hAnsi="Symbol" w:hint="default"/>
      </w:rPr>
    </w:lvl>
    <w:lvl w:ilvl="4" w:tplc="B734C478">
      <w:start w:val="1"/>
      <w:numFmt w:val="bullet"/>
      <w:lvlText w:val="o"/>
      <w:lvlJc w:val="left"/>
      <w:pPr>
        <w:ind w:left="3600" w:hanging="360"/>
      </w:pPr>
      <w:rPr>
        <w:rFonts w:ascii="Courier New" w:hAnsi="Courier New" w:hint="default"/>
      </w:rPr>
    </w:lvl>
    <w:lvl w:ilvl="5" w:tplc="AC4C6968">
      <w:start w:val="1"/>
      <w:numFmt w:val="bullet"/>
      <w:lvlText w:val=""/>
      <w:lvlJc w:val="left"/>
      <w:pPr>
        <w:ind w:left="4320" w:hanging="360"/>
      </w:pPr>
      <w:rPr>
        <w:rFonts w:ascii="Wingdings" w:hAnsi="Wingdings" w:hint="default"/>
      </w:rPr>
    </w:lvl>
    <w:lvl w:ilvl="6" w:tplc="49E67782">
      <w:start w:val="1"/>
      <w:numFmt w:val="bullet"/>
      <w:lvlText w:val=""/>
      <w:lvlJc w:val="left"/>
      <w:pPr>
        <w:ind w:left="5040" w:hanging="360"/>
      </w:pPr>
      <w:rPr>
        <w:rFonts w:ascii="Symbol" w:hAnsi="Symbol" w:hint="default"/>
      </w:rPr>
    </w:lvl>
    <w:lvl w:ilvl="7" w:tplc="3EAA9110">
      <w:start w:val="1"/>
      <w:numFmt w:val="bullet"/>
      <w:lvlText w:val="o"/>
      <w:lvlJc w:val="left"/>
      <w:pPr>
        <w:ind w:left="5760" w:hanging="360"/>
      </w:pPr>
      <w:rPr>
        <w:rFonts w:ascii="Courier New" w:hAnsi="Courier New" w:hint="default"/>
      </w:rPr>
    </w:lvl>
    <w:lvl w:ilvl="8" w:tplc="99328F44">
      <w:start w:val="1"/>
      <w:numFmt w:val="bullet"/>
      <w:lvlText w:val=""/>
      <w:lvlJc w:val="left"/>
      <w:pPr>
        <w:ind w:left="6480" w:hanging="360"/>
      </w:pPr>
      <w:rPr>
        <w:rFonts w:ascii="Wingdings" w:hAnsi="Wingdings" w:hint="default"/>
      </w:rPr>
    </w:lvl>
  </w:abstractNum>
  <w:abstractNum w:abstractNumId="38" w15:restartNumberingAfterBreak="0">
    <w:nsid w:val="728D4D23"/>
    <w:multiLevelType w:val="hybridMultilevel"/>
    <w:tmpl w:val="DC3EE5D8"/>
    <w:lvl w:ilvl="0" w:tplc="4B1CDC48">
      <w:start w:val="1"/>
      <w:numFmt w:val="bullet"/>
      <w:lvlText w:val=""/>
      <w:lvlJc w:val="left"/>
      <w:pPr>
        <w:ind w:left="720" w:hanging="360"/>
      </w:pPr>
      <w:rPr>
        <w:rFonts w:ascii="Symbol" w:hAnsi="Symbol" w:hint="default"/>
      </w:rPr>
    </w:lvl>
    <w:lvl w:ilvl="1" w:tplc="5E00B64E">
      <w:start w:val="1"/>
      <w:numFmt w:val="bullet"/>
      <w:lvlText w:val="o"/>
      <w:lvlJc w:val="left"/>
      <w:pPr>
        <w:ind w:left="1440" w:hanging="360"/>
      </w:pPr>
      <w:rPr>
        <w:rFonts w:ascii="Courier New" w:hAnsi="Courier New" w:hint="default"/>
      </w:rPr>
    </w:lvl>
    <w:lvl w:ilvl="2" w:tplc="732AAA8E">
      <w:start w:val="1"/>
      <w:numFmt w:val="bullet"/>
      <w:lvlText w:val=""/>
      <w:lvlJc w:val="left"/>
      <w:pPr>
        <w:ind w:left="2160" w:hanging="360"/>
      </w:pPr>
      <w:rPr>
        <w:rFonts w:ascii="Wingdings" w:hAnsi="Wingdings" w:hint="default"/>
      </w:rPr>
    </w:lvl>
    <w:lvl w:ilvl="3" w:tplc="8C309872">
      <w:start w:val="1"/>
      <w:numFmt w:val="bullet"/>
      <w:lvlText w:val=""/>
      <w:lvlJc w:val="left"/>
      <w:pPr>
        <w:ind w:left="2880" w:hanging="360"/>
      </w:pPr>
      <w:rPr>
        <w:rFonts w:ascii="Symbol" w:hAnsi="Symbol" w:hint="default"/>
      </w:rPr>
    </w:lvl>
    <w:lvl w:ilvl="4" w:tplc="B3F8D308">
      <w:start w:val="1"/>
      <w:numFmt w:val="bullet"/>
      <w:lvlText w:val="o"/>
      <w:lvlJc w:val="left"/>
      <w:pPr>
        <w:ind w:left="3600" w:hanging="360"/>
      </w:pPr>
      <w:rPr>
        <w:rFonts w:ascii="Courier New" w:hAnsi="Courier New" w:hint="default"/>
      </w:rPr>
    </w:lvl>
    <w:lvl w:ilvl="5" w:tplc="6B38E4A8">
      <w:start w:val="1"/>
      <w:numFmt w:val="bullet"/>
      <w:lvlText w:val=""/>
      <w:lvlJc w:val="left"/>
      <w:pPr>
        <w:ind w:left="4320" w:hanging="360"/>
      </w:pPr>
      <w:rPr>
        <w:rFonts w:ascii="Wingdings" w:hAnsi="Wingdings" w:hint="default"/>
      </w:rPr>
    </w:lvl>
    <w:lvl w:ilvl="6" w:tplc="B0649970">
      <w:start w:val="1"/>
      <w:numFmt w:val="bullet"/>
      <w:lvlText w:val=""/>
      <w:lvlJc w:val="left"/>
      <w:pPr>
        <w:ind w:left="5040" w:hanging="360"/>
      </w:pPr>
      <w:rPr>
        <w:rFonts w:ascii="Symbol" w:hAnsi="Symbol" w:hint="default"/>
      </w:rPr>
    </w:lvl>
    <w:lvl w:ilvl="7" w:tplc="D7E861A0">
      <w:start w:val="1"/>
      <w:numFmt w:val="bullet"/>
      <w:lvlText w:val="o"/>
      <w:lvlJc w:val="left"/>
      <w:pPr>
        <w:ind w:left="5760" w:hanging="360"/>
      </w:pPr>
      <w:rPr>
        <w:rFonts w:ascii="Courier New" w:hAnsi="Courier New" w:hint="default"/>
      </w:rPr>
    </w:lvl>
    <w:lvl w:ilvl="8" w:tplc="98EAE9E4">
      <w:start w:val="1"/>
      <w:numFmt w:val="bullet"/>
      <w:lvlText w:val=""/>
      <w:lvlJc w:val="left"/>
      <w:pPr>
        <w:ind w:left="6480" w:hanging="360"/>
      </w:pPr>
      <w:rPr>
        <w:rFonts w:ascii="Wingdings" w:hAnsi="Wingdings" w:hint="default"/>
      </w:rPr>
    </w:lvl>
  </w:abstractNum>
  <w:abstractNum w:abstractNumId="39" w15:restartNumberingAfterBreak="0">
    <w:nsid w:val="735268A6"/>
    <w:multiLevelType w:val="hybridMultilevel"/>
    <w:tmpl w:val="F222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5686F68"/>
    <w:multiLevelType w:val="hybridMultilevel"/>
    <w:tmpl w:val="6DC20DE4"/>
    <w:lvl w:ilvl="0" w:tplc="31AC01D8">
      <w:start w:val="1"/>
      <w:numFmt w:val="bullet"/>
      <w:lvlText w:val=""/>
      <w:lvlJc w:val="left"/>
      <w:pPr>
        <w:ind w:left="720" w:hanging="360"/>
      </w:pPr>
      <w:rPr>
        <w:rFonts w:ascii="Symbol" w:hAnsi="Symbol" w:hint="default"/>
      </w:rPr>
    </w:lvl>
    <w:lvl w:ilvl="1" w:tplc="FECC8E8C">
      <w:start w:val="1"/>
      <w:numFmt w:val="bullet"/>
      <w:lvlText w:val="o"/>
      <w:lvlJc w:val="left"/>
      <w:pPr>
        <w:ind w:left="1440" w:hanging="360"/>
      </w:pPr>
      <w:rPr>
        <w:rFonts w:ascii="Courier New" w:hAnsi="Courier New" w:hint="default"/>
      </w:rPr>
    </w:lvl>
    <w:lvl w:ilvl="2" w:tplc="39528DEC">
      <w:start w:val="1"/>
      <w:numFmt w:val="bullet"/>
      <w:lvlText w:val=""/>
      <w:lvlJc w:val="left"/>
      <w:pPr>
        <w:ind w:left="2160" w:hanging="360"/>
      </w:pPr>
      <w:rPr>
        <w:rFonts w:ascii="Wingdings" w:hAnsi="Wingdings" w:hint="default"/>
      </w:rPr>
    </w:lvl>
    <w:lvl w:ilvl="3" w:tplc="05A62242">
      <w:start w:val="1"/>
      <w:numFmt w:val="bullet"/>
      <w:lvlText w:val=""/>
      <w:lvlJc w:val="left"/>
      <w:pPr>
        <w:ind w:left="2880" w:hanging="360"/>
      </w:pPr>
      <w:rPr>
        <w:rFonts w:ascii="Symbol" w:hAnsi="Symbol" w:hint="default"/>
      </w:rPr>
    </w:lvl>
    <w:lvl w:ilvl="4" w:tplc="B55C0178">
      <w:start w:val="1"/>
      <w:numFmt w:val="bullet"/>
      <w:lvlText w:val="o"/>
      <w:lvlJc w:val="left"/>
      <w:pPr>
        <w:ind w:left="3600" w:hanging="360"/>
      </w:pPr>
      <w:rPr>
        <w:rFonts w:ascii="Courier New" w:hAnsi="Courier New" w:hint="default"/>
      </w:rPr>
    </w:lvl>
    <w:lvl w:ilvl="5" w:tplc="BACA7A8E">
      <w:start w:val="1"/>
      <w:numFmt w:val="bullet"/>
      <w:lvlText w:val=""/>
      <w:lvlJc w:val="left"/>
      <w:pPr>
        <w:ind w:left="4320" w:hanging="360"/>
      </w:pPr>
      <w:rPr>
        <w:rFonts w:ascii="Wingdings" w:hAnsi="Wingdings" w:hint="default"/>
      </w:rPr>
    </w:lvl>
    <w:lvl w:ilvl="6" w:tplc="30DCCC22">
      <w:start w:val="1"/>
      <w:numFmt w:val="bullet"/>
      <w:lvlText w:val=""/>
      <w:lvlJc w:val="left"/>
      <w:pPr>
        <w:ind w:left="5040" w:hanging="360"/>
      </w:pPr>
      <w:rPr>
        <w:rFonts w:ascii="Symbol" w:hAnsi="Symbol" w:hint="default"/>
      </w:rPr>
    </w:lvl>
    <w:lvl w:ilvl="7" w:tplc="AF2CB6D2">
      <w:start w:val="1"/>
      <w:numFmt w:val="bullet"/>
      <w:lvlText w:val="o"/>
      <w:lvlJc w:val="left"/>
      <w:pPr>
        <w:ind w:left="5760" w:hanging="360"/>
      </w:pPr>
      <w:rPr>
        <w:rFonts w:ascii="Courier New" w:hAnsi="Courier New" w:hint="default"/>
      </w:rPr>
    </w:lvl>
    <w:lvl w:ilvl="8" w:tplc="0C0463DC">
      <w:start w:val="1"/>
      <w:numFmt w:val="bullet"/>
      <w:lvlText w:val=""/>
      <w:lvlJc w:val="left"/>
      <w:pPr>
        <w:ind w:left="6480" w:hanging="360"/>
      </w:pPr>
      <w:rPr>
        <w:rFonts w:ascii="Wingdings" w:hAnsi="Wingdings" w:hint="default"/>
      </w:rPr>
    </w:lvl>
  </w:abstractNum>
  <w:abstractNum w:abstractNumId="41"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01053"/>
    <w:multiLevelType w:val="hybridMultilevel"/>
    <w:tmpl w:val="8C6EFAB0"/>
    <w:lvl w:ilvl="0" w:tplc="D69E0246">
      <w:start w:val="2"/>
      <w:numFmt w:val="decimal"/>
      <w:lvlText w:val="%1."/>
      <w:lvlJc w:val="left"/>
      <w:pPr>
        <w:ind w:left="720" w:hanging="360"/>
      </w:pPr>
      <w:rPr>
        <w:rFonts w:ascii="Arial" w:hAnsi="Arial" w:cs="Arial" w:hint="default"/>
      </w:rPr>
    </w:lvl>
    <w:lvl w:ilvl="1" w:tplc="9418EBE8">
      <w:start w:val="1"/>
      <w:numFmt w:val="lowerLetter"/>
      <w:lvlText w:val="%2."/>
      <w:lvlJc w:val="left"/>
      <w:pPr>
        <w:ind w:left="1440" w:hanging="360"/>
      </w:pPr>
    </w:lvl>
    <w:lvl w:ilvl="2" w:tplc="C38C6D9C">
      <w:start w:val="1"/>
      <w:numFmt w:val="lowerRoman"/>
      <w:lvlText w:val="%3."/>
      <w:lvlJc w:val="right"/>
      <w:pPr>
        <w:ind w:left="2160" w:hanging="180"/>
      </w:pPr>
    </w:lvl>
    <w:lvl w:ilvl="3" w:tplc="58229574">
      <w:start w:val="1"/>
      <w:numFmt w:val="decimal"/>
      <w:lvlText w:val="%4."/>
      <w:lvlJc w:val="left"/>
      <w:pPr>
        <w:ind w:left="2880" w:hanging="360"/>
      </w:pPr>
    </w:lvl>
    <w:lvl w:ilvl="4" w:tplc="16C00CA0">
      <w:start w:val="1"/>
      <w:numFmt w:val="lowerLetter"/>
      <w:lvlText w:val="%5."/>
      <w:lvlJc w:val="left"/>
      <w:pPr>
        <w:ind w:left="3600" w:hanging="360"/>
      </w:pPr>
    </w:lvl>
    <w:lvl w:ilvl="5" w:tplc="A9302458">
      <w:start w:val="1"/>
      <w:numFmt w:val="lowerRoman"/>
      <w:lvlText w:val="%6."/>
      <w:lvlJc w:val="right"/>
      <w:pPr>
        <w:ind w:left="4320" w:hanging="180"/>
      </w:pPr>
    </w:lvl>
    <w:lvl w:ilvl="6" w:tplc="B372BAE6">
      <w:start w:val="1"/>
      <w:numFmt w:val="decimal"/>
      <w:lvlText w:val="%7."/>
      <w:lvlJc w:val="left"/>
      <w:pPr>
        <w:ind w:left="5040" w:hanging="360"/>
      </w:pPr>
    </w:lvl>
    <w:lvl w:ilvl="7" w:tplc="C08AEC5A">
      <w:start w:val="1"/>
      <w:numFmt w:val="lowerLetter"/>
      <w:lvlText w:val="%8."/>
      <w:lvlJc w:val="left"/>
      <w:pPr>
        <w:ind w:left="5760" w:hanging="360"/>
      </w:pPr>
    </w:lvl>
    <w:lvl w:ilvl="8" w:tplc="C4C663F8">
      <w:start w:val="1"/>
      <w:numFmt w:val="lowerRoman"/>
      <w:lvlText w:val="%9."/>
      <w:lvlJc w:val="right"/>
      <w:pPr>
        <w:ind w:left="6480" w:hanging="180"/>
      </w:pPr>
    </w:lvl>
  </w:abstractNum>
  <w:abstractNum w:abstractNumId="43" w15:restartNumberingAfterBreak="0">
    <w:nsid w:val="7E9735A6"/>
    <w:multiLevelType w:val="hybridMultilevel"/>
    <w:tmpl w:val="A54A9A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4" w15:restartNumberingAfterBreak="0">
    <w:nsid w:val="7F774B23"/>
    <w:multiLevelType w:val="hybridMultilevel"/>
    <w:tmpl w:val="978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40"/>
  </w:num>
  <w:num w:numId="2">
    <w:abstractNumId w:val="11"/>
  </w:num>
  <w:num w:numId="3">
    <w:abstractNumId w:val="17"/>
  </w:num>
  <w:num w:numId="4">
    <w:abstractNumId w:val="30"/>
  </w:num>
  <w:num w:numId="5">
    <w:abstractNumId w:val="42"/>
  </w:num>
  <w:num w:numId="6">
    <w:abstractNumId w:val="23"/>
  </w:num>
  <w:num w:numId="7">
    <w:abstractNumId w:val="37"/>
  </w:num>
  <w:num w:numId="8">
    <w:abstractNumId w:val="28"/>
  </w:num>
  <w:num w:numId="9">
    <w:abstractNumId w:val="4"/>
  </w:num>
  <w:num w:numId="10">
    <w:abstractNumId w:val="20"/>
  </w:num>
  <w:num w:numId="11">
    <w:abstractNumId w:val="38"/>
  </w:num>
  <w:num w:numId="12">
    <w:abstractNumId w:val="9"/>
  </w:num>
  <w:num w:numId="13">
    <w:abstractNumId w:val="8"/>
  </w:num>
  <w:num w:numId="14">
    <w:abstractNumId w:val="13"/>
  </w:num>
  <w:num w:numId="15">
    <w:abstractNumId w:val="27"/>
  </w:num>
  <w:num w:numId="16">
    <w:abstractNumId w:val="14"/>
  </w:num>
  <w:num w:numId="17">
    <w:abstractNumId w:val="36"/>
  </w:num>
  <w:num w:numId="18">
    <w:abstractNumId w:val="12"/>
  </w:num>
  <w:num w:numId="19">
    <w:abstractNumId w:val="24"/>
  </w:num>
  <w:num w:numId="20">
    <w:abstractNumId w:val="15"/>
  </w:num>
  <w:num w:numId="21">
    <w:abstractNumId w:val="18"/>
  </w:num>
  <w:num w:numId="22">
    <w:abstractNumId w:val="3"/>
  </w:num>
  <w:num w:numId="23">
    <w:abstractNumId w:val="1"/>
  </w:num>
  <w:num w:numId="24">
    <w:abstractNumId w:val="10"/>
  </w:num>
  <w:num w:numId="25">
    <w:abstractNumId w:val="41"/>
  </w:num>
  <w:num w:numId="26">
    <w:abstractNumId w:val="22"/>
  </w:num>
  <w:num w:numId="27">
    <w:abstractNumId w:val="5"/>
  </w:num>
  <w:num w:numId="28">
    <w:abstractNumId w:val="26"/>
  </w:num>
  <w:num w:numId="29">
    <w:abstractNumId w:val="32"/>
  </w:num>
  <w:num w:numId="30">
    <w:abstractNumId w:val="19"/>
  </w:num>
  <w:num w:numId="31">
    <w:abstractNumId w:val="0"/>
  </w:num>
  <w:num w:numId="32">
    <w:abstractNumId w:val="7"/>
  </w:num>
  <w:num w:numId="33">
    <w:abstractNumId w:val="39"/>
  </w:num>
  <w:num w:numId="34">
    <w:abstractNumId w:val="43"/>
  </w:num>
  <w:num w:numId="35">
    <w:abstractNumId w:val="44"/>
  </w:num>
  <w:num w:numId="36">
    <w:abstractNumId w:val="35"/>
  </w:num>
  <w:num w:numId="37">
    <w:abstractNumId w:val="34"/>
  </w:num>
  <w:num w:numId="38">
    <w:abstractNumId w:val="21"/>
  </w:num>
  <w:num w:numId="39">
    <w:abstractNumId w:val="33"/>
  </w:num>
  <w:num w:numId="40">
    <w:abstractNumId w:val="31"/>
  </w:num>
  <w:num w:numId="41">
    <w:abstractNumId w:val="2"/>
  </w:num>
  <w:num w:numId="42">
    <w:abstractNumId w:val="16"/>
  </w:num>
  <w:num w:numId="43">
    <w:abstractNumId w:val="29"/>
  </w:num>
  <w:num w:numId="44">
    <w:abstractNumId w:val="2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69"/>
    <w:rsid w:val="000027CF"/>
    <w:rsid w:val="00004538"/>
    <w:rsid w:val="00007179"/>
    <w:rsid w:val="00015BE5"/>
    <w:rsid w:val="00016768"/>
    <w:rsid w:val="0001679A"/>
    <w:rsid w:val="00017BF6"/>
    <w:rsid w:val="00026802"/>
    <w:rsid w:val="000405B6"/>
    <w:rsid w:val="0004513E"/>
    <w:rsid w:val="00046A72"/>
    <w:rsid w:val="0006688A"/>
    <w:rsid w:val="00071222"/>
    <w:rsid w:val="00071BE1"/>
    <w:rsid w:val="000727BA"/>
    <w:rsid w:val="00081A15"/>
    <w:rsid w:val="0008205F"/>
    <w:rsid w:val="00091B48"/>
    <w:rsid w:val="00094DD0"/>
    <w:rsid w:val="000A587B"/>
    <w:rsid w:val="000B1725"/>
    <w:rsid w:val="000C5E52"/>
    <w:rsid w:val="000D791D"/>
    <w:rsid w:val="000E1A64"/>
    <w:rsid w:val="000E78D8"/>
    <w:rsid w:val="0010716B"/>
    <w:rsid w:val="00111212"/>
    <w:rsid w:val="0011207F"/>
    <w:rsid w:val="00120336"/>
    <w:rsid w:val="001237A5"/>
    <w:rsid w:val="00134DC0"/>
    <w:rsid w:val="0013787F"/>
    <w:rsid w:val="0014168B"/>
    <w:rsid w:val="001430B4"/>
    <w:rsid w:val="0014316C"/>
    <w:rsid w:val="0014674E"/>
    <w:rsid w:val="00160FB1"/>
    <w:rsid w:val="00161C4C"/>
    <w:rsid w:val="00161EEA"/>
    <w:rsid w:val="00164CD6"/>
    <w:rsid w:val="00164F72"/>
    <w:rsid w:val="001747A3"/>
    <w:rsid w:val="00175761"/>
    <w:rsid w:val="00182415"/>
    <w:rsid w:val="00187430"/>
    <w:rsid w:val="001A6D25"/>
    <w:rsid w:val="001A7F69"/>
    <w:rsid w:val="001B0484"/>
    <w:rsid w:val="001B05AD"/>
    <w:rsid w:val="001B51BB"/>
    <w:rsid w:val="001C1B64"/>
    <w:rsid w:val="001C6BCA"/>
    <w:rsid w:val="001C71DB"/>
    <w:rsid w:val="001D0819"/>
    <w:rsid w:val="001D62D3"/>
    <w:rsid w:val="001D7EE4"/>
    <w:rsid w:val="001E0F14"/>
    <w:rsid w:val="001E1A50"/>
    <w:rsid w:val="001F254E"/>
    <w:rsid w:val="001F780B"/>
    <w:rsid w:val="00201EF1"/>
    <w:rsid w:val="002064F4"/>
    <w:rsid w:val="00215E8C"/>
    <w:rsid w:val="00224242"/>
    <w:rsid w:val="00230158"/>
    <w:rsid w:val="00234885"/>
    <w:rsid w:val="0026305B"/>
    <w:rsid w:val="002657E1"/>
    <w:rsid w:val="00274C0C"/>
    <w:rsid w:val="002816CF"/>
    <w:rsid w:val="002824B8"/>
    <w:rsid w:val="00285624"/>
    <w:rsid w:val="0029135C"/>
    <w:rsid w:val="002A289D"/>
    <w:rsid w:val="002A4DFB"/>
    <w:rsid w:val="002A6F88"/>
    <w:rsid w:val="002D4DAF"/>
    <w:rsid w:val="002D5813"/>
    <w:rsid w:val="002D6887"/>
    <w:rsid w:val="002E3ADA"/>
    <w:rsid w:val="002F38C6"/>
    <w:rsid w:val="003015F0"/>
    <w:rsid w:val="00311117"/>
    <w:rsid w:val="00321A69"/>
    <w:rsid w:val="0032517D"/>
    <w:rsid w:val="00336B0F"/>
    <w:rsid w:val="00347907"/>
    <w:rsid w:val="0036695D"/>
    <w:rsid w:val="00370133"/>
    <w:rsid w:val="00372B0A"/>
    <w:rsid w:val="00373E59"/>
    <w:rsid w:val="003800EA"/>
    <w:rsid w:val="00386B3E"/>
    <w:rsid w:val="003931F6"/>
    <w:rsid w:val="003A45AA"/>
    <w:rsid w:val="003A57A3"/>
    <w:rsid w:val="003A6002"/>
    <w:rsid w:val="003B4265"/>
    <w:rsid w:val="003B57AE"/>
    <w:rsid w:val="003B5EB1"/>
    <w:rsid w:val="003C00F7"/>
    <w:rsid w:val="003C2839"/>
    <w:rsid w:val="003C63A8"/>
    <w:rsid w:val="003D02DC"/>
    <w:rsid w:val="003D0696"/>
    <w:rsid w:val="003D2F20"/>
    <w:rsid w:val="003D68A2"/>
    <w:rsid w:val="003E00A3"/>
    <w:rsid w:val="003E31B2"/>
    <w:rsid w:val="003E5313"/>
    <w:rsid w:val="003E54C1"/>
    <w:rsid w:val="003E6DF6"/>
    <w:rsid w:val="003F27B4"/>
    <w:rsid w:val="003F39CE"/>
    <w:rsid w:val="003F508C"/>
    <w:rsid w:val="003F68DB"/>
    <w:rsid w:val="00401488"/>
    <w:rsid w:val="0041538A"/>
    <w:rsid w:val="004174B1"/>
    <w:rsid w:val="00417F75"/>
    <w:rsid w:val="00425CB7"/>
    <w:rsid w:val="00427029"/>
    <w:rsid w:val="004333E2"/>
    <w:rsid w:val="00434D0B"/>
    <w:rsid w:val="00440155"/>
    <w:rsid w:val="0045659B"/>
    <w:rsid w:val="00456AC5"/>
    <w:rsid w:val="00467FB3"/>
    <w:rsid w:val="00473991"/>
    <w:rsid w:val="0047605D"/>
    <w:rsid w:val="00482D2B"/>
    <w:rsid w:val="00491440"/>
    <w:rsid w:val="0049322F"/>
    <w:rsid w:val="004A24E0"/>
    <w:rsid w:val="004A4FFD"/>
    <w:rsid w:val="004A648F"/>
    <w:rsid w:val="004A6613"/>
    <w:rsid w:val="004B34F2"/>
    <w:rsid w:val="004B4F1F"/>
    <w:rsid w:val="004B6AB8"/>
    <w:rsid w:val="004C0045"/>
    <w:rsid w:val="004C3AAA"/>
    <w:rsid w:val="004C5C87"/>
    <w:rsid w:val="004C7830"/>
    <w:rsid w:val="004D4E59"/>
    <w:rsid w:val="004D7647"/>
    <w:rsid w:val="004D78F3"/>
    <w:rsid w:val="004E54F2"/>
    <w:rsid w:val="004E7913"/>
    <w:rsid w:val="005133E4"/>
    <w:rsid w:val="00516DC8"/>
    <w:rsid w:val="005177E2"/>
    <w:rsid w:val="005219BB"/>
    <w:rsid w:val="005250F1"/>
    <w:rsid w:val="00525E64"/>
    <w:rsid w:val="00526A9C"/>
    <w:rsid w:val="005400F1"/>
    <w:rsid w:val="00544F7C"/>
    <w:rsid w:val="00545055"/>
    <w:rsid w:val="0054577A"/>
    <w:rsid w:val="005458A2"/>
    <w:rsid w:val="00551A60"/>
    <w:rsid w:val="0056770F"/>
    <w:rsid w:val="005774E9"/>
    <w:rsid w:val="005855B0"/>
    <w:rsid w:val="00586226"/>
    <w:rsid w:val="0059279A"/>
    <w:rsid w:val="00597415"/>
    <w:rsid w:val="005B0542"/>
    <w:rsid w:val="005B162A"/>
    <w:rsid w:val="005C2F3B"/>
    <w:rsid w:val="005C4D02"/>
    <w:rsid w:val="005C6380"/>
    <w:rsid w:val="005D6F0E"/>
    <w:rsid w:val="005E3CBA"/>
    <w:rsid w:val="005F0D69"/>
    <w:rsid w:val="005F48DE"/>
    <w:rsid w:val="0060617A"/>
    <w:rsid w:val="00606AB3"/>
    <w:rsid w:val="006110FD"/>
    <w:rsid w:val="00612BCC"/>
    <w:rsid w:val="006168CC"/>
    <w:rsid w:val="006202BE"/>
    <w:rsid w:val="00621769"/>
    <w:rsid w:val="00622949"/>
    <w:rsid w:val="00631DB1"/>
    <w:rsid w:val="00633404"/>
    <w:rsid w:val="0063498C"/>
    <w:rsid w:val="00645914"/>
    <w:rsid w:val="00645EDA"/>
    <w:rsid w:val="00646083"/>
    <w:rsid w:val="00651306"/>
    <w:rsid w:val="00651AD2"/>
    <w:rsid w:val="00655F7D"/>
    <w:rsid w:val="00676E96"/>
    <w:rsid w:val="00681746"/>
    <w:rsid w:val="00682FA8"/>
    <w:rsid w:val="006840E4"/>
    <w:rsid w:val="00685069"/>
    <w:rsid w:val="006A0F0D"/>
    <w:rsid w:val="006A1A13"/>
    <w:rsid w:val="006A1E53"/>
    <w:rsid w:val="006A1FFA"/>
    <w:rsid w:val="006B6514"/>
    <w:rsid w:val="006B735C"/>
    <w:rsid w:val="006C58B4"/>
    <w:rsid w:val="006E6717"/>
    <w:rsid w:val="00700007"/>
    <w:rsid w:val="007017D4"/>
    <w:rsid w:val="00701C48"/>
    <w:rsid w:val="007034E2"/>
    <w:rsid w:val="00706959"/>
    <w:rsid w:val="00706D5D"/>
    <w:rsid w:val="0071562E"/>
    <w:rsid w:val="00716B92"/>
    <w:rsid w:val="0072067F"/>
    <w:rsid w:val="00720CFD"/>
    <w:rsid w:val="00722B47"/>
    <w:rsid w:val="0073145F"/>
    <w:rsid w:val="00745110"/>
    <w:rsid w:val="00755567"/>
    <w:rsid w:val="007605F3"/>
    <w:rsid w:val="00761280"/>
    <w:rsid w:val="00761F67"/>
    <w:rsid w:val="0076671B"/>
    <w:rsid w:val="007728C5"/>
    <w:rsid w:val="0077546E"/>
    <w:rsid w:val="00785268"/>
    <w:rsid w:val="00785B69"/>
    <w:rsid w:val="007A011B"/>
    <w:rsid w:val="007A0529"/>
    <w:rsid w:val="007A312A"/>
    <w:rsid w:val="007A632C"/>
    <w:rsid w:val="007A6F6D"/>
    <w:rsid w:val="007B7879"/>
    <w:rsid w:val="007C72D3"/>
    <w:rsid w:val="007C7DAB"/>
    <w:rsid w:val="007D6CCE"/>
    <w:rsid w:val="007E1CCA"/>
    <w:rsid w:val="007E2323"/>
    <w:rsid w:val="007E4991"/>
    <w:rsid w:val="007F17E6"/>
    <w:rsid w:val="007F7F27"/>
    <w:rsid w:val="008030B2"/>
    <w:rsid w:val="008160EB"/>
    <w:rsid w:val="008171A1"/>
    <w:rsid w:val="00824E94"/>
    <w:rsid w:val="0082560B"/>
    <w:rsid w:val="00827899"/>
    <w:rsid w:val="008314F6"/>
    <w:rsid w:val="00831C8F"/>
    <w:rsid w:val="00833C87"/>
    <w:rsid w:val="0083768A"/>
    <w:rsid w:val="00840EDC"/>
    <w:rsid w:val="00865492"/>
    <w:rsid w:val="008670FE"/>
    <w:rsid w:val="00871A32"/>
    <w:rsid w:val="00871DF4"/>
    <w:rsid w:val="0087552C"/>
    <w:rsid w:val="00876FAB"/>
    <w:rsid w:val="008909D2"/>
    <w:rsid w:val="00896EE6"/>
    <w:rsid w:val="008B28FF"/>
    <w:rsid w:val="008D2AA5"/>
    <w:rsid w:val="008D2F03"/>
    <w:rsid w:val="008D560C"/>
    <w:rsid w:val="008E1EE1"/>
    <w:rsid w:val="008E64AD"/>
    <w:rsid w:val="008F356F"/>
    <w:rsid w:val="008F50E6"/>
    <w:rsid w:val="00903153"/>
    <w:rsid w:val="009035B4"/>
    <w:rsid w:val="009039FE"/>
    <w:rsid w:val="009045F2"/>
    <w:rsid w:val="00906818"/>
    <w:rsid w:val="0091721C"/>
    <w:rsid w:val="00922E15"/>
    <w:rsid w:val="00923CDB"/>
    <w:rsid w:val="00930D98"/>
    <w:rsid w:val="0093566F"/>
    <w:rsid w:val="00944A47"/>
    <w:rsid w:val="00957F37"/>
    <w:rsid w:val="00960B5F"/>
    <w:rsid w:val="009624FF"/>
    <w:rsid w:val="00967309"/>
    <w:rsid w:val="00971F2C"/>
    <w:rsid w:val="009878D7"/>
    <w:rsid w:val="0099689C"/>
    <w:rsid w:val="009A59BC"/>
    <w:rsid w:val="009A5EBF"/>
    <w:rsid w:val="009A70B7"/>
    <w:rsid w:val="009B430E"/>
    <w:rsid w:val="009B641D"/>
    <w:rsid w:val="009C04B7"/>
    <w:rsid w:val="009C47C0"/>
    <w:rsid w:val="009E0226"/>
    <w:rsid w:val="009E3EA8"/>
    <w:rsid w:val="009E4A8B"/>
    <w:rsid w:val="009F2331"/>
    <w:rsid w:val="00A016A5"/>
    <w:rsid w:val="00A12716"/>
    <w:rsid w:val="00A16EFA"/>
    <w:rsid w:val="00A3100A"/>
    <w:rsid w:val="00A32307"/>
    <w:rsid w:val="00A5244B"/>
    <w:rsid w:val="00A656B2"/>
    <w:rsid w:val="00A73122"/>
    <w:rsid w:val="00A76030"/>
    <w:rsid w:val="00A84585"/>
    <w:rsid w:val="00A8715B"/>
    <w:rsid w:val="00A87FE2"/>
    <w:rsid w:val="00A91EA7"/>
    <w:rsid w:val="00AA7C92"/>
    <w:rsid w:val="00AB0839"/>
    <w:rsid w:val="00AB20EC"/>
    <w:rsid w:val="00AC2294"/>
    <w:rsid w:val="00AC7239"/>
    <w:rsid w:val="00AD35A9"/>
    <w:rsid w:val="00AD508F"/>
    <w:rsid w:val="00AD7FB1"/>
    <w:rsid w:val="00AF5C05"/>
    <w:rsid w:val="00B04B04"/>
    <w:rsid w:val="00B063BC"/>
    <w:rsid w:val="00B06D87"/>
    <w:rsid w:val="00B07F83"/>
    <w:rsid w:val="00B16F8D"/>
    <w:rsid w:val="00B2322F"/>
    <w:rsid w:val="00B3023F"/>
    <w:rsid w:val="00B320B4"/>
    <w:rsid w:val="00B46EE0"/>
    <w:rsid w:val="00B52ACC"/>
    <w:rsid w:val="00B5457C"/>
    <w:rsid w:val="00B559FB"/>
    <w:rsid w:val="00B72D27"/>
    <w:rsid w:val="00B74426"/>
    <w:rsid w:val="00B8118B"/>
    <w:rsid w:val="00B82B1B"/>
    <w:rsid w:val="00B82CF8"/>
    <w:rsid w:val="00B9244B"/>
    <w:rsid w:val="00B93567"/>
    <w:rsid w:val="00B9664B"/>
    <w:rsid w:val="00BA15CC"/>
    <w:rsid w:val="00BA4353"/>
    <w:rsid w:val="00BB5B5F"/>
    <w:rsid w:val="00BD18D0"/>
    <w:rsid w:val="00BD2C90"/>
    <w:rsid w:val="00BD69DC"/>
    <w:rsid w:val="00BD6C1A"/>
    <w:rsid w:val="00BE0680"/>
    <w:rsid w:val="00BE72D1"/>
    <w:rsid w:val="00BE7A32"/>
    <w:rsid w:val="00BF155A"/>
    <w:rsid w:val="00C00139"/>
    <w:rsid w:val="00C151C3"/>
    <w:rsid w:val="00C1541F"/>
    <w:rsid w:val="00C24BCB"/>
    <w:rsid w:val="00C2764C"/>
    <w:rsid w:val="00C342D6"/>
    <w:rsid w:val="00C37E48"/>
    <w:rsid w:val="00C40F9C"/>
    <w:rsid w:val="00C44DEC"/>
    <w:rsid w:val="00C4527D"/>
    <w:rsid w:val="00C475F4"/>
    <w:rsid w:val="00C600B0"/>
    <w:rsid w:val="00C7392E"/>
    <w:rsid w:val="00C7400B"/>
    <w:rsid w:val="00C74968"/>
    <w:rsid w:val="00C76798"/>
    <w:rsid w:val="00C929C9"/>
    <w:rsid w:val="00CA2BA1"/>
    <w:rsid w:val="00CA7047"/>
    <w:rsid w:val="00CB2A4B"/>
    <w:rsid w:val="00CB325F"/>
    <w:rsid w:val="00CB5EF9"/>
    <w:rsid w:val="00CC320B"/>
    <w:rsid w:val="00CE14AE"/>
    <w:rsid w:val="00D0038D"/>
    <w:rsid w:val="00D06D48"/>
    <w:rsid w:val="00D076B0"/>
    <w:rsid w:val="00D11E60"/>
    <w:rsid w:val="00D13B73"/>
    <w:rsid w:val="00D234FC"/>
    <w:rsid w:val="00D37953"/>
    <w:rsid w:val="00D505F7"/>
    <w:rsid w:val="00D51CA4"/>
    <w:rsid w:val="00D57747"/>
    <w:rsid w:val="00D64AF9"/>
    <w:rsid w:val="00D73948"/>
    <w:rsid w:val="00D827A9"/>
    <w:rsid w:val="00D860DC"/>
    <w:rsid w:val="00D86B0E"/>
    <w:rsid w:val="00D92A25"/>
    <w:rsid w:val="00D941EA"/>
    <w:rsid w:val="00D9434C"/>
    <w:rsid w:val="00DA0410"/>
    <w:rsid w:val="00DA0B84"/>
    <w:rsid w:val="00DA1828"/>
    <w:rsid w:val="00DA1BE8"/>
    <w:rsid w:val="00DA5324"/>
    <w:rsid w:val="00DA5BDB"/>
    <w:rsid w:val="00DC3A22"/>
    <w:rsid w:val="00DC3F2A"/>
    <w:rsid w:val="00DD1153"/>
    <w:rsid w:val="00DD2B12"/>
    <w:rsid w:val="00DD5DEA"/>
    <w:rsid w:val="00DE5E51"/>
    <w:rsid w:val="00DF0A52"/>
    <w:rsid w:val="00DF7DF1"/>
    <w:rsid w:val="00E02D72"/>
    <w:rsid w:val="00E1153D"/>
    <w:rsid w:val="00E12039"/>
    <w:rsid w:val="00E233B6"/>
    <w:rsid w:val="00E24EF0"/>
    <w:rsid w:val="00E30D35"/>
    <w:rsid w:val="00E35F48"/>
    <w:rsid w:val="00E36CCE"/>
    <w:rsid w:val="00E379C8"/>
    <w:rsid w:val="00E4296F"/>
    <w:rsid w:val="00E42FE3"/>
    <w:rsid w:val="00E46B25"/>
    <w:rsid w:val="00E74C3C"/>
    <w:rsid w:val="00E757E2"/>
    <w:rsid w:val="00E81288"/>
    <w:rsid w:val="00E836F5"/>
    <w:rsid w:val="00E84F9D"/>
    <w:rsid w:val="00E865F5"/>
    <w:rsid w:val="00E94F2E"/>
    <w:rsid w:val="00EA21AE"/>
    <w:rsid w:val="00EA4C4B"/>
    <w:rsid w:val="00EA574B"/>
    <w:rsid w:val="00EC0E07"/>
    <w:rsid w:val="00EC5EB9"/>
    <w:rsid w:val="00EC784B"/>
    <w:rsid w:val="00ED0480"/>
    <w:rsid w:val="00ED093C"/>
    <w:rsid w:val="00ED5DC4"/>
    <w:rsid w:val="00ED79BE"/>
    <w:rsid w:val="00EE5EF3"/>
    <w:rsid w:val="00F0001A"/>
    <w:rsid w:val="00F003EB"/>
    <w:rsid w:val="00F04C1D"/>
    <w:rsid w:val="00F05F52"/>
    <w:rsid w:val="00F13875"/>
    <w:rsid w:val="00F1700E"/>
    <w:rsid w:val="00F2257E"/>
    <w:rsid w:val="00F250C6"/>
    <w:rsid w:val="00F259B3"/>
    <w:rsid w:val="00F26A24"/>
    <w:rsid w:val="00F30F31"/>
    <w:rsid w:val="00F44ADE"/>
    <w:rsid w:val="00F46ED2"/>
    <w:rsid w:val="00F51EE2"/>
    <w:rsid w:val="00F60C50"/>
    <w:rsid w:val="00F64AB3"/>
    <w:rsid w:val="00F76245"/>
    <w:rsid w:val="00F83A33"/>
    <w:rsid w:val="00F83FC8"/>
    <w:rsid w:val="00F843D3"/>
    <w:rsid w:val="00F84A84"/>
    <w:rsid w:val="00F92897"/>
    <w:rsid w:val="00FB0747"/>
    <w:rsid w:val="00FB2D81"/>
    <w:rsid w:val="00FC0CEC"/>
    <w:rsid w:val="00FC2F7B"/>
    <w:rsid w:val="00FC5776"/>
    <w:rsid w:val="00FD1C3A"/>
    <w:rsid w:val="00FE0510"/>
    <w:rsid w:val="00FE54C5"/>
    <w:rsid w:val="00FF01B3"/>
    <w:rsid w:val="02211DF3"/>
    <w:rsid w:val="02C3456C"/>
    <w:rsid w:val="036F60BC"/>
    <w:rsid w:val="0573F57A"/>
    <w:rsid w:val="06DE7CCB"/>
    <w:rsid w:val="0720BDCF"/>
    <w:rsid w:val="076654F9"/>
    <w:rsid w:val="0871377E"/>
    <w:rsid w:val="0A0D03D1"/>
    <w:rsid w:val="0C17BF70"/>
    <w:rsid w:val="0C56253C"/>
    <w:rsid w:val="0E2A597F"/>
    <w:rsid w:val="0EA3FF9A"/>
    <w:rsid w:val="10A770C8"/>
    <w:rsid w:val="10EB8D40"/>
    <w:rsid w:val="118F699C"/>
    <w:rsid w:val="14567AC7"/>
    <w:rsid w:val="15428409"/>
    <w:rsid w:val="15A4055A"/>
    <w:rsid w:val="15B72FF7"/>
    <w:rsid w:val="1717B632"/>
    <w:rsid w:val="1758439E"/>
    <w:rsid w:val="18AC85CA"/>
    <w:rsid w:val="18C4BA18"/>
    <w:rsid w:val="18CAAC74"/>
    <w:rsid w:val="192350C5"/>
    <w:rsid w:val="19DB91C0"/>
    <w:rsid w:val="1A567B00"/>
    <w:rsid w:val="1A7319F6"/>
    <w:rsid w:val="1B847E16"/>
    <w:rsid w:val="1B88F4CB"/>
    <w:rsid w:val="1C136AD9"/>
    <w:rsid w:val="1C34F35C"/>
    <w:rsid w:val="1D63C26B"/>
    <w:rsid w:val="1E863734"/>
    <w:rsid w:val="207B8A25"/>
    <w:rsid w:val="21299D06"/>
    <w:rsid w:val="2287F8E9"/>
    <w:rsid w:val="23D3561C"/>
    <w:rsid w:val="23E92024"/>
    <w:rsid w:val="23EA392D"/>
    <w:rsid w:val="25EADBD9"/>
    <w:rsid w:val="2637EA9A"/>
    <w:rsid w:val="267424F0"/>
    <w:rsid w:val="26B203A9"/>
    <w:rsid w:val="26BEAFFB"/>
    <w:rsid w:val="280B67A2"/>
    <w:rsid w:val="295A4C93"/>
    <w:rsid w:val="29DBA638"/>
    <w:rsid w:val="29E695D3"/>
    <w:rsid w:val="2A47CCC9"/>
    <w:rsid w:val="2A7D65E9"/>
    <w:rsid w:val="2B648F08"/>
    <w:rsid w:val="2B96C856"/>
    <w:rsid w:val="2B9B922F"/>
    <w:rsid w:val="2F764064"/>
    <w:rsid w:val="2FFAF623"/>
    <w:rsid w:val="304DFFAF"/>
    <w:rsid w:val="3093480B"/>
    <w:rsid w:val="31C9816E"/>
    <w:rsid w:val="36B08B69"/>
    <w:rsid w:val="373AA205"/>
    <w:rsid w:val="375D1CE0"/>
    <w:rsid w:val="398A6AE1"/>
    <w:rsid w:val="39AE16E4"/>
    <w:rsid w:val="39D9FF4C"/>
    <w:rsid w:val="3A6C6368"/>
    <w:rsid w:val="3ABDF412"/>
    <w:rsid w:val="3B0DF332"/>
    <w:rsid w:val="3B7EEC4A"/>
    <w:rsid w:val="3C84467F"/>
    <w:rsid w:val="3C8A6BDD"/>
    <w:rsid w:val="3E76BFBA"/>
    <w:rsid w:val="3F2981E3"/>
    <w:rsid w:val="3F82D83A"/>
    <w:rsid w:val="4023FE2A"/>
    <w:rsid w:val="441C75F7"/>
    <w:rsid w:val="44BAE811"/>
    <w:rsid w:val="452C9D14"/>
    <w:rsid w:val="455E45C1"/>
    <w:rsid w:val="45618A61"/>
    <w:rsid w:val="457092F8"/>
    <w:rsid w:val="4587A1E5"/>
    <w:rsid w:val="46135A2E"/>
    <w:rsid w:val="46AB0BCD"/>
    <w:rsid w:val="473E0F20"/>
    <w:rsid w:val="475B81EC"/>
    <w:rsid w:val="47655E36"/>
    <w:rsid w:val="49D5F148"/>
    <w:rsid w:val="4A3E2647"/>
    <w:rsid w:val="4B791000"/>
    <w:rsid w:val="4C14EF2F"/>
    <w:rsid w:val="4CA4A074"/>
    <w:rsid w:val="4DA8BA57"/>
    <w:rsid w:val="4E4A45F9"/>
    <w:rsid w:val="4F17459A"/>
    <w:rsid w:val="4FD68179"/>
    <w:rsid w:val="5009DBBB"/>
    <w:rsid w:val="51230DFB"/>
    <w:rsid w:val="5135E0C5"/>
    <w:rsid w:val="519D46F9"/>
    <w:rsid w:val="51CE4AEA"/>
    <w:rsid w:val="529BB8AA"/>
    <w:rsid w:val="52C952E5"/>
    <w:rsid w:val="52ED75AF"/>
    <w:rsid w:val="540492FE"/>
    <w:rsid w:val="5468BA6E"/>
    <w:rsid w:val="54F0DBF3"/>
    <w:rsid w:val="558DEEC3"/>
    <w:rsid w:val="55CF07E3"/>
    <w:rsid w:val="5688CC46"/>
    <w:rsid w:val="56B8CC89"/>
    <w:rsid w:val="56F83A6C"/>
    <w:rsid w:val="58322DE1"/>
    <w:rsid w:val="5925FC24"/>
    <w:rsid w:val="59CAD02E"/>
    <w:rsid w:val="5B90D7D8"/>
    <w:rsid w:val="5BD56ED9"/>
    <w:rsid w:val="5C0C77B9"/>
    <w:rsid w:val="5C0DA2D2"/>
    <w:rsid w:val="5D5FB4FF"/>
    <w:rsid w:val="5D93CA1D"/>
    <w:rsid w:val="6010A663"/>
    <w:rsid w:val="61B32A25"/>
    <w:rsid w:val="61BCF388"/>
    <w:rsid w:val="6256A2E9"/>
    <w:rsid w:val="63E7C97D"/>
    <w:rsid w:val="63F18E40"/>
    <w:rsid w:val="662C4C27"/>
    <w:rsid w:val="66D1CBE6"/>
    <w:rsid w:val="6739415C"/>
    <w:rsid w:val="675CC1F7"/>
    <w:rsid w:val="675EAE4E"/>
    <w:rsid w:val="69212296"/>
    <w:rsid w:val="69DD2F5B"/>
    <w:rsid w:val="6A749425"/>
    <w:rsid w:val="6ABAB3C4"/>
    <w:rsid w:val="6AD48670"/>
    <w:rsid w:val="6B6037BC"/>
    <w:rsid w:val="6B76EF08"/>
    <w:rsid w:val="6BDC5225"/>
    <w:rsid w:val="6C8929B6"/>
    <w:rsid w:val="6D4E9FFE"/>
    <w:rsid w:val="6E626419"/>
    <w:rsid w:val="6EBF5D91"/>
    <w:rsid w:val="6EE3D88F"/>
    <w:rsid w:val="7023056A"/>
    <w:rsid w:val="71BA752B"/>
    <w:rsid w:val="72B9D8C8"/>
    <w:rsid w:val="7326BC95"/>
    <w:rsid w:val="76CACE16"/>
    <w:rsid w:val="782CC6CD"/>
    <w:rsid w:val="78670373"/>
    <w:rsid w:val="791B6F40"/>
    <w:rsid w:val="79ED0307"/>
    <w:rsid w:val="7AD8E190"/>
    <w:rsid w:val="7AED469C"/>
    <w:rsid w:val="7C7F19EB"/>
    <w:rsid w:val="7D295F11"/>
    <w:rsid w:val="7E2C6457"/>
    <w:rsid w:val="7E984D5B"/>
    <w:rsid w:val="7F4C118D"/>
    <w:rsid w:val="7F9F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262EC91-6C37-4844-8358-00763E78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69"/>
    <w:rPr>
      <w:rFonts w:ascii="Arial" w:eastAsia="Times New Roman" w:hAnsi="Arial" w:cs="Times New Roman"/>
    </w:rPr>
  </w:style>
  <w:style w:type="paragraph" w:styleId="Heading1">
    <w:name w:val="heading 1"/>
    <w:basedOn w:val="Normal"/>
    <w:next w:val="Normal"/>
    <w:link w:val="Heading1Char"/>
    <w:uiPriority w:val="9"/>
    <w:qFormat/>
    <w:rsid w:val="0068506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85069"/>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85069"/>
    <w:pPr>
      <w:keepNext/>
      <w:keepLines/>
      <w:spacing w:before="160" w:after="1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6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85069"/>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85069"/>
    <w:rPr>
      <w:rFonts w:ascii="Arial" w:eastAsiaTheme="majorEastAsia" w:hAnsi="Arial" w:cstheme="majorBidi"/>
      <w:b/>
    </w:rPr>
  </w:style>
  <w:style w:type="character" w:styleId="Hyperlink">
    <w:name w:val="Hyperlink"/>
    <w:uiPriority w:val="99"/>
    <w:rsid w:val="00685069"/>
    <w:rPr>
      <w:color w:val="0000FF"/>
      <w:u w:val="single"/>
    </w:rPr>
  </w:style>
  <w:style w:type="paragraph" w:styleId="ListParagraph">
    <w:name w:val="List Paragraph"/>
    <w:aliases w:val="list"/>
    <w:basedOn w:val="Normal"/>
    <w:link w:val="ListParagraphChar"/>
    <w:uiPriority w:val="34"/>
    <w:qFormat/>
    <w:rsid w:val="00685069"/>
    <w:pPr>
      <w:ind w:left="720"/>
      <w:contextualSpacing/>
    </w:pPr>
  </w:style>
  <w:style w:type="paragraph" w:styleId="Header">
    <w:name w:val="header"/>
    <w:basedOn w:val="Normal"/>
    <w:link w:val="HeaderChar"/>
    <w:uiPriority w:val="99"/>
    <w:unhideWhenUsed/>
    <w:rsid w:val="00685069"/>
    <w:pPr>
      <w:tabs>
        <w:tab w:val="center" w:pos="4680"/>
        <w:tab w:val="right" w:pos="9360"/>
      </w:tabs>
    </w:pPr>
  </w:style>
  <w:style w:type="character" w:customStyle="1" w:styleId="HeaderChar">
    <w:name w:val="Header Char"/>
    <w:basedOn w:val="DefaultParagraphFont"/>
    <w:link w:val="Header"/>
    <w:uiPriority w:val="99"/>
    <w:rsid w:val="00685069"/>
    <w:rPr>
      <w:rFonts w:ascii="Arial" w:eastAsia="Times New Roman" w:hAnsi="Arial" w:cs="Times New Roman"/>
    </w:rPr>
  </w:style>
  <w:style w:type="paragraph" w:styleId="Footer">
    <w:name w:val="footer"/>
    <w:basedOn w:val="Normal"/>
    <w:link w:val="FooterChar"/>
    <w:uiPriority w:val="99"/>
    <w:unhideWhenUsed/>
    <w:rsid w:val="00685069"/>
    <w:pPr>
      <w:tabs>
        <w:tab w:val="center" w:pos="4680"/>
        <w:tab w:val="right" w:pos="9360"/>
      </w:tabs>
    </w:pPr>
  </w:style>
  <w:style w:type="character" w:customStyle="1" w:styleId="FooterChar">
    <w:name w:val="Footer Char"/>
    <w:basedOn w:val="DefaultParagraphFont"/>
    <w:link w:val="Footer"/>
    <w:uiPriority w:val="99"/>
    <w:rsid w:val="00685069"/>
    <w:rPr>
      <w:rFonts w:ascii="Arial" w:eastAsia="Times New Roman" w:hAnsi="Arial" w:cs="Times New Roman"/>
    </w:rPr>
  </w:style>
  <w:style w:type="character" w:customStyle="1" w:styleId="ListParagraphChar">
    <w:name w:val="List Paragraph Char"/>
    <w:aliases w:val="list Char"/>
    <w:basedOn w:val="DefaultParagraphFont"/>
    <w:link w:val="ListParagraph"/>
    <w:uiPriority w:val="34"/>
    <w:locked/>
    <w:rsid w:val="00685069"/>
    <w:rPr>
      <w:rFonts w:ascii="Arial" w:eastAsia="Times New Roman" w:hAnsi="Arial" w:cs="Times New Roman"/>
    </w:rPr>
  </w:style>
  <w:style w:type="table" w:styleId="TableGrid">
    <w:name w:val="Table Grid"/>
    <w:basedOn w:val="TableNormal"/>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069"/>
    <w:rPr>
      <w:sz w:val="16"/>
      <w:szCs w:val="16"/>
    </w:rPr>
  </w:style>
  <w:style w:type="paragraph" w:styleId="CommentText">
    <w:name w:val="annotation text"/>
    <w:basedOn w:val="Normal"/>
    <w:link w:val="CommentTextChar"/>
    <w:uiPriority w:val="99"/>
    <w:unhideWhenUsed/>
    <w:rsid w:val="00685069"/>
    <w:rPr>
      <w:sz w:val="20"/>
      <w:szCs w:val="20"/>
    </w:rPr>
  </w:style>
  <w:style w:type="character" w:customStyle="1" w:styleId="CommentTextChar">
    <w:name w:val="Comment Text Char"/>
    <w:basedOn w:val="DefaultParagraphFont"/>
    <w:link w:val="CommentText"/>
    <w:uiPriority w:val="99"/>
    <w:rsid w:val="00685069"/>
    <w:rPr>
      <w:rFonts w:ascii="Arial" w:eastAsia="Times New Roman" w:hAnsi="Arial" w:cs="Times New Roman"/>
      <w:sz w:val="20"/>
      <w:szCs w:val="20"/>
    </w:rPr>
  </w:style>
  <w:style w:type="table" w:customStyle="1" w:styleId="TableGrid1">
    <w:name w:val="Table Grid1"/>
    <w:basedOn w:val="TableNormal"/>
    <w:next w:val="TableGrid"/>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5069"/>
  </w:style>
  <w:style w:type="character" w:customStyle="1" w:styleId="eop">
    <w:name w:val="eop"/>
    <w:basedOn w:val="DefaultParagraphFont"/>
    <w:rsid w:val="00685069"/>
  </w:style>
  <w:style w:type="paragraph" w:customStyle="1" w:styleId="paragraph">
    <w:name w:val="paragraph"/>
    <w:basedOn w:val="Normal"/>
    <w:rsid w:val="00685069"/>
    <w:pPr>
      <w:spacing w:before="100" w:beforeAutospacing="1" w:after="100" w:afterAutospacing="1"/>
    </w:pPr>
  </w:style>
  <w:style w:type="paragraph" w:styleId="BalloonText">
    <w:name w:val="Balloon Text"/>
    <w:basedOn w:val="Normal"/>
    <w:link w:val="BalloonTextChar"/>
    <w:uiPriority w:val="99"/>
    <w:semiHidden/>
    <w:unhideWhenUsed/>
    <w:rsid w:val="0068506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8506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87F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9664B"/>
    <w:rPr>
      <w:b/>
      <w:bCs/>
    </w:rPr>
  </w:style>
  <w:style w:type="character" w:customStyle="1" w:styleId="CommentSubjectChar">
    <w:name w:val="Comment Subject Char"/>
    <w:basedOn w:val="CommentTextChar"/>
    <w:link w:val="CommentSubject"/>
    <w:uiPriority w:val="99"/>
    <w:semiHidden/>
    <w:rsid w:val="00B9664B"/>
    <w:rPr>
      <w:rFonts w:ascii="Arial" w:eastAsia="Times New Roman" w:hAnsi="Arial" w:cs="Times New Roman"/>
      <w:b/>
      <w:bCs/>
      <w:sz w:val="20"/>
      <w:szCs w:val="20"/>
    </w:rPr>
  </w:style>
  <w:style w:type="paragraph" w:styleId="Revision">
    <w:name w:val="Revision"/>
    <w:hidden/>
    <w:uiPriority w:val="99"/>
    <w:semiHidden/>
    <w:rsid w:val="00B9664B"/>
    <w:rPr>
      <w:rFonts w:ascii="Arial" w:eastAsia="Times New Roman" w:hAnsi="Arial" w:cs="Times New Roman"/>
    </w:rPr>
  </w:style>
  <w:style w:type="paragraph" w:customStyle="1" w:styleId="TableHead">
    <w:name w:val="TableHead"/>
    <w:basedOn w:val="Normal"/>
    <w:next w:val="Normal"/>
    <w:link w:val="TableHeadChar"/>
    <w:qFormat/>
    <w:rsid w:val="4CA4A074"/>
    <w:pPr>
      <w:spacing w:before="20" w:after="20"/>
      <w:jc w:val="center"/>
    </w:pPr>
    <w:rPr>
      <w:rFonts w:eastAsia="SimSun"/>
      <w:b/>
      <w:bCs/>
      <w:noProof/>
    </w:rPr>
  </w:style>
  <w:style w:type="character" w:customStyle="1" w:styleId="TableHeadChar">
    <w:name w:val="TableHead Char"/>
    <w:basedOn w:val="DefaultParagraphFont"/>
    <w:link w:val="TableHead"/>
    <w:rsid w:val="4CA4A074"/>
    <w:rPr>
      <w:rFonts w:ascii="Arial" w:eastAsia="SimSun" w:hAnsi="Arial" w:cs="Times New Roman"/>
      <w:b/>
      <w:bCs/>
      <w:noProof/>
      <w:sz w:val="24"/>
      <w:szCs w:val="24"/>
      <w:lang w:eastAsia="en-US"/>
    </w:rPr>
  </w:style>
  <w:style w:type="paragraph" w:customStyle="1" w:styleId="TableText">
    <w:name w:val="TableText"/>
    <w:basedOn w:val="Normal"/>
    <w:next w:val="Normal"/>
    <w:link w:val="TableTextChar"/>
    <w:qFormat/>
    <w:rsid w:val="4CA4A074"/>
    <w:pPr>
      <w:spacing w:before="20" w:after="20"/>
    </w:pPr>
    <w:rPr>
      <w:rFonts w:eastAsia="SimSun" w:cs="Calibri"/>
    </w:rPr>
  </w:style>
  <w:style w:type="character" w:customStyle="1" w:styleId="TableTextChar">
    <w:name w:val="TableText Char"/>
    <w:basedOn w:val="DefaultParagraphFont"/>
    <w:link w:val="TableText"/>
    <w:rsid w:val="4CA4A074"/>
    <w:rPr>
      <w:rFonts w:ascii="Arial" w:eastAsia="SimSun" w:hAnsi="Arial" w:cs="Calibri"/>
      <w:sz w:val="24"/>
      <w:szCs w:val="24"/>
      <w:lang w:eastAsia="en-US"/>
    </w:rPr>
  </w:style>
  <w:style w:type="character" w:customStyle="1" w:styleId="Cross-reference">
    <w:name w:val="Cross-reference"/>
    <w:basedOn w:val="DefaultParagraphFont"/>
    <w:uiPriority w:val="1"/>
    <w:qFormat/>
    <w:rsid w:val="002D6887"/>
    <w:rPr>
      <w:rFonts w:cs="Arial"/>
      <w:color w:val="0000FF"/>
      <w:u w:val="single"/>
    </w:rPr>
  </w:style>
  <w:style w:type="paragraph" w:customStyle="1" w:styleId="References">
    <w:name w:val="References"/>
    <w:basedOn w:val="Normal"/>
    <w:rsid w:val="00C74968"/>
    <w:pPr>
      <w:spacing w:after="120"/>
      <w:ind w:left="216" w:hanging="216"/>
    </w:pPr>
    <w:rPr>
      <w:rFonts w:eastAsia="SimSun" w:cstheme="minorBidi"/>
      <w:color w:val="000000"/>
      <w:lang w:eastAsia="zh-CN"/>
    </w:rPr>
  </w:style>
  <w:style w:type="character" w:customStyle="1" w:styleId="apple-converted-space">
    <w:name w:val="apple-converted-space"/>
    <w:basedOn w:val="DefaultParagraphFont"/>
    <w:rsid w:val="003A6002"/>
  </w:style>
  <w:style w:type="paragraph" w:styleId="NoSpacing">
    <w:name w:val="No Spacing"/>
    <w:uiPriority w:val="1"/>
    <w:qFormat/>
    <w:rsid w:val="00CA7047"/>
    <w:rPr>
      <w:rFonts w:ascii="Arial" w:hAnsi="Arial"/>
      <w:szCs w:val="22"/>
    </w:rPr>
  </w:style>
  <w:style w:type="character" w:styleId="Strong">
    <w:name w:val="Strong"/>
    <w:basedOn w:val="DefaultParagraphFont"/>
    <w:uiPriority w:val="22"/>
    <w:qFormat/>
    <w:rsid w:val="00D941EA"/>
    <w:rPr>
      <w:b/>
      <w:bCs/>
    </w:rPr>
  </w:style>
  <w:style w:type="character" w:customStyle="1" w:styleId="UnresolvedMention1">
    <w:name w:val="Unresolved Mention1"/>
    <w:basedOn w:val="DefaultParagraphFont"/>
    <w:uiPriority w:val="99"/>
    <w:semiHidden/>
    <w:unhideWhenUsed/>
    <w:rsid w:val="00427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47601">
      <w:bodyDiv w:val="1"/>
      <w:marLeft w:val="0"/>
      <w:marRight w:val="0"/>
      <w:marTop w:val="0"/>
      <w:marBottom w:val="0"/>
      <w:divBdr>
        <w:top w:val="none" w:sz="0" w:space="0" w:color="auto"/>
        <w:left w:val="none" w:sz="0" w:space="0" w:color="auto"/>
        <w:bottom w:val="none" w:sz="0" w:space="0" w:color="auto"/>
        <w:right w:val="none" w:sz="0" w:space="0" w:color="auto"/>
      </w:divBdr>
      <w:divsChild>
        <w:div w:id="121269832">
          <w:marLeft w:val="360"/>
          <w:marRight w:val="0"/>
          <w:marTop w:val="240"/>
          <w:marBottom w:val="0"/>
          <w:divBdr>
            <w:top w:val="none" w:sz="0" w:space="0" w:color="auto"/>
            <w:left w:val="none" w:sz="0" w:space="0" w:color="auto"/>
            <w:bottom w:val="none" w:sz="0" w:space="0" w:color="auto"/>
            <w:right w:val="none" w:sz="0" w:space="0" w:color="auto"/>
          </w:divBdr>
        </w:div>
        <w:div w:id="993096604">
          <w:marLeft w:val="360"/>
          <w:marRight w:val="0"/>
          <w:marTop w:val="240"/>
          <w:marBottom w:val="0"/>
          <w:divBdr>
            <w:top w:val="none" w:sz="0" w:space="0" w:color="auto"/>
            <w:left w:val="none" w:sz="0" w:space="0" w:color="auto"/>
            <w:bottom w:val="none" w:sz="0" w:space="0" w:color="auto"/>
            <w:right w:val="none" w:sz="0" w:space="0" w:color="auto"/>
          </w:divBdr>
        </w:div>
        <w:div w:id="1443838914">
          <w:marLeft w:val="360"/>
          <w:marRight w:val="0"/>
          <w:marTop w:val="240"/>
          <w:marBottom w:val="0"/>
          <w:divBdr>
            <w:top w:val="none" w:sz="0" w:space="0" w:color="auto"/>
            <w:left w:val="none" w:sz="0" w:space="0" w:color="auto"/>
            <w:bottom w:val="none" w:sz="0" w:space="0" w:color="auto"/>
            <w:right w:val="none" w:sz="0" w:space="0" w:color="auto"/>
          </w:divBdr>
        </w:div>
        <w:div w:id="1810783159">
          <w:marLeft w:val="360"/>
          <w:marRight w:val="0"/>
          <w:marTop w:val="240"/>
          <w:marBottom w:val="0"/>
          <w:divBdr>
            <w:top w:val="none" w:sz="0" w:space="0" w:color="auto"/>
            <w:left w:val="none" w:sz="0" w:space="0" w:color="auto"/>
            <w:bottom w:val="none" w:sz="0" w:space="0" w:color="auto"/>
            <w:right w:val="none" w:sz="0" w:space="0" w:color="auto"/>
          </w:divBdr>
        </w:div>
        <w:div w:id="1889955338">
          <w:marLeft w:val="360"/>
          <w:marRight w:val="0"/>
          <w:marTop w:val="240"/>
          <w:marBottom w:val="0"/>
          <w:divBdr>
            <w:top w:val="none" w:sz="0" w:space="0" w:color="auto"/>
            <w:left w:val="none" w:sz="0" w:space="0" w:color="auto"/>
            <w:bottom w:val="none" w:sz="0" w:space="0" w:color="auto"/>
            <w:right w:val="none" w:sz="0" w:space="0" w:color="auto"/>
          </w:divBdr>
        </w:div>
        <w:div w:id="1928267115">
          <w:marLeft w:val="360"/>
          <w:marRight w:val="0"/>
          <w:marTop w:val="240"/>
          <w:marBottom w:val="0"/>
          <w:divBdr>
            <w:top w:val="none" w:sz="0" w:space="0" w:color="auto"/>
            <w:left w:val="none" w:sz="0" w:space="0" w:color="auto"/>
            <w:bottom w:val="none" w:sz="0" w:space="0" w:color="auto"/>
            <w:right w:val="none" w:sz="0" w:space="0" w:color="auto"/>
          </w:divBdr>
        </w:div>
      </w:divsChild>
    </w:div>
    <w:div w:id="1728604157">
      <w:bodyDiv w:val="1"/>
      <w:marLeft w:val="0"/>
      <w:marRight w:val="0"/>
      <w:marTop w:val="0"/>
      <w:marBottom w:val="0"/>
      <w:divBdr>
        <w:top w:val="none" w:sz="0" w:space="0" w:color="auto"/>
        <w:left w:val="none" w:sz="0" w:space="0" w:color="auto"/>
        <w:bottom w:val="none" w:sz="0" w:space="0" w:color="auto"/>
        <w:right w:val="none" w:sz="0" w:space="0" w:color="auto"/>
      </w:divBdr>
    </w:div>
    <w:div w:id="1893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de.ca.gov/be/ag/ag/yr17/documents/sep17item02.doc" TargetMode="External"/><Relationship Id="rId26" Type="http://schemas.openxmlformats.org/officeDocument/2006/relationships/hyperlink" Target="https://www.cde.ca.gov/be/pn/im/documents/memo-pptb-amard-apr19item01.docx" TargetMode="External"/><Relationship Id="rId39" Type="http://schemas.openxmlformats.org/officeDocument/2006/relationships/hyperlink" Target="https://www.cde.ca.gov/be/pn/im/documents/memo-pptb-amard-apr19item02.docx" TargetMode="External"/><Relationship Id="rId21" Type="http://schemas.openxmlformats.org/officeDocument/2006/relationships/hyperlink" Target="https://www.cde.ca.gov/be/pn/im/documents/memo-pptb-amard-apr18item02.docx" TargetMode="External"/><Relationship Id="rId34" Type="http://schemas.openxmlformats.org/officeDocument/2006/relationships/hyperlink" Target="https://www.cde.ca.gov/be/pn/im/documents/memo-asb-adad-jun17item03.doc" TargetMode="External"/><Relationship Id="rId42" Type="http://schemas.openxmlformats.org/officeDocument/2006/relationships/hyperlink" Target="https://www.cde.ca.gov/be/pn/im/documents/memo-imb-amard-june20item01.docx" TargetMode="External"/><Relationship Id="rId47" Type="http://schemas.openxmlformats.org/officeDocument/2006/relationships/footer" Target="footer4.xml"/><Relationship Id="rId50" Type="http://schemas.openxmlformats.org/officeDocument/2006/relationships/hyperlink" Target="https://www.cde.ca.gov/be/ag/ag/yr19/documents/may19item01studysession.docx" TargetMode="External"/><Relationship Id="rId55"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de.ca.gov/be/ag/ag/yr16/documents/sep16item01.doc" TargetMode="External"/><Relationship Id="rId25" Type="http://schemas.openxmlformats.org/officeDocument/2006/relationships/hyperlink" Target="https://www.cde.ca.gov/be/ag/ag/yr18/documents/nov18item04.docx" TargetMode="External"/><Relationship Id="rId33" Type="http://schemas.openxmlformats.org/officeDocument/2006/relationships/hyperlink" Target="https://www.cde.ca.gov/be/ag/ag/yr17/documents/jan17item02.doc" TargetMode="External"/><Relationship Id="rId38" Type="http://schemas.openxmlformats.org/officeDocument/2006/relationships/hyperlink" Target="https://www.cde.ca.gov/be/pn/im/documents/memo-pptb-amard-feb19item03.docx"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be/mt/ms/documents/finalminutes1314jul2016.doc" TargetMode="External"/><Relationship Id="rId20" Type="http://schemas.openxmlformats.org/officeDocument/2006/relationships/hyperlink" Target="https://www.cde.ca.gov/be/ag/ag/yr18/documents/mar18item01.docx" TargetMode="External"/><Relationship Id="rId29" Type="http://schemas.openxmlformats.org/officeDocument/2006/relationships/hyperlink" Target="https://www.cde.ca.gov/be/ag/ag/yr20/documents/mar20item05.docx" TargetMode="External"/><Relationship Id="rId41" Type="http://schemas.openxmlformats.org/officeDocument/2006/relationships/hyperlink" Target="https://www.cde.ca.gov/be/ag/ag/yr20/documents/mar20item05.docx"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cde.ca.gov/be/ag/ag/yr18/documents/sep18item01.docx" TargetMode="External"/><Relationship Id="rId32" Type="http://schemas.openxmlformats.org/officeDocument/2006/relationships/hyperlink" Target="https://www.cde.ca.gov/be/pn/im/documents/memo-dsib-amard-feb16item01.doc" TargetMode="External"/><Relationship Id="rId37" Type="http://schemas.openxmlformats.org/officeDocument/2006/relationships/hyperlink" Target="https://www.cde.ca.gov/be/ag/ag/yr18/documents/jul18item01.docx" TargetMode="External"/><Relationship Id="rId40" Type="http://schemas.openxmlformats.org/officeDocument/2006/relationships/hyperlink" Target="https://www.cde.ca.gov/be/pn/im/documents/nov19memoamard01.docx" TargetMode="External"/><Relationship Id="rId45" Type="http://schemas.openxmlformats.org/officeDocument/2006/relationships/hyperlink" Target="https://www.cde.ca.gov/be/pn/im/documents/aug20amard01.docx" TargetMode="Externa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cde.ca.gov/be/pn/im/documents/memo-pptb-amard-aug18item02.docx" TargetMode="External"/><Relationship Id="rId28" Type="http://schemas.openxmlformats.org/officeDocument/2006/relationships/hyperlink" Target="https://www.cde.ca.gov/be/pn/im/infomemojun2019.asp" TargetMode="External"/><Relationship Id="rId36" Type="http://schemas.openxmlformats.org/officeDocument/2006/relationships/hyperlink" Target="https://www.cde.ca.gov/be/ag/ag/yr18/documents/may18item02.docx" TargetMode="External"/><Relationship Id="rId49" Type="http://schemas.openxmlformats.org/officeDocument/2006/relationships/footer" Target="footer5.xm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de.ca.gov/be/pn/im/documents/memo-pptb-amard-feb18item02.docx" TargetMode="External"/><Relationship Id="rId31" Type="http://schemas.openxmlformats.org/officeDocument/2006/relationships/hyperlink" Target="https://www.cde.ca.gov/be/pn/im/documents/memo-dsib-amard-jun16item01.doc" TargetMode="External"/><Relationship Id="rId44" Type="http://schemas.openxmlformats.org/officeDocument/2006/relationships/hyperlink" Target="https://www.cde.ca.gov/be/ag/ag/yr19/documents/nov19item05rev.docx" TargetMode="External"/><Relationship Id="rId52"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cde.ca.gov/be/ag/ag/yr18/documents/may18item02slides.pdf" TargetMode="External"/><Relationship Id="rId27" Type="http://schemas.openxmlformats.org/officeDocument/2006/relationships/hyperlink" Target="https://www.cde.ca.gov/be/ag/ag/yr19/documents/may19item01studysession.docx" TargetMode="External"/><Relationship Id="rId30" Type="http://schemas.openxmlformats.org/officeDocument/2006/relationships/hyperlink" Target="https://www.cde.ca.gov/be/ag/ag/yr20/documents/may20item02.docx" TargetMode="External"/><Relationship Id="rId35" Type="http://schemas.openxmlformats.org/officeDocument/2006/relationships/hyperlink" Target="https://www.cde.ca.gov/be/pn/im/documents/memo-pptb-amard-feb18item01.docx" TargetMode="External"/><Relationship Id="rId43" Type="http://schemas.openxmlformats.org/officeDocument/2006/relationships/hyperlink" Target="https://www.cde.ca.gov/be/ag/ag/yr20/documents/jul20item02.docx" TargetMode="External"/><Relationship Id="rId48" Type="http://schemas.openxmlformats.org/officeDocument/2006/relationships/header" Target="header4.xml"/><Relationship Id="rId56" Type="http://schemas.openxmlformats.org/officeDocument/2006/relationships/header" Target="header9.xml"/><Relationship Id="rId8" Type="http://schemas.openxmlformats.org/officeDocument/2006/relationships/footnotes" Target="footnotes.xml"/><Relationship Id="rId51" Type="http://schemas.openxmlformats.org/officeDocument/2006/relationships/header" Target="header5.xml"/><Relationship Id="rId3" Type="http://schemas.openxmlformats.org/officeDocument/2006/relationships/customXml" Target="../customXml/item3.xml"/><Relationship Id="Rb65a8a3fffc245d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Jonathan Isler</DisplayName>
        <AccountId>12</AccountId>
        <AccountType/>
      </UserInfo>
    </SharedWithUsers>
  </documentManagement>
</p:properties>
</file>

<file path=customXml/itemProps1.xml><?xml version="1.0" encoding="utf-8"?>
<ds:datastoreItem xmlns:ds="http://schemas.openxmlformats.org/officeDocument/2006/customXml" ds:itemID="{C9F741D5-C626-4999-846D-F1897E69BB28}">
  <ds:schemaRefs>
    <ds:schemaRef ds:uri="http://schemas.microsoft.com/sharepoint/v3/contenttype/forms"/>
  </ds:schemaRefs>
</ds:datastoreItem>
</file>

<file path=customXml/itemProps2.xml><?xml version="1.0" encoding="utf-8"?>
<ds:datastoreItem xmlns:ds="http://schemas.openxmlformats.org/officeDocument/2006/customXml" ds:itemID="{994D9374-63B6-44D4-9CC0-517D31EB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61727-1E99-4F25-A4C8-723FFC219BF5}">
  <ds:schemaRefs>
    <ds:schemaRef ds:uri="http://schemas.microsoft.com/office/2006/metadata/properties"/>
    <ds:schemaRef ds:uri="http://schemas.microsoft.com/office/infopath/2007/PartnerControls"/>
    <ds:schemaRef ds:uri="1aae30ff-d7bc-47e3-882e-cd3423d00d6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12714</Words>
  <Characters>72476</Characters>
  <DocSecurity>0</DocSecurity>
  <Lines>603</Lines>
  <Paragraphs>170</Paragraphs>
  <ScaleCrop>false</ScaleCrop>
  <HeadingPairs>
    <vt:vector size="2" baseType="variant">
      <vt:variant>
        <vt:lpstr>Title</vt:lpstr>
      </vt:variant>
      <vt:variant>
        <vt:i4>1</vt:i4>
      </vt:variant>
    </vt:vector>
  </HeadingPairs>
  <TitlesOfParts>
    <vt:vector size="1" baseType="lpstr">
      <vt:lpstr>IMB, AMARD, September 2020 Item 02</vt:lpstr>
    </vt:vector>
  </TitlesOfParts>
  <Company>California State Board of Education</Company>
  <LinksUpToDate>false</LinksUpToDate>
  <CharactersWithSpaces>85020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02 - Meeting Agendas (CA State Board of Education)</dc:title>
  <dc:subject>Update on the Implementation of the Integrated Local, State, and Federal Accountability and Continuous Improvement System: Update on the Student Growth Model.</dc:subject>
  <cp:keywords/>
  <dc:description/>
  <dcterms:created xsi:type="dcterms:W3CDTF">2020-08-31T23:00:00Z</dcterms:created>
  <dcterms:modified xsi:type="dcterms:W3CDTF">2020-09-01T17:57:00Z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