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7B1743" w:rsidRDefault="00692300" w:rsidP="007B1743">
      <w:pPr>
        <w:jc w:val="right"/>
      </w:pPr>
      <w:r w:rsidRPr="00B723BE">
        <w:t>SBE-00</w:t>
      </w:r>
      <w:r w:rsidR="000324AD">
        <w:t>3</w:t>
      </w:r>
      <w:r w:rsidRPr="00B723BE">
        <w:t xml:space="preserve"> (REV. 1</w:t>
      </w:r>
      <w:r w:rsidR="00C27D57">
        <w:t>1</w:t>
      </w:r>
      <w:r w:rsidRPr="00B723BE">
        <w:t>/2017</w:t>
      </w:r>
      <w:r w:rsidR="00FC1FCE" w:rsidRPr="00B723BE">
        <w:t>)</w:t>
      </w:r>
    </w:p>
    <w:p w:rsidR="00B723BE" w:rsidRPr="007B1743" w:rsidRDefault="00D63E1B" w:rsidP="007B1743">
      <w:pPr>
        <w:jc w:val="right"/>
        <w:sectPr w:rsidR="00B723BE" w:rsidRPr="007B1743" w:rsidSect="00C82CBA">
          <w:headerReference w:type="default" r:id="rId8"/>
          <w:type w:val="continuous"/>
          <w:pgSz w:w="12240" w:h="15840"/>
          <w:pgMar w:top="720" w:right="1440" w:bottom="1440" w:left="1440" w:header="720" w:footer="720" w:gutter="0"/>
          <w:cols w:num="2" w:space="720"/>
          <w:titlePg/>
          <w:docGrid w:linePitch="360"/>
        </w:sectPr>
      </w:pPr>
      <w:r>
        <w:rPr>
          <w:rFonts w:cs="Arial"/>
        </w:rPr>
        <w:t>sbe-jan21</w:t>
      </w:r>
      <w:r w:rsidR="007B1743" w:rsidRPr="007B1743">
        <w:rPr>
          <w:rFonts w:cs="Arial"/>
        </w:rPr>
        <w:t>item</w:t>
      </w:r>
      <w:r w:rsidR="007B1743" w:rsidRPr="008A192E">
        <w:rPr>
          <w:rFonts w:cs="Arial"/>
        </w:rPr>
        <w:t>01</w:t>
      </w: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63E1B">
        <w:rPr>
          <w:sz w:val="40"/>
          <w:szCs w:val="40"/>
        </w:rPr>
        <w:t>January 2021</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4C3EED">
        <w:rPr>
          <w:sz w:val="40"/>
          <w:szCs w:val="40"/>
        </w:rPr>
        <w:t>#</w:t>
      </w:r>
      <w:r w:rsidR="00FD48C4">
        <w:rPr>
          <w:sz w:val="40"/>
          <w:szCs w:val="40"/>
        </w:rPr>
        <w:t>01</w:t>
      </w:r>
    </w:p>
    <w:p w:rsidR="00FC1FCE" w:rsidRPr="001B3958" w:rsidRDefault="00FC1FCE" w:rsidP="002B4B14">
      <w:pPr>
        <w:pStyle w:val="Heading2"/>
        <w:spacing w:before="240" w:after="240"/>
        <w:rPr>
          <w:sz w:val="36"/>
          <w:szCs w:val="36"/>
        </w:rPr>
      </w:pPr>
      <w:r w:rsidRPr="001B3958">
        <w:rPr>
          <w:sz w:val="36"/>
          <w:szCs w:val="36"/>
        </w:rPr>
        <w:t>Subject</w:t>
      </w:r>
    </w:p>
    <w:p w:rsidR="007B1743" w:rsidRPr="00A40472" w:rsidRDefault="007B1743" w:rsidP="007B17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napToGrid w:val="0"/>
          <w:szCs w:val="20"/>
        </w:rPr>
      </w:pPr>
      <w:r w:rsidRPr="00A40472">
        <w:rPr>
          <w:bCs/>
          <w:snapToGrid w:val="0"/>
          <w:szCs w:val="20"/>
        </w:rPr>
        <w:t>STATE BOARD PROJECTS AND PRIORITIES.</w:t>
      </w:r>
    </w:p>
    <w:p w:rsidR="00692300" w:rsidRDefault="007B1743" w:rsidP="007B1743">
      <w:pPr>
        <w:spacing w:after="480"/>
      </w:pPr>
      <w:r w:rsidRPr="00A40472">
        <w:rPr>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rsidR="00FC1FCE" w:rsidRDefault="00FC1FCE" w:rsidP="00856023">
      <w:pPr>
        <w:pStyle w:val="Heading2"/>
        <w:spacing w:before="240" w:after="240"/>
        <w:rPr>
          <w:sz w:val="36"/>
          <w:szCs w:val="36"/>
        </w:rPr>
      </w:pPr>
      <w:r w:rsidRPr="001B3958">
        <w:rPr>
          <w:sz w:val="36"/>
          <w:szCs w:val="36"/>
        </w:rPr>
        <w:t>Type of Action</w:t>
      </w:r>
    </w:p>
    <w:p w:rsidR="007B1743" w:rsidRPr="007B1743" w:rsidRDefault="007B1743" w:rsidP="00856023">
      <w:pPr>
        <w:spacing w:after="480"/>
      </w:pPr>
      <w:r>
        <w:t>Action, Information</w:t>
      </w:r>
    </w:p>
    <w:p w:rsidR="001B619B" w:rsidRPr="00FD7887" w:rsidRDefault="00FC1FCE" w:rsidP="00856023">
      <w:pPr>
        <w:pStyle w:val="Heading2"/>
        <w:spacing w:before="0" w:after="240"/>
        <w:rPr>
          <w:sz w:val="36"/>
          <w:szCs w:val="36"/>
        </w:rPr>
      </w:pPr>
      <w:r w:rsidRPr="001B3958">
        <w:rPr>
          <w:sz w:val="36"/>
          <w:szCs w:val="36"/>
        </w:rPr>
        <w:t>Summary of the Issue(s)</w:t>
      </w:r>
    </w:p>
    <w:p w:rsidR="008524BD" w:rsidRDefault="008524BD" w:rsidP="0036133A">
      <w:pPr>
        <w:numPr>
          <w:ilvl w:val="0"/>
          <w:numId w:val="8"/>
        </w:numPr>
        <w:spacing w:after="240"/>
        <w:ind w:left="547"/>
        <w:rPr>
          <w:rFonts w:cs="Arial"/>
        </w:rPr>
      </w:pPr>
      <w:r>
        <w:rPr>
          <w:rFonts w:cs="Arial"/>
        </w:rPr>
        <w:t>Officer Elections</w:t>
      </w:r>
    </w:p>
    <w:p w:rsidR="003250F1" w:rsidRDefault="007B1743" w:rsidP="0036133A">
      <w:pPr>
        <w:numPr>
          <w:ilvl w:val="0"/>
          <w:numId w:val="8"/>
        </w:numPr>
        <w:spacing w:after="240"/>
        <w:ind w:left="547"/>
        <w:rPr>
          <w:rFonts w:cs="Arial"/>
        </w:rPr>
      </w:pPr>
      <w:r w:rsidRPr="00A40472">
        <w:rPr>
          <w:rFonts w:cs="Arial"/>
        </w:rPr>
        <w:t xml:space="preserve">SBE Draft Preliminary Report of Actions/Minutes for the </w:t>
      </w:r>
      <w:r w:rsidR="009736A3">
        <w:rPr>
          <w:rFonts w:cs="Arial"/>
        </w:rPr>
        <w:t xml:space="preserve">November </w:t>
      </w:r>
      <w:r w:rsidR="00D63E1B">
        <w:rPr>
          <w:rFonts w:cs="Arial"/>
        </w:rPr>
        <w:t>5-</w:t>
      </w:r>
      <w:r w:rsidR="009736A3">
        <w:rPr>
          <w:rFonts w:cs="Arial"/>
        </w:rPr>
        <w:t>6</w:t>
      </w:r>
      <w:r w:rsidR="00D63E1B">
        <w:rPr>
          <w:rFonts w:cs="Arial"/>
        </w:rPr>
        <w:t>, 2020</w:t>
      </w:r>
      <w:r w:rsidR="00D31593">
        <w:rPr>
          <w:rFonts w:cs="Arial"/>
        </w:rPr>
        <w:t xml:space="preserve"> </w:t>
      </w:r>
      <w:r w:rsidR="00A367C5">
        <w:rPr>
          <w:rFonts w:cs="Arial"/>
        </w:rPr>
        <w:t>meeting</w:t>
      </w:r>
      <w:r w:rsidRPr="00A40472">
        <w:rPr>
          <w:rFonts w:cs="Arial"/>
        </w:rPr>
        <w:t xml:space="preserve"> </w:t>
      </w:r>
    </w:p>
    <w:p w:rsidR="0036133A" w:rsidRPr="004F337B" w:rsidRDefault="0036133A" w:rsidP="0036133A">
      <w:pPr>
        <w:numPr>
          <w:ilvl w:val="0"/>
          <w:numId w:val="8"/>
        </w:numPr>
        <w:spacing w:after="240"/>
        <w:ind w:left="547"/>
        <w:rPr>
          <w:rFonts w:cs="Arial"/>
        </w:rPr>
      </w:pPr>
      <w:r w:rsidRPr="004F337B">
        <w:rPr>
          <w:rFonts w:cs="Arial"/>
        </w:rPr>
        <w:t xml:space="preserve">SBE Screening Committee recommendations regarding appointments to the Advisory Commission on </w:t>
      </w:r>
      <w:r w:rsidR="009736A3">
        <w:rPr>
          <w:rFonts w:cs="Arial"/>
        </w:rPr>
        <w:t>Charter Schools</w:t>
      </w:r>
      <w:r w:rsidRPr="004F337B">
        <w:rPr>
          <w:rFonts w:cs="Arial"/>
        </w:rPr>
        <w:t xml:space="preserve"> </w:t>
      </w:r>
      <w:r w:rsidR="00680960">
        <w:rPr>
          <w:rFonts w:cs="Arial"/>
        </w:rPr>
        <w:t>(ACCS)</w:t>
      </w:r>
    </w:p>
    <w:p w:rsidR="0036133A" w:rsidRDefault="0036133A" w:rsidP="0036133A">
      <w:pPr>
        <w:numPr>
          <w:ilvl w:val="0"/>
          <w:numId w:val="8"/>
        </w:numPr>
        <w:spacing w:after="360"/>
        <w:ind w:left="547"/>
        <w:rPr>
          <w:rFonts w:cs="Arial"/>
        </w:rPr>
      </w:pPr>
      <w:r w:rsidRPr="00A40472">
        <w:rPr>
          <w:rFonts w:cs="Arial"/>
        </w:rPr>
        <w:t>Board member liaison reports</w:t>
      </w:r>
    </w:p>
    <w:p w:rsidR="00680960" w:rsidRPr="00A40472" w:rsidRDefault="00680960" w:rsidP="0036133A">
      <w:pPr>
        <w:numPr>
          <w:ilvl w:val="0"/>
          <w:numId w:val="8"/>
        </w:numPr>
        <w:spacing w:after="360"/>
        <w:ind w:left="547"/>
        <w:rPr>
          <w:rFonts w:cs="Arial"/>
        </w:rPr>
      </w:pPr>
      <w:r>
        <w:rPr>
          <w:rFonts w:cs="Arial"/>
        </w:rPr>
        <w:t xml:space="preserve">Revised SBE ACCS Policy </w:t>
      </w:r>
    </w:p>
    <w:p w:rsidR="003E4DF7" w:rsidRDefault="003E4DF7" w:rsidP="00856023">
      <w:pPr>
        <w:pStyle w:val="Heading2"/>
        <w:spacing w:before="0" w:after="240"/>
        <w:rPr>
          <w:sz w:val="36"/>
          <w:szCs w:val="36"/>
        </w:rPr>
      </w:pPr>
      <w:r>
        <w:rPr>
          <w:sz w:val="36"/>
          <w:szCs w:val="36"/>
        </w:rPr>
        <w:t>Recommendation</w:t>
      </w:r>
    </w:p>
    <w:p w:rsidR="0036133A" w:rsidRDefault="0036133A" w:rsidP="0036133A">
      <w:r w:rsidRPr="0036133A">
        <w:t>The SBE staff recommends that the SBE:</w:t>
      </w:r>
    </w:p>
    <w:p w:rsidR="008524BD" w:rsidRPr="0036133A" w:rsidRDefault="008524BD" w:rsidP="0036133A"/>
    <w:p w:rsidR="008524BD" w:rsidRPr="008524BD" w:rsidRDefault="008524BD" w:rsidP="008524BD">
      <w:pPr>
        <w:numPr>
          <w:ilvl w:val="0"/>
          <w:numId w:val="11"/>
        </w:numPr>
        <w:spacing w:after="240"/>
        <w:rPr>
          <w:rFonts w:cs="Arial"/>
        </w:rPr>
      </w:pPr>
      <w:r>
        <w:rPr>
          <w:rFonts w:cs="Arial"/>
        </w:rPr>
        <w:t>Take up annual election of officers</w:t>
      </w:r>
    </w:p>
    <w:p w:rsidR="0036133A" w:rsidRPr="0036133A" w:rsidRDefault="0036133A" w:rsidP="0036133A">
      <w:pPr>
        <w:pStyle w:val="ListParagraph"/>
        <w:numPr>
          <w:ilvl w:val="0"/>
          <w:numId w:val="11"/>
        </w:numPr>
        <w:spacing w:before="240"/>
        <w:contextualSpacing w:val="0"/>
      </w:pPr>
      <w:r w:rsidRPr="0036133A">
        <w:lastRenderedPageBreak/>
        <w:t>Approve the Preliminary Report of Actions</w:t>
      </w:r>
      <w:r>
        <w:t xml:space="preserve">/Minutes for the </w:t>
      </w:r>
      <w:r w:rsidR="009736A3">
        <w:rPr>
          <w:rFonts w:cs="Arial"/>
        </w:rPr>
        <w:t xml:space="preserve">November </w:t>
      </w:r>
      <w:r w:rsidR="00D63E1B">
        <w:rPr>
          <w:rFonts w:cs="Arial"/>
        </w:rPr>
        <w:t>5-</w:t>
      </w:r>
      <w:r w:rsidR="009736A3">
        <w:rPr>
          <w:rFonts w:cs="Arial"/>
        </w:rPr>
        <w:t>6</w:t>
      </w:r>
      <w:r w:rsidR="00D63E1B">
        <w:t>, 2020</w:t>
      </w:r>
      <w:r w:rsidRPr="0036133A">
        <w:t xml:space="preserve"> meeting. (Attachment 1)</w:t>
      </w:r>
    </w:p>
    <w:p w:rsidR="0036133A" w:rsidRPr="00680960" w:rsidRDefault="0036133A" w:rsidP="0036133A">
      <w:pPr>
        <w:pStyle w:val="ListParagraph"/>
        <w:numPr>
          <w:ilvl w:val="0"/>
          <w:numId w:val="11"/>
        </w:numPr>
        <w:spacing w:before="240" w:after="360"/>
        <w:contextualSpacing w:val="0"/>
        <w:rPr>
          <w:b/>
        </w:rPr>
      </w:pPr>
      <w:r w:rsidRPr="004F337B">
        <w:t xml:space="preserve">Consider the SBE Screening recommendations for appointments to the </w:t>
      </w:r>
      <w:r w:rsidR="009736A3" w:rsidRPr="004F337B">
        <w:rPr>
          <w:rFonts w:cs="Arial"/>
        </w:rPr>
        <w:t xml:space="preserve">Advisory Commission on </w:t>
      </w:r>
      <w:r w:rsidR="009736A3">
        <w:rPr>
          <w:rFonts w:cs="Arial"/>
        </w:rPr>
        <w:t>Charter Schools</w:t>
      </w:r>
      <w:r w:rsidRPr="004F337B">
        <w:t>. (Attachment 2)</w:t>
      </w:r>
    </w:p>
    <w:p w:rsidR="00680960" w:rsidRPr="004F337B" w:rsidRDefault="00680960" w:rsidP="0036133A">
      <w:pPr>
        <w:pStyle w:val="ListParagraph"/>
        <w:numPr>
          <w:ilvl w:val="0"/>
          <w:numId w:val="11"/>
        </w:numPr>
        <w:spacing w:before="240" w:after="360"/>
        <w:contextualSpacing w:val="0"/>
        <w:rPr>
          <w:b/>
        </w:rPr>
      </w:pPr>
      <w:r>
        <w:t>Approve the revised ACCS Policy (Attachment 3)</w:t>
      </w:r>
    </w:p>
    <w:p w:rsidR="00F40510" w:rsidRPr="0036133A" w:rsidRDefault="003E4DF7" w:rsidP="0036133A">
      <w:pPr>
        <w:pStyle w:val="Heading2"/>
        <w:spacing w:after="240"/>
        <w:rPr>
          <w:sz w:val="36"/>
        </w:rPr>
      </w:pPr>
      <w:r w:rsidRPr="0036133A">
        <w:rPr>
          <w:sz w:val="36"/>
        </w:rPr>
        <w:t>Brief History of Key Issues</w:t>
      </w:r>
    </w:p>
    <w:p w:rsidR="00680960" w:rsidRDefault="00680960" w:rsidP="00680960">
      <w:pPr>
        <w:rPr>
          <w:rFonts w:cs="Arial"/>
          <w:b/>
        </w:rPr>
      </w:pPr>
      <w:r>
        <w:rPr>
          <w:rFonts w:cs="Arial"/>
          <w:b/>
        </w:rPr>
        <w:t>Revised ACCS Policy</w:t>
      </w:r>
    </w:p>
    <w:p w:rsidR="00680960" w:rsidRDefault="00680960" w:rsidP="00680960">
      <w:pPr>
        <w:rPr>
          <w:rFonts w:cs="Arial"/>
          <w:b/>
        </w:rPr>
      </w:pPr>
    </w:p>
    <w:p w:rsidR="00680960" w:rsidRDefault="00680960" w:rsidP="00680960">
      <w:pPr>
        <w:rPr>
          <w:rFonts w:cs="Arial"/>
        </w:rPr>
      </w:pPr>
      <w:r>
        <w:rPr>
          <w:rFonts w:cs="Arial"/>
        </w:rPr>
        <w:t>The Advisory Commission on Charter Schools (ACCS) is governed by State Board of Education (SBE) Policy #01-04, which was last revised by the SBE in April 2002.  This policy governs the operations of the ACCS, including the duties of the ACCS as delegated to it by statute and the SBE, quorum and voting requirements, and the role of the Chair.  The ACCS does not adopt bylaws.</w:t>
      </w:r>
    </w:p>
    <w:p w:rsidR="00680960" w:rsidRDefault="00680960" w:rsidP="00680960">
      <w:pPr>
        <w:rPr>
          <w:rFonts w:cs="Arial"/>
        </w:rPr>
      </w:pPr>
    </w:p>
    <w:p w:rsidR="00680960" w:rsidRDefault="00680960" w:rsidP="00680960">
      <w:pPr>
        <w:rPr>
          <w:rFonts w:cs="Arial"/>
        </w:rPr>
      </w:pPr>
      <w:r w:rsidRPr="0094127B">
        <w:rPr>
          <w:rFonts w:cs="Arial"/>
        </w:rPr>
        <w:t xml:space="preserve">AB 1505 (Chapter 486, Statutes of 2019) amended </w:t>
      </w:r>
      <w:r w:rsidRPr="0094127B">
        <w:rPr>
          <w:rFonts w:cs="Arial"/>
          <w:i/>
        </w:rPr>
        <w:t xml:space="preserve">Education Code </w:t>
      </w:r>
      <w:r w:rsidRPr="002C62A5">
        <w:rPr>
          <w:rFonts w:cs="Arial"/>
          <w:i/>
        </w:rPr>
        <w:t>(EC)</w:t>
      </w:r>
      <w:r>
        <w:rPr>
          <w:rFonts w:cs="Arial"/>
        </w:rPr>
        <w:t xml:space="preserve"> s</w:t>
      </w:r>
      <w:r w:rsidRPr="0094127B">
        <w:rPr>
          <w:rFonts w:cs="Arial"/>
        </w:rPr>
        <w:t xml:space="preserve">ection 47605 </w:t>
      </w:r>
      <w:r>
        <w:rPr>
          <w:rFonts w:cs="Arial"/>
        </w:rPr>
        <w:t>to change</w:t>
      </w:r>
      <w:r w:rsidRPr="0094127B">
        <w:rPr>
          <w:rFonts w:cs="Arial"/>
        </w:rPr>
        <w:t xml:space="preserve"> the standard under which the SBE reviews an appeal</w:t>
      </w:r>
      <w:r>
        <w:rPr>
          <w:rFonts w:cs="Arial"/>
        </w:rPr>
        <w:t xml:space="preserve"> of a denial by a district governing board or county board of education to establish a new charter school or deny renewal of an existing charter school</w:t>
      </w:r>
      <w:r w:rsidRPr="0094127B">
        <w:rPr>
          <w:rFonts w:cs="Arial"/>
        </w:rPr>
        <w:t xml:space="preserve">. </w:t>
      </w:r>
      <w:r>
        <w:rPr>
          <w:rFonts w:cs="Arial"/>
        </w:rPr>
        <w:t xml:space="preserve">Pursuant to </w:t>
      </w:r>
      <w:r>
        <w:rPr>
          <w:rFonts w:cs="Arial"/>
          <w:i/>
        </w:rPr>
        <w:t xml:space="preserve">EC </w:t>
      </w:r>
      <w:r>
        <w:rPr>
          <w:rFonts w:cs="Arial"/>
        </w:rPr>
        <w:t>47605(k)(2)(E), the SBE shall either hear an appeal or summarily deny review of the appeal based on the documentary record.  If the SBE hears the appeal, the SBE may affirm the determination of either the district governing board or county board or may reverse only upon a determination that there has been an abuse of discretion.</w:t>
      </w:r>
    </w:p>
    <w:p w:rsidR="00680960" w:rsidRDefault="00680960" w:rsidP="00680960">
      <w:pPr>
        <w:rPr>
          <w:rFonts w:cs="Arial"/>
        </w:rPr>
      </w:pPr>
    </w:p>
    <w:p w:rsidR="00680960" w:rsidRDefault="00680960" w:rsidP="00680960">
      <w:pPr>
        <w:rPr>
          <w:rFonts w:cs="Arial"/>
        </w:rPr>
      </w:pPr>
      <w:r>
        <w:rPr>
          <w:rFonts w:cs="Arial"/>
        </w:rPr>
        <w:t xml:space="preserve">While prior to AB 1505 the ACCS heard appeals and made a recommendation to the SBE regarding those appeals, this role was not required by statute, but was instead authorized by the terms of this SBE policy.  </w:t>
      </w:r>
      <w:r w:rsidRPr="00CE4755">
        <w:rPr>
          <w:rFonts w:cs="Arial"/>
        </w:rPr>
        <w:t xml:space="preserve">AB 1505 </w:t>
      </w:r>
      <w:r>
        <w:rPr>
          <w:rFonts w:cs="Arial"/>
        </w:rPr>
        <w:t xml:space="preserve">has now added a statutory role for the ACCS in the reviewing of appeals which necessitates action by the SBE to update the policy. </w:t>
      </w:r>
    </w:p>
    <w:p w:rsidR="00680960" w:rsidRDefault="00680960" w:rsidP="00680960">
      <w:pPr>
        <w:rPr>
          <w:rFonts w:cs="Arial"/>
        </w:rPr>
      </w:pPr>
    </w:p>
    <w:p w:rsidR="00680960" w:rsidRDefault="00680960" w:rsidP="00680960">
      <w:pPr>
        <w:rPr>
          <w:rFonts w:cs="Arial"/>
        </w:rPr>
      </w:pPr>
      <w:r>
        <w:rPr>
          <w:rFonts w:cs="Arial"/>
        </w:rPr>
        <w:t>Specific changes to the policy include:</w:t>
      </w:r>
    </w:p>
    <w:p w:rsidR="00680960" w:rsidRDefault="00680960" w:rsidP="00680960">
      <w:pPr>
        <w:rPr>
          <w:rFonts w:cs="Arial"/>
        </w:rPr>
      </w:pPr>
    </w:p>
    <w:p w:rsidR="00680960" w:rsidRDefault="00680960" w:rsidP="00680960">
      <w:pPr>
        <w:ind w:left="360" w:hanging="360"/>
        <w:rPr>
          <w:rFonts w:cs="Arial"/>
        </w:rPr>
      </w:pPr>
      <w:r>
        <w:rPr>
          <w:rFonts w:cs="Arial"/>
        </w:rPr>
        <w:t>1.</w:t>
      </w:r>
      <w:r>
        <w:rPr>
          <w:rFonts w:cs="Arial"/>
        </w:rPr>
        <w:tab/>
        <w:t>In the “Membership” section:</w:t>
      </w:r>
      <w:bookmarkStart w:id="0" w:name="_GoBack"/>
      <w:bookmarkEnd w:id="0"/>
    </w:p>
    <w:p w:rsidR="00680960" w:rsidRDefault="00680960" w:rsidP="00680960">
      <w:pPr>
        <w:ind w:left="360" w:hanging="360"/>
        <w:rPr>
          <w:rFonts w:cs="Arial"/>
        </w:rPr>
      </w:pPr>
    </w:p>
    <w:p w:rsidR="00680960" w:rsidRPr="002C62A5" w:rsidRDefault="00680960" w:rsidP="00680960">
      <w:pPr>
        <w:pStyle w:val="ListParagraph"/>
        <w:numPr>
          <w:ilvl w:val="0"/>
          <w:numId w:val="12"/>
        </w:numPr>
        <w:ind w:left="360" w:firstLine="0"/>
        <w:rPr>
          <w:rFonts w:cs="Arial"/>
        </w:rPr>
      </w:pPr>
      <w:r>
        <w:rPr>
          <w:rFonts w:cs="Arial"/>
        </w:rPr>
        <w:t>Deleting an outdated section</w:t>
      </w:r>
      <w:r w:rsidR="00B30348">
        <w:rPr>
          <w:rFonts w:cs="Arial"/>
        </w:rPr>
        <w:t xml:space="preserve"> related to initial appointments to the ACCS</w:t>
      </w:r>
    </w:p>
    <w:p w:rsidR="00680960" w:rsidRDefault="00680960" w:rsidP="00680960">
      <w:pPr>
        <w:ind w:left="360" w:hanging="360"/>
        <w:rPr>
          <w:rFonts w:cs="Arial"/>
        </w:rPr>
      </w:pPr>
    </w:p>
    <w:p w:rsidR="00680960" w:rsidRDefault="00680960" w:rsidP="00680960">
      <w:pPr>
        <w:ind w:left="360" w:hanging="360"/>
        <w:rPr>
          <w:rFonts w:cs="Arial"/>
        </w:rPr>
      </w:pPr>
      <w:r>
        <w:rPr>
          <w:rFonts w:cs="Arial"/>
        </w:rPr>
        <w:t>2.</w:t>
      </w:r>
      <w:r>
        <w:rPr>
          <w:rFonts w:cs="Arial"/>
        </w:rPr>
        <w:tab/>
        <w:t>In the “Background Statement” section:</w:t>
      </w:r>
    </w:p>
    <w:p w:rsidR="00680960" w:rsidRDefault="00680960" w:rsidP="00680960">
      <w:pPr>
        <w:ind w:left="360" w:hanging="360"/>
        <w:rPr>
          <w:rFonts w:cs="Arial"/>
        </w:rPr>
      </w:pPr>
    </w:p>
    <w:p w:rsidR="00680960" w:rsidRDefault="00680960" w:rsidP="00680960">
      <w:pPr>
        <w:pStyle w:val="ListParagraph"/>
        <w:numPr>
          <w:ilvl w:val="0"/>
          <w:numId w:val="13"/>
        </w:numPr>
        <w:rPr>
          <w:rFonts w:cs="Arial"/>
        </w:rPr>
      </w:pPr>
      <w:r>
        <w:rPr>
          <w:rFonts w:cs="Arial"/>
        </w:rPr>
        <w:t>Updating the first paragraph to fully state the legislative intent of the Charter Schools Act</w:t>
      </w:r>
      <w:r>
        <w:rPr>
          <w:rFonts w:cs="Arial"/>
        </w:rPr>
        <w:br/>
      </w:r>
    </w:p>
    <w:p w:rsidR="00680960" w:rsidRPr="00B17D7E" w:rsidRDefault="00680960" w:rsidP="00680960">
      <w:pPr>
        <w:pStyle w:val="ListParagraph"/>
        <w:numPr>
          <w:ilvl w:val="0"/>
          <w:numId w:val="13"/>
        </w:numPr>
        <w:rPr>
          <w:rFonts w:ascii="Helvetica" w:hAnsi="Helvetica" w:cs="Helvetica"/>
          <w:sz w:val="20"/>
          <w:szCs w:val="20"/>
        </w:rPr>
      </w:pPr>
      <w:r w:rsidRPr="00B17D7E">
        <w:rPr>
          <w:rFonts w:cs="Arial"/>
        </w:rPr>
        <w:t xml:space="preserve">Updating the “Role of the SBE” to incorporate changes made by </w:t>
      </w:r>
      <w:r>
        <w:rPr>
          <w:rFonts w:cs="Arial"/>
        </w:rPr>
        <w:t xml:space="preserve">AB 1505 </w:t>
      </w:r>
    </w:p>
    <w:p w:rsidR="00680960" w:rsidRDefault="00680960" w:rsidP="00B30348">
      <w:pPr>
        <w:ind w:left="360" w:hanging="360"/>
        <w:rPr>
          <w:rFonts w:cs="Arial"/>
        </w:rPr>
      </w:pPr>
      <w:r>
        <w:rPr>
          <w:rFonts w:cs="Arial"/>
        </w:rPr>
        <w:lastRenderedPageBreak/>
        <w:t>3.</w:t>
      </w:r>
      <w:r>
        <w:rPr>
          <w:rFonts w:cs="Arial"/>
        </w:rPr>
        <w:tab/>
        <w:t>In the “Duties” section:</w:t>
      </w:r>
    </w:p>
    <w:p w:rsidR="00680960" w:rsidRDefault="00680960" w:rsidP="00680960">
      <w:pPr>
        <w:ind w:left="360" w:hanging="360"/>
        <w:rPr>
          <w:rFonts w:cs="Arial"/>
        </w:rPr>
      </w:pPr>
    </w:p>
    <w:p w:rsidR="00680960" w:rsidRDefault="00680960" w:rsidP="00680960">
      <w:pPr>
        <w:pStyle w:val="ListParagraph"/>
        <w:numPr>
          <w:ilvl w:val="0"/>
          <w:numId w:val="14"/>
        </w:numPr>
        <w:rPr>
          <w:rFonts w:cs="Arial"/>
        </w:rPr>
      </w:pPr>
      <w:r>
        <w:rPr>
          <w:rFonts w:cs="Arial"/>
        </w:rPr>
        <w:t>Updating to reflect AB 1505, including the requirement that the ACCS make a recommendation to the SBE whether there is sufficient evidence to hear the appeal or to summarily deny review of the appeal based on the documentary record</w:t>
      </w:r>
      <w:r>
        <w:rPr>
          <w:rFonts w:cs="Arial"/>
        </w:rPr>
        <w:br/>
      </w:r>
    </w:p>
    <w:p w:rsidR="00680960" w:rsidRPr="002C62A5" w:rsidRDefault="00680960" w:rsidP="00680960">
      <w:pPr>
        <w:pStyle w:val="ListParagraph"/>
        <w:numPr>
          <w:ilvl w:val="0"/>
          <w:numId w:val="14"/>
        </w:numPr>
        <w:rPr>
          <w:rFonts w:cs="Arial"/>
        </w:rPr>
      </w:pPr>
      <w:r>
        <w:rPr>
          <w:rFonts w:cs="Arial"/>
        </w:rPr>
        <w:t>Adding language to maintain the discretion of the SBE to allow the ACCS to perform other duties as assigned by the SBE President</w:t>
      </w:r>
    </w:p>
    <w:p w:rsidR="00680960" w:rsidRDefault="00680960" w:rsidP="00680960">
      <w:pPr>
        <w:ind w:left="360" w:hanging="360"/>
        <w:rPr>
          <w:rFonts w:cs="Arial"/>
        </w:rPr>
      </w:pPr>
    </w:p>
    <w:p w:rsidR="00680960" w:rsidRDefault="00680960" w:rsidP="00680960">
      <w:pPr>
        <w:ind w:left="360" w:hanging="360"/>
        <w:rPr>
          <w:rFonts w:cs="Arial"/>
        </w:rPr>
      </w:pPr>
      <w:r>
        <w:rPr>
          <w:rFonts w:cs="Arial"/>
        </w:rPr>
        <w:t>4.</w:t>
      </w:r>
      <w:r>
        <w:rPr>
          <w:rFonts w:cs="Arial"/>
        </w:rPr>
        <w:tab/>
        <w:t>Adding a new section entitled “Public Hearings” to specify that the ACCS shall conduct public hearings pursuant to SBE bylaws, which is consistent with the current ACCS practice.</w:t>
      </w:r>
    </w:p>
    <w:p w:rsidR="00680960" w:rsidRDefault="00680960" w:rsidP="00680960">
      <w:pPr>
        <w:ind w:left="360" w:hanging="360"/>
        <w:rPr>
          <w:rFonts w:cs="Arial"/>
        </w:rPr>
      </w:pPr>
    </w:p>
    <w:p w:rsidR="00680960" w:rsidRDefault="00680960" w:rsidP="00680960">
      <w:pPr>
        <w:ind w:left="360" w:hanging="360"/>
        <w:rPr>
          <w:rFonts w:cs="Arial"/>
        </w:rPr>
      </w:pPr>
      <w:r>
        <w:rPr>
          <w:rFonts w:cs="Arial"/>
        </w:rPr>
        <w:t>5.</w:t>
      </w:r>
      <w:r>
        <w:rPr>
          <w:rFonts w:cs="Arial"/>
        </w:rPr>
        <w:tab/>
        <w:t>In the “Chair and Rules of Governance” section, adding a provision to allow the SBE to a</w:t>
      </w:r>
      <w:r w:rsidR="00B30348">
        <w:rPr>
          <w:rFonts w:cs="Arial"/>
        </w:rPr>
        <w:t>ppoint a vice-chair to the ACCS</w:t>
      </w:r>
    </w:p>
    <w:p w:rsidR="00680960" w:rsidRDefault="00680960" w:rsidP="00680960">
      <w:pPr>
        <w:ind w:left="360" w:hanging="360"/>
        <w:rPr>
          <w:rFonts w:cs="Arial"/>
        </w:rPr>
      </w:pPr>
    </w:p>
    <w:p w:rsidR="00680960" w:rsidRDefault="00680960" w:rsidP="00680960">
      <w:pPr>
        <w:ind w:left="360" w:hanging="360"/>
        <w:rPr>
          <w:rFonts w:cs="Arial"/>
        </w:rPr>
      </w:pPr>
      <w:r>
        <w:rPr>
          <w:rFonts w:cs="Arial"/>
        </w:rPr>
        <w:t xml:space="preserve">6. </w:t>
      </w:r>
      <w:r>
        <w:rPr>
          <w:rFonts w:cs="Arial"/>
        </w:rPr>
        <w:tab/>
        <w:t xml:space="preserve">In the “Frequency of Meetings” section, revising to reflect current practice that ACCS meetings are scheduled as necessary when items are received </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7B1743" w:rsidRPr="00A40472" w:rsidRDefault="007B1743" w:rsidP="007B1743">
      <w:pPr>
        <w:rPr>
          <w:snapToGrid w:val="0"/>
        </w:rPr>
      </w:pPr>
      <w:r w:rsidRPr="00A40472">
        <w:rPr>
          <w:snapToGrid w:val="0"/>
        </w:rPr>
        <w:t xml:space="preserve">At each regular meeting, the State Board has traditionally had an agenda item under which to address “housekeeping” matters, such as agenda planning, non-closed session litigation updates, non-controversial proclamations and resolutions, bylaw </w:t>
      </w:r>
    </w:p>
    <w:p w:rsidR="007B1743" w:rsidRPr="007B1743" w:rsidRDefault="007B1743" w:rsidP="000527D4">
      <w:pPr>
        <w:spacing w:after="480"/>
      </w:pPr>
      <w:r w:rsidRPr="00A40472">
        <w:rPr>
          <w:snapToGrid w:val="0"/>
        </w:rPr>
        <w:t>review and revision, Board policy; Board minutes; Board liaison reports; and other matters of interest. The State Board has asked that this item be placed appropriately on each agenda.</w:t>
      </w:r>
    </w:p>
    <w:p w:rsidR="003E4DF7" w:rsidRDefault="003E4DF7" w:rsidP="002B4B14">
      <w:pPr>
        <w:pStyle w:val="Heading2"/>
        <w:spacing w:before="240" w:after="240"/>
        <w:rPr>
          <w:sz w:val="36"/>
          <w:szCs w:val="36"/>
        </w:rPr>
      </w:pPr>
      <w:r>
        <w:rPr>
          <w:sz w:val="36"/>
          <w:szCs w:val="36"/>
        </w:rPr>
        <w:t>Fiscal Analysis (as appropriate)</w:t>
      </w:r>
    </w:p>
    <w:p w:rsidR="007B1743" w:rsidRPr="007B1743" w:rsidRDefault="007B1743" w:rsidP="000527D4">
      <w:pPr>
        <w:spacing w:after="480"/>
      </w:pPr>
      <w:r w:rsidRPr="00A40472">
        <w:rPr>
          <w:rFonts w:cs="Arial"/>
        </w:rPr>
        <w:t>Not applicable.</w:t>
      </w:r>
    </w:p>
    <w:p w:rsidR="00406F50" w:rsidRDefault="00406F50" w:rsidP="002B4B14">
      <w:pPr>
        <w:pStyle w:val="Heading2"/>
        <w:spacing w:before="240" w:after="240"/>
        <w:rPr>
          <w:sz w:val="36"/>
          <w:szCs w:val="36"/>
        </w:rPr>
      </w:pPr>
      <w:r w:rsidRPr="001B3958">
        <w:rPr>
          <w:sz w:val="36"/>
          <w:szCs w:val="36"/>
        </w:rPr>
        <w:t>Attachment(s)</w:t>
      </w:r>
    </w:p>
    <w:p w:rsidR="007B1743" w:rsidRDefault="007B1743" w:rsidP="000527D4">
      <w:pPr>
        <w:widowControl w:val="0"/>
        <w:ind w:left="1620" w:hanging="1620"/>
        <w:rPr>
          <w:rFonts w:cs="Arial"/>
          <w:snapToGrid w:val="0"/>
          <w:color w:val="000000"/>
        </w:rPr>
      </w:pPr>
      <w:r w:rsidRPr="00A40472">
        <w:rPr>
          <w:snapToGrid w:val="0"/>
          <w:szCs w:val="20"/>
        </w:rPr>
        <w:t>Attachment 1:</w:t>
      </w:r>
      <w:r w:rsidRPr="00A40472">
        <w:rPr>
          <w:snapToGrid w:val="0"/>
          <w:szCs w:val="20"/>
        </w:rPr>
        <w:tab/>
        <w:t>State Board of Education Draft Preliminary Report of Ac</w:t>
      </w:r>
      <w:r>
        <w:rPr>
          <w:snapToGrid w:val="0"/>
          <w:szCs w:val="20"/>
        </w:rPr>
        <w:t xml:space="preserve">tions/Minutes for </w:t>
      </w:r>
      <w:r w:rsidR="00A367C5" w:rsidRPr="00A40472">
        <w:rPr>
          <w:rFonts w:cs="Arial"/>
        </w:rPr>
        <w:t xml:space="preserve">the </w:t>
      </w:r>
      <w:r w:rsidR="009736A3">
        <w:rPr>
          <w:rFonts w:cs="Arial"/>
        </w:rPr>
        <w:t xml:space="preserve">November </w:t>
      </w:r>
      <w:r w:rsidR="00D63E1B">
        <w:rPr>
          <w:rFonts w:cs="Arial"/>
        </w:rPr>
        <w:t>5-</w:t>
      </w:r>
      <w:r w:rsidR="009736A3">
        <w:rPr>
          <w:rFonts w:cs="Arial"/>
        </w:rPr>
        <w:t>6</w:t>
      </w:r>
      <w:r w:rsidR="00C52CD9" w:rsidRPr="004F337B">
        <w:rPr>
          <w:rFonts w:cs="Arial"/>
        </w:rPr>
        <w:t>, 2019</w:t>
      </w:r>
      <w:r w:rsidR="00A367C5" w:rsidRPr="004F337B">
        <w:rPr>
          <w:rFonts w:cs="Arial"/>
        </w:rPr>
        <w:t xml:space="preserve"> meeting </w:t>
      </w:r>
      <w:r w:rsidR="0036133A" w:rsidRPr="004F337B">
        <w:rPr>
          <w:snapToGrid w:val="0"/>
          <w:szCs w:val="20"/>
        </w:rPr>
        <w:t>(</w:t>
      </w:r>
      <w:r w:rsidR="00D63E1B">
        <w:rPr>
          <w:snapToGrid w:val="0"/>
          <w:szCs w:val="20"/>
        </w:rPr>
        <w:t>15</w:t>
      </w:r>
      <w:r w:rsidR="00D31593" w:rsidRPr="004F337B">
        <w:rPr>
          <w:snapToGrid w:val="0"/>
          <w:szCs w:val="20"/>
        </w:rPr>
        <w:t xml:space="preserve"> Pages) </w:t>
      </w:r>
      <w:r w:rsidRPr="004F337B">
        <w:rPr>
          <w:snapToGrid w:val="0"/>
          <w:szCs w:val="20"/>
        </w:rPr>
        <w:t>may</w:t>
      </w:r>
      <w:r w:rsidRPr="00A40472">
        <w:rPr>
          <w:snapToGrid w:val="0"/>
          <w:szCs w:val="20"/>
        </w:rPr>
        <w:t xml:space="preserve"> be viewed at the following link:</w:t>
      </w:r>
      <w:r w:rsidRPr="00A40472">
        <w:rPr>
          <w:rFonts w:cs="Arial"/>
          <w:snapToGrid w:val="0"/>
          <w:color w:val="000000"/>
        </w:rPr>
        <w:t xml:space="preserve">  </w:t>
      </w:r>
      <w:hyperlink r:id="rId9" w:tooltip="July 11-12, 2018 meeting minutes" w:history="1">
        <w:r w:rsidRPr="00A40472">
          <w:rPr>
            <w:rFonts w:cs="Arial"/>
            <w:snapToGrid w:val="0"/>
            <w:color w:val="0000FF"/>
            <w:u w:val="single"/>
          </w:rPr>
          <w:t>http://www.cde.ca.gov/be/mt/ms/</w:t>
        </w:r>
      </w:hyperlink>
      <w:r w:rsidRPr="00A40472">
        <w:rPr>
          <w:rFonts w:cs="Arial"/>
          <w:snapToGrid w:val="0"/>
          <w:color w:val="000000"/>
        </w:rPr>
        <w:t xml:space="preserve">. </w:t>
      </w:r>
    </w:p>
    <w:p w:rsidR="0036133A" w:rsidRDefault="0036133A" w:rsidP="0036133A">
      <w:pPr>
        <w:widowControl w:val="0"/>
        <w:spacing w:before="240"/>
        <w:ind w:left="1620" w:hanging="1620"/>
        <w:rPr>
          <w:rFonts w:cs="Arial"/>
          <w:snapToGrid w:val="0"/>
          <w:color w:val="000000"/>
        </w:rPr>
      </w:pPr>
      <w:r w:rsidRPr="00A40472">
        <w:rPr>
          <w:rFonts w:cs="Arial"/>
          <w:snapToGrid w:val="0"/>
          <w:color w:val="000000"/>
        </w:rPr>
        <w:t xml:space="preserve">Attachment </w:t>
      </w:r>
      <w:r w:rsidRPr="00BB6DA5">
        <w:rPr>
          <w:rFonts w:cs="Arial"/>
          <w:snapToGrid w:val="0"/>
          <w:color w:val="000000"/>
        </w:rPr>
        <w:t xml:space="preserve">2:  State Board of Education Screening Committee Recommendations for Appointments to </w:t>
      </w:r>
      <w:r w:rsidRPr="00BB6DA5">
        <w:rPr>
          <w:rFonts w:cs="Arial"/>
        </w:rPr>
        <w:t xml:space="preserve">the </w:t>
      </w:r>
      <w:r w:rsidR="009736A3" w:rsidRPr="00BB6DA5">
        <w:rPr>
          <w:rFonts w:cs="Arial"/>
        </w:rPr>
        <w:t>Advisory Commission on Charter Schools</w:t>
      </w:r>
      <w:r w:rsidRPr="00BB6DA5">
        <w:rPr>
          <w:rFonts w:cs="Arial"/>
          <w:snapToGrid w:val="0"/>
          <w:color w:val="000000"/>
        </w:rPr>
        <w:t>. This attachment will be provided as an Item Addendum</w:t>
      </w:r>
      <w:r w:rsidR="009D6D3D" w:rsidRPr="00BB6DA5">
        <w:rPr>
          <w:rFonts w:cs="Arial"/>
          <w:snapToGrid w:val="0"/>
          <w:color w:val="000000"/>
        </w:rPr>
        <w:t>.</w:t>
      </w:r>
    </w:p>
    <w:p w:rsidR="00680960" w:rsidRDefault="00FD1923" w:rsidP="0036133A">
      <w:pPr>
        <w:widowControl w:val="0"/>
        <w:spacing w:before="240"/>
        <w:ind w:left="1620" w:hanging="1620"/>
        <w:rPr>
          <w:rFonts w:cs="Arial"/>
          <w:snapToGrid w:val="0"/>
          <w:color w:val="000000"/>
        </w:rPr>
      </w:pPr>
      <w:r>
        <w:rPr>
          <w:rFonts w:cs="Arial"/>
          <w:snapToGrid w:val="0"/>
          <w:color w:val="000000"/>
        </w:rPr>
        <w:lastRenderedPageBreak/>
        <w:t>Attachment 3: Proposed Revision to the</w:t>
      </w:r>
      <w:r w:rsidR="00680960">
        <w:rPr>
          <w:rFonts w:cs="Arial"/>
          <w:snapToGrid w:val="0"/>
          <w:color w:val="000000"/>
        </w:rPr>
        <w:t xml:space="preserve"> State Board of Education Policy </w:t>
      </w:r>
      <w:r>
        <w:rPr>
          <w:rFonts w:cs="Arial"/>
          <w:snapToGrid w:val="0"/>
          <w:color w:val="000000"/>
        </w:rPr>
        <w:t>on the Advisory Commission on Charter Schools</w:t>
      </w:r>
      <w:r w:rsidR="00784387">
        <w:rPr>
          <w:rFonts w:cs="Arial"/>
          <w:snapToGrid w:val="0"/>
          <w:color w:val="000000"/>
        </w:rPr>
        <w:t xml:space="preserve"> (3 Pages)</w:t>
      </w:r>
    </w:p>
    <w:p w:rsidR="00FD1923" w:rsidRPr="007B1743" w:rsidRDefault="00FD1923" w:rsidP="0036133A">
      <w:pPr>
        <w:widowControl w:val="0"/>
        <w:spacing w:before="240"/>
        <w:ind w:left="1620" w:hanging="1620"/>
      </w:pPr>
      <w:r>
        <w:rPr>
          <w:rFonts w:cs="Arial"/>
          <w:snapToGrid w:val="0"/>
          <w:color w:val="000000"/>
        </w:rPr>
        <w:t>Attachment 4: Current State Board of Education Policy on the Advisory Commission on Charter Schools</w:t>
      </w:r>
      <w:r w:rsidR="00784387">
        <w:rPr>
          <w:rFonts w:cs="Arial"/>
          <w:snapToGrid w:val="0"/>
          <w:color w:val="000000"/>
        </w:rPr>
        <w:t xml:space="preserve"> (2 Pages)</w:t>
      </w:r>
    </w:p>
    <w:sectPr w:rsidR="00FD1923" w:rsidRPr="007B1743"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8E" w:rsidRDefault="0083318E" w:rsidP="000E09DC">
      <w:r>
        <w:separator/>
      </w:r>
    </w:p>
  </w:endnote>
  <w:endnote w:type="continuationSeparator" w:id="0">
    <w:p w:rsidR="0083318E" w:rsidRDefault="0083318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8E" w:rsidRDefault="0083318E" w:rsidP="000E09DC">
      <w:r>
        <w:separator/>
      </w:r>
    </w:p>
  </w:footnote>
  <w:footnote w:type="continuationSeparator" w:id="0">
    <w:p w:rsidR="0083318E" w:rsidRDefault="0083318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12" w:rsidRDefault="009736A3" w:rsidP="00275468">
    <w:pPr>
      <w:pStyle w:val="Header"/>
      <w:spacing w:after="100" w:afterAutospacing="1"/>
      <w:jc w:val="right"/>
      <w:rPr>
        <w:rFonts w:cs="Arial"/>
      </w:rPr>
    </w:pPr>
    <w:r>
      <w:rPr>
        <w:rFonts w:cs="Arial"/>
      </w:rPr>
      <w:t>sbe-jan20</w:t>
    </w:r>
    <w:r w:rsidR="007B1743" w:rsidRPr="007B1743">
      <w:rPr>
        <w:rFonts w:cs="Arial"/>
      </w:rPr>
      <w:t>item</w:t>
    </w:r>
    <w:r w:rsidR="007B1743" w:rsidRPr="008A192E">
      <w:rPr>
        <w:rFonts w:cs="Arial"/>
      </w:rPr>
      <w:t>01</w:t>
    </w:r>
    <w:r w:rsidR="00FD1923">
      <w:rPr>
        <w:rFonts w:cs="Arial"/>
      </w:rPr>
      <w:br/>
    </w:r>
    <w:r w:rsidR="00EB4A41" w:rsidRPr="00EB4A41">
      <w:rPr>
        <w:rFonts w:cs="Arial"/>
      </w:rPr>
      <w:t xml:space="preserve">Page </w:t>
    </w:r>
    <w:r w:rsidR="00EB4A41" w:rsidRPr="00EB4A41">
      <w:rPr>
        <w:rFonts w:cs="Arial"/>
        <w:bCs/>
      </w:rPr>
      <w:fldChar w:fldCharType="begin"/>
    </w:r>
    <w:r w:rsidR="00EB4A41" w:rsidRPr="00EB4A41">
      <w:rPr>
        <w:rFonts w:cs="Arial"/>
        <w:bCs/>
      </w:rPr>
      <w:instrText xml:space="preserve"> PAGE  \* Arabic  \* MERGEFORMAT </w:instrText>
    </w:r>
    <w:r w:rsidR="00EB4A41" w:rsidRPr="00EB4A41">
      <w:rPr>
        <w:rFonts w:cs="Arial"/>
        <w:bCs/>
      </w:rPr>
      <w:fldChar w:fldCharType="separate"/>
    </w:r>
    <w:r w:rsidR="00B30348">
      <w:rPr>
        <w:rFonts w:cs="Arial"/>
        <w:bCs/>
        <w:noProof/>
      </w:rPr>
      <w:t>4</w:t>
    </w:r>
    <w:r w:rsidR="00EB4A41" w:rsidRPr="00EB4A41">
      <w:rPr>
        <w:rFonts w:cs="Arial"/>
        <w:bCs/>
      </w:rPr>
      <w:fldChar w:fldCharType="end"/>
    </w:r>
    <w:r w:rsidR="00EB4A41" w:rsidRPr="00EB4A41">
      <w:rPr>
        <w:rFonts w:cs="Arial"/>
      </w:rPr>
      <w:t xml:space="preserve"> of </w:t>
    </w:r>
    <w:r w:rsidR="00EB4A41" w:rsidRPr="00EB4A41">
      <w:rPr>
        <w:rFonts w:cs="Arial"/>
        <w:bCs/>
      </w:rPr>
      <w:fldChar w:fldCharType="begin"/>
    </w:r>
    <w:r w:rsidR="00EB4A41" w:rsidRPr="00EB4A41">
      <w:rPr>
        <w:rFonts w:cs="Arial"/>
        <w:bCs/>
      </w:rPr>
      <w:instrText xml:space="preserve"> NUMPAGES  \* Arabic  \* MERGEFORMAT </w:instrText>
    </w:r>
    <w:r w:rsidR="00EB4A41" w:rsidRPr="00EB4A41">
      <w:rPr>
        <w:rFonts w:cs="Arial"/>
        <w:bCs/>
      </w:rPr>
      <w:fldChar w:fldCharType="separate"/>
    </w:r>
    <w:r w:rsidR="00B30348">
      <w:rPr>
        <w:rFonts w:cs="Arial"/>
        <w:bCs/>
        <w:noProof/>
      </w:rPr>
      <w:t>4</w:t>
    </w:r>
    <w:r w:rsidR="00EB4A41" w:rsidRPr="00EB4A4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4F36"/>
    <w:multiLevelType w:val="hybridMultilevel"/>
    <w:tmpl w:val="0C94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07956"/>
    <w:multiLevelType w:val="hybridMultilevel"/>
    <w:tmpl w:val="501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744C4"/>
    <w:multiLevelType w:val="hybridMultilevel"/>
    <w:tmpl w:val="042C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4E7463"/>
    <w:multiLevelType w:val="hybridMultilevel"/>
    <w:tmpl w:val="9700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8"/>
  </w:num>
  <w:num w:numId="5">
    <w:abstractNumId w:val="9"/>
  </w:num>
  <w:num w:numId="6">
    <w:abstractNumId w:val="0"/>
  </w:num>
  <w:num w:numId="7">
    <w:abstractNumId w:val="4"/>
  </w:num>
  <w:num w:numId="8">
    <w:abstractNumId w:val="6"/>
  </w:num>
  <w:num w:numId="9">
    <w:abstractNumId w:val="1"/>
  </w:num>
  <w:num w:numId="10">
    <w:abstractNumId w:val="12"/>
  </w:num>
  <w:num w:numId="11">
    <w:abstractNumId w:val="13"/>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527D4"/>
    <w:rsid w:val="000E09DC"/>
    <w:rsid w:val="000F6A92"/>
    <w:rsid w:val="001048F3"/>
    <w:rsid w:val="00130059"/>
    <w:rsid w:val="00144DFC"/>
    <w:rsid w:val="00180C39"/>
    <w:rsid w:val="0018148D"/>
    <w:rsid w:val="001A0CA5"/>
    <w:rsid w:val="001B3958"/>
    <w:rsid w:val="001B619B"/>
    <w:rsid w:val="001E1929"/>
    <w:rsid w:val="00223112"/>
    <w:rsid w:val="00230BAD"/>
    <w:rsid w:val="00240B26"/>
    <w:rsid w:val="00275468"/>
    <w:rsid w:val="002B4B14"/>
    <w:rsid w:val="002D1A82"/>
    <w:rsid w:val="002E4CB5"/>
    <w:rsid w:val="002E6FCA"/>
    <w:rsid w:val="002F279B"/>
    <w:rsid w:val="003031F0"/>
    <w:rsid w:val="00315131"/>
    <w:rsid w:val="003250F1"/>
    <w:rsid w:val="0036133A"/>
    <w:rsid w:val="00363520"/>
    <w:rsid w:val="003705FC"/>
    <w:rsid w:val="00384ACF"/>
    <w:rsid w:val="003A1E13"/>
    <w:rsid w:val="003B4FCE"/>
    <w:rsid w:val="003D1ECD"/>
    <w:rsid w:val="003E1E8D"/>
    <w:rsid w:val="003E2160"/>
    <w:rsid w:val="003E4DF7"/>
    <w:rsid w:val="00406F50"/>
    <w:rsid w:val="00407E9B"/>
    <w:rsid w:val="004203BC"/>
    <w:rsid w:val="0044670C"/>
    <w:rsid w:val="00455269"/>
    <w:rsid w:val="0047534A"/>
    <w:rsid w:val="004C3EED"/>
    <w:rsid w:val="004E029B"/>
    <w:rsid w:val="004F337B"/>
    <w:rsid w:val="00517C00"/>
    <w:rsid w:val="005229C2"/>
    <w:rsid w:val="00527B0E"/>
    <w:rsid w:val="005A2E73"/>
    <w:rsid w:val="005F1184"/>
    <w:rsid w:val="00600E19"/>
    <w:rsid w:val="00680960"/>
    <w:rsid w:val="00692300"/>
    <w:rsid w:val="00693951"/>
    <w:rsid w:val="006B2111"/>
    <w:rsid w:val="006D0223"/>
    <w:rsid w:val="006E06C6"/>
    <w:rsid w:val="00726EDA"/>
    <w:rsid w:val="007313A3"/>
    <w:rsid w:val="007428B8"/>
    <w:rsid w:val="00746164"/>
    <w:rsid w:val="00780BB6"/>
    <w:rsid w:val="00784387"/>
    <w:rsid w:val="007B1743"/>
    <w:rsid w:val="007C5697"/>
    <w:rsid w:val="007D6A8F"/>
    <w:rsid w:val="00813305"/>
    <w:rsid w:val="0083318E"/>
    <w:rsid w:val="0083467F"/>
    <w:rsid w:val="008524BD"/>
    <w:rsid w:val="00856023"/>
    <w:rsid w:val="008909EE"/>
    <w:rsid w:val="008A192E"/>
    <w:rsid w:val="008A3779"/>
    <w:rsid w:val="0091117B"/>
    <w:rsid w:val="009736A3"/>
    <w:rsid w:val="009B04E1"/>
    <w:rsid w:val="009D5028"/>
    <w:rsid w:val="009D6D3D"/>
    <w:rsid w:val="00A07F42"/>
    <w:rsid w:val="00A16315"/>
    <w:rsid w:val="00A30B3C"/>
    <w:rsid w:val="00A367C5"/>
    <w:rsid w:val="00AA0CBC"/>
    <w:rsid w:val="00AB396E"/>
    <w:rsid w:val="00AE1D23"/>
    <w:rsid w:val="00B30348"/>
    <w:rsid w:val="00B723BE"/>
    <w:rsid w:val="00B82705"/>
    <w:rsid w:val="00BB6DA5"/>
    <w:rsid w:val="00C27D57"/>
    <w:rsid w:val="00C52CD9"/>
    <w:rsid w:val="00C82CBA"/>
    <w:rsid w:val="00CE1C84"/>
    <w:rsid w:val="00D31593"/>
    <w:rsid w:val="00D35498"/>
    <w:rsid w:val="00D47DAB"/>
    <w:rsid w:val="00D5115F"/>
    <w:rsid w:val="00D63E1B"/>
    <w:rsid w:val="00D8667C"/>
    <w:rsid w:val="00D86AB9"/>
    <w:rsid w:val="00E45BC3"/>
    <w:rsid w:val="00E65D1E"/>
    <w:rsid w:val="00E6761B"/>
    <w:rsid w:val="00EA7D4F"/>
    <w:rsid w:val="00EB16F7"/>
    <w:rsid w:val="00EB4A41"/>
    <w:rsid w:val="00EC504C"/>
    <w:rsid w:val="00ED0074"/>
    <w:rsid w:val="00F40510"/>
    <w:rsid w:val="00FC1FCE"/>
    <w:rsid w:val="00FD1923"/>
    <w:rsid w:val="00FD48C4"/>
    <w:rsid w:val="00FD7887"/>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5B1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3250F1"/>
    <w:pPr>
      <w:spacing w:after="120"/>
    </w:pPr>
  </w:style>
  <w:style w:type="character" w:customStyle="1" w:styleId="BodyTextChar">
    <w:name w:val="Body Text Char"/>
    <w:basedOn w:val="DefaultParagraphFont"/>
    <w:link w:val="BodyText"/>
    <w:rsid w:val="003250F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ca.gov/be/mt/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4</Pages>
  <Words>767</Words>
  <Characters>4376</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January 2020 Agenda Item 01 - Meeting Agendas (CA State Board of Education)</vt:lpstr>
    </vt:vector>
  </TitlesOfParts>
  <Company>California State Board of Education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01 - Meeting Agendas (CA State Board of Education)</dc:title>
  <dc:subject>STATE BOARD PROJECTS AND PRIORITIES. Including, but not limited to, future meeting plans; agenda items; and officer nominations and/or elections; State Board appointments and direction to staff.</dc:subject>
  <dc:creator/>
  <cp:keywords/>
  <dc:description/>
  <cp:lastPrinted>2019-12-19T00:57:00Z</cp:lastPrinted>
  <dcterms:created xsi:type="dcterms:W3CDTF">2018-02-28T01:02:00Z</dcterms:created>
  <dcterms:modified xsi:type="dcterms:W3CDTF">2020-12-30T23:34:00Z</dcterms:modified>
  <cp:category/>
</cp:coreProperties>
</file>