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6E06C6" w:rsidRPr="00925ABE" w:rsidRDefault="3E68F300" w:rsidP="00B723BE">
      <w:r w:rsidRPr="00925ABE">
        <w:rPr>
          <w:noProof/>
        </w:rPr>
        <w:drawing>
          <wp:inline distT="0" distB="0" distL="0" distR="0" wp14:anchorId="414AE8A1" wp14:editId="5ED516E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925ABE" w:rsidRDefault="00FC1FCE" w:rsidP="00B723BE">
      <w:pPr>
        <w:jc w:val="right"/>
      </w:pPr>
      <w:r w:rsidRPr="00925ABE">
        <w:t>California Department of Education</w:t>
      </w:r>
    </w:p>
    <w:p w14:paraId="1CAF1CB7" w14:textId="77777777" w:rsidR="00B723BE" w:rsidRPr="00925ABE" w:rsidRDefault="00FC1FCE" w:rsidP="00B723BE">
      <w:pPr>
        <w:jc w:val="right"/>
      </w:pPr>
      <w:r w:rsidRPr="00925ABE">
        <w:t>Executive Office</w:t>
      </w:r>
    </w:p>
    <w:p w14:paraId="18A2FE91" w14:textId="77777777" w:rsidR="002B4B14" w:rsidRPr="00925ABE" w:rsidRDefault="00692300" w:rsidP="00B723BE">
      <w:pPr>
        <w:jc w:val="right"/>
      </w:pPr>
      <w:r w:rsidRPr="00925ABE">
        <w:t>SBE-00</w:t>
      </w:r>
      <w:r w:rsidR="000324AD" w:rsidRPr="00925ABE">
        <w:t>3</w:t>
      </w:r>
      <w:r w:rsidRPr="00925ABE">
        <w:t xml:space="preserve"> (REV. 1</w:t>
      </w:r>
      <w:r w:rsidR="00C27D57" w:rsidRPr="00925ABE">
        <w:t>1</w:t>
      </w:r>
      <w:r w:rsidRPr="00925ABE">
        <w:t>/2017</w:t>
      </w:r>
      <w:r w:rsidR="00FC1FCE" w:rsidRPr="00925ABE">
        <w:t>)</w:t>
      </w:r>
    </w:p>
    <w:p w14:paraId="03A4F394" w14:textId="77777777" w:rsidR="00B723BE" w:rsidRPr="00925ABE" w:rsidRDefault="00E11508" w:rsidP="00B723BE">
      <w:pPr>
        <w:jc w:val="right"/>
      </w:pPr>
      <w:r w:rsidRPr="00925ABE">
        <w:t>imb-adad-mar21item03</w:t>
      </w:r>
    </w:p>
    <w:p w14:paraId="0A37501D" w14:textId="77777777" w:rsidR="00B723BE" w:rsidRPr="00925ABE" w:rsidRDefault="00B723BE" w:rsidP="00FC1FCE">
      <w:pPr>
        <w:pStyle w:val="Heading1"/>
        <w:jc w:val="center"/>
        <w:rPr>
          <w:sz w:val="40"/>
          <w:szCs w:val="40"/>
        </w:rPr>
        <w:sectPr w:rsidR="00B723BE" w:rsidRPr="00925ABE"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925ABE" w:rsidRDefault="006E06C6" w:rsidP="00FC1FCE">
      <w:pPr>
        <w:pStyle w:val="Heading1"/>
        <w:jc w:val="center"/>
        <w:rPr>
          <w:sz w:val="40"/>
          <w:szCs w:val="40"/>
        </w:rPr>
        <w:sectPr w:rsidR="006E06C6" w:rsidRPr="00925ABE" w:rsidSect="0091117B">
          <w:type w:val="continuous"/>
          <w:pgSz w:w="12240" w:h="15840"/>
          <w:pgMar w:top="720" w:right="1440" w:bottom="1440" w:left="1440" w:header="720" w:footer="720" w:gutter="0"/>
          <w:cols w:space="720"/>
          <w:docGrid w:linePitch="360"/>
        </w:sectPr>
      </w:pPr>
    </w:p>
    <w:p w14:paraId="7E3B9029" w14:textId="7F8EAA89" w:rsidR="00FC1FCE" w:rsidRPr="00925ABE" w:rsidRDefault="0091117B" w:rsidP="002B4B14">
      <w:pPr>
        <w:pStyle w:val="Heading1"/>
        <w:spacing w:before="240" w:after="240"/>
        <w:jc w:val="center"/>
        <w:rPr>
          <w:sz w:val="40"/>
          <w:szCs w:val="40"/>
        </w:rPr>
      </w:pPr>
      <w:r w:rsidRPr="00925ABE">
        <w:rPr>
          <w:sz w:val="40"/>
          <w:szCs w:val="40"/>
        </w:rPr>
        <w:t>Californ</w:t>
      </w:r>
      <w:r w:rsidR="00693951" w:rsidRPr="00925ABE">
        <w:rPr>
          <w:sz w:val="40"/>
          <w:szCs w:val="40"/>
        </w:rPr>
        <w:t>ia State Board of Education</w:t>
      </w:r>
      <w:r w:rsidR="00693951" w:rsidRPr="00925ABE">
        <w:rPr>
          <w:sz w:val="40"/>
          <w:szCs w:val="40"/>
        </w:rPr>
        <w:br/>
      </w:r>
      <w:r w:rsidR="00E11508" w:rsidRPr="00925ABE">
        <w:rPr>
          <w:sz w:val="40"/>
          <w:szCs w:val="40"/>
        </w:rPr>
        <w:t>March 2021</w:t>
      </w:r>
      <w:r w:rsidRPr="00925ABE">
        <w:rPr>
          <w:sz w:val="40"/>
          <w:szCs w:val="40"/>
        </w:rPr>
        <w:t xml:space="preserve"> Agenda</w:t>
      </w:r>
      <w:r w:rsidR="00FC1FCE" w:rsidRPr="00925ABE">
        <w:rPr>
          <w:sz w:val="40"/>
          <w:szCs w:val="40"/>
        </w:rPr>
        <w:br/>
        <w:t>Item</w:t>
      </w:r>
      <w:r w:rsidR="00692300" w:rsidRPr="00925ABE">
        <w:rPr>
          <w:sz w:val="40"/>
          <w:szCs w:val="40"/>
        </w:rPr>
        <w:t xml:space="preserve"> #</w:t>
      </w:r>
      <w:r w:rsidR="00925ABE" w:rsidRPr="00925ABE">
        <w:rPr>
          <w:sz w:val="40"/>
          <w:szCs w:val="40"/>
        </w:rPr>
        <w:t>02</w:t>
      </w:r>
    </w:p>
    <w:p w14:paraId="27B6226E" w14:textId="77777777" w:rsidR="00FC1FCE" w:rsidRPr="00925ABE" w:rsidRDefault="00FC1FCE" w:rsidP="002B4B14">
      <w:pPr>
        <w:pStyle w:val="Heading2"/>
        <w:spacing w:before="240" w:after="240"/>
        <w:rPr>
          <w:sz w:val="36"/>
          <w:szCs w:val="36"/>
        </w:rPr>
      </w:pPr>
      <w:r w:rsidRPr="00925ABE">
        <w:rPr>
          <w:sz w:val="36"/>
          <w:szCs w:val="36"/>
        </w:rPr>
        <w:t>Subject</w:t>
      </w:r>
    </w:p>
    <w:p w14:paraId="1C667ED1" w14:textId="7365C4A8" w:rsidR="3B88D3F6" w:rsidRPr="00925ABE" w:rsidRDefault="16A84554" w:rsidP="002254A7">
      <w:pPr>
        <w:spacing w:after="360"/>
        <w:rPr>
          <w:rFonts w:eastAsia="Arial" w:cs="Arial"/>
          <w:color w:val="000000" w:themeColor="text1"/>
        </w:rPr>
      </w:pPr>
      <w:r w:rsidRPr="00925ABE">
        <w:rPr>
          <w:rFonts w:eastAsia="Arial" w:cs="Arial"/>
          <w:color w:val="000000" w:themeColor="text1"/>
        </w:rPr>
        <w:t>The Every Student Succeeds Act: Authorization to Pursue Flexibility on</w:t>
      </w:r>
      <w:r w:rsidR="00D00424" w:rsidRPr="00925ABE">
        <w:rPr>
          <w:rFonts w:eastAsia="Arial" w:cs="Arial"/>
          <w:color w:val="000000" w:themeColor="text1"/>
        </w:rPr>
        <w:t xml:space="preserve"> or Waiver of</w:t>
      </w:r>
      <w:r w:rsidRPr="00925ABE">
        <w:rPr>
          <w:rFonts w:eastAsia="Arial" w:cs="Arial"/>
          <w:color w:val="000000" w:themeColor="text1"/>
        </w:rPr>
        <w:t xml:space="preserve"> Assessment, Accountability, and </w:t>
      </w:r>
      <w:r w:rsidR="2874E1B2" w:rsidRPr="00925ABE">
        <w:rPr>
          <w:rFonts w:eastAsia="Arial" w:cs="Arial"/>
          <w:color w:val="000000" w:themeColor="text1"/>
        </w:rPr>
        <w:t>Reporting</w:t>
      </w:r>
      <w:r w:rsidRPr="00925ABE">
        <w:rPr>
          <w:rFonts w:eastAsia="Arial" w:cs="Arial"/>
          <w:color w:val="000000" w:themeColor="text1"/>
        </w:rPr>
        <w:t xml:space="preserve"> Requirements.</w:t>
      </w:r>
    </w:p>
    <w:p w14:paraId="19FA46C3" w14:textId="77777777" w:rsidR="00FC1FCE" w:rsidRPr="00925ABE" w:rsidRDefault="00FC1FCE" w:rsidP="002B4B14">
      <w:pPr>
        <w:pStyle w:val="Heading2"/>
        <w:spacing w:before="240" w:after="240"/>
        <w:rPr>
          <w:sz w:val="36"/>
          <w:szCs w:val="36"/>
        </w:rPr>
      </w:pPr>
      <w:r w:rsidRPr="00925ABE">
        <w:rPr>
          <w:sz w:val="36"/>
          <w:szCs w:val="36"/>
        </w:rPr>
        <w:t>Type of Action</w:t>
      </w:r>
    </w:p>
    <w:p w14:paraId="07254FFE" w14:textId="4F921170" w:rsidR="0091117B" w:rsidRPr="00925ABE" w:rsidRDefault="008909EE" w:rsidP="0FEBE696">
      <w:pPr>
        <w:spacing w:after="480"/>
      </w:pPr>
      <w:r w:rsidRPr="00925ABE">
        <w:t>Action, Information</w:t>
      </w:r>
    </w:p>
    <w:p w14:paraId="2F54E36F" w14:textId="77777777" w:rsidR="00FC1FCE" w:rsidRPr="00925ABE" w:rsidRDefault="3915644F" w:rsidP="002B4B14">
      <w:pPr>
        <w:pStyle w:val="Heading2"/>
        <w:spacing w:before="240" w:after="240"/>
        <w:rPr>
          <w:sz w:val="36"/>
          <w:szCs w:val="36"/>
        </w:rPr>
      </w:pPr>
      <w:r w:rsidRPr="00925ABE">
        <w:rPr>
          <w:sz w:val="36"/>
          <w:szCs w:val="36"/>
        </w:rPr>
        <w:t>Summary of the Issue(s)</w:t>
      </w:r>
    </w:p>
    <w:p w14:paraId="15BB728D" w14:textId="76D6C8C3" w:rsidR="003E4DF7" w:rsidRPr="00925ABE" w:rsidRDefault="21CF1A10" w:rsidP="32DD43A2">
      <w:pPr>
        <w:spacing w:before="240" w:after="240"/>
        <w:rPr>
          <w:rFonts w:eastAsia="Arial" w:cs="Arial"/>
          <w:color w:val="000000" w:themeColor="text1"/>
        </w:rPr>
      </w:pPr>
      <w:r w:rsidRPr="00925ABE">
        <w:rPr>
          <w:rFonts w:eastAsia="Arial" w:cs="Arial"/>
          <w:color w:val="000000" w:themeColor="text1"/>
        </w:rPr>
        <w:t>At its meeting on February 24, 2021, the California State Board of Education (SBE) voted to seek a waiver of the federal accountability and reporting requirements consis</w:t>
      </w:r>
      <w:r w:rsidR="35BDE9FC" w:rsidRPr="00925ABE">
        <w:rPr>
          <w:rFonts w:eastAsia="Arial" w:cs="Arial"/>
          <w:color w:val="000000" w:themeColor="text1"/>
        </w:rPr>
        <w:t>t</w:t>
      </w:r>
      <w:r w:rsidRPr="00925ABE">
        <w:rPr>
          <w:rFonts w:eastAsia="Arial" w:cs="Arial"/>
          <w:color w:val="000000" w:themeColor="text1"/>
        </w:rPr>
        <w:t xml:space="preserve">ent with </w:t>
      </w:r>
      <w:r w:rsidR="002936F8" w:rsidRPr="00925ABE">
        <w:rPr>
          <w:rFonts w:eastAsia="Arial" w:cs="Arial"/>
          <w:color w:val="000000" w:themeColor="text1"/>
        </w:rPr>
        <w:t xml:space="preserve">the </w:t>
      </w:r>
      <w:r w:rsidR="002936F8" w:rsidRPr="00925ABE">
        <w:t>guidance from the US Department of Education (ED) on February 22, 2021</w:t>
      </w:r>
      <w:r w:rsidRPr="00925ABE">
        <w:rPr>
          <w:rFonts w:eastAsia="Arial" w:cs="Arial"/>
          <w:color w:val="000000" w:themeColor="text1"/>
        </w:rPr>
        <w:t>.</w:t>
      </w:r>
    </w:p>
    <w:p w14:paraId="62CCBA92" w14:textId="77323472" w:rsidR="003E4DF7" w:rsidRPr="00925ABE" w:rsidRDefault="21CF1A10" w:rsidP="00C36B3A">
      <w:pPr>
        <w:spacing w:before="240" w:after="360"/>
        <w:rPr>
          <w:rFonts w:eastAsia="Arial" w:cs="Arial"/>
          <w:color w:val="000000" w:themeColor="text1"/>
        </w:rPr>
      </w:pPr>
      <w:r w:rsidRPr="00925ABE">
        <w:rPr>
          <w:rFonts w:eastAsia="Arial" w:cs="Arial"/>
          <w:color w:val="000000" w:themeColor="text1"/>
        </w:rPr>
        <w:t xml:space="preserve">The SBE also directed </w:t>
      </w:r>
      <w:r w:rsidR="003D7274" w:rsidRPr="00925ABE">
        <w:t xml:space="preserve">California Department of Education (CDE) </w:t>
      </w:r>
      <w:r w:rsidRPr="00925ABE">
        <w:rPr>
          <w:rFonts w:eastAsia="Arial" w:cs="Arial"/>
          <w:color w:val="000000" w:themeColor="text1"/>
        </w:rPr>
        <w:t xml:space="preserve">staff to develop a waiver proposal that, among other elements, focuses on a plan for assessments that provide data to parents/guardians, educators, and the public to monitor the progress of students in the areas of English language arts/literacy and mathematics. </w:t>
      </w:r>
      <w:r w:rsidR="006D5038" w:rsidRPr="00925ABE">
        <w:rPr>
          <w:rFonts w:eastAsia="Arial" w:cs="Arial"/>
          <w:color w:val="000000" w:themeColor="text1"/>
        </w:rPr>
        <w:t>The CDE is considering ways to obtain stakeholder input</w:t>
      </w:r>
      <w:r w:rsidR="00530E44" w:rsidRPr="00925ABE">
        <w:rPr>
          <w:rFonts w:eastAsia="Arial" w:cs="Arial"/>
          <w:color w:val="000000" w:themeColor="text1"/>
        </w:rPr>
        <w:t xml:space="preserve"> to inform next steps. </w:t>
      </w:r>
      <w:r w:rsidRPr="00925ABE">
        <w:rPr>
          <w:rFonts w:eastAsia="Arial" w:cs="Arial"/>
          <w:color w:val="000000" w:themeColor="text1"/>
        </w:rPr>
        <w:t>Th</w:t>
      </w:r>
      <w:r w:rsidRPr="00925ABE">
        <w:rPr>
          <w:rFonts w:eastAsia="Arial" w:cs="Arial"/>
        </w:rPr>
        <w:t xml:space="preserve">e CDE is exploring additional </w:t>
      </w:r>
      <w:r w:rsidR="006774FA" w:rsidRPr="00925ABE">
        <w:rPr>
          <w:rFonts w:eastAsia="Arial" w:cs="Arial"/>
        </w:rPr>
        <w:t xml:space="preserve">assessment </w:t>
      </w:r>
      <w:r w:rsidRPr="00925ABE">
        <w:rPr>
          <w:rFonts w:eastAsia="Arial" w:cs="Arial"/>
        </w:rPr>
        <w:t>flexibilities which will be attached as an</w:t>
      </w:r>
      <w:r w:rsidR="51F1D0C2" w:rsidRPr="00925ABE">
        <w:rPr>
          <w:rFonts w:eastAsia="Arial" w:cs="Arial"/>
        </w:rPr>
        <w:t xml:space="preserve"> </w:t>
      </w:r>
      <w:r w:rsidRPr="00925ABE">
        <w:rPr>
          <w:rFonts w:eastAsia="Arial" w:cs="Arial"/>
        </w:rPr>
        <w:t>Item Addendum, along with an analysis and recommendations for the SBE’s consideration. The Item Addendum may also include a consideration of the state-level testing requirements that may need to be addressed in order to avail the state of any federal relief offered.</w:t>
      </w:r>
    </w:p>
    <w:p w14:paraId="08BF9F4B" w14:textId="60A23BB0" w:rsidR="003E4DF7" w:rsidRPr="00925ABE" w:rsidRDefault="62C13193" w:rsidP="00C36B3A">
      <w:pPr>
        <w:pStyle w:val="Heading2"/>
        <w:spacing w:before="240" w:after="240"/>
        <w:rPr>
          <w:sz w:val="36"/>
          <w:szCs w:val="36"/>
        </w:rPr>
      </w:pPr>
      <w:r w:rsidRPr="00925ABE">
        <w:rPr>
          <w:sz w:val="36"/>
          <w:szCs w:val="36"/>
        </w:rPr>
        <w:t>Recommendation</w:t>
      </w:r>
    </w:p>
    <w:p w14:paraId="4641045E" w14:textId="4D39490F" w:rsidR="631D30C1" w:rsidRPr="00925ABE" w:rsidRDefault="1B653B6A" w:rsidP="00B12FA0">
      <w:pPr>
        <w:spacing w:before="240" w:after="240"/>
        <w:rPr>
          <w:rFonts w:cs="Arial"/>
        </w:rPr>
      </w:pPr>
      <w:r w:rsidRPr="00925ABE">
        <w:rPr>
          <w:rFonts w:cs="Arial"/>
        </w:rPr>
        <w:t>T</w:t>
      </w:r>
      <w:r w:rsidR="001777D8" w:rsidRPr="00925ABE">
        <w:rPr>
          <w:rFonts w:cs="Arial"/>
        </w:rPr>
        <w:t>he CDE requests that the SBE t</w:t>
      </w:r>
      <w:r w:rsidRPr="00925ABE">
        <w:rPr>
          <w:rFonts w:cs="Arial"/>
        </w:rPr>
        <w:t xml:space="preserve">ake action </w:t>
      </w:r>
      <w:r w:rsidR="001777D8" w:rsidRPr="00925ABE">
        <w:rPr>
          <w:rFonts w:cs="Arial"/>
        </w:rPr>
        <w:t>a</w:t>
      </w:r>
      <w:r w:rsidRPr="00925ABE">
        <w:rPr>
          <w:rFonts w:cs="Arial"/>
        </w:rPr>
        <w:t>s deemed necessary and appropriate</w:t>
      </w:r>
      <w:r w:rsidR="00890769" w:rsidRPr="00925ABE">
        <w:rPr>
          <w:rFonts w:cs="Arial"/>
        </w:rPr>
        <w:t>.</w:t>
      </w:r>
      <w:r w:rsidR="00FC2D72" w:rsidRPr="00925ABE">
        <w:rPr>
          <w:rFonts w:cs="Arial"/>
        </w:rPr>
        <w:t xml:space="preserve"> </w:t>
      </w:r>
    </w:p>
    <w:p w14:paraId="28788C28" w14:textId="77777777" w:rsidR="00F40510" w:rsidRPr="00925ABE" w:rsidRDefault="6A23A4DD" w:rsidP="002B4B14">
      <w:pPr>
        <w:pStyle w:val="Heading2"/>
        <w:spacing w:before="240" w:after="240"/>
        <w:rPr>
          <w:sz w:val="36"/>
          <w:szCs w:val="36"/>
        </w:rPr>
      </w:pPr>
      <w:r w:rsidRPr="00925ABE">
        <w:rPr>
          <w:sz w:val="36"/>
          <w:szCs w:val="36"/>
        </w:rPr>
        <w:lastRenderedPageBreak/>
        <w:t>Brief History of Key Issues</w:t>
      </w:r>
    </w:p>
    <w:p w14:paraId="79A6157A" w14:textId="2EAC4C7A" w:rsidR="0048429A" w:rsidRPr="00925ABE" w:rsidRDefault="0048429A" w:rsidP="0048429A">
      <w:pPr>
        <w:spacing w:before="240" w:after="240"/>
        <w:rPr>
          <w:rFonts w:eastAsia="Arial" w:cs="Arial"/>
          <w:color w:val="000000" w:themeColor="text1"/>
        </w:rPr>
      </w:pPr>
      <w:r w:rsidRPr="00925ABE">
        <w:t xml:space="preserve">The majority of local educational agencies (LEAs) continue to provide instruction in mixed settings, including in-person, distance learning, and a hybrid model. Amid the ongoing health and safety concerns, LEAs are currently in a time of tremendous transition, as many LEAs are working toward beginning or increasing in person instruction. California Senate Bill 86 is proposing language that connects extra funding for LEAs to open by April 1, 2021, </w:t>
      </w:r>
      <w:r w:rsidR="00EE7608" w:rsidRPr="00925ABE">
        <w:t xml:space="preserve">which may be found at: </w:t>
      </w:r>
      <w:r w:rsidRPr="00925ABE">
        <w:t>(</w:t>
      </w:r>
      <w:hyperlink r:id="rId13" w:tooltip="This link opens the California Senate Bill 86." w:history="1">
        <w:r w:rsidRPr="00925ABE">
          <w:rPr>
            <w:rStyle w:val="Hyperlink"/>
          </w:rPr>
          <w:t>https://leginfo.legislature.ca.gov/faces/billTextClient.xhtml?bill_id=202120220SB86</w:t>
        </w:r>
      </w:hyperlink>
      <w:r w:rsidRPr="00925ABE">
        <w:t xml:space="preserve">). Given the variety of contexts that LEAs across California are working in, there is a need to increase flexibility for LEAs to administer the California Assessment of Student Performance and Progress (CAASPP) and the English Language Proficiency Assessments for California (ELPAC) summative assessments in the 2020–2021 school year, as required by both state and federal law </w:t>
      </w:r>
      <w:r w:rsidR="00EE7608" w:rsidRPr="00925ABE">
        <w:t xml:space="preserve">and </w:t>
      </w:r>
      <w:r w:rsidRPr="00925ABE">
        <w:t xml:space="preserve">as set forth in California’s approved state plan for the federal Every Students Succeeds Act (ESSA). </w:t>
      </w:r>
    </w:p>
    <w:p w14:paraId="75289DA9" w14:textId="75A42041" w:rsidR="0FEBE696" w:rsidRPr="00925ABE" w:rsidRDefault="0048429A" w:rsidP="009B0F73">
      <w:pPr>
        <w:spacing w:before="240" w:after="240"/>
      </w:pPr>
      <w:r w:rsidRPr="00925ABE">
        <w:t xml:space="preserve">The guidance from the </w:t>
      </w:r>
      <w:r w:rsidR="003D7274" w:rsidRPr="00925ABE">
        <w:t xml:space="preserve">ED on </w:t>
      </w:r>
      <w:r w:rsidRPr="00925ABE">
        <w:t>February 22, 2021, outlin</w:t>
      </w:r>
      <w:r w:rsidR="00EE7608" w:rsidRPr="00925ABE">
        <w:t>es</w:t>
      </w:r>
      <w:r w:rsidRPr="00925ABE">
        <w:t xml:space="preserve"> flexibilities that are available to states in order to satisfy the federal assessment, and the availability of waivers from certain accountability and reporting requirements for the 2020–2021 academic year as a result of the </w:t>
      </w:r>
      <w:r w:rsidRPr="00925ABE">
        <w:rPr>
          <w:rFonts w:eastAsia="Arial" w:cs="Arial"/>
          <w:color w:val="000000" w:themeColor="text1"/>
        </w:rPr>
        <w:t>2019 novel coronavirus disease (COVID-19) pandemic</w:t>
      </w:r>
      <w:r w:rsidRPr="00925ABE">
        <w:t>. T</w:t>
      </w:r>
      <w:r w:rsidRPr="00925ABE">
        <w:rPr>
          <w:rFonts w:eastAsia="Arial" w:cs="Arial"/>
          <w:color w:val="000000" w:themeColor="text1"/>
        </w:rPr>
        <w:t>he ED has expressly stated that it is not inviting states to apply for blanket waivers that would allow states to opt out of annual testing altogether.</w:t>
      </w:r>
      <w:r w:rsidRPr="00925ABE">
        <w:t xml:space="preserve"> The press release announcing the guidance and the letter sent to states are available on the ED website at </w:t>
      </w:r>
      <w:hyperlink r:id="rId14" w:tooltip="This link opens the US Department of Education press release.">
        <w:r w:rsidRPr="00925ABE">
          <w:rPr>
            <w:rStyle w:val="Hyperlink"/>
          </w:rPr>
          <w:t>https://www.ed.gov/news/press-releases/us-department-education-releases-guidance-states-assessing-student-learning-during-pandemic</w:t>
        </w:r>
      </w:hyperlink>
      <w:r w:rsidRPr="00925ABE">
        <w:t>. Following the release of its guidance, the ED denied New York’s request for a blanket waiver to opt out of all assessments required under ESSA.</w:t>
      </w:r>
    </w:p>
    <w:p w14:paraId="73D8DF8D" w14:textId="71F1AFA5" w:rsidR="00512CED" w:rsidRPr="00925ABE" w:rsidRDefault="00512CED" w:rsidP="009B0F73">
      <w:pPr>
        <w:spacing w:after="240"/>
      </w:pPr>
      <w:r w:rsidRPr="00925ABE">
        <w:t>The following are SBE actions from the February 24, 2021, meeting that the CDE was directed to pursue:</w:t>
      </w:r>
    </w:p>
    <w:p w14:paraId="7F08912C" w14:textId="158A8A69" w:rsidR="00BB4CDC" w:rsidRPr="00925ABE" w:rsidRDefault="00FC05EE" w:rsidP="00FC05EE">
      <w:pPr>
        <w:pStyle w:val="NormalWeb"/>
        <w:numPr>
          <w:ilvl w:val="0"/>
          <w:numId w:val="2"/>
        </w:numPr>
        <w:spacing w:before="0" w:beforeAutospacing="0" w:after="240" w:afterAutospacing="0"/>
        <w:rPr>
          <w:rFonts w:ascii="Arial" w:hAnsi="Arial" w:cs="Arial"/>
        </w:rPr>
      </w:pPr>
      <w:r w:rsidRPr="00925ABE">
        <w:rPr>
          <w:rFonts w:ascii="Arial" w:hAnsi="Arial" w:cs="Arial"/>
          <w:color w:val="000000"/>
        </w:rPr>
        <w:t>P</w:t>
      </w:r>
      <w:r w:rsidR="00BB4CDC" w:rsidRPr="00925ABE">
        <w:rPr>
          <w:rFonts w:ascii="Arial" w:hAnsi="Arial" w:cs="Arial"/>
          <w:color w:val="000000"/>
        </w:rPr>
        <w:t xml:space="preserve">repare a waiver, consistent with the federal template, regarding the flexibilities offered by ED for accountability and school identification, which includes decoupling accountability from this year’s assessments and waiving the requirement that the Academic Achievement indicator be adjusted to account for a participation rate below 95 percent as applicable. </w:t>
      </w:r>
    </w:p>
    <w:p w14:paraId="53235DAD" w14:textId="6F626A5B" w:rsidR="00BB4CDC" w:rsidRPr="00925ABE" w:rsidRDefault="00FC05EE" w:rsidP="00FC05EE">
      <w:pPr>
        <w:pStyle w:val="ListParagraph"/>
        <w:numPr>
          <w:ilvl w:val="0"/>
          <w:numId w:val="2"/>
        </w:numPr>
        <w:spacing w:after="240"/>
        <w:contextualSpacing w:val="0"/>
        <w:rPr>
          <w:rFonts w:cs="Arial"/>
        </w:rPr>
      </w:pPr>
      <w:r w:rsidRPr="00925ABE">
        <w:rPr>
          <w:rFonts w:cs="Arial"/>
        </w:rPr>
        <w:t>E</w:t>
      </w:r>
      <w:r w:rsidR="00BB4CDC" w:rsidRPr="00925ABE">
        <w:rPr>
          <w:rFonts w:cs="Arial"/>
        </w:rPr>
        <w:t>xtend the 2020-21 test administration window for both the CAASPP and ELPAC to July 30, 2021 as applicable.</w:t>
      </w:r>
    </w:p>
    <w:p w14:paraId="6E3D2ACD" w14:textId="0DC1F9D6" w:rsidR="00BB4CDC" w:rsidRPr="00925ABE" w:rsidRDefault="00FC05EE" w:rsidP="00FC05EE">
      <w:pPr>
        <w:pStyle w:val="ListParagraph"/>
        <w:numPr>
          <w:ilvl w:val="0"/>
          <w:numId w:val="2"/>
        </w:numPr>
        <w:spacing w:after="240"/>
        <w:contextualSpacing w:val="0"/>
        <w:rPr>
          <w:rFonts w:cstheme="minorHAnsi"/>
        </w:rPr>
      </w:pPr>
      <w:r w:rsidRPr="00925ABE">
        <w:rPr>
          <w:rFonts w:cstheme="minorHAnsi"/>
        </w:rPr>
        <w:t>P</w:t>
      </w:r>
      <w:r w:rsidR="00BB4CDC" w:rsidRPr="00925ABE">
        <w:rPr>
          <w:rFonts w:cstheme="minorHAnsi"/>
        </w:rPr>
        <w:t xml:space="preserve">repare a general waiver of the California </w:t>
      </w:r>
      <w:r w:rsidRPr="00925ABE">
        <w:rPr>
          <w:rFonts w:cstheme="minorHAnsi"/>
        </w:rPr>
        <w:t>s</w:t>
      </w:r>
      <w:r w:rsidR="00BB4CDC" w:rsidRPr="00925ABE">
        <w:rPr>
          <w:rFonts w:cstheme="minorHAnsi"/>
        </w:rPr>
        <w:t xml:space="preserve">cience </w:t>
      </w:r>
      <w:r w:rsidRPr="00925ABE">
        <w:rPr>
          <w:rFonts w:cstheme="minorHAnsi"/>
        </w:rPr>
        <w:t>t</w:t>
      </w:r>
      <w:r w:rsidR="00BB4CDC" w:rsidRPr="00925ABE">
        <w:rPr>
          <w:rFonts w:cstheme="minorHAnsi"/>
        </w:rPr>
        <w:t>est</w:t>
      </w:r>
      <w:r w:rsidRPr="00925ABE">
        <w:rPr>
          <w:rFonts w:cstheme="minorHAnsi"/>
        </w:rPr>
        <w:t>s</w:t>
      </w:r>
      <w:r w:rsidR="00BB4CDC" w:rsidRPr="00925ABE">
        <w:rPr>
          <w:rFonts w:cstheme="minorHAnsi"/>
        </w:rPr>
        <w:t xml:space="preserve"> for the 2020-21 school year.</w:t>
      </w:r>
    </w:p>
    <w:p w14:paraId="30484E48" w14:textId="07369452" w:rsidR="00BB4CDC" w:rsidRPr="00925ABE" w:rsidRDefault="00FC05EE" w:rsidP="00FC05EE">
      <w:pPr>
        <w:pStyle w:val="ListParagraph"/>
        <w:numPr>
          <w:ilvl w:val="0"/>
          <w:numId w:val="2"/>
        </w:numPr>
        <w:spacing w:after="240"/>
        <w:contextualSpacing w:val="0"/>
        <w:rPr>
          <w:rFonts w:cstheme="minorHAnsi"/>
        </w:rPr>
      </w:pPr>
      <w:r w:rsidRPr="00925ABE">
        <w:rPr>
          <w:rFonts w:cstheme="minorHAnsi"/>
        </w:rPr>
        <w:t>Cr</w:t>
      </w:r>
      <w:r w:rsidR="00BB4CDC" w:rsidRPr="00925ABE">
        <w:rPr>
          <w:rFonts w:cstheme="minorHAnsi"/>
        </w:rPr>
        <w:t>eate a policy means to provide assessment information this school year to parents, educators and the public.</w:t>
      </w:r>
    </w:p>
    <w:p w14:paraId="6798D4B2" w14:textId="073C3D62" w:rsidR="00BB4CDC" w:rsidRPr="00925ABE" w:rsidRDefault="00FC05EE" w:rsidP="00FC05EE">
      <w:pPr>
        <w:pStyle w:val="ListParagraph"/>
        <w:numPr>
          <w:ilvl w:val="0"/>
          <w:numId w:val="2"/>
        </w:numPr>
        <w:spacing w:after="240"/>
        <w:contextualSpacing w:val="0"/>
        <w:rPr>
          <w:rFonts w:cstheme="minorHAnsi"/>
        </w:rPr>
      </w:pPr>
      <w:r w:rsidRPr="00925ABE">
        <w:rPr>
          <w:rFonts w:cstheme="minorHAnsi"/>
        </w:rPr>
        <w:lastRenderedPageBreak/>
        <w:t>D</w:t>
      </w:r>
      <w:r w:rsidR="00BB4CDC" w:rsidRPr="00925ABE">
        <w:rPr>
          <w:rFonts w:cstheme="minorHAnsi"/>
        </w:rPr>
        <w:t xml:space="preserve">evelop a waiver proposal to bring back to the Board that focuses on a plan for assessments that provide data to parents, educators, and the public which monitors the progress of students in ELA/math and that will propose a means for uniform reporting of that data in both aggregated and disaggregated forms. </w:t>
      </w:r>
    </w:p>
    <w:p w14:paraId="6B2EF408" w14:textId="772BFBB7" w:rsidR="00B0717E" w:rsidRPr="00925ABE" w:rsidRDefault="00AF3222" w:rsidP="00C36B3A">
      <w:pPr>
        <w:spacing w:after="360"/>
        <w:rPr>
          <w:rFonts w:eastAsia="Arial" w:cs="Arial"/>
          <w:color w:val="000000" w:themeColor="text1"/>
        </w:rPr>
      </w:pPr>
      <w:r w:rsidRPr="00925ABE">
        <w:rPr>
          <w:rFonts w:eastAsia="Arial" w:cs="Arial"/>
          <w:color w:val="000000" w:themeColor="text1"/>
        </w:rPr>
        <w:t xml:space="preserve">The </w:t>
      </w:r>
      <w:r w:rsidR="003F4CA8" w:rsidRPr="00925ABE">
        <w:rPr>
          <w:rFonts w:eastAsia="Arial" w:cs="Arial"/>
          <w:color w:val="000000" w:themeColor="text1"/>
        </w:rPr>
        <w:t xml:space="preserve">SBE and </w:t>
      </w:r>
      <w:r w:rsidR="00B0717E" w:rsidRPr="00925ABE">
        <w:rPr>
          <w:rFonts w:eastAsia="Arial" w:cs="Arial"/>
          <w:color w:val="000000" w:themeColor="text1"/>
        </w:rPr>
        <w:t xml:space="preserve">CDE staff </w:t>
      </w:r>
      <w:r w:rsidR="00CB3DCE" w:rsidRPr="00925ABE">
        <w:rPr>
          <w:rFonts w:eastAsia="Arial" w:cs="Arial"/>
          <w:color w:val="000000" w:themeColor="text1"/>
        </w:rPr>
        <w:t>are</w:t>
      </w:r>
      <w:r w:rsidRPr="00925ABE">
        <w:rPr>
          <w:rFonts w:eastAsia="Arial" w:cs="Arial"/>
          <w:color w:val="000000" w:themeColor="text1"/>
        </w:rPr>
        <w:t xml:space="preserve"> developing</w:t>
      </w:r>
      <w:r w:rsidR="00B0717E" w:rsidRPr="00925ABE">
        <w:rPr>
          <w:rFonts w:eastAsia="Arial" w:cs="Arial"/>
          <w:color w:val="000000" w:themeColor="text1"/>
        </w:rPr>
        <w:t xml:space="preserve"> a waiver proposal that</w:t>
      </w:r>
      <w:r w:rsidRPr="00925ABE">
        <w:rPr>
          <w:rFonts w:eastAsia="Arial" w:cs="Arial"/>
          <w:color w:val="000000" w:themeColor="text1"/>
        </w:rPr>
        <w:t xml:space="preserve"> </w:t>
      </w:r>
      <w:r w:rsidR="00B0717E" w:rsidRPr="00925ABE">
        <w:rPr>
          <w:rFonts w:eastAsia="Arial" w:cs="Arial"/>
          <w:color w:val="000000" w:themeColor="text1"/>
        </w:rPr>
        <w:t>focuses on a plan for assessment</w:t>
      </w:r>
      <w:r w:rsidRPr="00925ABE">
        <w:rPr>
          <w:rFonts w:eastAsia="Arial" w:cs="Arial"/>
          <w:color w:val="000000" w:themeColor="text1"/>
        </w:rPr>
        <w:t xml:space="preserve"> </w:t>
      </w:r>
      <w:r w:rsidR="00B0717E" w:rsidRPr="00925ABE">
        <w:rPr>
          <w:rFonts w:eastAsia="Arial" w:cs="Arial"/>
        </w:rPr>
        <w:t>flexibilities</w:t>
      </w:r>
      <w:r w:rsidRPr="00925ABE">
        <w:rPr>
          <w:rFonts w:eastAsia="Arial" w:cs="Arial"/>
        </w:rPr>
        <w:t xml:space="preserve"> </w:t>
      </w:r>
      <w:r w:rsidR="00B0717E" w:rsidRPr="00925ABE">
        <w:rPr>
          <w:rFonts w:eastAsia="Arial" w:cs="Arial"/>
        </w:rPr>
        <w:t xml:space="preserve">and will attach them as an Item Addendum along with an analysis and recommendations for the SBE’s consideration. </w:t>
      </w:r>
    </w:p>
    <w:p w14:paraId="3D47E909" w14:textId="77777777" w:rsidR="003E4DF7" w:rsidRPr="00925ABE" w:rsidRDefault="003E4DF7" w:rsidP="002B4B14">
      <w:pPr>
        <w:pStyle w:val="Heading2"/>
        <w:spacing w:before="240" w:after="240"/>
        <w:rPr>
          <w:sz w:val="36"/>
          <w:szCs w:val="36"/>
        </w:rPr>
      </w:pPr>
      <w:r w:rsidRPr="00925ABE">
        <w:rPr>
          <w:sz w:val="36"/>
          <w:szCs w:val="36"/>
        </w:rPr>
        <w:t>Summary of Previous State Board of Education Discussion and Action</w:t>
      </w:r>
    </w:p>
    <w:p w14:paraId="747718B6" w14:textId="7B554909" w:rsidR="7E849155" w:rsidRPr="00925ABE" w:rsidRDefault="00B9406D" w:rsidP="0FEBE696">
      <w:pPr>
        <w:spacing w:before="240" w:after="240"/>
        <w:rPr>
          <w:rFonts w:eastAsia="Arial" w:cs="Arial"/>
          <w:color w:val="000000" w:themeColor="text1"/>
        </w:rPr>
      </w:pPr>
      <w:r w:rsidRPr="00925ABE">
        <w:rPr>
          <w:rFonts w:eastAsia="Arial" w:cs="Arial"/>
          <w:color w:val="000000" w:themeColor="text1"/>
        </w:rPr>
        <w:t xml:space="preserve">In February 2021, the CDE provided the SBE with updates on the guidance released by the ED </w:t>
      </w:r>
      <w:r w:rsidR="2FA6ECC1" w:rsidRPr="00925ABE">
        <w:rPr>
          <w:rFonts w:eastAsia="Arial" w:cs="Arial"/>
          <w:color w:val="000000" w:themeColor="text1"/>
        </w:rPr>
        <w:t>on</w:t>
      </w:r>
      <w:r w:rsidRPr="00925ABE">
        <w:rPr>
          <w:rFonts w:eastAsia="Arial" w:cs="Arial"/>
          <w:color w:val="000000" w:themeColor="text1"/>
        </w:rPr>
        <w:t xml:space="preserve"> </w:t>
      </w:r>
      <w:r w:rsidR="19FF1CFB" w:rsidRPr="00925ABE">
        <w:rPr>
          <w:rFonts w:eastAsia="Arial" w:cs="Arial"/>
          <w:color w:val="000000" w:themeColor="text1"/>
        </w:rPr>
        <w:t xml:space="preserve">assessing student learning during the pandemic. The SBE </w:t>
      </w:r>
      <w:r w:rsidR="770FF929" w:rsidRPr="00925ABE">
        <w:rPr>
          <w:rFonts w:eastAsia="Arial" w:cs="Arial"/>
          <w:color w:val="000000" w:themeColor="text1"/>
        </w:rPr>
        <w:t xml:space="preserve">directed the CDE to provide next steps </w:t>
      </w:r>
      <w:r w:rsidR="51F86751" w:rsidRPr="00925ABE">
        <w:rPr>
          <w:rFonts w:eastAsia="Arial" w:cs="Arial"/>
          <w:color w:val="000000" w:themeColor="text1"/>
        </w:rPr>
        <w:t>on applying for additional flexibility from the ED (</w:t>
      </w:r>
      <w:hyperlink r:id="rId15" w:tooltip="This link opens the February 2021 SBE Agenda Item.">
        <w:r w:rsidR="00771D00" w:rsidRPr="00925ABE">
          <w:rPr>
            <w:rStyle w:val="Hyperlink"/>
            <w:rFonts w:eastAsia="Arial" w:cs="Arial"/>
          </w:rPr>
          <w:t>https://www.cde.ca.gov/be/ag/ag/yr21/documents/feb2124item02.docx</w:t>
        </w:r>
      </w:hyperlink>
      <w:r w:rsidR="00771D00" w:rsidRPr="00925ABE">
        <w:rPr>
          <w:rFonts w:eastAsia="Arial" w:cs="Arial"/>
          <w:color w:val="000000" w:themeColor="text1"/>
        </w:rPr>
        <w:t>).</w:t>
      </w:r>
    </w:p>
    <w:p w14:paraId="08CD7BB6" w14:textId="51D19338" w:rsidR="00DA067A" w:rsidRPr="00925ABE" w:rsidRDefault="000A5534" w:rsidP="0FEBE696">
      <w:pPr>
        <w:spacing w:before="240" w:after="240"/>
      </w:pPr>
      <w:r w:rsidRPr="00925ABE">
        <w:t>In January 2021, the CDE provided the SBE with a summary of updates related to the CAASPP and the ELPAC</w:t>
      </w:r>
      <w:r w:rsidR="00181E3C" w:rsidRPr="00925ABE">
        <w:t>. The SBE engaged in preliminary</w:t>
      </w:r>
      <w:r w:rsidR="00BE6F56" w:rsidRPr="00925ABE">
        <w:t xml:space="preserve"> discussions</w:t>
      </w:r>
      <w:r w:rsidR="00181E3C" w:rsidRPr="00925ABE">
        <w:t xml:space="preserve"> </w:t>
      </w:r>
      <w:r w:rsidR="00BE6F56" w:rsidRPr="00925ABE">
        <w:t xml:space="preserve">about testing flexibilities </w:t>
      </w:r>
      <w:r w:rsidRPr="00925ABE">
        <w:t>(</w:t>
      </w:r>
      <w:hyperlink r:id="rId16" w:tooltip="This link opens the January 2021 SBE Agenda Item." w:history="1">
        <w:r w:rsidRPr="00925ABE">
          <w:rPr>
            <w:rStyle w:val="Hyperlink"/>
          </w:rPr>
          <w:t>https://www.cde.ca.gov/be/ag/ag/yr21/documents/jan21item03.docx</w:t>
        </w:r>
      </w:hyperlink>
      <w:r w:rsidRPr="00925ABE">
        <w:t>).</w:t>
      </w:r>
    </w:p>
    <w:p w14:paraId="59DCEDB0" w14:textId="00F31732" w:rsidR="40E06099" w:rsidRPr="00925ABE" w:rsidRDefault="4FB9D9D4" w:rsidP="0FEBE696">
      <w:pPr>
        <w:spacing w:before="240" w:after="240"/>
        <w:rPr>
          <w:rFonts w:eastAsia="Arial" w:cs="Arial"/>
          <w:color w:val="000000" w:themeColor="text1"/>
        </w:rPr>
      </w:pPr>
      <w:r w:rsidRPr="00925ABE">
        <w:rPr>
          <w:rFonts w:eastAsia="Arial" w:cs="Arial"/>
          <w:color w:val="000000" w:themeColor="text1"/>
        </w:rPr>
        <w:t>In November 2020, the CDE provided the SBE with updates related to the CAASPP, the ELPAC, and the California High School Proficiency Examination, including the approval of the proposed Smarter Balanced Summative Assessments for ELA and mathematics blueprints, and approval of the proposed Alternate ELPAC Student Score Reports (</w:t>
      </w:r>
      <w:hyperlink r:id="rId17" w:tooltip="This link opens the November 2020 SBE Agenda Item.">
        <w:r w:rsidRPr="00925ABE">
          <w:rPr>
            <w:rStyle w:val="Hyperlink"/>
            <w:rFonts w:eastAsia="Arial" w:cs="Arial"/>
          </w:rPr>
          <w:t>https://www.cde.ca.gov/be/ag/ag/yr20/documents/nov20item04.docx</w:t>
        </w:r>
      </w:hyperlink>
      <w:r w:rsidRPr="00925ABE">
        <w:rPr>
          <w:rFonts w:eastAsia="Arial" w:cs="Arial"/>
          <w:color w:val="000000" w:themeColor="text1"/>
        </w:rPr>
        <w:t>).</w:t>
      </w:r>
    </w:p>
    <w:p w14:paraId="79440E2C" w14:textId="1645DE52" w:rsidR="40E06099" w:rsidRPr="00925ABE" w:rsidRDefault="4FB9D9D4" w:rsidP="00C36B3A">
      <w:pPr>
        <w:spacing w:before="240" w:after="360" w:line="259" w:lineRule="auto"/>
        <w:rPr>
          <w:rFonts w:eastAsia="Arial" w:cs="Arial"/>
          <w:color w:val="000000" w:themeColor="text1"/>
        </w:rPr>
      </w:pPr>
      <w:r w:rsidRPr="00925ABE">
        <w:rPr>
          <w:rFonts w:eastAsia="Arial" w:cs="Arial"/>
          <w:color w:val="000000" w:themeColor="text1"/>
        </w:rPr>
        <w:t>In July 2020, the CDE provided the SBE with a summary of developments and updates related to the CAASPP and ELPAC, including summary data for the 2019–2020 test administration year, an update to the California Educator Reporting System</w:t>
      </w:r>
      <w:r w:rsidR="00F77802" w:rsidRPr="00925ABE">
        <w:rPr>
          <w:rFonts w:eastAsia="Arial" w:cs="Arial"/>
          <w:color w:val="000000" w:themeColor="text1"/>
        </w:rPr>
        <w:t xml:space="preserve"> (CERS)</w:t>
      </w:r>
      <w:r w:rsidRPr="00925ABE">
        <w:rPr>
          <w:rFonts w:eastAsia="Arial" w:cs="Arial"/>
          <w:color w:val="000000" w:themeColor="text1"/>
        </w:rPr>
        <w:t>, the Tools for Teachers launch, and the development of formative assessments for science (</w:t>
      </w:r>
      <w:hyperlink r:id="rId18" w:tooltip="This link opens the July 2020 SBE Agenda Item.">
        <w:r w:rsidRPr="00925ABE">
          <w:rPr>
            <w:rStyle w:val="Hyperlink"/>
            <w:rFonts w:eastAsia="Arial" w:cs="Arial"/>
          </w:rPr>
          <w:t>https://www.cde.ca.gov/be/ag/ag/yr20/documents/jul20item05.docx</w:t>
        </w:r>
      </w:hyperlink>
      <w:r w:rsidR="006205F0" w:rsidRPr="00925ABE">
        <w:rPr>
          <w:rFonts w:eastAsia="Arial" w:cs="Arial"/>
          <w:color w:val="000000" w:themeColor="text1"/>
        </w:rPr>
        <w:t>).</w:t>
      </w:r>
    </w:p>
    <w:p w14:paraId="5E6B385F" w14:textId="77777777" w:rsidR="003E4DF7" w:rsidRPr="00925ABE" w:rsidRDefault="003E4DF7" w:rsidP="002B4B14">
      <w:pPr>
        <w:pStyle w:val="Heading2"/>
        <w:spacing w:before="240" w:after="240"/>
        <w:rPr>
          <w:sz w:val="36"/>
          <w:szCs w:val="36"/>
        </w:rPr>
      </w:pPr>
      <w:r w:rsidRPr="00925ABE">
        <w:rPr>
          <w:sz w:val="36"/>
          <w:szCs w:val="36"/>
        </w:rPr>
        <w:t>Fiscal Analysis (as appropriate)</w:t>
      </w:r>
    </w:p>
    <w:p w14:paraId="3539FB33" w14:textId="3A065C94" w:rsidR="000F0280" w:rsidRPr="00925ABE" w:rsidRDefault="000F0280" w:rsidP="00820B20">
      <w:pPr>
        <w:spacing w:after="360"/>
      </w:pPr>
      <w:r w:rsidRPr="00925ABE">
        <w:t>The 2020–2021 Budget Act includes the funding necessary for 2020–2021 CAASPP and ELPAC administration contract activities. Funding for 2021–2022 and beyond will be contingent on an annual appropriation being made available from the Legislature in future fiscal years. The 2020–2021 Budget Act provides a total of $87,108,000 in multiple CAASPP System contract costs, which includes $76,687,000 in funding for the ETS CAASPP contract activities and $519,000 for the U</w:t>
      </w:r>
      <w:r w:rsidR="33447A2A" w:rsidRPr="00925ABE">
        <w:t>niversity of California Santa Cruz (U</w:t>
      </w:r>
      <w:r w:rsidRPr="00925ABE">
        <w:t>CSC</w:t>
      </w:r>
      <w:r w:rsidR="3A4381F1" w:rsidRPr="00925ABE">
        <w:t>)</w:t>
      </w:r>
      <w:r w:rsidRPr="00925ABE">
        <w:t xml:space="preserve"> CERS contract activities. The 2020–2021 </w:t>
      </w:r>
      <w:r w:rsidR="00F77802" w:rsidRPr="00925ABE">
        <w:t>b</w:t>
      </w:r>
      <w:r w:rsidRPr="00925ABE">
        <w:t xml:space="preserve">udget provides a total of $22,344,000 in funding for ELPAC contract obligations, which includes $21,615,000 for the ETS ELPAC contract activities and $279,000 for the UCSC CERS contract </w:t>
      </w:r>
      <w:r w:rsidRPr="00925ABE">
        <w:lastRenderedPageBreak/>
        <w:t>activities. An additional $8,487,000 was reappropriated to support students who were unable to complete Summative ELPAC testing in 2019–2020 for reclassification purposes. Those funds were used to extend an optional administration of the 2019–2020 Summative ELPAC, to occur in fall 2020, and other related activities throughout 2020–2021. </w:t>
      </w:r>
    </w:p>
    <w:p w14:paraId="679B1EC2" w14:textId="77777777" w:rsidR="00406F50" w:rsidRPr="00925ABE" w:rsidRDefault="00406F50" w:rsidP="002B4B14">
      <w:pPr>
        <w:pStyle w:val="Heading2"/>
        <w:spacing w:before="240" w:after="240"/>
        <w:rPr>
          <w:sz w:val="36"/>
          <w:szCs w:val="36"/>
        </w:rPr>
      </w:pPr>
      <w:r w:rsidRPr="00925ABE">
        <w:rPr>
          <w:sz w:val="36"/>
          <w:szCs w:val="36"/>
        </w:rPr>
        <w:t>Attachment(s)</w:t>
      </w:r>
    </w:p>
    <w:p w14:paraId="13A4642E" w14:textId="515D20C8" w:rsidR="009B04E1" w:rsidRPr="006573AB" w:rsidRDefault="00407E9B" w:rsidP="002B4B14">
      <w:pPr>
        <w:spacing w:after="480"/>
      </w:pPr>
      <w:r w:rsidRPr="00925ABE">
        <w:t>None.</w:t>
      </w:r>
      <w:bookmarkStart w:id="0" w:name="_GoBack"/>
      <w:bookmarkEnd w:id="0"/>
    </w:p>
    <w:sectPr w:rsidR="009B04E1" w:rsidRPr="006573AB" w:rsidSect="00407E9B">
      <w:headerReference w:type="default" r:id="rId19"/>
      <w:type w:val="continuous"/>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85B0" w16cex:dateUtc="2021-03-05T18:25:00Z"/>
  <w16cex:commentExtensible w16cex:durableId="23EC8511" w16cex:dateUtc="2021-03-05T18:23:00Z"/>
  <w16cex:commentExtensible w16cex:durableId="23EC8529" w16cex:dateUtc="2021-03-05T18:23:00Z"/>
  <w16cex:commentExtensible w16cex:durableId="23EC83B1" w16cex:dateUtc="2021-03-05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4A600" w16cid:durableId="23EC81C5"/>
  <w16cid:commentId w16cid:paraId="25414A88" w16cid:durableId="23EC81C4"/>
  <w16cid:commentId w16cid:paraId="47D73A03" w16cid:durableId="23EC85B0"/>
  <w16cid:commentId w16cid:paraId="5007C2F3" w16cid:durableId="23EC8511"/>
  <w16cid:commentId w16cid:paraId="51F16E87" w16cid:durableId="23EC8529"/>
  <w16cid:commentId w16cid:paraId="1B79579F" w16cid:durableId="23EBC919"/>
  <w16cid:commentId w16cid:paraId="4E0F9E7A" w16cid:durableId="23EC83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BF09A" w14:textId="77777777" w:rsidR="000011D1" w:rsidRDefault="000011D1" w:rsidP="000E09DC">
      <w:r>
        <w:separator/>
      </w:r>
    </w:p>
  </w:endnote>
  <w:endnote w:type="continuationSeparator" w:id="0">
    <w:p w14:paraId="68A1206E" w14:textId="77777777" w:rsidR="000011D1" w:rsidRDefault="000011D1" w:rsidP="000E09DC">
      <w:r>
        <w:continuationSeparator/>
      </w:r>
    </w:p>
  </w:endnote>
  <w:endnote w:type="continuationNotice" w:id="1">
    <w:p w14:paraId="4EE0799D" w14:textId="77777777" w:rsidR="000011D1" w:rsidRDefault="00001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D41C" w14:textId="77777777" w:rsidR="000011D1" w:rsidRDefault="000011D1" w:rsidP="000E09DC">
      <w:r>
        <w:separator/>
      </w:r>
    </w:p>
  </w:footnote>
  <w:footnote w:type="continuationSeparator" w:id="0">
    <w:p w14:paraId="0E5C0D77" w14:textId="77777777" w:rsidR="000011D1" w:rsidRDefault="000011D1" w:rsidP="000E09DC">
      <w:r>
        <w:continuationSeparator/>
      </w:r>
    </w:p>
  </w:footnote>
  <w:footnote w:type="continuationNotice" w:id="1">
    <w:p w14:paraId="6F370CEE" w14:textId="77777777" w:rsidR="000011D1" w:rsidRDefault="000011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7CFA" w14:textId="77777777" w:rsidR="006205F0" w:rsidRPr="000E09DC" w:rsidRDefault="006205F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6205F0" w:rsidRDefault="006205F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2EB378F" w14:textId="77777777" w:rsidR="006205F0" w:rsidRPr="00527B0E" w:rsidRDefault="006205F0"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33F2AA21" w14:textId="77777777" w:rsidR="006205F0" w:rsidRDefault="006205F0" w:rsidP="00E11508">
        <w:pPr>
          <w:pStyle w:val="Header"/>
          <w:jc w:val="right"/>
        </w:pPr>
        <w:r>
          <w:t>imb-adad-mar21item03</w:t>
        </w:r>
      </w:p>
      <w:p w14:paraId="6CB141C1" w14:textId="77777777" w:rsidR="006205F0" w:rsidRPr="00E11508" w:rsidRDefault="006205F0" w:rsidP="00E11508">
        <w:pPr>
          <w:pStyle w:val="Header"/>
          <w:spacing w:after="360"/>
          <w:jc w:val="right"/>
        </w:pPr>
        <w:r w:rsidRPr="00E11508">
          <w:t xml:space="preserve">Page </w:t>
        </w:r>
        <w:r w:rsidRPr="00E11508">
          <w:rPr>
            <w:bCs/>
          </w:rPr>
          <w:fldChar w:fldCharType="begin"/>
        </w:r>
        <w:r w:rsidRPr="00E11508">
          <w:rPr>
            <w:bCs/>
          </w:rPr>
          <w:instrText xml:space="preserve"> PAGE </w:instrText>
        </w:r>
        <w:r w:rsidRPr="00E11508">
          <w:rPr>
            <w:bCs/>
          </w:rPr>
          <w:fldChar w:fldCharType="separate"/>
        </w:r>
        <w:r w:rsidR="00925ABE">
          <w:rPr>
            <w:bCs/>
            <w:noProof/>
          </w:rPr>
          <w:t>4</w:t>
        </w:r>
        <w:r w:rsidRPr="00E11508">
          <w:rPr>
            <w:bCs/>
          </w:rPr>
          <w:fldChar w:fldCharType="end"/>
        </w:r>
        <w:r w:rsidRPr="00E11508">
          <w:t xml:space="preserve"> of </w:t>
        </w:r>
        <w:r w:rsidRPr="00E11508">
          <w:rPr>
            <w:bCs/>
          </w:rPr>
          <w:fldChar w:fldCharType="begin"/>
        </w:r>
        <w:r w:rsidRPr="00E11508">
          <w:rPr>
            <w:bCs/>
          </w:rPr>
          <w:instrText xml:space="preserve"> NUMPAGES  </w:instrText>
        </w:r>
        <w:r w:rsidRPr="00E11508">
          <w:rPr>
            <w:bCs/>
          </w:rPr>
          <w:fldChar w:fldCharType="separate"/>
        </w:r>
        <w:r w:rsidR="00925ABE">
          <w:rPr>
            <w:bCs/>
            <w:noProof/>
          </w:rPr>
          <w:t>4</w:t>
        </w:r>
        <w:r w:rsidRPr="00E11508">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D4B09"/>
    <w:multiLevelType w:val="hybridMultilevel"/>
    <w:tmpl w:val="9CBA02B6"/>
    <w:lvl w:ilvl="0" w:tplc="76365C9C">
      <w:start w:val="1"/>
      <w:numFmt w:val="bullet"/>
      <w:lvlText w:val=""/>
      <w:lvlJc w:val="left"/>
      <w:pPr>
        <w:ind w:left="720" w:hanging="360"/>
      </w:pPr>
      <w:rPr>
        <w:rFonts w:ascii="Symbol" w:hAnsi="Symbol" w:hint="default"/>
      </w:rPr>
    </w:lvl>
    <w:lvl w:ilvl="1" w:tplc="2056F9B2">
      <w:start w:val="1"/>
      <w:numFmt w:val="bullet"/>
      <w:lvlText w:val="o"/>
      <w:lvlJc w:val="left"/>
      <w:pPr>
        <w:ind w:left="1440" w:hanging="360"/>
      </w:pPr>
      <w:rPr>
        <w:rFonts w:ascii="Courier New" w:hAnsi="Courier New" w:hint="default"/>
      </w:rPr>
    </w:lvl>
    <w:lvl w:ilvl="2" w:tplc="ADFC17AE">
      <w:start w:val="1"/>
      <w:numFmt w:val="bullet"/>
      <w:lvlText w:val=""/>
      <w:lvlJc w:val="left"/>
      <w:pPr>
        <w:ind w:left="2160" w:hanging="360"/>
      </w:pPr>
      <w:rPr>
        <w:rFonts w:ascii="Wingdings" w:hAnsi="Wingdings" w:hint="default"/>
      </w:rPr>
    </w:lvl>
    <w:lvl w:ilvl="3" w:tplc="E5905B56">
      <w:start w:val="1"/>
      <w:numFmt w:val="bullet"/>
      <w:lvlText w:val=""/>
      <w:lvlJc w:val="left"/>
      <w:pPr>
        <w:ind w:left="2880" w:hanging="360"/>
      </w:pPr>
      <w:rPr>
        <w:rFonts w:ascii="Symbol" w:hAnsi="Symbol" w:hint="default"/>
      </w:rPr>
    </w:lvl>
    <w:lvl w:ilvl="4" w:tplc="53DA3764">
      <w:start w:val="1"/>
      <w:numFmt w:val="bullet"/>
      <w:lvlText w:val="o"/>
      <w:lvlJc w:val="left"/>
      <w:pPr>
        <w:ind w:left="3600" w:hanging="360"/>
      </w:pPr>
      <w:rPr>
        <w:rFonts w:ascii="Courier New" w:hAnsi="Courier New" w:hint="default"/>
      </w:rPr>
    </w:lvl>
    <w:lvl w:ilvl="5" w:tplc="65DAD8C8">
      <w:start w:val="1"/>
      <w:numFmt w:val="bullet"/>
      <w:lvlText w:val=""/>
      <w:lvlJc w:val="left"/>
      <w:pPr>
        <w:ind w:left="4320" w:hanging="360"/>
      </w:pPr>
      <w:rPr>
        <w:rFonts w:ascii="Wingdings" w:hAnsi="Wingdings" w:hint="default"/>
      </w:rPr>
    </w:lvl>
    <w:lvl w:ilvl="6" w:tplc="EAF450D4">
      <w:start w:val="1"/>
      <w:numFmt w:val="bullet"/>
      <w:lvlText w:val=""/>
      <w:lvlJc w:val="left"/>
      <w:pPr>
        <w:ind w:left="5040" w:hanging="360"/>
      </w:pPr>
      <w:rPr>
        <w:rFonts w:ascii="Symbol" w:hAnsi="Symbol" w:hint="default"/>
      </w:rPr>
    </w:lvl>
    <w:lvl w:ilvl="7" w:tplc="5EA2E5D8">
      <w:start w:val="1"/>
      <w:numFmt w:val="bullet"/>
      <w:lvlText w:val="o"/>
      <w:lvlJc w:val="left"/>
      <w:pPr>
        <w:ind w:left="5760" w:hanging="360"/>
      </w:pPr>
      <w:rPr>
        <w:rFonts w:ascii="Courier New" w:hAnsi="Courier New" w:hint="default"/>
      </w:rPr>
    </w:lvl>
    <w:lvl w:ilvl="8" w:tplc="0FD8220C">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93146A"/>
    <w:multiLevelType w:val="hybridMultilevel"/>
    <w:tmpl w:val="D362D74A"/>
    <w:lvl w:ilvl="0" w:tplc="C2D06152">
      <w:start w:val="1"/>
      <w:numFmt w:val="decimal"/>
      <w:lvlText w:val="%1."/>
      <w:lvlJc w:val="left"/>
      <w:pPr>
        <w:ind w:left="720" w:hanging="360"/>
      </w:pPr>
    </w:lvl>
    <w:lvl w:ilvl="1" w:tplc="0E2E53D2">
      <w:start w:val="1"/>
      <w:numFmt w:val="lowerLetter"/>
      <w:lvlText w:val="%2."/>
      <w:lvlJc w:val="left"/>
      <w:pPr>
        <w:ind w:left="1440" w:hanging="360"/>
      </w:pPr>
    </w:lvl>
    <w:lvl w:ilvl="2" w:tplc="F95E2A3C">
      <w:start w:val="1"/>
      <w:numFmt w:val="lowerRoman"/>
      <w:lvlText w:val="%3."/>
      <w:lvlJc w:val="right"/>
      <w:pPr>
        <w:ind w:left="2160" w:hanging="180"/>
      </w:pPr>
    </w:lvl>
    <w:lvl w:ilvl="3" w:tplc="95F0BEDA">
      <w:start w:val="1"/>
      <w:numFmt w:val="decimal"/>
      <w:lvlText w:val="%4."/>
      <w:lvlJc w:val="left"/>
      <w:pPr>
        <w:ind w:left="2880" w:hanging="360"/>
      </w:pPr>
    </w:lvl>
    <w:lvl w:ilvl="4" w:tplc="22AA444C">
      <w:start w:val="1"/>
      <w:numFmt w:val="lowerLetter"/>
      <w:lvlText w:val="%5."/>
      <w:lvlJc w:val="left"/>
      <w:pPr>
        <w:ind w:left="3600" w:hanging="360"/>
      </w:pPr>
    </w:lvl>
    <w:lvl w:ilvl="5" w:tplc="AA842FB0">
      <w:start w:val="1"/>
      <w:numFmt w:val="lowerRoman"/>
      <w:lvlText w:val="%6."/>
      <w:lvlJc w:val="right"/>
      <w:pPr>
        <w:ind w:left="4320" w:hanging="180"/>
      </w:pPr>
    </w:lvl>
    <w:lvl w:ilvl="6" w:tplc="CFA452C8">
      <w:start w:val="1"/>
      <w:numFmt w:val="decimal"/>
      <w:lvlText w:val="%7."/>
      <w:lvlJc w:val="left"/>
      <w:pPr>
        <w:ind w:left="5040" w:hanging="360"/>
      </w:pPr>
    </w:lvl>
    <w:lvl w:ilvl="7" w:tplc="34D42764">
      <w:start w:val="1"/>
      <w:numFmt w:val="lowerLetter"/>
      <w:lvlText w:val="%8."/>
      <w:lvlJc w:val="left"/>
      <w:pPr>
        <w:ind w:left="5760" w:hanging="360"/>
      </w:pPr>
    </w:lvl>
    <w:lvl w:ilvl="8" w:tplc="9B7E996E">
      <w:start w:val="1"/>
      <w:numFmt w:val="lowerRoman"/>
      <w:lvlText w:val="%9."/>
      <w:lvlJc w:val="right"/>
      <w:pPr>
        <w:ind w:left="648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2"/>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1D1"/>
    <w:rsid w:val="000040D5"/>
    <w:rsid w:val="000324AD"/>
    <w:rsid w:val="00036A96"/>
    <w:rsid w:val="0005024E"/>
    <w:rsid w:val="00052175"/>
    <w:rsid w:val="00056EB7"/>
    <w:rsid w:val="00068C70"/>
    <w:rsid w:val="0008202B"/>
    <w:rsid w:val="000842D3"/>
    <w:rsid w:val="000A5534"/>
    <w:rsid w:val="000C2D91"/>
    <w:rsid w:val="000C35F8"/>
    <w:rsid w:val="000E0151"/>
    <w:rsid w:val="000E09DC"/>
    <w:rsid w:val="000F0280"/>
    <w:rsid w:val="001048F3"/>
    <w:rsid w:val="0011595B"/>
    <w:rsid w:val="001227E7"/>
    <w:rsid w:val="001258FF"/>
    <w:rsid w:val="00130059"/>
    <w:rsid w:val="001413CF"/>
    <w:rsid w:val="001752EC"/>
    <w:rsid w:val="001777D8"/>
    <w:rsid w:val="0018148D"/>
    <w:rsid w:val="00181E3C"/>
    <w:rsid w:val="00182AFD"/>
    <w:rsid w:val="00192D0F"/>
    <w:rsid w:val="0019EF72"/>
    <w:rsid w:val="001A0CA5"/>
    <w:rsid w:val="001A39BF"/>
    <w:rsid w:val="001A7157"/>
    <w:rsid w:val="001B3958"/>
    <w:rsid w:val="001E1929"/>
    <w:rsid w:val="001F7634"/>
    <w:rsid w:val="00211080"/>
    <w:rsid w:val="00223112"/>
    <w:rsid w:val="002233BF"/>
    <w:rsid w:val="002254A7"/>
    <w:rsid w:val="00225A56"/>
    <w:rsid w:val="00227B81"/>
    <w:rsid w:val="00240B26"/>
    <w:rsid w:val="002572D1"/>
    <w:rsid w:val="00265268"/>
    <w:rsid w:val="00281B9F"/>
    <w:rsid w:val="002936F8"/>
    <w:rsid w:val="002A0900"/>
    <w:rsid w:val="002A7389"/>
    <w:rsid w:val="002B4B14"/>
    <w:rsid w:val="002C7537"/>
    <w:rsid w:val="002D1A82"/>
    <w:rsid w:val="002E4CB5"/>
    <w:rsid w:val="002E6FCA"/>
    <w:rsid w:val="002F279B"/>
    <w:rsid w:val="00313E03"/>
    <w:rsid w:val="00315131"/>
    <w:rsid w:val="00345E68"/>
    <w:rsid w:val="00363520"/>
    <w:rsid w:val="003705FC"/>
    <w:rsid w:val="00377782"/>
    <w:rsid w:val="003777ED"/>
    <w:rsid w:val="00384ACF"/>
    <w:rsid w:val="00391032"/>
    <w:rsid w:val="0039333A"/>
    <w:rsid w:val="003B6D3A"/>
    <w:rsid w:val="003D1ECD"/>
    <w:rsid w:val="003D4111"/>
    <w:rsid w:val="003D6A6B"/>
    <w:rsid w:val="003D6F32"/>
    <w:rsid w:val="003D7274"/>
    <w:rsid w:val="003E1E8D"/>
    <w:rsid w:val="003E4DF7"/>
    <w:rsid w:val="003F4CA8"/>
    <w:rsid w:val="00406F50"/>
    <w:rsid w:val="0040792E"/>
    <w:rsid w:val="00407E9B"/>
    <w:rsid w:val="004203BC"/>
    <w:rsid w:val="00424775"/>
    <w:rsid w:val="004362E9"/>
    <w:rsid w:val="0044670C"/>
    <w:rsid w:val="00447B73"/>
    <w:rsid w:val="00457ABF"/>
    <w:rsid w:val="004665EE"/>
    <w:rsid w:val="0047534A"/>
    <w:rsid w:val="00481A18"/>
    <w:rsid w:val="0048429A"/>
    <w:rsid w:val="004A018C"/>
    <w:rsid w:val="004D5CF1"/>
    <w:rsid w:val="004E029B"/>
    <w:rsid w:val="004F6E59"/>
    <w:rsid w:val="00512CED"/>
    <w:rsid w:val="00516AA7"/>
    <w:rsid w:val="00517C00"/>
    <w:rsid w:val="00527B0E"/>
    <w:rsid w:val="00530E44"/>
    <w:rsid w:val="00544F85"/>
    <w:rsid w:val="005851A2"/>
    <w:rsid w:val="005859FB"/>
    <w:rsid w:val="00596328"/>
    <w:rsid w:val="005A6BC7"/>
    <w:rsid w:val="005A7758"/>
    <w:rsid w:val="005B1080"/>
    <w:rsid w:val="005B2F51"/>
    <w:rsid w:val="005D7B88"/>
    <w:rsid w:val="005E6095"/>
    <w:rsid w:val="005E6EA1"/>
    <w:rsid w:val="005E7D97"/>
    <w:rsid w:val="00603778"/>
    <w:rsid w:val="00615FEE"/>
    <w:rsid w:val="006205F0"/>
    <w:rsid w:val="006277AD"/>
    <w:rsid w:val="00637513"/>
    <w:rsid w:val="00646838"/>
    <w:rsid w:val="006573AB"/>
    <w:rsid w:val="006774FA"/>
    <w:rsid w:val="00692300"/>
    <w:rsid w:val="00692AD9"/>
    <w:rsid w:val="00693951"/>
    <w:rsid w:val="006971D6"/>
    <w:rsid w:val="006B2111"/>
    <w:rsid w:val="006D0223"/>
    <w:rsid w:val="006D5038"/>
    <w:rsid w:val="006E06C6"/>
    <w:rsid w:val="006F525A"/>
    <w:rsid w:val="0070104C"/>
    <w:rsid w:val="0070650A"/>
    <w:rsid w:val="007203FF"/>
    <w:rsid w:val="00725814"/>
    <w:rsid w:val="00726EDA"/>
    <w:rsid w:val="007313A3"/>
    <w:rsid w:val="00735B5E"/>
    <w:rsid w:val="007428B8"/>
    <w:rsid w:val="0074397D"/>
    <w:rsid w:val="00745C33"/>
    <w:rsid w:val="00746164"/>
    <w:rsid w:val="00771D00"/>
    <w:rsid w:val="00780BB6"/>
    <w:rsid w:val="00794999"/>
    <w:rsid w:val="007C5697"/>
    <w:rsid w:val="007D1B63"/>
    <w:rsid w:val="007D6A8F"/>
    <w:rsid w:val="008037CF"/>
    <w:rsid w:val="00820B20"/>
    <w:rsid w:val="00824DAE"/>
    <w:rsid w:val="0085540B"/>
    <w:rsid w:val="00856D2D"/>
    <w:rsid w:val="0086211A"/>
    <w:rsid w:val="0088278A"/>
    <w:rsid w:val="00883EC7"/>
    <w:rsid w:val="00890769"/>
    <w:rsid w:val="008909EE"/>
    <w:rsid w:val="0089154E"/>
    <w:rsid w:val="008A15E4"/>
    <w:rsid w:val="008B0A96"/>
    <w:rsid w:val="008B3B36"/>
    <w:rsid w:val="008B4C0B"/>
    <w:rsid w:val="008C0CC8"/>
    <w:rsid w:val="008E278A"/>
    <w:rsid w:val="00901D44"/>
    <w:rsid w:val="00906BB6"/>
    <w:rsid w:val="0091117B"/>
    <w:rsid w:val="0091585C"/>
    <w:rsid w:val="009249AB"/>
    <w:rsid w:val="00925ABE"/>
    <w:rsid w:val="0093450F"/>
    <w:rsid w:val="00937C46"/>
    <w:rsid w:val="0099484B"/>
    <w:rsid w:val="009B04E1"/>
    <w:rsid w:val="009B0F73"/>
    <w:rsid w:val="009C6740"/>
    <w:rsid w:val="009D3440"/>
    <w:rsid w:val="009D5028"/>
    <w:rsid w:val="009F0E8A"/>
    <w:rsid w:val="00A02E22"/>
    <w:rsid w:val="00A06D06"/>
    <w:rsid w:val="00A07F42"/>
    <w:rsid w:val="00A1235C"/>
    <w:rsid w:val="00A16315"/>
    <w:rsid w:val="00A27F7E"/>
    <w:rsid w:val="00A30B3C"/>
    <w:rsid w:val="00A32344"/>
    <w:rsid w:val="00A37814"/>
    <w:rsid w:val="00A5279F"/>
    <w:rsid w:val="00A95D60"/>
    <w:rsid w:val="00AD2F75"/>
    <w:rsid w:val="00AD4DBC"/>
    <w:rsid w:val="00AF3222"/>
    <w:rsid w:val="00B00617"/>
    <w:rsid w:val="00B0717E"/>
    <w:rsid w:val="00B12FA0"/>
    <w:rsid w:val="00B13B5A"/>
    <w:rsid w:val="00B1533C"/>
    <w:rsid w:val="00B35371"/>
    <w:rsid w:val="00B46924"/>
    <w:rsid w:val="00B537C8"/>
    <w:rsid w:val="00B723BE"/>
    <w:rsid w:val="00B76F3E"/>
    <w:rsid w:val="00B82705"/>
    <w:rsid w:val="00B9406D"/>
    <w:rsid w:val="00BA550D"/>
    <w:rsid w:val="00BB4CDC"/>
    <w:rsid w:val="00BE6F56"/>
    <w:rsid w:val="00BF18C5"/>
    <w:rsid w:val="00C12D0B"/>
    <w:rsid w:val="00C15172"/>
    <w:rsid w:val="00C2728B"/>
    <w:rsid w:val="00C27D57"/>
    <w:rsid w:val="00C3649C"/>
    <w:rsid w:val="00C36B3A"/>
    <w:rsid w:val="00C41356"/>
    <w:rsid w:val="00C55AB3"/>
    <w:rsid w:val="00C61A3C"/>
    <w:rsid w:val="00C65478"/>
    <w:rsid w:val="00C80029"/>
    <w:rsid w:val="00C82CBA"/>
    <w:rsid w:val="00C8617E"/>
    <w:rsid w:val="00CA50C8"/>
    <w:rsid w:val="00CB3DCE"/>
    <w:rsid w:val="00CC4151"/>
    <w:rsid w:val="00CE1C84"/>
    <w:rsid w:val="00CE6999"/>
    <w:rsid w:val="00CE7858"/>
    <w:rsid w:val="00D00424"/>
    <w:rsid w:val="00D05593"/>
    <w:rsid w:val="00D47DAB"/>
    <w:rsid w:val="00D5115F"/>
    <w:rsid w:val="00D7032F"/>
    <w:rsid w:val="00D74515"/>
    <w:rsid w:val="00D8667C"/>
    <w:rsid w:val="00D86AB9"/>
    <w:rsid w:val="00D9282E"/>
    <w:rsid w:val="00D950FF"/>
    <w:rsid w:val="00DA067A"/>
    <w:rsid w:val="00DA1BBC"/>
    <w:rsid w:val="00DB7A41"/>
    <w:rsid w:val="00DD1C85"/>
    <w:rsid w:val="00E02F25"/>
    <w:rsid w:val="00E10321"/>
    <w:rsid w:val="00E11508"/>
    <w:rsid w:val="00E554B0"/>
    <w:rsid w:val="00E7764D"/>
    <w:rsid w:val="00E84C3E"/>
    <w:rsid w:val="00EA7D4F"/>
    <w:rsid w:val="00EB000F"/>
    <w:rsid w:val="00EB16F7"/>
    <w:rsid w:val="00EB453D"/>
    <w:rsid w:val="00EC504C"/>
    <w:rsid w:val="00EE4BCB"/>
    <w:rsid w:val="00EE7608"/>
    <w:rsid w:val="00F11B07"/>
    <w:rsid w:val="00F277E2"/>
    <w:rsid w:val="00F37D83"/>
    <w:rsid w:val="00F40510"/>
    <w:rsid w:val="00F42528"/>
    <w:rsid w:val="00F607AE"/>
    <w:rsid w:val="00F61028"/>
    <w:rsid w:val="00F77802"/>
    <w:rsid w:val="00F8121C"/>
    <w:rsid w:val="00F941F3"/>
    <w:rsid w:val="00FB05E4"/>
    <w:rsid w:val="00FB4449"/>
    <w:rsid w:val="00FC05EE"/>
    <w:rsid w:val="00FC05F1"/>
    <w:rsid w:val="00FC1FCE"/>
    <w:rsid w:val="00FC2D72"/>
    <w:rsid w:val="00FE3007"/>
    <w:rsid w:val="00FE4BD6"/>
    <w:rsid w:val="00FE7EF7"/>
    <w:rsid w:val="00FF277C"/>
    <w:rsid w:val="01FC8AA6"/>
    <w:rsid w:val="034DC479"/>
    <w:rsid w:val="0391A77E"/>
    <w:rsid w:val="045E7B84"/>
    <w:rsid w:val="04830BDE"/>
    <w:rsid w:val="05299124"/>
    <w:rsid w:val="0546DCAA"/>
    <w:rsid w:val="05CC115D"/>
    <w:rsid w:val="05E06C50"/>
    <w:rsid w:val="06EDE65F"/>
    <w:rsid w:val="07898177"/>
    <w:rsid w:val="07BE699B"/>
    <w:rsid w:val="07C394AB"/>
    <w:rsid w:val="0806A4ED"/>
    <w:rsid w:val="0827D943"/>
    <w:rsid w:val="0885F85A"/>
    <w:rsid w:val="08969121"/>
    <w:rsid w:val="08FE7AEE"/>
    <w:rsid w:val="09531495"/>
    <w:rsid w:val="09751606"/>
    <w:rsid w:val="09A83E39"/>
    <w:rsid w:val="0A05D43A"/>
    <w:rsid w:val="0A5F5181"/>
    <w:rsid w:val="0A9B6D49"/>
    <w:rsid w:val="0AC13163"/>
    <w:rsid w:val="0AF1A688"/>
    <w:rsid w:val="0AF9E88D"/>
    <w:rsid w:val="0B00E3C9"/>
    <w:rsid w:val="0B49418F"/>
    <w:rsid w:val="0B8D0A7E"/>
    <w:rsid w:val="0C28A005"/>
    <w:rsid w:val="0F447FC5"/>
    <w:rsid w:val="0F6CB641"/>
    <w:rsid w:val="0FC97B80"/>
    <w:rsid w:val="0FEBE696"/>
    <w:rsid w:val="109FB8B2"/>
    <w:rsid w:val="10CDAAD0"/>
    <w:rsid w:val="10E80932"/>
    <w:rsid w:val="10EEC320"/>
    <w:rsid w:val="11607EF1"/>
    <w:rsid w:val="116EF7FF"/>
    <w:rsid w:val="1217297E"/>
    <w:rsid w:val="128A9381"/>
    <w:rsid w:val="13808530"/>
    <w:rsid w:val="140807B2"/>
    <w:rsid w:val="147C9671"/>
    <w:rsid w:val="14901378"/>
    <w:rsid w:val="1693A98F"/>
    <w:rsid w:val="16A84554"/>
    <w:rsid w:val="1700BE5B"/>
    <w:rsid w:val="17B43733"/>
    <w:rsid w:val="18A409AA"/>
    <w:rsid w:val="19A7968E"/>
    <w:rsid w:val="19BC84B3"/>
    <w:rsid w:val="19FF1CFB"/>
    <w:rsid w:val="1A351FD2"/>
    <w:rsid w:val="1A3FDA0B"/>
    <w:rsid w:val="1A63C79C"/>
    <w:rsid w:val="1B653B6A"/>
    <w:rsid w:val="1C7C5F9F"/>
    <w:rsid w:val="1C942B4C"/>
    <w:rsid w:val="1D5E5270"/>
    <w:rsid w:val="1DA722A6"/>
    <w:rsid w:val="1DFF1821"/>
    <w:rsid w:val="1E5113BF"/>
    <w:rsid w:val="1E81DAE4"/>
    <w:rsid w:val="1E8F775E"/>
    <w:rsid w:val="1EC6CE44"/>
    <w:rsid w:val="1FC16E7E"/>
    <w:rsid w:val="1FD3B994"/>
    <w:rsid w:val="2010CAEE"/>
    <w:rsid w:val="20449814"/>
    <w:rsid w:val="2065612C"/>
    <w:rsid w:val="2080A7C9"/>
    <w:rsid w:val="209E1ED0"/>
    <w:rsid w:val="2178E51C"/>
    <w:rsid w:val="2188DB1B"/>
    <w:rsid w:val="21C72530"/>
    <w:rsid w:val="21CF1A10"/>
    <w:rsid w:val="22B6F21A"/>
    <w:rsid w:val="231F6072"/>
    <w:rsid w:val="235F01D7"/>
    <w:rsid w:val="23AF9CB2"/>
    <w:rsid w:val="24424488"/>
    <w:rsid w:val="24BAF260"/>
    <w:rsid w:val="24DBE2EE"/>
    <w:rsid w:val="25762D6C"/>
    <w:rsid w:val="2629B99A"/>
    <w:rsid w:val="26646CCB"/>
    <w:rsid w:val="26CB2202"/>
    <w:rsid w:val="26D33C48"/>
    <w:rsid w:val="27297B64"/>
    <w:rsid w:val="2874E1B2"/>
    <w:rsid w:val="28891B2F"/>
    <w:rsid w:val="294B5FB2"/>
    <w:rsid w:val="2A1063DB"/>
    <w:rsid w:val="2AE5557E"/>
    <w:rsid w:val="2B63E25B"/>
    <w:rsid w:val="2C4F5228"/>
    <w:rsid w:val="2C7B2654"/>
    <w:rsid w:val="2C92C4F5"/>
    <w:rsid w:val="2CA6D8D1"/>
    <w:rsid w:val="2D3D637C"/>
    <w:rsid w:val="2D595FAB"/>
    <w:rsid w:val="2D96A89B"/>
    <w:rsid w:val="2E401895"/>
    <w:rsid w:val="2FA6ECC1"/>
    <w:rsid w:val="3054AE92"/>
    <w:rsid w:val="3080AFF5"/>
    <w:rsid w:val="30BDEA5B"/>
    <w:rsid w:val="30CEFF42"/>
    <w:rsid w:val="31F07EF3"/>
    <w:rsid w:val="32DD43A2"/>
    <w:rsid w:val="333E6125"/>
    <w:rsid w:val="33447A2A"/>
    <w:rsid w:val="33D5F6C8"/>
    <w:rsid w:val="34A42624"/>
    <w:rsid w:val="35BDE9FC"/>
    <w:rsid w:val="35EF9E21"/>
    <w:rsid w:val="36F2B400"/>
    <w:rsid w:val="373653C6"/>
    <w:rsid w:val="379AD5AB"/>
    <w:rsid w:val="389F91AD"/>
    <w:rsid w:val="38E35D15"/>
    <w:rsid w:val="3915644F"/>
    <w:rsid w:val="397E817C"/>
    <w:rsid w:val="3A16C1C4"/>
    <w:rsid w:val="3A33B079"/>
    <w:rsid w:val="3A4381F1"/>
    <w:rsid w:val="3A7F2D76"/>
    <w:rsid w:val="3ADF1742"/>
    <w:rsid w:val="3B0CCD31"/>
    <w:rsid w:val="3B88D3F6"/>
    <w:rsid w:val="3C57F726"/>
    <w:rsid w:val="3C62BFFF"/>
    <w:rsid w:val="3CA70529"/>
    <w:rsid w:val="3E68F300"/>
    <w:rsid w:val="3E747733"/>
    <w:rsid w:val="3F6AFF91"/>
    <w:rsid w:val="3FAA0100"/>
    <w:rsid w:val="3FE022A3"/>
    <w:rsid w:val="40E06099"/>
    <w:rsid w:val="417BF5A3"/>
    <w:rsid w:val="41E152B6"/>
    <w:rsid w:val="42E52BE6"/>
    <w:rsid w:val="43266713"/>
    <w:rsid w:val="43BC697C"/>
    <w:rsid w:val="445DE38E"/>
    <w:rsid w:val="44BEB83E"/>
    <w:rsid w:val="44C2FDDE"/>
    <w:rsid w:val="4513E494"/>
    <w:rsid w:val="451D32F6"/>
    <w:rsid w:val="455DAB55"/>
    <w:rsid w:val="45C23A2C"/>
    <w:rsid w:val="45CBC125"/>
    <w:rsid w:val="465E07D5"/>
    <w:rsid w:val="47178E49"/>
    <w:rsid w:val="472FB8C6"/>
    <w:rsid w:val="4792FD22"/>
    <w:rsid w:val="48C60100"/>
    <w:rsid w:val="48DEFA1A"/>
    <w:rsid w:val="48F95CAA"/>
    <w:rsid w:val="492551CF"/>
    <w:rsid w:val="497C3AAF"/>
    <w:rsid w:val="49912825"/>
    <w:rsid w:val="49EBAF40"/>
    <w:rsid w:val="4AC54603"/>
    <w:rsid w:val="4AEDF80D"/>
    <w:rsid w:val="4B7444D8"/>
    <w:rsid w:val="4B877FA1"/>
    <w:rsid w:val="4C867E86"/>
    <w:rsid w:val="4D1F45E4"/>
    <w:rsid w:val="4D251BBE"/>
    <w:rsid w:val="4D982468"/>
    <w:rsid w:val="4EB84A8A"/>
    <w:rsid w:val="4F14AFD2"/>
    <w:rsid w:val="4FB9D9D4"/>
    <w:rsid w:val="4FEBC1BE"/>
    <w:rsid w:val="50A89EFF"/>
    <w:rsid w:val="51F1D0C2"/>
    <w:rsid w:val="51F86751"/>
    <w:rsid w:val="528EBDBD"/>
    <w:rsid w:val="529EA946"/>
    <w:rsid w:val="52AF2567"/>
    <w:rsid w:val="53579D27"/>
    <w:rsid w:val="54712EF7"/>
    <w:rsid w:val="54A4C098"/>
    <w:rsid w:val="54F2876E"/>
    <w:rsid w:val="55353B3F"/>
    <w:rsid w:val="557F583F"/>
    <w:rsid w:val="55B77397"/>
    <w:rsid w:val="561ADBC9"/>
    <w:rsid w:val="5646BF00"/>
    <w:rsid w:val="57402526"/>
    <w:rsid w:val="574DCA16"/>
    <w:rsid w:val="575126FA"/>
    <w:rsid w:val="5770E409"/>
    <w:rsid w:val="58CA24F2"/>
    <w:rsid w:val="5A55503A"/>
    <w:rsid w:val="5BCDBD83"/>
    <w:rsid w:val="5BD9CB61"/>
    <w:rsid w:val="5BE5EEA3"/>
    <w:rsid w:val="5BF1209B"/>
    <w:rsid w:val="5C95E23B"/>
    <w:rsid w:val="5CEE618B"/>
    <w:rsid w:val="5D2CC6F7"/>
    <w:rsid w:val="5D755028"/>
    <w:rsid w:val="5E39B247"/>
    <w:rsid w:val="5EA9DD26"/>
    <w:rsid w:val="5EEF1312"/>
    <w:rsid w:val="5EF65B4B"/>
    <w:rsid w:val="5F4413CE"/>
    <w:rsid w:val="5FAB75D0"/>
    <w:rsid w:val="600ACAE7"/>
    <w:rsid w:val="60B8C36C"/>
    <w:rsid w:val="60CFFD28"/>
    <w:rsid w:val="60D0D467"/>
    <w:rsid w:val="614B4D61"/>
    <w:rsid w:val="61E76E88"/>
    <w:rsid w:val="61FBAA18"/>
    <w:rsid w:val="62C13193"/>
    <w:rsid w:val="631D30C1"/>
    <w:rsid w:val="64A8C356"/>
    <w:rsid w:val="6555F319"/>
    <w:rsid w:val="65AEF522"/>
    <w:rsid w:val="65E345CE"/>
    <w:rsid w:val="6764E9FF"/>
    <w:rsid w:val="695D379E"/>
    <w:rsid w:val="69BCCCE0"/>
    <w:rsid w:val="6A0FC708"/>
    <w:rsid w:val="6A23A4DD"/>
    <w:rsid w:val="6AF26C1D"/>
    <w:rsid w:val="6BE0085F"/>
    <w:rsid w:val="6C1F32C5"/>
    <w:rsid w:val="6C36F961"/>
    <w:rsid w:val="6C4758C3"/>
    <w:rsid w:val="6CFB0758"/>
    <w:rsid w:val="6D35EE3A"/>
    <w:rsid w:val="6FDE6CB6"/>
    <w:rsid w:val="6FF22B4A"/>
    <w:rsid w:val="70625452"/>
    <w:rsid w:val="7088DEC2"/>
    <w:rsid w:val="70E6AB22"/>
    <w:rsid w:val="71B8C465"/>
    <w:rsid w:val="71D7C5CC"/>
    <w:rsid w:val="725A4DA7"/>
    <w:rsid w:val="72BF52C0"/>
    <w:rsid w:val="72CF7CEB"/>
    <w:rsid w:val="734131C4"/>
    <w:rsid w:val="73D2D585"/>
    <w:rsid w:val="74540D82"/>
    <w:rsid w:val="7506193D"/>
    <w:rsid w:val="7688C141"/>
    <w:rsid w:val="770FF929"/>
    <w:rsid w:val="77A09509"/>
    <w:rsid w:val="77E26FF2"/>
    <w:rsid w:val="78D2EDF2"/>
    <w:rsid w:val="798A150D"/>
    <w:rsid w:val="79C06203"/>
    <w:rsid w:val="79D75444"/>
    <w:rsid w:val="7A39F576"/>
    <w:rsid w:val="7A829908"/>
    <w:rsid w:val="7B7719A8"/>
    <w:rsid w:val="7B9F627E"/>
    <w:rsid w:val="7C6BF291"/>
    <w:rsid w:val="7CCEEBAD"/>
    <w:rsid w:val="7CFBEC2F"/>
    <w:rsid w:val="7D0EF506"/>
    <w:rsid w:val="7D1C968C"/>
    <w:rsid w:val="7DA91D23"/>
    <w:rsid w:val="7DB44062"/>
    <w:rsid w:val="7E30AFB1"/>
    <w:rsid w:val="7E849155"/>
    <w:rsid w:val="7F75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2B7B7"/>
  <w15:chartTrackingRefBased/>
  <w15:docId w15:val="{7A24D2C6-9A54-41E3-A9F6-0E8FA80F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uiPriority w:val="99"/>
    <w:semiHidden/>
    <w:unhideWhenUsed/>
    <w:rsid w:val="00824DAE"/>
    <w:rPr>
      <w:color w:val="954F72" w:themeColor="followedHyperlink"/>
      <w:u w:val="single"/>
    </w:rPr>
  </w:style>
  <w:style w:type="character" w:customStyle="1" w:styleId="UnresolvedMention1">
    <w:name w:val="Unresolved Mention1"/>
    <w:basedOn w:val="DefaultParagraphFont"/>
    <w:uiPriority w:val="99"/>
    <w:semiHidden/>
    <w:unhideWhenUsed/>
    <w:rsid w:val="00824DA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6328"/>
    <w:rPr>
      <w:b/>
      <w:bCs/>
    </w:rPr>
  </w:style>
  <w:style w:type="character" w:customStyle="1" w:styleId="CommentSubjectChar">
    <w:name w:val="Comment Subject Char"/>
    <w:basedOn w:val="CommentTextChar"/>
    <w:link w:val="CommentSubject"/>
    <w:uiPriority w:val="99"/>
    <w:semiHidden/>
    <w:rsid w:val="00596328"/>
    <w:rPr>
      <w:rFonts w:ascii="Arial" w:eastAsia="Times New Roman" w:hAnsi="Arial" w:cs="Times New Roman"/>
      <w:b/>
      <w:bCs/>
      <w:sz w:val="20"/>
      <w:szCs w:val="20"/>
    </w:rPr>
  </w:style>
  <w:style w:type="character" w:customStyle="1" w:styleId="linknotation">
    <w:name w:val="linknotation"/>
    <w:basedOn w:val="DefaultParagraphFont"/>
    <w:rsid w:val="00DA1BBC"/>
  </w:style>
  <w:style w:type="paragraph" w:styleId="Revision">
    <w:name w:val="Revision"/>
    <w:hidden/>
    <w:uiPriority w:val="99"/>
    <w:semiHidden/>
    <w:rsid w:val="0008202B"/>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6971D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10938">
      <w:bodyDiv w:val="1"/>
      <w:marLeft w:val="0"/>
      <w:marRight w:val="0"/>
      <w:marTop w:val="0"/>
      <w:marBottom w:val="0"/>
      <w:divBdr>
        <w:top w:val="none" w:sz="0" w:space="0" w:color="auto"/>
        <w:left w:val="none" w:sz="0" w:space="0" w:color="auto"/>
        <w:bottom w:val="none" w:sz="0" w:space="0" w:color="auto"/>
        <w:right w:val="none" w:sz="0" w:space="0" w:color="auto"/>
      </w:divBdr>
      <w:divsChild>
        <w:div w:id="1833374252">
          <w:marLeft w:val="0"/>
          <w:marRight w:val="0"/>
          <w:marTop w:val="0"/>
          <w:marBottom w:val="0"/>
          <w:divBdr>
            <w:top w:val="none" w:sz="0" w:space="0" w:color="auto"/>
            <w:left w:val="none" w:sz="0" w:space="0" w:color="auto"/>
            <w:bottom w:val="none" w:sz="0" w:space="0" w:color="auto"/>
            <w:right w:val="none" w:sz="0" w:space="0" w:color="auto"/>
          </w:divBdr>
          <w:divsChild>
            <w:div w:id="1165317759">
              <w:marLeft w:val="0"/>
              <w:marRight w:val="0"/>
              <w:marTop w:val="0"/>
              <w:marBottom w:val="0"/>
              <w:divBdr>
                <w:top w:val="none" w:sz="0" w:space="0" w:color="auto"/>
                <w:left w:val="none" w:sz="0" w:space="0" w:color="auto"/>
                <w:bottom w:val="none" w:sz="0" w:space="0" w:color="auto"/>
                <w:right w:val="none" w:sz="0" w:space="0" w:color="auto"/>
              </w:divBdr>
              <w:divsChild>
                <w:div w:id="1299065294">
                  <w:marLeft w:val="0"/>
                  <w:marRight w:val="0"/>
                  <w:marTop w:val="0"/>
                  <w:marBottom w:val="0"/>
                  <w:divBdr>
                    <w:top w:val="none" w:sz="0" w:space="0" w:color="auto"/>
                    <w:left w:val="none" w:sz="0" w:space="0" w:color="auto"/>
                    <w:bottom w:val="none" w:sz="0" w:space="0" w:color="auto"/>
                    <w:right w:val="none" w:sz="0" w:space="0" w:color="auto"/>
                  </w:divBdr>
                  <w:divsChild>
                    <w:div w:id="120536837">
                      <w:marLeft w:val="0"/>
                      <w:marRight w:val="0"/>
                      <w:marTop w:val="0"/>
                      <w:marBottom w:val="0"/>
                      <w:divBdr>
                        <w:top w:val="none" w:sz="0" w:space="0" w:color="auto"/>
                        <w:left w:val="none" w:sz="0" w:space="0" w:color="auto"/>
                        <w:bottom w:val="none" w:sz="0" w:space="0" w:color="auto"/>
                        <w:right w:val="none" w:sz="0" w:space="0" w:color="auto"/>
                      </w:divBdr>
                      <w:divsChild>
                        <w:div w:id="1658993078">
                          <w:marLeft w:val="0"/>
                          <w:marRight w:val="0"/>
                          <w:marTop w:val="0"/>
                          <w:marBottom w:val="0"/>
                          <w:divBdr>
                            <w:top w:val="none" w:sz="0" w:space="0" w:color="auto"/>
                            <w:left w:val="none" w:sz="0" w:space="0" w:color="auto"/>
                            <w:bottom w:val="none" w:sz="0" w:space="0" w:color="auto"/>
                            <w:right w:val="none" w:sz="0" w:space="0" w:color="auto"/>
                          </w:divBdr>
                          <w:divsChild>
                            <w:div w:id="177281061">
                              <w:marLeft w:val="0"/>
                              <w:marRight w:val="0"/>
                              <w:marTop w:val="0"/>
                              <w:marBottom w:val="0"/>
                              <w:divBdr>
                                <w:top w:val="none" w:sz="0" w:space="0" w:color="auto"/>
                                <w:left w:val="none" w:sz="0" w:space="0" w:color="auto"/>
                                <w:bottom w:val="none" w:sz="0" w:space="0" w:color="auto"/>
                                <w:right w:val="none" w:sz="0" w:space="0" w:color="auto"/>
                              </w:divBdr>
                              <w:divsChild>
                                <w:div w:id="1678070406">
                                  <w:marLeft w:val="0"/>
                                  <w:marRight w:val="0"/>
                                  <w:marTop w:val="0"/>
                                  <w:marBottom w:val="0"/>
                                  <w:divBdr>
                                    <w:top w:val="none" w:sz="0" w:space="0" w:color="auto"/>
                                    <w:left w:val="none" w:sz="0" w:space="0" w:color="auto"/>
                                    <w:bottom w:val="none" w:sz="0" w:space="0" w:color="auto"/>
                                    <w:right w:val="none" w:sz="0" w:space="0" w:color="auto"/>
                                  </w:divBdr>
                                  <w:divsChild>
                                    <w:div w:id="504631864">
                                      <w:marLeft w:val="0"/>
                                      <w:marRight w:val="0"/>
                                      <w:marTop w:val="0"/>
                                      <w:marBottom w:val="0"/>
                                      <w:divBdr>
                                        <w:top w:val="none" w:sz="0" w:space="0" w:color="auto"/>
                                        <w:left w:val="none" w:sz="0" w:space="0" w:color="auto"/>
                                        <w:bottom w:val="none" w:sz="0" w:space="0" w:color="auto"/>
                                        <w:right w:val="none" w:sz="0" w:space="0" w:color="auto"/>
                                      </w:divBdr>
                                    </w:div>
                                    <w:div w:id="863980197">
                                      <w:marLeft w:val="0"/>
                                      <w:marRight w:val="0"/>
                                      <w:marTop w:val="0"/>
                                      <w:marBottom w:val="0"/>
                                      <w:divBdr>
                                        <w:top w:val="none" w:sz="0" w:space="0" w:color="auto"/>
                                        <w:left w:val="none" w:sz="0" w:space="0" w:color="auto"/>
                                        <w:bottom w:val="none" w:sz="0" w:space="0" w:color="auto"/>
                                        <w:right w:val="none" w:sz="0" w:space="0" w:color="auto"/>
                                      </w:divBdr>
                                    </w:div>
                                    <w:div w:id="1051081182">
                                      <w:marLeft w:val="0"/>
                                      <w:marRight w:val="0"/>
                                      <w:marTop w:val="0"/>
                                      <w:marBottom w:val="0"/>
                                      <w:divBdr>
                                        <w:top w:val="none" w:sz="0" w:space="0" w:color="auto"/>
                                        <w:left w:val="none" w:sz="0" w:space="0" w:color="auto"/>
                                        <w:bottom w:val="none" w:sz="0" w:space="0" w:color="auto"/>
                                        <w:right w:val="none" w:sz="0" w:space="0" w:color="auto"/>
                                      </w:divBdr>
                                    </w:div>
                                    <w:div w:id="1410231418">
                                      <w:marLeft w:val="0"/>
                                      <w:marRight w:val="0"/>
                                      <w:marTop w:val="0"/>
                                      <w:marBottom w:val="0"/>
                                      <w:divBdr>
                                        <w:top w:val="none" w:sz="0" w:space="0" w:color="auto"/>
                                        <w:left w:val="none" w:sz="0" w:space="0" w:color="auto"/>
                                        <w:bottom w:val="none" w:sz="0" w:space="0" w:color="auto"/>
                                        <w:right w:val="none" w:sz="0" w:space="0" w:color="auto"/>
                                      </w:divBdr>
                                    </w:div>
                                    <w:div w:id="20268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billTextClient.xhtml?bill_id=202120220SB86" TargetMode="External"/><Relationship Id="rId18" Type="http://schemas.openxmlformats.org/officeDocument/2006/relationships/hyperlink" Target="https://www.cde.ca.gov/be/ag/ag/yr20/documents/jul20item05.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0/documents/nov20item04.docx"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de.ca.gov/be/ag/ag/yr21/documents/jan21item03.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21/documents/feb2124item02.doc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gov/news/press-releases/us-department-education-releases-guidance-states-assessing-student-learning-during-pandemic"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A379D3C8A3145B9B5460A5FBAA94E" ma:contentTypeVersion="6" ma:contentTypeDescription="Create a new document." ma:contentTypeScope="" ma:versionID="00b84c2a79f14a0b8ed50b5010b0cc8f">
  <xsd:schema xmlns:xsd="http://www.w3.org/2001/XMLSchema" xmlns:xs="http://www.w3.org/2001/XMLSchema" xmlns:p="http://schemas.microsoft.com/office/2006/metadata/properties" xmlns:ns2="d173ea53-e63a-4839-8c69-aececa15c404" xmlns:ns3="6a92aa00-d659-46d6-b4cf-e266ad63a1ef" targetNamespace="http://schemas.microsoft.com/office/2006/metadata/properties" ma:root="true" ma:fieldsID="a4c2ded7c0cd1b56de79c368b30ac1f3" ns2:_="" ns3:_="">
    <xsd:import namespace="d173ea53-e63a-4839-8c69-aececa15c404"/>
    <xsd:import namespace="6a92aa00-d659-46d6-b4cf-e266ad63a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3ea53-e63a-4839-8c69-aececa1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2aa00-d659-46d6-b4cf-e266ad63a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EABF-A150-4C6A-B336-9DFCF33A2CB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a92aa00-d659-46d6-b4cf-e266ad63a1ef"/>
    <ds:schemaRef ds:uri="d173ea53-e63a-4839-8c69-aececa15c404"/>
    <ds:schemaRef ds:uri="http://www.w3.org/XML/1998/namespace"/>
    <ds:schemaRef ds:uri="http://purl.org/dc/dcmitype/"/>
  </ds:schemaRefs>
</ds:datastoreItem>
</file>

<file path=customXml/itemProps2.xml><?xml version="1.0" encoding="utf-8"?>
<ds:datastoreItem xmlns:ds="http://schemas.openxmlformats.org/officeDocument/2006/customXml" ds:itemID="{2DAC6ADE-AA40-42AF-85C7-705F6CF92ACC}">
  <ds:schemaRefs>
    <ds:schemaRef ds:uri="http://schemas.microsoft.com/sharepoint/v3/contenttype/forms"/>
  </ds:schemaRefs>
</ds:datastoreItem>
</file>

<file path=customXml/itemProps3.xml><?xml version="1.0" encoding="utf-8"?>
<ds:datastoreItem xmlns:ds="http://schemas.openxmlformats.org/officeDocument/2006/customXml" ds:itemID="{C197EB7D-1B15-493A-8E47-A558222C3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3ea53-e63a-4839-8c69-aececa15c404"/>
    <ds:schemaRef ds:uri="6a92aa00-d659-46d6-b4cf-e266ad6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9071A-0808-4B4F-9EAF-5F5A09C3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1220</Words>
  <Characters>6956</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March 2021 Agenda Item 00 - Meeting Agendas (CA State Board of Education)</vt:lpstr>
    </vt:vector>
  </TitlesOfParts>
  <Company>California State Board of Education</Company>
  <LinksUpToDate>false</LinksUpToDate>
  <CharactersWithSpaces>8160</CharactersWithSpaces>
  <SharedDoc>false</SharedDoc>
  <HLinks>
    <vt:vector size="30" baseType="variant">
      <vt:variant>
        <vt:i4>4063357</vt:i4>
      </vt:variant>
      <vt:variant>
        <vt:i4>15</vt:i4>
      </vt:variant>
      <vt:variant>
        <vt:i4>0</vt:i4>
      </vt:variant>
      <vt:variant>
        <vt:i4>5</vt:i4>
      </vt:variant>
      <vt:variant>
        <vt:lpwstr>https://www.cde.ca.gov/be/ag/ag/yr20/documents/jul20item05.docx</vt:lpwstr>
      </vt:variant>
      <vt:variant>
        <vt:lpwstr/>
      </vt:variant>
      <vt:variant>
        <vt:i4>2162791</vt:i4>
      </vt:variant>
      <vt:variant>
        <vt:i4>12</vt:i4>
      </vt:variant>
      <vt:variant>
        <vt:i4>0</vt:i4>
      </vt:variant>
      <vt:variant>
        <vt:i4>5</vt:i4>
      </vt:variant>
      <vt:variant>
        <vt:lpwstr>https://www.cde.ca.gov/be/ag/ag/yr20/documents/nov20item04.docx</vt:lpwstr>
      </vt:variant>
      <vt:variant>
        <vt:lpwstr/>
      </vt:variant>
      <vt:variant>
        <vt:i4>983135</vt:i4>
      </vt:variant>
      <vt:variant>
        <vt:i4>9</vt:i4>
      </vt:variant>
      <vt:variant>
        <vt:i4>0</vt:i4>
      </vt:variant>
      <vt:variant>
        <vt:i4>5</vt:i4>
      </vt:variant>
      <vt:variant>
        <vt:lpwstr>https://www.cde.ca.gov/be/ag/ag/yr21/documents/feb2124item02.docx</vt:lpwstr>
      </vt:variant>
      <vt:variant>
        <vt:lpwstr/>
      </vt:variant>
      <vt:variant>
        <vt:i4>2949223</vt:i4>
      </vt:variant>
      <vt:variant>
        <vt:i4>3</vt:i4>
      </vt:variant>
      <vt:variant>
        <vt:i4>0</vt:i4>
      </vt:variant>
      <vt:variant>
        <vt:i4>5</vt:i4>
      </vt:variant>
      <vt:variant>
        <vt:lpwstr>https://www.ed.gov/news/press-releases/us-department-education-releases-guidance-states-assessing-student-learning-during-pandemic</vt:lpwstr>
      </vt:variant>
      <vt:variant>
        <vt:lpwstr/>
      </vt:variant>
      <vt:variant>
        <vt:i4>7340043</vt:i4>
      </vt:variant>
      <vt:variant>
        <vt:i4>0</vt:i4>
      </vt:variant>
      <vt:variant>
        <vt:i4>0</vt:i4>
      </vt:variant>
      <vt:variant>
        <vt:i4>5</vt:i4>
      </vt:variant>
      <vt:variant>
        <vt:lpwstr>https://leginfo.legislature.ca.gov/faces/billTextClient.xhtml?bill_id=202120220SB86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02 - Meeting Agendas (CA State Board of California)</dc:title>
  <dc:subject>The Every Student Succeeds Act: Authorization to Pursue Flexibility on Assessment, Accountability, and Reporting Requirements.</dc:subject>
  <cp:keywords/>
  <dc:description/>
  <cp:lastPrinted>2017-10-30T17:36:00Z</cp:lastPrinted>
  <dcterms:created xsi:type="dcterms:W3CDTF">2021-03-05T21:03:00Z</dcterms:created>
  <dcterms:modified xsi:type="dcterms:W3CDTF">2021-03-05T22:42:00Z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0x0101008C7A379D3C8A3145B9B5460A5FBAA94E</vt:lpwstr>
  </property>
</Properties>
</file>