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38" w:rsidRPr="008136C2" w:rsidRDefault="00435C03" w:rsidP="00435C03">
      <w:pPr>
        <w:pStyle w:val="Heading1"/>
      </w:pPr>
      <w:bookmarkStart w:id="0" w:name="_GoBack"/>
      <w:r>
        <w:t>Attachment 1</w:t>
      </w:r>
      <w:r w:rsidRPr="008136C2">
        <w:t xml:space="preserve">: </w:t>
      </w:r>
      <w:r w:rsidR="008136C2" w:rsidRPr="008136C2">
        <w:t xml:space="preserve">Draft </w:t>
      </w:r>
      <w:r w:rsidRPr="008136C2">
        <w:t xml:space="preserve">Letter to Board President </w:t>
      </w:r>
      <w:r w:rsidR="00524972">
        <w:t>Brown, Executive Director Ramirez, and T.I.M.E. Community School Governing Board</w:t>
      </w:r>
      <w:r w:rsidRPr="008136C2">
        <w:t xml:space="preserve"> Dated </w:t>
      </w:r>
      <w:r w:rsidR="00524972">
        <w:t>July 14</w:t>
      </w:r>
      <w:r w:rsidRPr="008136C2">
        <w:t xml:space="preserve">, 2022: Notice of Violation Pursuant to California </w:t>
      </w:r>
      <w:r w:rsidRPr="008136C2">
        <w:rPr>
          <w:i/>
        </w:rPr>
        <w:t>Education Code</w:t>
      </w:r>
      <w:r w:rsidRPr="008136C2">
        <w:t xml:space="preserve"> Section 47607(g)</w:t>
      </w:r>
    </w:p>
    <w:p w:rsidR="00435C03" w:rsidRPr="00435C03" w:rsidRDefault="00435C03" w:rsidP="00435C03">
      <w:pPr>
        <w:spacing w:after="240"/>
        <w:rPr>
          <w:rFonts w:cs="Arial"/>
          <w:b/>
          <w:szCs w:val="24"/>
        </w:rPr>
      </w:pPr>
      <w:bookmarkStart w:id="1" w:name="_Hlk91488528"/>
      <w:bookmarkEnd w:id="0"/>
      <w:r w:rsidRPr="008136C2">
        <w:rPr>
          <w:rFonts w:cs="Arial"/>
          <w:b/>
          <w:szCs w:val="24"/>
        </w:rPr>
        <w:t xml:space="preserve">The below letter </w:t>
      </w:r>
      <w:r w:rsidR="008136C2" w:rsidRPr="008136C2">
        <w:rPr>
          <w:rFonts w:cs="Arial"/>
          <w:b/>
          <w:szCs w:val="24"/>
        </w:rPr>
        <w:t>is pending approval by the California State Board of Education (SBE). If approved by the SBE, it</w:t>
      </w:r>
      <w:r w:rsidR="008136C2">
        <w:rPr>
          <w:rFonts w:cs="Arial"/>
          <w:b/>
          <w:szCs w:val="24"/>
        </w:rPr>
        <w:t xml:space="preserve"> will be prepared </w:t>
      </w:r>
      <w:r w:rsidRPr="00435C03">
        <w:rPr>
          <w:rFonts w:cs="Arial"/>
          <w:b/>
          <w:szCs w:val="24"/>
        </w:rPr>
        <w:t xml:space="preserve">on the official letterhead of the </w:t>
      </w:r>
      <w:r w:rsidR="008136C2">
        <w:rPr>
          <w:rFonts w:cs="Arial"/>
          <w:b/>
          <w:szCs w:val="24"/>
        </w:rPr>
        <w:t>SBE,</w:t>
      </w:r>
      <w:r w:rsidRPr="00435C03">
        <w:rPr>
          <w:rFonts w:cs="Arial"/>
          <w:b/>
          <w:szCs w:val="24"/>
        </w:rPr>
        <w:t xml:space="preserve"> bearing the </w:t>
      </w:r>
      <w:r>
        <w:rPr>
          <w:rFonts w:cs="Arial"/>
          <w:b/>
          <w:szCs w:val="24"/>
        </w:rPr>
        <w:t>SBE</w:t>
      </w:r>
      <w:r w:rsidRPr="00435C03">
        <w:rPr>
          <w:rFonts w:cs="Arial"/>
          <w:b/>
          <w:szCs w:val="24"/>
        </w:rPr>
        <w:t xml:space="preserve"> Seal, address, and contact information</w:t>
      </w:r>
      <w:bookmarkEnd w:id="1"/>
      <w:r w:rsidR="008136C2">
        <w:rPr>
          <w:rFonts w:cs="Arial"/>
          <w:b/>
          <w:szCs w:val="24"/>
        </w:rPr>
        <w:t>.</w:t>
      </w:r>
    </w:p>
    <w:p w:rsidR="009557AD" w:rsidRPr="001D44C1" w:rsidRDefault="00524972" w:rsidP="009557AD">
      <w:pPr>
        <w:spacing w:after="960"/>
        <w:ind w:hanging="14"/>
        <w:jc w:val="center"/>
        <w:rPr>
          <w:rFonts w:eastAsia="Arial" w:cs="Arial"/>
          <w:color w:val="000000"/>
          <w:szCs w:val="24"/>
        </w:rPr>
      </w:pPr>
      <w:r>
        <w:rPr>
          <w:rFonts w:eastAsia="Arial" w:cs="Arial"/>
          <w:color w:val="000000"/>
          <w:szCs w:val="24"/>
        </w:rPr>
        <w:t>July 14</w:t>
      </w:r>
      <w:r w:rsidR="009557AD" w:rsidRPr="001D44C1">
        <w:rPr>
          <w:rFonts w:eastAsia="Arial" w:cs="Arial"/>
          <w:color w:val="000000"/>
          <w:szCs w:val="24"/>
        </w:rPr>
        <w:t>, 2022</w:t>
      </w:r>
    </w:p>
    <w:p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 xml:space="preserve">Mr. </w:t>
      </w:r>
      <w:proofErr w:type="spellStart"/>
      <w:r w:rsidRPr="00524972">
        <w:rPr>
          <w:rFonts w:eastAsia="Arial" w:cs="Arial"/>
          <w:color w:val="000000"/>
          <w:szCs w:val="24"/>
        </w:rPr>
        <w:t>LaMar</w:t>
      </w:r>
      <w:proofErr w:type="spellEnd"/>
      <w:r w:rsidRPr="00524972">
        <w:rPr>
          <w:rFonts w:eastAsia="Arial" w:cs="Arial"/>
          <w:color w:val="000000"/>
          <w:szCs w:val="24"/>
        </w:rPr>
        <w:t xml:space="preserve"> Brown, Board President</w:t>
      </w:r>
    </w:p>
    <w:p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Dr. Gabriel Ramirez, Executive Director</w:t>
      </w:r>
    </w:p>
    <w:p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T.I.M.E. Community Schools Governing Board</w:t>
      </w:r>
    </w:p>
    <w:p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2100 West Cleveland Ave.</w:t>
      </w:r>
    </w:p>
    <w:p w:rsidR="009557AD" w:rsidRPr="001D44C1" w:rsidRDefault="00524972" w:rsidP="00524972">
      <w:pPr>
        <w:spacing w:after="240"/>
        <w:ind w:hanging="14"/>
        <w:contextualSpacing/>
        <w:rPr>
          <w:rFonts w:eastAsia="Arial" w:cs="Arial"/>
          <w:color w:val="000000"/>
          <w:szCs w:val="24"/>
        </w:rPr>
      </w:pPr>
      <w:r w:rsidRPr="00524972">
        <w:rPr>
          <w:rFonts w:eastAsia="Arial" w:cs="Arial"/>
          <w:color w:val="000000"/>
          <w:szCs w:val="24"/>
        </w:rPr>
        <w:t>Montebello, CA, 90640</w:t>
      </w:r>
    </w:p>
    <w:p w:rsidR="009557AD" w:rsidRPr="001D44C1" w:rsidRDefault="009557AD" w:rsidP="009557AD">
      <w:pPr>
        <w:pStyle w:val="NoSpacing"/>
        <w:spacing w:after="240"/>
      </w:pPr>
      <w:r w:rsidRPr="001D44C1">
        <w:t xml:space="preserve">Dear </w:t>
      </w:r>
      <w:r w:rsidR="00524972" w:rsidRPr="00524972">
        <w:t>Board President Brown, Executive Director Ramirez, and T.I.M.E. Community School Governing</w:t>
      </w:r>
      <w:r w:rsidR="00524972">
        <w:t xml:space="preserve"> Board</w:t>
      </w:r>
      <w:r w:rsidRPr="001D44C1">
        <w:t xml:space="preserve">: </w:t>
      </w:r>
    </w:p>
    <w:p w:rsidR="009557AD" w:rsidRPr="006E06F0" w:rsidRDefault="009557AD" w:rsidP="00524972">
      <w:pPr>
        <w:pStyle w:val="Heading2"/>
      </w:pPr>
      <w:r w:rsidRPr="006E06F0">
        <w:t xml:space="preserve">Subject: Notice of Violation Pursuant to California </w:t>
      </w:r>
      <w:r w:rsidRPr="006E06F0">
        <w:rPr>
          <w:i/>
        </w:rPr>
        <w:t xml:space="preserve">Education Code </w:t>
      </w:r>
      <w:r w:rsidRPr="006E06F0">
        <w:t>Section 47607(g)</w:t>
      </w:r>
    </w:p>
    <w:p w:rsidR="009557AD" w:rsidRDefault="009557AD" w:rsidP="00435C03">
      <w:pPr>
        <w:pStyle w:val="NoSpacing"/>
        <w:spacing w:after="240"/>
      </w:pPr>
      <w:r w:rsidRPr="00EA38ED">
        <w:t xml:space="preserve">The </w:t>
      </w:r>
      <w:r>
        <w:t xml:space="preserve">California </w:t>
      </w:r>
      <w:r w:rsidRPr="00EA38ED">
        <w:t xml:space="preserve">State Board of Education (SBE) has been made aware of a number of </w:t>
      </w:r>
      <w:r>
        <w:t>violations</w:t>
      </w:r>
      <w:r w:rsidRPr="00EA38ED">
        <w:t xml:space="preserve"> that, if not resolved immediately by the </w:t>
      </w:r>
      <w:r w:rsidR="00524972">
        <w:t>T.I.M.E. Community School (TCS)</w:t>
      </w:r>
      <w:r w:rsidRPr="00EA38ED">
        <w:t xml:space="preserve"> Board, will directly impact the ability of </w:t>
      </w:r>
      <w:r w:rsidR="00524972">
        <w:t>TCS</w:t>
      </w:r>
      <w:r w:rsidRPr="00EA38ED">
        <w:t xml:space="preserve"> to continue operations in 20</w:t>
      </w:r>
      <w:r>
        <w:t>2</w:t>
      </w:r>
      <w:r w:rsidR="00524972">
        <w:t>2</w:t>
      </w:r>
      <w:r w:rsidRPr="00EA38ED">
        <w:t>–</w:t>
      </w:r>
      <w:r>
        <w:t>2</w:t>
      </w:r>
      <w:r w:rsidR="00524972">
        <w:t>3</w:t>
      </w:r>
      <w:r w:rsidRPr="00EA38ED">
        <w:t xml:space="preserve">. </w:t>
      </w:r>
      <w:r>
        <w:t>T</w:t>
      </w:r>
      <w:r w:rsidRPr="00EA38ED">
        <w:t xml:space="preserve">he </w:t>
      </w:r>
      <w:r>
        <w:t>instances of violation</w:t>
      </w:r>
      <w:r w:rsidRPr="00EA38ED">
        <w:t xml:space="preserve"> are </w:t>
      </w:r>
      <w:r>
        <w:t>detailed below.</w:t>
      </w:r>
    </w:p>
    <w:p w:rsidR="00524972" w:rsidRDefault="00524972" w:rsidP="00524972">
      <w:pPr>
        <w:pStyle w:val="Heading3"/>
      </w:pPr>
      <w:r>
        <w:t>Instances of Violation</w:t>
      </w:r>
    </w:p>
    <w:p w:rsidR="00524972" w:rsidRDefault="00524972" w:rsidP="00524972">
      <w:pPr>
        <w:pStyle w:val="Heading4"/>
        <w:rPr>
          <w:rFonts w:eastAsia="Arial"/>
        </w:rPr>
      </w:pPr>
      <w:r w:rsidRPr="00E55138">
        <w:rPr>
          <w:rFonts w:eastAsia="Arial"/>
        </w:rPr>
        <w:t xml:space="preserve">The </w:t>
      </w:r>
      <w:r>
        <w:rPr>
          <w:rFonts w:eastAsia="Arial"/>
        </w:rPr>
        <w:t>TCS</w:t>
      </w:r>
      <w:r w:rsidRPr="00E55138">
        <w:rPr>
          <w:rFonts w:eastAsia="Arial"/>
        </w:rPr>
        <w:t xml:space="preserve"> Board engaged in fiscal mismanagement (</w:t>
      </w:r>
      <w:r w:rsidR="0033388C" w:rsidRPr="0033388C">
        <w:rPr>
          <w:rFonts w:eastAsia="Arial"/>
        </w:rPr>
        <w:t>California</w:t>
      </w:r>
      <w:r w:rsidR="0033388C">
        <w:rPr>
          <w:rFonts w:eastAsia="Arial"/>
          <w:i/>
        </w:rPr>
        <w:t xml:space="preserve"> Education Code </w:t>
      </w:r>
      <w:r w:rsidR="0033388C" w:rsidRPr="0033388C">
        <w:rPr>
          <w:rFonts w:eastAsia="Arial"/>
        </w:rPr>
        <w:t>[</w:t>
      </w:r>
      <w:r w:rsidR="0033388C">
        <w:rPr>
          <w:rFonts w:eastAsia="Arial"/>
          <w:i/>
        </w:rPr>
        <w:t>EC</w:t>
      </w:r>
      <w:r w:rsidR="0033388C" w:rsidRPr="0033388C">
        <w:rPr>
          <w:rFonts w:eastAsia="Arial"/>
        </w:rPr>
        <w:t>]</w:t>
      </w:r>
      <w:r w:rsidRPr="00E55138">
        <w:rPr>
          <w:rFonts w:eastAsia="Arial"/>
        </w:rPr>
        <w:t xml:space="preserve"> Section </w:t>
      </w:r>
      <w:bookmarkStart w:id="2" w:name="_Hlk90045661"/>
      <w:r w:rsidRPr="00E55138">
        <w:rPr>
          <w:rFonts w:eastAsia="Arial"/>
        </w:rPr>
        <w:t>47607[f][3]).</w:t>
      </w:r>
      <w:bookmarkEnd w:id="2"/>
    </w:p>
    <w:p w:rsidR="00524972" w:rsidRPr="00707D1A" w:rsidRDefault="00524972" w:rsidP="00524972">
      <w:pPr>
        <w:spacing w:before="240"/>
        <w:rPr>
          <w:rFonts w:ascii="Times New Roman" w:hAnsi="Times New Roman"/>
          <w:szCs w:val="22"/>
        </w:rPr>
      </w:pPr>
      <w:r>
        <w:rPr>
          <w:szCs w:val="22"/>
        </w:rPr>
        <w:t>TCS</w:t>
      </w:r>
      <w:r w:rsidRPr="00707D1A">
        <w:rPr>
          <w:szCs w:val="22"/>
        </w:rPr>
        <w:t xml:space="preserve"> has engaged in fiscal mismanagement under the </w:t>
      </w:r>
      <w:r w:rsidRPr="00707D1A">
        <w:rPr>
          <w:i/>
          <w:szCs w:val="22"/>
        </w:rPr>
        <w:t>EC</w:t>
      </w:r>
      <w:r w:rsidRPr="00707D1A">
        <w:rPr>
          <w:szCs w:val="22"/>
        </w:rPr>
        <w:t xml:space="preserve"> Section 47607(f)(3) by continuing to base its budget and multiyear projections on unrealistic enrollment projections and failing to demonstrate financial viability in the current or subsequent two fiscal years. </w:t>
      </w:r>
      <w:r>
        <w:rPr>
          <w:szCs w:val="22"/>
        </w:rPr>
        <w:t>TCS</w:t>
      </w:r>
      <w:r w:rsidRPr="00707D1A">
        <w:rPr>
          <w:szCs w:val="22"/>
        </w:rPr>
        <w:t xml:space="preserve"> continues to incur substantial deficit spending and increasing debts due to cash deficiencies and is projected to be insolvent for fiscal year 2021</w:t>
      </w:r>
      <w:r>
        <w:rPr>
          <w:szCs w:val="22"/>
        </w:rPr>
        <w:t>–</w:t>
      </w:r>
      <w:r w:rsidRPr="00707D1A">
        <w:rPr>
          <w:szCs w:val="22"/>
        </w:rPr>
        <w:t xml:space="preserve">22. </w:t>
      </w:r>
      <w:r>
        <w:rPr>
          <w:szCs w:val="22"/>
        </w:rPr>
        <w:t>TCS’</w:t>
      </w:r>
      <w:r w:rsidRPr="00707D1A">
        <w:rPr>
          <w:szCs w:val="22"/>
        </w:rPr>
        <w:t xml:space="preserve"> future fiscal solvency is dependent on achieving unrealistic enrollment projections.</w:t>
      </w:r>
    </w:p>
    <w:p w:rsidR="00524972" w:rsidRDefault="00524972" w:rsidP="00524972">
      <w:pPr>
        <w:pStyle w:val="Heading5"/>
      </w:pPr>
      <w:r>
        <w:lastRenderedPageBreak/>
        <w:t>Unrealistic Enrollment and Average Daily Attendance Projections</w:t>
      </w:r>
    </w:p>
    <w:p w:rsidR="00524972" w:rsidRPr="00707D1A" w:rsidRDefault="00524972" w:rsidP="00524972">
      <w:pPr>
        <w:spacing w:before="240" w:after="240"/>
        <w:rPr>
          <w:rFonts w:ascii="Times New Roman" w:hAnsi="Times New Roman"/>
          <w:szCs w:val="22"/>
        </w:rPr>
      </w:pPr>
      <w:r w:rsidRPr="00707D1A">
        <w:rPr>
          <w:szCs w:val="22"/>
        </w:rPr>
        <w:t xml:space="preserve">Pursuant to </w:t>
      </w:r>
      <w:r w:rsidRPr="00707D1A">
        <w:rPr>
          <w:i/>
          <w:szCs w:val="22"/>
        </w:rPr>
        <w:t xml:space="preserve">EC </w:t>
      </w:r>
      <w:r>
        <w:rPr>
          <w:szCs w:val="22"/>
        </w:rPr>
        <w:t xml:space="preserve">Section </w:t>
      </w:r>
      <w:r w:rsidRPr="00707D1A">
        <w:rPr>
          <w:szCs w:val="22"/>
        </w:rPr>
        <w:t xml:space="preserve">47652, </w:t>
      </w:r>
      <w:r w:rsidRPr="00707D1A">
        <w:rPr>
          <w:szCs w:val="22"/>
          <w:shd w:val="clear" w:color="auto" w:fill="FFFFFF"/>
        </w:rPr>
        <w:t xml:space="preserve">a charter school in its first year of operation shall be eligible to receive funding for the advance apportionment based on an estimate of average daily attendance for the current fiscal year. </w:t>
      </w:r>
      <w:r>
        <w:rPr>
          <w:szCs w:val="22"/>
        </w:rPr>
        <w:t>TCS</w:t>
      </w:r>
      <w:r w:rsidRPr="00707D1A">
        <w:rPr>
          <w:szCs w:val="22"/>
        </w:rPr>
        <w:t xml:space="preserve"> submitted its Pupil Estimates for New or Significantly Expanding Charters</w:t>
      </w:r>
      <w:r w:rsidRPr="00707D1A">
        <w:rPr>
          <w:i/>
          <w:szCs w:val="22"/>
        </w:rPr>
        <w:t xml:space="preserve"> </w:t>
      </w:r>
      <w:r w:rsidRPr="00707D1A">
        <w:rPr>
          <w:szCs w:val="22"/>
        </w:rPr>
        <w:t xml:space="preserve">(PENSEC) report in order to receive the First Special Advance Apportionment for Charter Schools. As detailed in the table below, actual enrollment and </w:t>
      </w:r>
      <w:r>
        <w:rPr>
          <w:szCs w:val="22"/>
        </w:rPr>
        <w:t>average daily attendance (ADA)</w:t>
      </w:r>
      <w:r w:rsidRPr="00707D1A">
        <w:rPr>
          <w:szCs w:val="22"/>
        </w:rPr>
        <w:t xml:space="preserve"> fall substantially below </w:t>
      </w:r>
      <w:r>
        <w:rPr>
          <w:szCs w:val="22"/>
        </w:rPr>
        <w:t>TCS’</w:t>
      </w:r>
      <w:r w:rsidRPr="00707D1A">
        <w:rPr>
          <w:szCs w:val="22"/>
        </w:rPr>
        <w:t xml:space="preserve"> estimated projections.</w:t>
      </w:r>
    </w:p>
    <w:tbl>
      <w:tblPr>
        <w:tblStyle w:val="TableGrid"/>
        <w:tblW w:w="9360" w:type="dxa"/>
        <w:tblInd w:w="-5" w:type="dxa"/>
        <w:tblLook w:val="04A0" w:firstRow="1" w:lastRow="0" w:firstColumn="1" w:lastColumn="0" w:noHBand="0" w:noVBand="1"/>
        <w:tblDescription w:val="Actual enrollment and ADA for TCS."/>
      </w:tblPr>
      <w:tblGrid>
        <w:gridCol w:w="1560"/>
        <w:gridCol w:w="1560"/>
        <w:gridCol w:w="1560"/>
        <w:gridCol w:w="1560"/>
        <w:gridCol w:w="1560"/>
        <w:gridCol w:w="1560"/>
      </w:tblGrid>
      <w:tr w:rsidR="00524972" w:rsidRPr="00BD420C" w:rsidTr="00854FF3">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972" w:rsidRPr="00BD420C" w:rsidRDefault="00524972" w:rsidP="00854FF3">
            <w:pPr>
              <w:pStyle w:val="ListParagraph"/>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BD420C" w:rsidRDefault="00524972" w:rsidP="00854FF3">
            <w:pPr>
              <w:pStyle w:val="ListParagraph"/>
              <w:ind w:left="0"/>
              <w:jc w:val="center"/>
              <w:rPr>
                <w:rFonts w:cs="Arial"/>
                <w:b/>
                <w:szCs w:val="22"/>
              </w:rPr>
            </w:pPr>
            <w:r w:rsidRPr="00BD420C">
              <w:rPr>
                <w:rFonts w:cs="Arial"/>
                <w:b/>
                <w:szCs w:val="22"/>
              </w:rPr>
              <w:t>PENSEC Estimates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BD420C" w:rsidRDefault="00524972" w:rsidP="00854FF3">
            <w:pPr>
              <w:pStyle w:val="ListParagraph"/>
              <w:ind w:left="0"/>
              <w:jc w:val="center"/>
              <w:rPr>
                <w:rFonts w:cs="Arial"/>
                <w:b/>
                <w:szCs w:val="22"/>
              </w:rPr>
            </w:pPr>
            <w:r w:rsidRPr="00BD420C">
              <w:rPr>
                <w:rFonts w:cs="Arial"/>
                <w:b/>
                <w:szCs w:val="22"/>
              </w:rPr>
              <w:t>20-Day Attendance Report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BD420C" w:rsidRDefault="00524972" w:rsidP="00854FF3">
            <w:pPr>
              <w:pStyle w:val="ListParagraph"/>
              <w:ind w:left="0"/>
              <w:jc w:val="center"/>
              <w:rPr>
                <w:rFonts w:cs="Arial"/>
                <w:b/>
                <w:szCs w:val="22"/>
              </w:rPr>
            </w:pPr>
            <w:r w:rsidRPr="00BD420C">
              <w:rPr>
                <w:rFonts w:cs="Arial"/>
                <w:b/>
                <w:szCs w:val="22"/>
              </w:rPr>
              <w:t>Month 10 (5/27/2022) Attendance Report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BD420C" w:rsidRDefault="00524972" w:rsidP="00854FF3">
            <w:pPr>
              <w:pStyle w:val="ListParagraph"/>
              <w:ind w:left="0"/>
              <w:jc w:val="center"/>
              <w:rPr>
                <w:rFonts w:cs="Arial"/>
                <w:b/>
                <w:szCs w:val="22"/>
              </w:rPr>
            </w:pPr>
            <w:r w:rsidRPr="00BD420C">
              <w:rPr>
                <w:rFonts w:cs="Arial"/>
                <w:b/>
                <w:szCs w:val="22"/>
              </w:rPr>
              <w:t>Projection for 2022–23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BD420C" w:rsidRDefault="00524972" w:rsidP="00854FF3">
            <w:pPr>
              <w:pStyle w:val="ListParagraph"/>
              <w:ind w:left="0"/>
              <w:jc w:val="center"/>
              <w:rPr>
                <w:rFonts w:cs="Arial"/>
                <w:b/>
                <w:szCs w:val="22"/>
              </w:rPr>
            </w:pPr>
            <w:r w:rsidRPr="00BD420C">
              <w:rPr>
                <w:rFonts w:cs="Arial"/>
                <w:b/>
                <w:szCs w:val="22"/>
              </w:rPr>
              <w:t>Projection for 2023–24</w:t>
            </w:r>
          </w:p>
        </w:tc>
      </w:tr>
      <w:tr w:rsidR="00524972" w:rsidRPr="00BD420C" w:rsidTr="00854FF3">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 xml:space="preserve">29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41</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110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165 students</w:t>
            </w:r>
          </w:p>
        </w:tc>
      </w:tr>
      <w:tr w:rsidR="00524972" w:rsidRPr="00BD420C" w:rsidTr="00854FF3">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Pr>
                <w:rFonts w:cs="Arial"/>
                <w:szCs w:val="22"/>
              </w:rPr>
              <w:t>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36.68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4972" w:rsidRPr="00BD420C" w:rsidRDefault="00524972" w:rsidP="00854FF3">
            <w:pPr>
              <w:pStyle w:val="ListParagraph"/>
              <w:ind w:left="0"/>
              <w:jc w:val="center"/>
              <w:rPr>
                <w:rFonts w:cs="Arial"/>
                <w:szCs w:val="22"/>
              </w:rPr>
            </w:pPr>
            <w:r w:rsidRPr="00BD420C">
              <w:rPr>
                <w:rFonts w:cs="Arial"/>
                <w:szCs w:val="22"/>
              </w:rPr>
              <w:t>156.75</w:t>
            </w:r>
          </w:p>
        </w:tc>
      </w:tr>
    </w:tbl>
    <w:p w:rsidR="00524972" w:rsidRPr="00707D1A" w:rsidRDefault="00524972" w:rsidP="00524972">
      <w:pPr>
        <w:spacing w:before="240"/>
        <w:rPr>
          <w:rFonts w:ascii="Times New Roman" w:hAnsi="Times New Roman"/>
          <w:strike/>
          <w:szCs w:val="22"/>
        </w:rPr>
      </w:pPr>
      <w:r w:rsidRPr="00707D1A">
        <w:rPr>
          <w:szCs w:val="22"/>
        </w:rPr>
        <w:t xml:space="preserve">As of December 2021, </w:t>
      </w:r>
      <w:r>
        <w:rPr>
          <w:szCs w:val="22"/>
        </w:rPr>
        <w:t>TCS</w:t>
      </w:r>
      <w:r w:rsidRPr="00707D1A">
        <w:rPr>
          <w:szCs w:val="22"/>
        </w:rPr>
        <w:t xml:space="preserve"> revised its budget and projected enrollment of 135 students for 2022</w:t>
      </w:r>
      <w:r>
        <w:rPr>
          <w:szCs w:val="22"/>
        </w:rPr>
        <w:t>–</w:t>
      </w:r>
      <w:r w:rsidRPr="00707D1A">
        <w:rPr>
          <w:szCs w:val="22"/>
        </w:rPr>
        <w:t>23 and 285 students for 2023</w:t>
      </w:r>
      <w:r>
        <w:rPr>
          <w:szCs w:val="22"/>
        </w:rPr>
        <w:t>–</w:t>
      </w:r>
      <w:r w:rsidRPr="00707D1A">
        <w:rPr>
          <w:szCs w:val="22"/>
        </w:rPr>
        <w:t xml:space="preserve">24. In its latest budget, </w:t>
      </w:r>
      <w:r>
        <w:rPr>
          <w:szCs w:val="22"/>
        </w:rPr>
        <w:t>TCS</w:t>
      </w:r>
      <w:r w:rsidRPr="00707D1A">
        <w:rPr>
          <w:szCs w:val="22"/>
        </w:rPr>
        <w:t xml:space="preserve"> projects enrollment of 110 students for 2022</w:t>
      </w:r>
      <w:r>
        <w:rPr>
          <w:szCs w:val="22"/>
        </w:rPr>
        <w:t>–</w:t>
      </w:r>
      <w:r w:rsidRPr="00707D1A">
        <w:rPr>
          <w:szCs w:val="22"/>
        </w:rPr>
        <w:t xml:space="preserve">23 and 165 students for 2023-24. </w:t>
      </w:r>
      <w:r>
        <w:rPr>
          <w:szCs w:val="22"/>
        </w:rPr>
        <w:t>TCS</w:t>
      </w:r>
      <w:r w:rsidRPr="00707D1A">
        <w:rPr>
          <w:szCs w:val="22"/>
        </w:rPr>
        <w:t xml:space="preserve"> has not submitted documentation or demonstrated that it will be able to achieve the projected enrollment of 110 students for 2022</w:t>
      </w:r>
      <w:r>
        <w:rPr>
          <w:szCs w:val="22"/>
        </w:rPr>
        <w:t>–</w:t>
      </w:r>
      <w:r w:rsidRPr="00707D1A">
        <w:rPr>
          <w:szCs w:val="22"/>
        </w:rPr>
        <w:t xml:space="preserve">23. Additionally, </w:t>
      </w:r>
      <w:r>
        <w:rPr>
          <w:szCs w:val="22"/>
        </w:rPr>
        <w:t>TCS’</w:t>
      </w:r>
      <w:r w:rsidRPr="00707D1A">
        <w:rPr>
          <w:szCs w:val="22"/>
        </w:rPr>
        <w:t xml:space="preserve"> approved Public Charter School Grant Program Start-Up Sub-Grant totaling $500,000 was placed on hold by the CDE during 2021</w:t>
      </w:r>
      <w:r>
        <w:rPr>
          <w:szCs w:val="22"/>
        </w:rPr>
        <w:t>–</w:t>
      </w:r>
      <w:r w:rsidRPr="00707D1A">
        <w:rPr>
          <w:szCs w:val="22"/>
        </w:rPr>
        <w:t xml:space="preserve">22 because it failed to enroll the required minimum of 80 students. </w:t>
      </w:r>
      <w:r>
        <w:rPr>
          <w:szCs w:val="22"/>
        </w:rPr>
        <w:t xml:space="preserve">The </w:t>
      </w:r>
      <w:r w:rsidRPr="00707D1A">
        <w:rPr>
          <w:szCs w:val="22"/>
        </w:rPr>
        <w:t xml:space="preserve">CDE has indicated this grant will be terminated if </w:t>
      </w:r>
      <w:r>
        <w:rPr>
          <w:szCs w:val="22"/>
        </w:rPr>
        <w:t>TCS</w:t>
      </w:r>
      <w:r w:rsidRPr="00707D1A">
        <w:rPr>
          <w:szCs w:val="22"/>
        </w:rPr>
        <w:t xml:space="preserve"> does not meet the minimum enrollment target or demonstrate financial sustainability by June 30, 2022. Should </w:t>
      </w:r>
      <w:r>
        <w:rPr>
          <w:szCs w:val="22"/>
        </w:rPr>
        <w:t>TCS</w:t>
      </w:r>
      <w:r w:rsidRPr="00707D1A">
        <w:rPr>
          <w:szCs w:val="22"/>
        </w:rPr>
        <w:t xml:space="preserve"> be unable to achieve its stated enrollment and ADA projections, its fiscal condition could further deteriorate.  </w:t>
      </w:r>
    </w:p>
    <w:p w:rsidR="00524972" w:rsidRDefault="00524972" w:rsidP="00524972">
      <w:pPr>
        <w:pStyle w:val="Heading5"/>
      </w:pPr>
      <w:r>
        <w:t>Projected Fiscal Insolvency</w:t>
      </w:r>
    </w:p>
    <w:p w:rsidR="00524972" w:rsidRDefault="00524972" w:rsidP="00524972">
      <w:pPr>
        <w:spacing w:after="240"/>
        <w:rPr>
          <w:rFonts w:eastAsia="Arial"/>
        </w:rPr>
      </w:pPr>
      <w:r>
        <w:rPr>
          <w:rFonts w:eastAsia="Arial"/>
        </w:rPr>
        <w:t>The table below provides a summary of TCS’ financial projections during the 2021–22 fiscal year and includes year-to-date actuals from July 2021 through May 2022.</w:t>
      </w:r>
    </w:p>
    <w:tbl>
      <w:tblPr>
        <w:tblStyle w:val="TableGrid"/>
        <w:tblW w:w="9355" w:type="dxa"/>
        <w:tblInd w:w="0" w:type="dxa"/>
        <w:tblLook w:val="04A0" w:firstRow="1" w:lastRow="0" w:firstColumn="1" w:lastColumn="0" w:noHBand="0" w:noVBand="1"/>
        <w:tblDescription w:val="TCS’ financial projections during the 2021–22 fiscal year and includes year-to-date actuals from July 2021 through May 2022."/>
      </w:tblPr>
      <w:tblGrid>
        <w:gridCol w:w="2331"/>
        <w:gridCol w:w="1756"/>
        <w:gridCol w:w="1756"/>
        <w:gridCol w:w="1756"/>
        <w:gridCol w:w="1756"/>
      </w:tblGrid>
      <w:tr w:rsidR="00524972" w:rsidRPr="002B26AC" w:rsidTr="00524972">
        <w:trPr>
          <w:cantSplit/>
          <w:tblHeader/>
        </w:trPr>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972" w:rsidRPr="002B26AC" w:rsidRDefault="00524972" w:rsidP="00854FF3">
            <w:pPr>
              <w:jc w:val="center"/>
              <w:rPr>
                <w:rFonts w:cs="Arial"/>
                <w:b/>
                <w:szCs w:val="22"/>
              </w:rPr>
            </w:pPr>
            <w:r w:rsidRPr="002B26AC">
              <w:rPr>
                <w:rFonts w:cs="Arial"/>
                <w:b/>
                <w:szCs w:val="22"/>
              </w:rPr>
              <w:t>Criteria</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972" w:rsidRPr="002B26AC" w:rsidRDefault="00524972" w:rsidP="00854FF3">
            <w:pPr>
              <w:jc w:val="center"/>
              <w:rPr>
                <w:rFonts w:cs="Arial"/>
                <w:b/>
                <w:szCs w:val="22"/>
              </w:rPr>
            </w:pPr>
            <w:r w:rsidRPr="002B26AC">
              <w:rPr>
                <w:rFonts w:cs="Arial"/>
                <w:b/>
                <w:szCs w:val="22"/>
              </w:rPr>
              <w:t>2021–22 Budget</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2B26AC" w:rsidRDefault="00524972" w:rsidP="00854FF3">
            <w:pPr>
              <w:jc w:val="center"/>
              <w:rPr>
                <w:rFonts w:cs="Arial"/>
                <w:b/>
                <w:szCs w:val="22"/>
              </w:rPr>
            </w:pPr>
            <w:r w:rsidRPr="002B26AC">
              <w:rPr>
                <w:rFonts w:cs="Arial"/>
                <w:b/>
                <w:szCs w:val="22"/>
              </w:rPr>
              <w:t>2021–22</w:t>
            </w:r>
          </w:p>
          <w:p w:rsidR="00524972" w:rsidRPr="002B26AC" w:rsidRDefault="00524972" w:rsidP="00854FF3">
            <w:pPr>
              <w:jc w:val="center"/>
              <w:rPr>
                <w:rFonts w:cs="Arial"/>
                <w:b/>
                <w:szCs w:val="22"/>
              </w:rPr>
            </w:pPr>
            <w:r w:rsidRPr="002B26AC">
              <w:rPr>
                <w:rFonts w:cs="Arial"/>
                <w:b/>
                <w:szCs w:val="22"/>
              </w:rPr>
              <w:t xml:space="preserve">First </w:t>
            </w:r>
            <w:r>
              <w:rPr>
                <w:rFonts w:cs="Arial"/>
                <w:b/>
                <w:szCs w:val="22"/>
              </w:rPr>
              <w:br/>
            </w:r>
            <w:r w:rsidRPr="002B26AC">
              <w:rPr>
                <w:rFonts w:cs="Arial"/>
                <w:b/>
                <w:szCs w:val="22"/>
              </w:rPr>
              <w:t>Interim</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2B26AC" w:rsidRDefault="00524972" w:rsidP="00854FF3">
            <w:pPr>
              <w:jc w:val="center"/>
              <w:rPr>
                <w:rFonts w:cs="Arial"/>
                <w:b/>
                <w:szCs w:val="22"/>
              </w:rPr>
            </w:pPr>
            <w:r w:rsidRPr="002B26AC">
              <w:rPr>
                <w:rFonts w:cs="Arial"/>
                <w:b/>
                <w:szCs w:val="22"/>
              </w:rPr>
              <w:t>2021–22</w:t>
            </w:r>
          </w:p>
          <w:p w:rsidR="00524972" w:rsidRPr="002B26AC" w:rsidRDefault="00524972" w:rsidP="00854FF3">
            <w:pPr>
              <w:jc w:val="center"/>
              <w:rPr>
                <w:rFonts w:cs="Arial"/>
                <w:b/>
                <w:szCs w:val="22"/>
              </w:rPr>
            </w:pPr>
            <w:r w:rsidRPr="002B26AC">
              <w:rPr>
                <w:rFonts w:cs="Arial"/>
                <w:b/>
                <w:szCs w:val="22"/>
              </w:rPr>
              <w:t>Second Interim</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2B26AC" w:rsidRDefault="00524972" w:rsidP="00854FF3">
            <w:pPr>
              <w:jc w:val="center"/>
              <w:rPr>
                <w:rFonts w:cs="Arial"/>
                <w:b/>
                <w:szCs w:val="22"/>
              </w:rPr>
            </w:pPr>
            <w:r w:rsidRPr="002B26AC">
              <w:rPr>
                <w:rFonts w:cs="Arial"/>
                <w:b/>
                <w:szCs w:val="22"/>
              </w:rPr>
              <w:t>July 2021 to</w:t>
            </w:r>
          </w:p>
          <w:p w:rsidR="00524972" w:rsidRPr="002B26AC" w:rsidRDefault="00524972" w:rsidP="00854FF3">
            <w:pPr>
              <w:jc w:val="center"/>
              <w:rPr>
                <w:rFonts w:cs="Arial"/>
                <w:b/>
                <w:szCs w:val="22"/>
              </w:rPr>
            </w:pPr>
            <w:r w:rsidRPr="002B26AC">
              <w:rPr>
                <w:rFonts w:cs="Arial"/>
                <w:b/>
                <w:szCs w:val="22"/>
              </w:rPr>
              <w:t>May 2022 Actuals</w:t>
            </w:r>
          </w:p>
        </w:tc>
      </w:tr>
      <w:tr w:rsidR="00524972" w:rsidRPr="002B26AC" w:rsidTr="00524972">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rPr>
                <w:rFonts w:cs="Arial"/>
                <w:b/>
                <w:szCs w:val="22"/>
              </w:rPr>
            </w:pPr>
            <w:r w:rsidRPr="002B26AC">
              <w:rPr>
                <w:rFonts w:cs="Arial"/>
                <w:b/>
                <w:szCs w:val="22"/>
              </w:rPr>
              <w:t>Total Revenues</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$2,386,765</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$605,813</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$897,549</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$654,916</w:t>
            </w:r>
          </w:p>
        </w:tc>
      </w:tr>
      <w:tr w:rsidR="00524972" w:rsidRPr="002B26AC" w:rsidTr="00524972">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rPr>
                <w:rFonts w:cs="Arial"/>
                <w:b/>
                <w:szCs w:val="22"/>
              </w:rPr>
            </w:pPr>
            <w:r w:rsidRPr="002B26AC">
              <w:rPr>
                <w:rFonts w:cs="Arial"/>
                <w:b/>
                <w:szCs w:val="22"/>
              </w:rPr>
              <w:t>Total Expenditures</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$2,010,305</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$1,197,288</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$1,220,959</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$976,380</w:t>
            </w:r>
          </w:p>
        </w:tc>
      </w:tr>
      <w:tr w:rsidR="00524972" w:rsidRPr="002B26AC" w:rsidTr="00524972">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rPr>
                <w:rFonts w:cs="Arial"/>
                <w:b/>
                <w:szCs w:val="22"/>
              </w:rPr>
            </w:pPr>
            <w:r w:rsidRPr="002B26AC">
              <w:rPr>
                <w:rFonts w:cs="Arial"/>
                <w:b/>
                <w:szCs w:val="22"/>
              </w:rPr>
              <w:t>Surplus (Deficits)</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$376,460</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($591,475)</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($323,401)</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($321,464)</w:t>
            </w:r>
          </w:p>
        </w:tc>
      </w:tr>
      <w:tr w:rsidR="00524972" w:rsidRPr="002B26AC" w:rsidTr="00524972">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rPr>
                <w:rFonts w:cs="Arial"/>
                <w:b/>
                <w:szCs w:val="22"/>
              </w:rPr>
            </w:pPr>
            <w:r w:rsidRPr="002B26AC">
              <w:rPr>
                <w:rFonts w:cs="Arial"/>
                <w:b/>
                <w:szCs w:val="22"/>
              </w:rPr>
              <w:t>Beginning Net Position</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$91,812</w:t>
            </w:r>
            <w:r>
              <w:rPr>
                <w:rFonts w:cs="Arial"/>
                <w:szCs w:val="22"/>
              </w:rPr>
              <w:t>*</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$109,671</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$109,671</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$109,671</w:t>
            </w:r>
          </w:p>
        </w:tc>
      </w:tr>
      <w:tr w:rsidR="00524972" w:rsidRPr="002B26AC" w:rsidTr="00524972">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rPr>
                <w:rFonts w:cs="Arial"/>
                <w:b/>
                <w:szCs w:val="22"/>
              </w:rPr>
            </w:pPr>
            <w:r w:rsidRPr="002B26AC">
              <w:rPr>
                <w:rFonts w:cs="Arial"/>
                <w:b/>
                <w:szCs w:val="22"/>
              </w:rPr>
              <w:lastRenderedPageBreak/>
              <w:t>Ending Net Position</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$468,272</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($481,804)</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($213,730)</w:t>
            </w:r>
          </w:p>
        </w:tc>
        <w:tc>
          <w:tcPr>
            <w:tcW w:w="1756" w:type="dxa"/>
            <w:tcBorders>
              <w:top w:val="single" w:sz="4" w:space="0" w:color="auto"/>
              <w:left w:val="single" w:sz="4" w:space="0" w:color="auto"/>
              <w:bottom w:val="single" w:sz="4" w:space="0" w:color="auto"/>
              <w:right w:val="single" w:sz="4" w:space="0" w:color="auto"/>
            </w:tcBorders>
            <w:vAlign w:val="center"/>
            <w:hideMark/>
          </w:tcPr>
          <w:p w:rsidR="00524972" w:rsidRPr="002B26AC" w:rsidRDefault="00524972" w:rsidP="00854FF3">
            <w:pPr>
              <w:jc w:val="center"/>
              <w:rPr>
                <w:rFonts w:cs="Arial"/>
                <w:szCs w:val="22"/>
              </w:rPr>
            </w:pPr>
            <w:r w:rsidRPr="002B26AC">
              <w:rPr>
                <w:rFonts w:cs="Arial"/>
                <w:szCs w:val="22"/>
              </w:rPr>
              <w:t>($211,793)</w:t>
            </w:r>
          </w:p>
        </w:tc>
      </w:tr>
    </w:tbl>
    <w:p w:rsidR="00524972" w:rsidRDefault="00524972" w:rsidP="00524972">
      <w:pPr>
        <w:spacing w:before="240" w:after="240"/>
        <w:rPr>
          <w:rFonts w:cs="Arial"/>
          <w:szCs w:val="22"/>
        </w:rPr>
      </w:pPr>
      <w:r w:rsidRPr="002B26AC">
        <w:rPr>
          <w:rFonts w:cs="Arial"/>
          <w:szCs w:val="22"/>
        </w:rPr>
        <w:t>*The $91,812 was estimated based on TCS’ 2020–21 (planning year) estimated actuals ending Net Position. TCS’ 2020–21 actuals ended with a balance of $109,671 or $17,859 higher.</w:t>
      </w:r>
    </w:p>
    <w:p w:rsidR="00524972" w:rsidRPr="00707D1A" w:rsidRDefault="00524972" w:rsidP="00524972">
      <w:pPr>
        <w:spacing w:before="240"/>
        <w:rPr>
          <w:rFonts w:ascii="Times New Roman" w:hAnsi="Times New Roman"/>
          <w:szCs w:val="22"/>
        </w:rPr>
      </w:pPr>
      <w:r w:rsidRPr="00707D1A">
        <w:rPr>
          <w:szCs w:val="22"/>
        </w:rPr>
        <w:t xml:space="preserve">As illustrated in the table above, </w:t>
      </w:r>
      <w:r>
        <w:rPr>
          <w:szCs w:val="22"/>
        </w:rPr>
        <w:t>TCS’</w:t>
      </w:r>
      <w:r w:rsidRPr="00707D1A">
        <w:rPr>
          <w:szCs w:val="22"/>
        </w:rPr>
        <w:t xml:space="preserve"> 2021</w:t>
      </w:r>
      <w:r>
        <w:rPr>
          <w:szCs w:val="22"/>
        </w:rPr>
        <w:t>–</w:t>
      </w:r>
      <w:r w:rsidRPr="00707D1A">
        <w:rPr>
          <w:szCs w:val="22"/>
        </w:rPr>
        <w:t xml:space="preserve">22 adopted budget projected an operating surplus of approximately $376,000 and an ending Net Position of $468,000. Due to </w:t>
      </w:r>
      <w:r>
        <w:rPr>
          <w:szCs w:val="22"/>
        </w:rPr>
        <w:t>TCS’</w:t>
      </w:r>
      <w:r w:rsidRPr="00707D1A">
        <w:rPr>
          <w:szCs w:val="22"/>
        </w:rPr>
        <w:t xml:space="preserve"> substantial enrollment shortfall, in its 2021</w:t>
      </w:r>
      <w:r>
        <w:rPr>
          <w:szCs w:val="22"/>
        </w:rPr>
        <w:t>–</w:t>
      </w:r>
      <w:r w:rsidRPr="00707D1A">
        <w:rPr>
          <w:szCs w:val="22"/>
        </w:rPr>
        <w:t xml:space="preserve">22 First Interim Report, </w:t>
      </w:r>
      <w:r>
        <w:rPr>
          <w:szCs w:val="22"/>
        </w:rPr>
        <w:t>TCS</w:t>
      </w:r>
      <w:r w:rsidRPr="00707D1A">
        <w:rPr>
          <w:szCs w:val="22"/>
        </w:rPr>
        <w:t xml:space="preserve"> projected an operating deficit of $591,000 and an ending Net Position of negative $482,000. Per a request from LACOE’s Business Advisory Services, </w:t>
      </w:r>
      <w:r>
        <w:rPr>
          <w:szCs w:val="22"/>
        </w:rPr>
        <w:t>TCS</w:t>
      </w:r>
      <w:r w:rsidRPr="00707D1A">
        <w:rPr>
          <w:szCs w:val="22"/>
        </w:rPr>
        <w:t xml:space="preserve"> submitted a revised current year budget, multiyear projections for 2022</w:t>
      </w:r>
      <w:r>
        <w:rPr>
          <w:szCs w:val="22"/>
        </w:rPr>
        <w:t>–</w:t>
      </w:r>
      <w:r w:rsidRPr="00707D1A">
        <w:rPr>
          <w:szCs w:val="22"/>
        </w:rPr>
        <w:t>23 and 2023</w:t>
      </w:r>
      <w:r>
        <w:rPr>
          <w:szCs w:val="22"/>
        </w:rPr>
        <w:t>–</w:t>
      </w:r>
      <w:r w:rsidRPr="00707D1A">
        <w:rPr>
          <w:szCs w:val="22"/>
        </w:rPr>
        <w:t>24, and updated cash flow projection with its 2021</w:t>
      </w:r>
      <w:r>
        <w:rPr>
          <w:szCs w:val="22"/>
        </w:rPr>
        <w:t>–</w:t>
      </w:r>
      <w:r w:rsidRPr="00707D1A">
        <w:rPr>
          <w:szCs w:val="22"/>
        </w:rPr>
        <w:t xml:space="preserve">22 Second Interim Report. </w:t>
      </w:r>
      <w:r>
        <w:rPr>
          <w:szCs w:val="22"/>
        </w:rPr>
        <w:t>TCS’</w:t>
      </w:r>
      <w:r w:rsidRPr="00707D1A">
        <w:rPr>
          <w:szCs w:val="22"/>
        </w:rPr>
        <w:t xml:space="preserve"> 2021</w:t>
      </w:r>
      <w:r>
        <w:rPr>
          <w:szCs w:val="22"/>
        </w:rPr>
        <w:t>–</w:t>
      </w:r>
      <w:r w:rsidRPr="00707D1A">
        <w:rPr>
          <w:szCs w:val="22"/>
        </w:rPr>
        <w:t xml:space="preserve">22 Second Interim Report projected an operating deficit of $323,000 and an ending Net Position of negative $214,000. The Second Interim reflected improvement from the First Interim’s projected deficit spending due primarily to the addition of federal one-time ESSER II and ESSER III funding, totaling approximately $282,000. As of May 31, 2022, </w:t>
      </w:r>
      <w:r>
        <w:rPr>
          <w:szCs w:val="22"/>
        </w:rPr>
        <w:t>TCS</w:t>
      </w:r>
      <w:r w:rsidRPr="00707D1A">
        <w:rPr>
          <w:szCs w:val="22"/>
        </w:rPr>
        <w:t xml:space="preserve"> has an operating deficit of $321,000, an ending Net Position of negative $212,000, and a reserve for economic uncertainties of negative 21.7 percent. The reserve is well below the 3 percent minimum reserve requirement pursuant to the </w:t>
      </w:r>
      <w:r>
        <w:rPr>
          <w:szCs w:val="22"/>
        </w:rPr>
        <w:t>MOU</w:t>
      </w:r>
      <w:r w:rsidRPr="00707D1A">
        <w:rPr>
          <w:szCs w:val="22"/>
        </w:rPr>
        <w:t>, page 18, section 3.4 (Revenue and Expenditure Reporting).</w:t>
      </w:r>
      <w:r w:rsidRPr="00707D1A">
        <w:rPr>
          <w:b/>
          <w:i/>
          <w:szCs w:val="22"/>
        </w:rPr>
        <w:t xml:space="preserve"> </w:t>
      </w:r>
      <w:r w:rsidRPr="00707D1A">
        <w:rPr>
          <w:szCs w:val="22"/>
        </w:rPr>
        <w:t xml:space="preserve">In summary, </w:t>
      </w:r>
      <w:r>
        <w:rPr>
          <w:szCs w:val="22"/>
        </w:rPr>
        <w:t>TCS’</w:t>
      </w:r>
      <w:r w:rsidRPr="00707D1A">
        <w:rPr>
          <w:szCs w:val="22"/>
        </w:rPr>
        <w:t xml:space="preserve"> future fiscal solvency is dependent on achieving its unrealistic enrollment and ADA projections.</w:t>
      </w:r>
    </w:p>
    <w:p w:rsidR="00524972" w:rsidRDefault="00524972" w:rsidP="00524972">
      <w:pPr>
        <w:pStyle w:val="Heading5"/>
      </w:pPr>
      <w:r>
        <w:t>Debt Accumulation</w:t>
      </w:r>
    </w:p>
    <w:p w:rsidR="00524972" w:rsidRPr="00707D1A" w:rsidRDefault="00524972" w:rsidP="00524972">
      <w:pPr>
        <w:spacing w:before="120"/>
        <w:rPr>
          <w:rFonts w:ascii="Times New Roman" w:hAnsi="Times New Roman"/>
          <w:szCs w:val="22"/>
        </w:rPr>
      </w:pPr>
      <w:r>
        <w:rPr>
          <w:szCs w:val="22"/>
        </w:rPr>
        <w:t>TCS’</w:t>
      </w:r>
      <w:r w:rsidRPr="00707D1A">
        <w:rPr>
          <w:szCs w:val="22"/>
        </w:rPr>
        <w:t xml:space="preserve"> substantial enrollment and ADA shortfall contributed to deficit spending, cash deficiencies, and increasing debts in the current fiscal year. As of May 31, 2022, </w:t>
      </w:r>
      <w:r>
        <w:rPr>
          <w:szCs w:val="22"/>
        </w:rPr>
        <w:t>TCS</w:t>
      </w:r>
      <w:r w:rsidRPr="00707D1A">
        <w:rPr>
          <w:szCs w:val="22"/>
        </w:rPr>
        <w:t xml:space="preserve"> reported total assets of $161,419</w:t>
      </w:r>
      <w:r>
        <w:rPr>
          <w:szCs w:val="22"/>
        </w:rPr>
        <w:t>;</w:t>
      </w:r>
      <w:r w:rsidRPr="00707D1A">
        <w:rPr>
          <w:szCs w:val="22"/>
        </w:rPr>
        <w:t xml:space="preserve"> total liabilities of $373,213</w:t>
      </w:r>
      <w:r>
        <w:rPr>
          <w:szCs w:val="22"/>
        </w:rPr>
        <w:t>;</w:t>
      </w:r>
      <w:r w:rsidRPr="00707D1A">
        <w:rPr>
          <w:szCs w:val="22"/>
        </w:rPr>
        <w:t xml:space="preserve"> an ending Net Position of negative $211,794. Included in the total liabilities are various notes payable totaling $221,348 due to its Executive Director, a private lender</w:t>
      </w:r>
      <w:r>
        <w:rPr>
          <w:szCs w:val="22"/>
        </w:rPr>
        <w:t>,</w:t>
      </w:r>
      <w:r w:rsidRPr="00707D1A">
        <w:rPr>
          <w:szCs w:val="22"/>
        </w:rPr>
        <w:t xml:space="preserve"> and a California School Financing Authority </w:t>
      </w:r>
      <w:r>
        <w:rPr>
          <w:szCs w:val="22"/>
        </w:rPr>
        <w:t xml:space="preserve">(CSFA) </w:t>
      </w:r>
      <w:r w:rsidRPr="00707D1A">
        <w:rPr>
          <w:szCs w:val="22"/>
        </w:rPr>
        <w:t xml:space="preserve">Charter School Revolving Loan of $100,000. </w:t>
      </w:r>
      <w:r>
        <w:rPr>
          <w:szCs w:val="22"/>
        </w:rPr>
        <w:t xml:space="preserve">TCS’ </w:t>
      </w:r>
      <w:r w:rsidRPr="00707D1A">
        <w:rPr>
          <w:szCs w:val="22"/>
        </w:rPr>
        <w:t>ability to repay outstanding liabilities will be dependent on future revenue growth in excess of program expenditures.</w:t>
      </w:r>
      <w:r>
        <w:rPr>
          <w:szCs w:val="22"/>
        </w:rPr>
        <w:t xml:space="preserve"> The CDE and</w:t>
      </w:r>
      <w:r w:rsidRPr="00707D1A">
        <w:rPr>
          <w:szCs w:val="22"/>
        </w:rPr>
        <w:t xml:space="preserve"> </w:t>
      </w:r>
      <w:r>
        <w:rPr>
          <w:szCs w:val="22"/>
        </w:rPr>
        <w:t>LACOE</w:t>
      </w:r>
      <w:r w:rsidRPr="00707D1A">
        <w:rPr>
          <w:szCs w:val="22"/>
        </w:rPr>
        <w:t xml:space="preserve"> remain extremely concerned about </w:t>
      </w:r>
      <w:r>
        <w:rPr>
          <w:szCs w:val="22"/>
        </w:rPr>
        <w:t>TCS’</w:t>
      </w:r>
      <w:r w:rsidRPr="00707D1A">
        <w:rPr>
          <w:szCs w:val="22"/>
        </w:rPr>
        <w:t xml:space="preserve"> rising debts and its ability to secure additional funding in order to satisfy its immediate and future financial obligations. </w:t>
      </w:r>
    </w:p>
    <w:p w:rsidR="00524972" w:rsidRDefault="00524972" w:rsidP="00524972">
      <w:pPr>
        <w:pStyle w:val="Heading5"/>
      </w:pPr>
      <w:r>
        <w:t>Cash Flow Projections</w:t>
      </w:r>
    </w:p>
    <w:p w:rsidR="00524972" w:rsidRPr="00707D1A" w:rsidRDefault="00524972" w:rsidP="00524972">
      <w:pPr>
        <w:spacing w:before="120"/>
        <w:rPr>
          <w:rFonts w:ascii="Times New Roman" w:hAnsi="Times New Roman"/>
          <w:szCs w:val="22"/>
        </w:rPr>
      </w:pPr>
      <w:bookmarkStart w:id="3" w:name="_Hlk91166169"/>
      <w:r>
        <w:rPr>
          <w:szCs w:val="22"/>
        </w:rPr>
        <w:t>TCS’</w:t>
      </w:r>
      <w:r w:rsidRPr="00707D1A">
        <w:rPr>
          <w:szCs w:val="22"/>
        </w:rPr>
        <w:t xml:space="preserve"> ability to meets its financial obligations is reliant on substantial enrollment growth and cash borrowing, including the sales of current and future receivables. As of May 31, 2022, </w:t>
      </w:r>
      <w:r>
        <w:rPr>
          <w:szCs w:val="22"/>
        </w:rPr>
        <w:t>TCS</w:t>
      </w:r>
      <w:r w:rsidRPr="00707D1A">
        <w:rPr>
          <w:szCs w:val="22"/>
        </w:rPr>
        <w:t xml:space="preserve"> has a cash balance of $8,105; this represents three days of operating cash. </w:t>
      </w:r>
      <w:r>
        <w:rPr>
          <w:szCs w:val="22"/>
        </w:rPr>
        <w:t>TCS’</w:t>
      </w:r>
      <w:r w:rsidRPr="00707D1A">
        <w:rPr>
          <w:szCs w:val="22"/>
        </w:rPr>
        <w:t xml:space="preserve"> 2022</w:t>
      </w:r>
      <w:r>
        <w:rPr>
          <w:szCs w:val="22"/>
        </w:rPr>
        <w:t>–</w:t>
      </w:r>
      <w:r w:rsidRPr="00707D1A">
        <w:rPr>
          <w:szCs w:val="22"/>
        </w:rPr>
        <w:t xml:space="preserve">23 cash flow projection includes selling current and future State Aid </w:t>
      </w:r>
      <w:r w:rsidRPr="00707D1A">
        <w:rPr>
          <w:szCs w:val="22"/>
        </w:rPr>
        <w:lastRenderedPageBreak/>
        <w:t xml:space="preserve">receivables and accessing a CSFA Charter School Revolving Loan in the amount of $150,000. Although </w:t>
      </w:r>
      <w:r>
        <w:rPr>
          <w:szCs w:val="22"/>
        </w:rPr>
        <w:t>TCS</w:t>
      </w:r>
      <w:r w:rsidRPr="00707D1A">
        <w:rPr>
          <w:szCs w:val="22"/>
        </w:rPr>
        <w:t xml:space="preserve"> is projecting substantial revenue growth for 2022</w:t>
      </w:r>
      <w:r>
        <w:rPr>
          <w:szCs w:val="22"/>
        </w:rPr>
        <w:t>–</w:t>
      </w:r>
      <w:r w:rsidRPr="00707D1A">
        <w:rPr>
          <w:szCs w:val="22"/>
        </w:rPr>
        <w:t xml:space="preserve">23 due to a projected enrollment increase, the cash flow projections reflect negative cash balances, ranging from negative $14,679 to negative $81,254, for </w:t>
      </w:r>
      <w:r>
        <w:rPr>
          <w:szCs w:val="22"/>
        </w:rPr>
        <w:t>6</w:t>
      </w:r>
      <w:r w:rsidRPr="00707D1A">
        <w:rPr>
          <w:szCs w:val="22"/>
        </w:rPr>
        <w:t xml:space="preserve"> out of </w:t>
      </w:r>
      <w:r>
        <w:rPr>
          <w:szCs w:val="22"/>
        </w:rPr>
        <w:t>12</w:t>
      </w:r>
      <w:r w:rsidRPr="00707D1A">
        <w:rPr>
          <w:szCs w:val="22"/>
        </w:rPr>
        <w:t xml:space="preserve"> months; the months of July, August, October, December, January, and February reflect negative ending balances. </w:t>
      </w:r>
      <w:r>
        <w:rPr>
          <w:szCs w:val="22"/>
        </w:rPr>
        <w:t>TCS</w:t>
      </w:r>
      <w:r w:rsidRPr="00707D1A">
        <w:rPr>
          <w:szCs w:val="22"/>
        </w:rPr>
        <w:t xml:space="preserve"> has indicated it will borrow, fundraise, and/or sell future receivables to address its cash needs. For the period of July 2021 through May 2022, </w:t>
      </w:r>
      <w:r>
        <w:rPr>
          <w:szCs w:val="22"/>
        </w:rPr>
        <w:t>TCS</w:t>
      </w:r>
      <w:r w:rsidRPr="00707D1A">
        <w:rPr>
          <w:szCs w:val="22"/>
        </w:rPr>
        <w:t xml:space="preserve"> reported total Local Revenues of $11,206, which are comprised of fundraising and contributions. Because </w:t>
      </w:r>
      <w:r>
        <w:rPr>
          <w:szCs w:val="22"/>
        </w:rPr>
        <w:t>TCS</w:t>
      </w:r>
      <w:r w:rsidRPr="00707D1A">
        <w:rPr>
          <w:szCs w:val="22"/>
        </w:rPr>
        <w:t xml:space="preserve"> has accumulated a significant amount of debts, its borrowing options or capacity to borrow may be limited, and the cost to finance debt could become costly, particularly in an inflationary and rising interest environment. The costs of borrowing also negatively impacts </w:t>
      </w:r>
      <w:r>
        <w:rPr>
          <w:szCs w:val="22"/>
        </w:rPr>
        <w:t>TCS’</w:t>
      </w:r>
      <w:r w:rsidRPr="00707D1A">
        <w:rPr>
          <w:szCs w:val="22"/>
        </w:rPr>
        <w:t xml:space="preserve"> financial resources. Due to its cash deficiencies, </w:t>
      </w:r>
      <w:r>
        <w:rPr>
          <w:szCs w:val="22"/>
        </w:rPr>
        <w:t>TCS</w:t>
      </w:r>
      <w:r w:rsidRPr="00707D1A">
        <w:rPr>
          <w:szCs w:val="22"/>
        </w:rPr>
        <w:t xml:space="preserve"> may not be able to make payments on its current obligations, including payroll expenses and related benefits.</w:t>
      </w:r>
    </w:p>
    <w:p w:rsidR="00524972" w:rsidRDefault="00524972" w:rsidP="00524972">
      <w:pPr>
        <w:pStyle w:val="Heading4"/>
      </w:pPr>
      <w:r w:rsidRPr="0030697D">
        <w:t xml:space="preserve">The </w:t>
      </w:r>
      <w:r>
        <w:t>TCS</w:t>
      </w:r>
      <w:r w:rsidRPr="0030697D">
        <w:t xml:space="preserve"> Board failed to meet or pursue pupil outcomes identified in the charter (</w:t>
      </w:r>
      <w:r w:rsidRPr="0030697D">
        <w:rPr>
          <w:i/>
        </w:rPr>
        <w:t>EC</w:t>
      </w:r>
      <w:r w:rsidRPr="0030697D">
        <w:t xml:space="preserve"> Section 47607[f][2]).</w:t>
      </w:r>
    </w:p>
    <w:p w:rsidR="00524972" w:rsidRDefault="00524972" w:rsidP="00524972">
      <w:pPr>
        <w:pStyle w:val="Heading5"/>
      </w:pPr>
      <w:r>
        <w:t>Failure to Report Academic Performance for All Students</w:t>
      </w:r>
    </w:p>
    <w:p w:rsidR="00524972" w:rsidRPr="00261A90" w:rsidRDefault="00524972" w:rsidP="00524972">
      <w:pPr>
        <w:autoSpaceDE w:val="0"/>
        <w:autoSpaceDN w:val="0"/>
        <w:adjustRightInd w:val="0"/>
        <w:spacing w:before="120"/>
        <w:rPr>
          <w:szCs w:val="22"/>
        </w:rPr>
      </w:pPr>
      <w:r w:rsidRPr="00261A90">
        <w:rPr>
          <w:szCs w:val="22"/>
        </w:rPr>
        <w:t xml:space="preserve">According to Section 2.2 of the MOU between the LACOE and </w:t>
      </w:r>
      <w:r>
        <w:rPr>
          <w:szCs w:val="22"/>
        </w:rPr>
        <w:t>TCS</w:t>
      </w:r>
      <w:r w:rsidRPr="00261A90">
        <w:rPr>
          <w:szCs w:val="22"/>
        </w:rPr>
        <w:t xml:space="preserve">, it is the school’s responsibility to submit to LACOE, in a timely manner, the results of the academic performance of the students for both English Language Arts and Mathematics, based on baseline, mid-year, and end of year results. </w:t>
      </w:r>
      <w:r>
        <w:rPr>
          <w:szCs w:val="22"/>
        </w:rPr>
        <w:t>TCS</w:t>
      </w:r>
      <w:r w:rsidRPr="00261A90">
        <w:rPr>
          <w:szCs w:val="22"/>
        </w:rPr>
        <w:t xml:space="preserve"> failed to report the results of interim/benchmark assessments used to evaluate student progress during the 2021</w:t>
      </w:r>
      <w:r>
        <w:rPr>
          <w:szCs w:val="22"/>
        </w:rPr>
        <w:t>–</w:t>
      </w:r>
      <w:r w:rsidRPr="00261A90">
        <w:rPr>
          <w:szCs w:val="22"/>
        </w:rPr>
        <w:t xml:space="preserve">22 school year for all students and all student groups. </w:t>
      </w:r>
      <w:r>
        <w:rPr>
          <w:szCs w:val="22"/>
        </w:rPr>
        <w:t>TCS</w:t>
      </w:r>
      <w:r w:rsidRPr="00261A90">
        <w:rPr>
          <w:szCs w:val="22"/>
        </w:rPr>
        <w:t xml:space="preserve"> submitted partial school-wide benchmark assessment data and no data disaggregated by student groups. Benchmarks serve as a measurement gauge to monitor a student’s progress and to determine if the student is making sufficient progress towards attaining academic goals. </w:t>
      </w:r>
      <w:r>
        <w:rPr>
          <w:szCs w:val="22"/>
        </w:rPr>
        <w:t>TCS’ fai</w:t>
      </w:r>
      <w:r w:rsidRPr="00261A90">
        <w:rPr>
          <w:szCs w:val="22"/>
        </w:rPr>
        <w:t xml:space="preserve">lure to submit data on the academic performance of all its students and student groups effectively prevented LACOE from evaluating the academic performance of students enrolled at the charter school. </w:t>
      </w:r>
    </w:p>
    <w:p w:rsidR="00524972" w:rsidRDefault="00524972" w:rsidP="00524972">
      <w:pPr>
        <w:pStyle w:val="Heading5"/>
      </w:pPr>
      <w:r>
        <w:t>Low Participation Rate for Benchmark Assessments</w:t>
      </w:r>
    </w:p>
    <w:p w:rsidR="00524972" w:rsidRPr="00261A90" w:rsidRDefault="00524972" w:rsidP="00524972">
      <w:pPr>
        <w:autoSpaceDE w:val="0"/>
        <w:autoSpaceDN w:val="0"/>
        <w:adjustRightInd w:val="0"/>
        <w:spacing w:before="240" w:after="240"/>
        <w:rPr>
          <w:rFonts w:ascii="Times New Roman" w:hAnsi="Times New Roman"/>
          <w:szCs w:val="22"/>
        </w:rPr>
      </w:pPr>
      <w:r w:rsidRPr="00261A90">
        <w:rPr>
          <w:szCs w:val="22"/>
        </w:rPr>
        <w:t xml:space="preserve">The student participation rates for </w:t>
      </w:r>
      <w:r>
        <w:rPr>
          <w:szCs w:val="22"/>
        </w:rPr>
        <w:t>TCS’</w:t>
      </w:r>
      <w:r w:rsidRPr="00261A90">
        <w:rPr>
          <w:szCs w:val="22"/>
        </w:rPr>
        <w:t xml:space="preserve"> benchmark assessments are significantly below the 95 percent threshold established by the SBE for verifiable student data. Low benchmark assessment participation has a significant impact on the school’s ability to evaluate academic progress and make data-based instructional decisions for the school’s </w:t>
      </w:r>
      <w:r>
        <w:rPr>
          <w:szCs w:val="22"/>
        </w:rPr>
        <w:t>ninth and tenth</w:t>
      </w:r>
      <w:r w:rsidRPr="00261A90">
        <w:rPr>
          <w:szCs w:val="22"/>
        </w:rPr>
        <w:t xml:space="preserve"> grade students. </w:t>
      </w:r>
      <w:r>
        <w:rPr>
          <w:szCs w:val="22"/>
        </w:rPr>
        <w:t>TCS</w:t>
      </w:r>
      <w:r w:rsidRPr="00261A90">
        <w:rPr>
          <w:szCs w:val="22"/>
        </w:rPr>
        <w:t xml:space="preserve"> uses NWEA’s Measures of Academic Progress (MAP) for benchmark assessments. The NWEA benchmarks are designed to evaluate a full year’s learning through the administration of three assessments given in the Fall, Winter, and Spring that include assessments in math, reading, and language usage. The charts below show participation rates for </w:t>
      </w:r>
      <w:r>
        <w:rPr>
          <w:szCs w:val="22"/>
        </w:rPr>
        <w:t>TCS’</w:t>
      </w:r>
      <w:r w:rsidRPr="00261A90">
        <w:rPr>
          <w:szCs w:val="22"/>
        </w:rPr>
        <w:t xml:space="preserve"> 2021</w:t>
      </w:r>
      <w:r>
        <w:rPr>
          <w:szCs w:val="22"/>
        </w:rPr>
        <w:t>–</w:t>
      </w:r>
      <w:r w:rsidRPr="00261A90">
        <w:rPr>
          <w:szCs w:val="22"/>
        </w:rPr>
        <w:t xml:space="preserve">22 benchmark assessments for the schools </w:t>
      </w:r>
      <w:r>
        <w:rPr>
          <w:szCs w:val="22"/>
        </w:rPr>
        <w:t xml:space="preserve">25 </w:t>
      </w:r>
      <w:r w:rsidRPr="00261A90">
        <w:rPr>
          <w:szCs w:val="22"/>
        </w:rPr>
        <w:t xml:space="preserve">ninth grade students and </w:t>
      </w:r>
      <w:r>
        <w:rPr>
          <w:szCs w:val="22"/>
        </w:rPr>
        <w:t>15 tenth</w:t>
      </w:r>
      <w:r w:rsidRPr="00261A90">
        <w:rPr>
          <w:szCs w:val="22"/>
        </w:rPr>
        <w:t xml:space="preserve"> grade students. </w:t>
      </w:r>
    </w:p>
    <w:p w:rsidR="00524972" w:rsidRPr="00F31EDE" w:rsidRDefault="00524972" w:rsidP="00524972">
      <w:pPr>
        <w:spacing w:after="240"/>
        <w:jc w:val="center"/>
        <w:rPr>
          <w:i/>
        </w:rPr>
      </w:pPr>
      <w:r w:rsidRPr="00F31EDE">
        <w:rPr>
          <w:i/>
        </w:rPr>
        <w:lastRenderedPageBreak/>
        <w:t>2021–22 Ninth Grade NWEA Benchmark Participation Rates</w:t>
      </w:r>
    </w:p>
    <w:tbl>
      <w:tblPr>
        <w:tblStyle w:val="TableGrid"/>
        <w:tblW w:w="0" w:type="auto"/>
        <w:tblInd w:w="0" w:type="dxa"/>
        <w:tblLayout w:type="fixed"/>
        <w:tblCellMar>
          <w:left w:w="43" w:type="dxa"/>
          <w:right w:w="43" w:type="dxa"/>
        </w:tblCellMar>
        <w:tblLook w:val="04A0" w:firstRow="1" w:lastRow="0" w:firstColumn="1" w:lastColumn="0" w:noHBand="0" w:noVBand="1"/>
        <w:tblDescription w:val="2021–22 Ninth Grade NWEA Benchmark Participation Rates"/>
      </w:tblPr>
      <w:tblGrid>
        <w:gridCol w:w="2965"/>
        <w:gridCol w:w="2117"/>
        <w:gridCol w:w="2117"/>
        <w:gridCol w:w="2117"/>
      </w:tblGrid>
      <w:tr w:rsidR="00524972" w:rsidRPr="00F822F6" w:rsidTr="00854FF3">
        <w:trPr>
          <w:cantSplit/>
          <w:trHeight w:val="371"/>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972" w:rsidRPr="00F822F6" w:rsidRDefault="00524972" w:rsidP="00854FF3">
            <w:pPr>
              <w:jc w:val="center"/>
              <w:rPr>
                <w:rFonts w:cs="Arial"/>
                <w:b/>
              </w:rPr>
            </w:pPr>
            <w:r w:rsidRPr="00F822F6">
              <w:rPr>
                <w:rFonts w:cs="Arial"/>
                <w:b/>
              </w:rPr>
              <w:t>Subject</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F822F6" w:rsidRDefault="00524972" w:rsidP="00854FF3">
            <w:pPr>
              <w:jc w:val="center"/>
              <w:rPr>
                <w:rFonts w:cs="Arial"/>
                <w:b/>
              </w:rPr>
            </w:pPr>
            <w:r w:rsidRPr="00F822F6">
              <w:rPr>
                <w:rFonts w:cs="Arial"/>
                <w:b/>
              </w:rPr>
              <w:t>Fall</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F822F6" w:rsidRDefault="00524972" w:rsidP="00854FF3">
            <w:pPr>
              <w:jc w:val="center"/>
              <w:rPr>
                <w:rFonts w:cs="Arial"/>
                <w:b/>
              </w:rPr>
            </w:pPr>
            <w:r w:rsidRPr="00F822F6">
              <w:rPr>
                <w:rFonts w:cs="Arial"/>
                <w:b/>
              </w:rPr>
              <w:t>Winter</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F822F6" w:rsidRDefault="00524972" w:rsidP="00854FF3">
            <w:pPr>
              <w:jc w:val="center"/>
              <w:rPr>
                <w:rFonts w:cs="Arial"/>
                <w:b/>
              </w:rPr>
            </w:pPr>
            <w:r w:rsidRPr="00F822F6">
              <w:rPr>
                <w:rFonts w:cs="Arial"/>
                <w:b/>
              </w:rPr>
              <w:t>Spring</w:t>
            </w:r>
          </w:p>
        </w:tc>
      </w:tr>
      <w:tr w:rsidR="00524972" w:rsidRPr="00F822F6" w:rsidTr="00854FF3">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b/>
              </w:rPr>
            </w:pPr>
            <w:r w:rsidRPr="00F822F6">
              <w:rPr>
                <w:rFonts w:cs="Arial"/>
                <w:b/>
              </w:rPr>
              <w:t>Algebra/Geometry</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95%</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No data reported</w:t>
            </w:r>
          </w:p>
        </w:tc>
      </w:tr>
      <w:tr w:rsidR="00524972" w:rsidRPr="00F822F6" w:rsidTr="00854FF3">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b/>
              </w:rPr>
            </w:pPr>
            <w:r w:rsidRPr="00F822F6">
              <w:rPr>
                <w:rFonts w:cs="Arial"/>
                <w:b/>
              </w:rPr>
              <w:t>Reading</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38%</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No data reported</w:t>
            </w:r>
          </w:p>
        </w:tc>
      </w:tr>
      <w:tr w:rsidR="00524972" w:rsidRPr="00F822F6" w:rsidTr="00854FF3">
        <w:trPr>
          <w:cantSplit/>
          <w:trHeight w:val="364"/>
        </w:trPr>
        <w:tc>
          <w:tcPr>
            <w:tcW w:w="2965"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b/>
              </w:rPr>
            </w:pPr>
            <w:r w:rsidRPr="00F822F6">
              <w:rPr>
                <w:rFonts w:cs="Arial"/>
                <w:b/>
              </w:rPr>
              <w:t>Language Usage</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59%</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8%</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Test not given</w:t>
            </w:r>
          </w:p>
        </w:tc>
      </w:tr>
    </w:tbl>
    <w:p w:rsidR="00524972" w:rsidRPr="00F822F6" w:rsidRDefault="00524972" w:rsidP="00524972">
      <w:pPr>
        <w:spacing w:before="240" w:after="240"/>
      </w:pPr>
      <w:r w:rsidRPr="00F31EDE">
        <w:t xml:space="preserve">Source: </w:t>
      </w:r>
      <w:r>
        <w:t>TCS</w:t>
      </w:r>
      <w:r w:rsidRPr="00F31EDE">
        <w:t xml:space="preserve"> 2021</w:t>
      </w:r>
      <w:r>
        <w:t>–</w:t>
      </w:r>
      <w:r w:rsidRPr="00F31EDE">
        <w:t>22 Annual Report to LACOE</w:t>
      </w:r>
    </w:p>
    <w:p w:rsidR="00524972" w:rsidRPr="00F31EDE" w:rsidRDefault="00524972" w:rsidP="00524972">
      <w:pPr>
        <w:spacing w:after="240"/>
        <w:jc w:val="center"/>
        <w:rPr>
          <w:i/>
        </w:rPr>
      </w:pPr>
      <w:r w:rsidRPr="00F31EDE">
        <w:rPr>
          <w:i/>
        </w:rPr>
        <w:t>2021–22 Tenth Grade NWEA Benchmark Participation Rates</w:t>
      </w:r>
    </w:p>
    <w:tbl>
      <w:tblPr>
        <w:tblStyle w:val="TableGrid"/>
        <w:tblW w:w="0" w:type="auto"/>
        <w:tblInd w:w="0" w:type="dxa"/>
        <w:tblLayout w:type="fixed"/>
        <w:tblCellMar>
          <w:left w:w="43" w:type="dxa"/>
          <w:right w:w="43" w:type="dxa"/>
        </w:tblCellMar>
        <w:tblLook w:val="04A0" w:firstRow="1" w:lastRow="0" w:firstColumn="1" w:lastColumn="0" w:noHBand="0" w:noVBand="1"/>
        <w:tblDescription w:val="2021–22 Tenth Grade NWEA Benchmark Participation Rates"/>
      </w:tblPr>
      <w:tblGrid>
        <w:gridCol w:w="2965"/>
        <w:gridCol w:w="2117"/>
        <w:gridCol w:w="2117"/>
        <w:gridCol w:w="2117"/>
      </w:tblGrid>
      <w:tr w:rsidR="00524972" w:rsidRPr="00F822F6" w:rsidTr="00854FF3">
        <w:trPr>
          <w:cantSplit/>
          <w:trHeight w:val="371"/>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972" w:rsidRPr="00F822F6" w:rsidRDefault="00524972" w:rsidP="00854FF3">
            <w:pPr>
              <w:jc w:val="center"/>
              <w:rPr>
                <w:rFonts w:cs="Arial"/>
                <w:b/>
              </w:rPr>
            </w:pPr>
            <w:r w:rsidRPr="00F822F6">
              <w:rPr>
                <w:rFonts w:cs="Arial"/>
                <w:b/>
              </w:rPr>
              <w:t>Subject</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F822F6" w:rsidRDefault="00524972" w:rsidP="00854FF3">
            <w:pPr>
              <w:jc w:val="center"/>
              <w:rPr>
                <w:rFonts w:cs="Arial"/>
                <w:b/>
              </w:rPr>
            </w:pPr>
            <w:r w:rsidRPr="00F822F6">
              <w:rPr>
                <w:rFonts w:cs="Arial"/>
                <w:b/>
              </w:rPr>
              <w:t>Fall</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F822F6" w:rsidRDefault="00524972" w:rsidP="00854FF3">
            <w:pPr>
              <w:jc w:val="center"/>
              <w:rPr>
                <w:rFonts w:cs="Arial"/>
                <w:b/>
              </w:rPr>
            </w:pPr>
            <w:r w:rsidRPr="00F822F6">
              <w:rPr>
                <w:rFonts w:cs="Arial"/>
                <w:b/>
              </w:rPr>
              <w:t>Winter</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972" w:rsidRPr="00F822F6" w:rsidRDefault="00524972" w:rsidP="00854FF3">
            <w:pPr>
              <w:jc w:val="center"/>
              <w:rPr>
                <w:rFonts w:cs="Arial"/>
                <w:b/>
              </w:rPr>
            </w:pPr>
            <w:r w:rsidRPr="00F822F6">
              <w:rPr>
                <w:rFonts w:cs="Arial"/>
                <w:b/>
              </w:rPr>
              <w:t>Spring</w:t>
            </w:r>
          </w:p>
        </w:tc>
      </w:tr>
      <w:tr w:rsidR="00524972" w:rsidRPr="00F822F6" w:rsidTr="00854FF3">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b/>
              </w:rPr>
            </w:pPr>
            <w:r w:rsidRPr="00F822F6">
              <w:rPr>
                <w:rFonts w:cs="Arial"/>
                <w:b/>
              </w:rPr>
              <w:t>Algebra/Geometry</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Pr>
                <w:rFonts w:cs="Arial"/>
              </w:rPr>
              <w:t>70</w:t>
            </w:r>
            <w:r w:rsidRPr="00F822F6">
              <w:rPr>
                <w:rFonts w:cs="Arial"/>
              </w:rPr>
              <w:t>%</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No data reported</w:t>
            </w:r>
          </w:p>
        </w:tc>
      </w:tr>
      <w:tr w:rsidR="00524972" w:rsidRPr="00F822F6" w:rsidTr="00854FF3">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b/>
              </w:rPr>
            </w:pPr>
            <w:r w:rsidRPr="00F822F6">
              <w:rPr>
                <w:rFonts w:cs="Arial"/>
                <w:b/>
              </w:rPr>
              <w:t>Reading</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Pr>
                <w:rFonts w:cs="Arial"/>
              </w:rPr>
              <w:t>50</w:t>
            </w:r>
            <w:r w:rsidRPr="00F822F6">
              <w:rPr>
                <w:rFonts w:cs="Arial"/>
              </w:rPr>
              <w:t>%</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No data reported</w:t>
            </w:r>
          </w:p>
        </w:tc>
      </w:tr>
      <w:tr w:rsidR="00524972" w:rsidRPr="00F822F6" w:rsidTr="00854FF3">
        <w:trPr>
          <w:cantSplit/>
          <w:trHeight w:val="364"/>
        </w:trPr>
        <w:tc>
          <w:tcPr>
            <w:tcW w:w="2965"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b/>
              </w:rPr>
            </w:pPr>
            <w:r w:rsidRPr="00F822F6">
              <w:rPr>
                <w:rFonts w:cs="Arial"/>
                <w:b/>
              </w:rPr>
              <w:t>Language Usage</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Pr>
                <w:rFonts w:cs="Arial"/>
              </w:rPr>
              <w:t>40</w:t>
            </w:r>
            <w:r w:rsidRPr="00F822F6">
              <w:rPr>
                <w:rFonts w:cs="Arial"/>
              </w:rPr>
              <w:t>%</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8%</w:t>
            </w:r>
          </w:p>
        </w:tc>
        <w:tc>
          <w:tcPr>
            <w:tcW w:w="2117" w:type="dxa"/>
            <w:tcBorders>
              <w:top w:val="single" w:sz="4" w:space="0" w:color="auto"/>
              <w:left w:val="single" w:sz="4" w:space="0" w:color="auto"/>
              <w:bottom w:val="single" w:sz="4" w:space="0" w:color="auto"/>
              <w:right w:val="single" w:sz="4" w:space="0" w:color="auto"/>
            </w:tcBorders>
            <w:vAlign w:val="center"/>
            <w:hideMark/>
          </w:tcPr>
          <w:p w:rsidR="00524972" w:rsidRPr="00F822F6" w:rsidRDefault="00524972" w:rsidP="00854FF3">
            <w:pPr>
              <w:jc w:val="center"/>
              <w:rPr>
                <w:rFonts w:cs="Arial"/>
              </w:rPr>
            </w:pPr>
            <w:r w:rsidRPr="00F822F6">
              <w:rPr>
                <w:rFonts w:cs="Arial"/>
              </w:rPr>
              <w:t>Test not given</w:t>
            </w:r>
          </w:p>
        </w:tc>
      </w:tr>
    </w:tbl>
    <w:p w:rsidR="00524972" w:rsidRPr="00F822F6" w:rsidRDefault="00524972" w:rsidP="00524972">
      <w:pPr>
        <w:spacing w:before="240" w:after="240"/>
      </w:pPr>
      <w:r w:rsidRPr="00F31EDE">
        <w:t xml:space="preserve">Source: </w:t>
      </w:r>
      <w:r>
        <w:t>TCS</w:t>
      </w:r>
      <w:r w:rsidRPr="00F31EDE">
        <w:t xml:space="preserve"> 2021</w:t>
      </w:r>
      <w:r>
        <w:t>–</w:t>
      </w:r>
      <w:r w:rsidRPr="00F31EDE">
        <w:t>22 Annual Report to LACOE</w:t>
      </w:r>
    </w:p>
    <w:p w:rsidR="00524972" w:rsidRDefault="00524972" w:rsidP="00524972">
      <w:pPr>
        <w:pStyle w:val="Heading4"/>
      </w:pPr>
      <w:r w:rsidRPr="0030697D">
        <w:t xml:space="preserve">The </w:t>
      </w:r>
      <w:r>
        <w:t>TCS</w:t>
      </w:r>
      <w:r w:rsidRPr="0030697D">
        <w:t xml:space="preserve"> Board committed a material violation of the conditions, standards, or procedures set forth in the charter petition (</w:t>
      </w:r>
      <w:r w:rsidRPr="0030697D">
        <w:rPr>
          <w:i/>
        </w:rPr>
        <w:t>EC</w:t>
      </w:r>
      <w:r w:rsidRPr="0030697D">
        <w:t xml:space="preserve"> Section 47607[f][1]).</w:t>
      </w:r>
    </w:p>
    <w:p w:rsidR="00524972" w:rsidRDefault="00524972" w:rsidP="00524972">
      <w:pPr>
        <w:pStyle w:val="Heading5"/>
      </w:pPr>
      <w:r>
        <w:t>Facilities Design and Usage Does Not Reflect Description in Charter</w:t>
      </w:r>
    </w:p>
    <w:p w:rsidR="00524972" w:rsidRPr="00261A90" w:rsidRDefault="00524972" w:rsidP="00524972">
      <w:pPr>
        <w:pStyle w:val="NormalWeb"/>
        <w:spacing w:before="240" w:beforeAutospacing="0" w:after="240" w:afterAutospacing="0"/>
        <w:rPr>
          <w:rFonts w:cs="Arial"/>
          <w:color w:val="000000"/>
        </w:rPr>
      </w:pPr>
      <w:r w:rsidRPr="00261A90">
        <w:rPr>
          <w:rFonts w:cs="Arial"/>
          <w:color w:val="000000"/>
        </w:rPr>
        <w:t xml:space="preserve">The school facility that </w:t>
      </w:r>
      <w:r>
        <w:rPr>
          <w:rFonts w:cs="Arial"/>
          <w:color w:val="000000"/>
        </w:rPr>
        <w:t>TCS</w:t>
      </w:r>
      <w:r w:rsidRPr="00261A90">
        <w:rPr>
          <w:rFonts w:cs="Arial"/>
          <w:color w:val="000000"/>
        </w:rPr>
        <w:t xml:space="preserve"> occupied in the 2021</w:t>
      </w:r>
      <w:r>
        <w:rPr>
          <w:rFonts w:cs="Arial"/>
          <w:color w:val="000000"/>
        </w:rPr>
        <w:t>–</w:t>
      </w:r>
      <w:r w:rsidRPr="00261A90">
        <w:rPr>
          <w:rFonts w:cs="Arial"/>
          <w:color w:val="000000"/>
        </w:rPr>
        <w:t xml:space="preserve">22 school year did not align with the facility design included in the charter petition. The petition describes a specific facility layout designed to support the unique TCS Learning Model. The petition includes a diagram of a school facility that integrates flexible classrooms, open classroom design, and a learning hub. </w:t>
      </w:r>
      <w:r>
        <w:rPr>
          <w:rFonts w:cs="Arial"/>
          <w:color w:val="000000"/>
        </w:rPr>
        <w:t>TCS’</w:t>
      </w:r>
      <w:r w:rsidRPr="00261A90">
        <w:rPr>
          <w:rFonts w:cs="Arial"/>
          <w:color w:val="000000"/>
        </w:rPr>
        <w:t xml:space="preserve"> failure to provide a learning environment that meets the unique needs of the </w:t>
      </w:r>
      <w:r>
        <w:rPr>
          <w:rFonts w:cs="Arial"/>
          <w:color w:val="000000"/>
        </w:rPr>
        <w:t>TCS</w:t>
      </w:r>
      <w:r w:rsidRPr="00261A90">
        <w:rPr>
          <w:rFonts w:cs="Arial"/>
          <w:color w:val="000000"/>
        </w:rPr>
        <w:t xml:space="preserve"> Learning Model constitutes a material violation of the approved charter petition.</w:t>
      </w:r>
    </w:p>
    <w:p w:rsidR="00524972" w:rsidRPr="00261A90" w:rsidRDefault="00524972" w:rsidP="00524972">
      <w:pPr>
        <w:spacing w:before="240" w:after="240"/>
        <w:rPr>
          <w:rFonts w:cs="Arial"/>
          <w:szCs w:val="24"/>
        </w:rPr>
      </w:pPr>
      <w:r w:rsidRPr="00261A90">
        <w:rPr>
          <w:rFonts w:cs="Arial"/>
          <w:szCs w:val="24"/>
        </w:rPr>
        <w:t>The petition states:</w:t>
      </w:r>
    </w:p>
    <w:p w:rsidR="00524972" w:rsidRPr="00261A90" w:rsidRDefault="00524972" w:rsidP="00524972">
      <w:pPr>
        <w:pStyle w:val="ListParagraph"/>
        <w:numPr>
          <w:ilvl w:val="0"/>
          <w:numId w:val="18"/>
        </w:numPr>
        <w:spacing w:before="240" w:after="240"/>
        <w:contextualSpacing w:val="0"/>
        <w:rPr>
          <w:rFonts w:cs="Arial"/>
        </w:rPr>
      </w:pPr>
      <w:r w:rsidRPr="00261A90">
        <w:rPr>
          <w:rFonts w:cs="Arial"/>
        </w:rPr>
        <w:t xml:space="preserve">TCS will build a lab school environment and border free classrooms in which our innovative daily schedule will prepare students for taking their </w:t>
      </w:r>
      <w:r>
        <w:rPr>
          <w:rFonts w:cs="Arial"/>
        </w:rPr>
        <w:t xml:space="preserve">twenty-first </w:t>
      </w:r>
      <w:r w:rsidRPr="00261A90">
        <w:rPr>
          <w:rFonts w:cs="Arial"/>
        </w:rPr>
        <w:t>century STEAM learning into the community.</w:t>
      </w:r>
    </w:p>
    <w:p w:rsidR="00524972" w:rsidRPr="00261A90" w:rsidRDefault="00524972" w:rsidP="00524972">
      <w:pPr>
        <w:pStyle w:val="ListParagraph"/>
        <w:numPr>
          <w:ilvl w:val="0"/>
          <w:numId w:val="18"/>
        </w:numPr>
        <w:spacing w:before="240" w:after="240"/>
        <w:contextualSpacing w:val="0"/>
        <w:rPr>
          <w:rFonts w:cs="Arial"/>
        </w:rPr>
      </w:pPr>
      <w:r w:rsidRPr="00261A90">
        <w:rPr>
          <w:rFonts w:cs="Arial"/>
        </w:rPr>
        <w:t>TCS will expand the flexible classroom concept and integrate it into an open school design where students will be surrounded by a physical environment that adapts to their learning needs.</w:t>
      </w:r>
    </w:p>
    <w:p w:rsidR="00524972" w:rsidRPr="00261A90" w:rsidRDefault="00524972" w:rsidP="00524972">
      <w:pPr>
        <w:pStyle w:val="ListParagraph"/>
        <w:numPr>
          <w:ilvl w:val="0"/>
          <w:numId w:val="18"/>
        </w:numPr>
        <w:spacing w:before="240" w:after="240"/>
        <w:contextualSpacing w:val="0"/>
        <w:rPr>
          <w:rFonts w:cs="Arial"/>
        </w:rPr>
      </w:pPr>
      <w:r w:rsidRPr="00261A90">
        <w:rPr>
          <w:rFonts w:cs="Arial"/>
        </w:rPr>
        <w:t>Grade level space includes four classrooms and a learning hub that is both personalized and adaptable. Each of the four classrooms will have flexible seating, flexible tables/stations, and space to collaborate.</w:t>
      </w:r>
    </w:p>
    <w:p w:rsidR="00524972" w:rsidRPr="00261A90" w:rsidRDefault="00524972" w:rsidP="00524972">
      <w:pPr>
        <w:spacing w:before="240" w:after="240"/>
        <w:rPr>
          <w:rFonts w:cs="Arial"/>
          <w:szCs w:val="24"/>
        </w:rPr>
      </w:pPr>
      <w:r w:rsidRPr="00261A90">
        <w:rPr>
          <w:rFonts w:cs="Arial"/>
          <w:szCs w:val="24"/>
        </w:rPr>
        <w:lastRenderedPageBreak/>
        <w:t xml:space="preserve">While the petition states that </w:t>
      </w:r>
      <w:r>
        <w:rPr>
          <w:rFonts w:cs="Arial"/>
        </w:rPr>
        <w:t>TCS</w:t>
      </w:r>
      <w:r w:rsidRPr="00261A90">
        <w:rPr>
          <w:rFonts w:cs="Arial"/>
          <w:szCs w:val="24"/>
        </w:rPr>
        <w:t xml:space="preserve"> recognizes traditional classroom space may be converted into learning hubs, there was no evidence of adjustments to the 2021</w:t>
      </w:r>
      <w:r>
        <w:rPr>
          <w:rFonts w:cs="Arial"/>
        </w:rPr>
        <w:t>–</w:t>
      </w:r>
      <w:r w:rsidRPr="00261A90">
        <w:rPr>
          <w:rFonts w:cs="Arial"/>
          <w:szCs w:val="24"/>
        </w:rPr>
        <w:t xml:space="preserve">22 facility that aligned with the facility description included in the petition. While LACOE acknowledges the constraints that Prop 39 facilities usage agreements may impose on substantive modifications to existing school facilities, </w:t>
      </w:r>
      <w:r>
        <w:rPr>
          <w:rFonts w:cs="Arial"/>
        </w:rPr>
        <w:t>TCS</w:t>
      </w:r>
      <w:r w:rsidRPr="00261A90">
        <w:rPr>
          <w:rFonts w:cs="Arial"/>
          <w:szCs w:val="24"/>
        </w:rPr>
        <w:t xml:space="preserve"> did not show evidence that the traditional physical environment was personalized or adjusted to innovatively meet students’ learning needs. </w:t>
      </w:r>
    </w:p>
    <w:p w:rsidR="00524972" w:rsidRPr="00F31EDE" w:rsidRDefault="00524972" w:rsidP="00524972">
      <w:pPr>
        <w:pStyle w:val="Heading5"/>
      </w:pPr>
      <w:r>
        <w:t>Proposed 2022–23 Staffing Does Not Include the Key Position of Counselor</w:t>
      </w:r>
    </w:p>
    <w:bookmarkEnd w:id="3"/>
    <w:p w:rsidR="00524972" w:rsidRPr="00261A90" w:rsidRDefault="00524972" w:rsidP="00524972">
      <w:pPr>
        <w:spacing w:before="240" w:after="240"/>
        <w:rPr>
          <w:rFonts w:cs="Arial"/>
          <w:szCs w:val="22"/>
        </w:rPr>
      </w:pPr>
      <w:r w:rsidRPr="00261A90">
        <w:rPr>
          <w:rFonts w:cs="Arial"/>
          <w:szCs w:val="22"/>
        </w:rPr>
        <w:t>The 2022</w:t>
      </w:r>
      <w:r>
        <w:rPr>
          <w:rFonts w:cs="Arial"/>
          <w:szCs w:val="22"/>
        </w:rPr>
        <w:t>–</w:t>
      </w:r>
      <w:r w:rsidRPr="00261A90">
        <w:rPr>
          <w:rFonts w:cs="Arial"/>
          <w:szCs w:val="22"/>
        </w:rPr>
        <w:t xml:space="preserve">23 proposed staff list provided by </w:t>
      </w:r>
      <w:r>
        <w:rPr>
          <w:rFonts w:cs="Arial"/>
          <w:szCs w:val="22"/>
        </w:rPr>
        <w:t>TCS</w:t>
      </w:r>
      <w:r w:rsidRPr="00261A90">
        <w:rPr>
          <w:rFonts w:cs="Arial"/>
          <w:szCs w:val="22"/>
        </w:rPr>
        <w:t xml:space="preserve"> does not include a full-time counselor. The original approved petition budget included one counselor in year 1, adding an additional counselor in years two and three. During the 2021</w:t>
      </w:r>
      <w:r>
        <w:rPr>
          <w:rFonts w:cs="Arial"/>
          <w:szCs w:val="22"/>
        </w:rPr>
        <w:t>–</w:t>
      </w:r>
      <w:r w:rsidRPr="00261A90">
        <w:rPr>
          <w:rFonts w:cs="Arial"/>
          <w:szCs w:val="22"/>
        </w:rPr>
        <w:t xml:space="preserve">22 school year </w:t>
      </w:r>
      <w:r>
        <w:rPr>
          <w:rFonts w:cs="Arial"/>
          <w:szCs w:val="22"/>
        </w:rPr>
        <w:t>TCS</w:t>
      </w:r>
      <w:r w:rsidRPr="00261A90">
        <w:rPr>
          <w:rFonts w:cs="Arial"/>
          <w:szCs w:val="22"/>
        </w:rPr>
        <w:t xml:space="preserve"> hired a counselor; however, due to a budget shortfall, the counseling position was left vacant for most of the school year. The charter petition states that part of the counselor’s job responsibilities include:</w:t>
      </w:r>
    </w:p>
    <w:p w:rsidR="00524972" w:rsidRPr="00261A90" w:rsidRDefault="00524972" w:rsidP="00524972">
      <w:pPr>
        <w:pStyle w:val="ListParagraph"/>
        <w:numPr>
          <w:ilvl w:val="0"/>
          <w:numId w:val="19"/>
        </w:numPr>
        <w:spacing w:before="240" w:after="240"/>
        <w:ind w:left="720"/>
        <w:contextualSpacing w:val="0"/>
        <w:rPr>
          <w:rFonts w:cs="Arial"/>
          <w:szCs w:val="22"/>
        </w:rPr>
      </w:pPr>
      <w:r w:rsidRPr="00261A90">
        <w:rPr>
          <w:rFonts w:cs="Arial"/>
          <w:szCs w:val="22"/>
        </w:rPr>
        <w:t>Working with students on developing academic and career goals, ensuring students are meeting high school graduation requirements, and addressing specific educational needs of students pertaining to college/career choices.</w:t>
      </w:r>
    </w:p>
    <w:p w:rsidR="00524972" w:rsidRPr="00261A90" w:rsidRDefault="00524972" w:rsidP="00524972">
      <w:pPr>
        <w:pStyle w:val="ListParagraph"/>
        <w:numPr>
          <w:ilvl w:val="0"/>
          <w:numId w:val="19"/>
        </w:numPr>
        <w:spacing w:before="240" w:after="240"/>
        <w:ind w:left="720"/>
        <w:contextualSpacing w:val="0"/>
        <w:rPr>
          <w:rFonts w:cs="Arial"/>
          <w:szCs w:val="22"/>
        </w:rPr>
      </w:pPr>
      <w:r w:rsidRPr="00261A90">
        <w:rPr>
          <w:rFonts w:cs="Arial"/>
          <w:szCs w:val="22"/>
        </w:rPr>
        <w:t>Collecting, disaggregating, and analyzing student learning data from standardized tests and school assessments.</w:t>
      </w:r>
    </w:p>
    <w:p w:rsidR="00524972" w:rsidRPr="00261A90" w:rsidRDefault="00524972" w:rsidP="00524972">
      <w:pPr>
        <w:spacing w:before="240" w:after="240"/>
        <w:rPr>
          <w:rFonts w:cs="Arial"/>
          <w:szCs w:val="22"/>
        </w:rPr>
      </w:pPr>
      <w:r w:rsidRPr="00261A90">
        <w:rPr>
          <w:rFonts w:cs="Arial"/>
          <w:szCs w:val="22"/>
        </w:rPr>
        <w:t xml:space="preserve">Based on the job responsibilities described in the petition, the impact of </w:t>
      </w:r>
      <w:r>
        <w:rPr>
          <w:rFonts w:cs="Arial"/>
          <w:szCs w:val="22"/>
        </w:rPr>
        <w:t>TCS</w:t>
      </w:r>
      <w:r w:rsidRPr="00261A90">
        <w:rPr>
          <w:rFonts w:cs="Arial"/>
          <w:szCs w:val="22"/>
        </w:rPr>
        <w:t xml:space="preserve"> operating without a counselor has already negatively impacted the instructional program. As previously noted, </w:t>
      </w:r>
      <w:r>
        <w:rPr>
          <w:rFonts w:cs="Arial"/>
          <w:szCs w:val="22"/>
        </w:rPr>
        <w:t>TCS</w:t>
      </w:r>
      <w:r w:rsidRPr="00261A90">
        <w:rPr>
          <w:rFonts w:cs="Arial"/>
          <w:szCs w:val="22"/>
        </w:rPr>
        <w:t xml:space="preserve"> failed to assess all students on NWEA benchmark assessments. In addition, there has been no evidence submitted to LACOE of analysis of NWEA assessment data. </w:t>
      </w:r>
      <w:r>
        <w:rPr>
          <w:rFonts w:cs="Arial"/>
          <w:szCs w:val="22"/>
        </w:rPr>
        <w:t>TCS</w:t>
      </w:r>
      <w:r w:rsidRPr="00261A90">
        <w:rPr>
          <w:rFonts w:cs="Arial"/>
          <w:szCs w:val="22"/>
        </w:rPr>
        <w:t xml:space="preserve"> will begin enrolling </w:t>
      </w:r>
      <w:r>
        <w:rPr>
          <w:rFonts w:cs="Arial"/>
          <w:szCs w:val="22"/>
        </w:rPr>
        <w:t>eleventh</w:t>
      </w:r>
      <w:r w:rsidRPr="00261A90">
        <w:rPr>
          <w:rFonts w:cs="Arial"/>
          <w:szCs w:val="22"/>
        </w:rPr>
        <w:t xml:space="preserve"> grade students in Fall 2022. This grade level requires significant support in exploring college/career choices and exploring post-secondary options. Additionally, research shows significant increases in the social-emotional needs of students resulting from the COVID-19 pandemic and traumatic experiences outside of school. With no counselor to implement school wide, small group, and individual supports for students, this key position that is critical for any high school will not be present at </w:t>
      </w:r>
      <w:r>
        <w:rPr>
          <w:rFonts w:cs="Arial"/>
          <w:szCs w:val="22"/>
        </w:rPr>
        <w:t>TCS</w:t>
      </w:r>
      <w:r w:rsidRPr="00261A90">
        <w:rPr>
          <w:rFonts w:cs="Arial"/>
          <w:szCs w:val="22"/>
        </w:rPr>
        <w:t xml:space="preserve">. As such, </w:t>
      </w:r>
      <w:r>
        <w:rPr>
          <w:rFonts w:cs="Arial"/>
          <w:szCs w:val="22"/>
        </w:rPr>
        <w:t>TCS’</w:t>
      </w:r>
      <w:r w:rsidRPr="00261A90">
        <w:rPr>
          <w:rFonts w:cs="Arial"/>
          <w:szCs w:val="22"/>
        </w:rPr>
        <w:t xml:space="preserve"> failure to hire and retain a full-time counselor is a material violation of the approved charter petition. </w:t>
      </w:r>
    </w:p>
    <w:p w:rsidR="00524972" w:rsidRPr="00227FF6" w:rsidRDefault="00524972" w:rsidP="00524972">
      <w:pPr>
        <w:pStyle w:val="Heading3"/>
        <w:rPr>
          <w:lang w:eastAsia="ja-JP"/>
        </w:rPr>
      </w:pPr>
      <w:r w:rsidRPr="00227FF6">
        <w:rPr>
          <w:lang w:eastAsia="ja-JP"/>
        </w:rPr>
        <w:t>Other Concerns</w:t>
      </w:r>
    </w:p>
    <w:p w:rsidR="00524972" w:rsidRPr="00524972" w:rsidRDefault="00524972" w:rsidP="00524972">
      <w:pPr>
        <w:spacing w:after="240"/>
        <w:rPr>
          <w:rFonts w:cs="Arial"/>
        </w:rPr>
      </w:pPr>
      <w:r w:rsidRPr="00524972">
        <w:rPr>
          <w:rFonts w:cs="Arial"/>
        </w:rPr>
        <w:t>TCS’ initial WASC accreditation visit was in April of 2022; however, the school has not yet received an accreditation term.</w:t>
      </w:r>
    </w:p>
    <w:p w:rsidR="00524972" w:rsidRPr="00524972" w:rsidRDefault="00524972" w:rsidP="00524972">
      <w:pPr>
        <w:spacing w:after="240"/>
        <w:rPr>
          <w:rFonts w:cs="Arial"/>
        </w:rPr>
      </w:pPr>
      <w:r w:rsidRPr="00524972">
        <w:rPr>
          <w:rFonts w:cs="Arial"/>
        </w:rPr>
        <w:t xml:space="preserve">Additionally, LACOE staff met with the TCS Board and Executive Director on May 25, 2022. During the meeting, TCS was asked to submit NWEA normed Condition Growth Index data, NWEA data broken down by student group, the number of students on track </w:t>
      </w:r>
      <w:r w:rsidRPr="00524972">
        <w:rPr>
          <w:rFonts w:cs="Arial"/>
        </w:rPr>
        <w:lastRenderedPageBreak/>
        <w:t>for CSU/UC eligibility, and end of year transcripts for all students. However, TCS has not submitted this data.</w:t>
      </w:r>
    </w:p>
    <w:p w:rsidR="009557AD" w:rsidRDefault="009557AD" w:rsidP="00524972">
      <w:pPr>
        <w:pStyle w:val="Heading3"/>
      </w:pPr>
      <w:r w:rsidRPr="00F93048">
        <w:t>Right to Respond to Insta</w:t>
      </w:r>
      <w:r>
        <w:t>nces of Violation</w:t>
      </w:r>
    </w:p>
    <w:p w:rsidR="009557AD" w:rsidRDefault="009557AD" w:rsidP="009557AD">
      <w:pPr>
        <w:pStyle w:val="NoSpacing"/>
        <w:spacing w:after="240"/>
      </w:pPr>
      <w:r>
        <w:t xml:space="preserve">Pursuant to </w:t>
      </w:r>
      <w:r w:rsidRPr="00BE0EF8">
        <w:t>5</w:t>
      </w:r>
      <w:r>
        <w:rPr>
          <w:i/>
        </w:rPr>
        <w:t xml:space="preserve"> CCR</w:t>
      </w:r>
      <w:r w:rsidRPr="00BE0EF8">
        <w:t xml:space="preserve"> Section</w:t>
      </w:r>
      <w:r>
        <w:t xml:space="preserve"> 11968.5.2, the </w:t>
      </w:r>
      <w:r w:rsidR="00C26471">
        <w:t>TCS</w:t>
      </w:r>
      <w:r>
        <w:t xml:space="preserve"> Board has the right to respond to this communication through the following actions:</w:t>
      </w:r>
    </w:p>
    <w:p w:rsidR="009557AD" w:rsidRPr="00EC1D42" w:rsidRDefault="009557AD" w:rsidP="009557AD">
      <w:pPr>
        <w:pStyle w:val="NoSpacing"/>
        <w:numPr>
          <w:ilvl w:val="0"/>
          <w:numId w:val="3"/>
        </w:numPr>
        <w:spacing w:after="240"/>
      </w:pPr>
      <w:r>
        <w:t xml:space="preserve">Submit to the SBE a detailed, written response addressing each identified violation which shall include the refutation, remedial action taken, or proposed remedial action by the charter school specific to each alleged violation. The written response is due </w:t>
      </w:r>
      <w:r w:rsidRPr="00EC1D42">
        <w:t xml:space="preserve">by </w:t>
      </w:r>
      <w:r w:rsidRPr="00EC1D42">
        <w:rPr>
          <w:b/>
        </w:rPr>
        <w:t xml:space="preserve">5 p.m. on </w:t>
      </w:r>
      <w:r w:rsidR="00DB2D9F" w:rsidRPr="00EC1D42">
        <w:rPr>
          <w:b/>
        </w:rPr>
        <w:t>Wednesday</w:t>
      </w:r>
      <w:r w:rsidR="00493BFF" w:rsidRPr="00EC1D42">
        <w:rPr>
          <w:b/>
        </w:rPr>
        <w:t>, July 2</w:t>
      </w:r>
      <w:r w:rsidR="00DB2D9F" w:rsidRPr="00EC1D42">
        <w:rPr>
          <w:b/>
        </w:rPr>
        <w:t>0</w:t>
      </w:r>
      <w:r w:rsidR="00493BFF" w:rsidRPr="00EC1D42">
        <w:rPr>
          <w:b/>
        </w:rPr>
        <w:t>, 2022</w:t>
      </w:r>
      <w:r w:rsidRPr="00EC1D42">
        <w:t xml:space="preserve">. </w:t>
      </w:r>
    </w:p>
    <w:p w:rsidR="009557AD" w:rsidRPr="00EC1D42" w:rsidRDefault="009557AD" w:rsidP="009557AD">
      <w:pPr>
        <w:pStyle w:val="NoSpacing"/>
        <w:numPr>
          <w:ilvl w:val="0"/>
          <w:numId w:val="3"/>
        </w:numPr>
        <w:spacing w:after="240"/>
      </w:pPr>
      <w:r w:rsidRPr="00EC1D42">
        <w:t xml:space="preserve">Attach to its written response supporting evidence of the refutation, remedial action, or proposed remedial action, if any, including written reports, statements, and other appropriate documentation. </w:t>
      </w:r>
    </w:p>
    <w:p w:rsidR="009557AD" w:rsidRPr="00EC1D42" w:rsidRDefault="009557AD" w:rsidP="009557AD">
      <w:pPr>
        <w:pStyle w:val="NoSpacing"/>
        <w:spacing w:after="240"/>
      </w:pPr>
      <w:r w:rsidRPr="00EC1D42">
        <w:t xml:space="preserve">Failure to provide substantial evidence that refutes, remedies, or proposes to remedy the alleged violations may provide grounds sufficient to form the basis for an action to revoke the </w:t>
      </w:r>
      <w:r w:rsidR="00C26471" w:rsidRPr="00EC1D42">
        <w:t>TCS</w:t>
      </w:r>
      <w:r w:rsidRPr="00EC1D42">
        <w:t xml:space="preserve"> charter pursuant to </w:t>
      </w:r>
      <w:r w:rsidRPr="00EC1D42">
        <w:rPr>
          <w:i/>
        </w:rPr>
        <w:t>EC</w:t>
      </w:r>
      <w:r w:rsidRPr="00EC1D42">
        <w:t xml:space="preserve"> Section 47607(f). </w:t>
      </w:r>
    </w:p>
    <w:p w:rsidR="009557AD" w:rsidRPr="00EC1D42" w:rsidRDefault="009557AD" w:rsidP="009557AD">
      <w:pPr>
        <w:pStyle w:val="NoSpacing"/>
        <w:spacing w:after="240"/>
      </w:pPr>
      <w:r w:rsidRPr="00EC1D42">
        <w:t xml:space="preserve">On </w:t>
      </w:r>
      <w:r w:rsidR="00C26471" w:rsidRPr="00EC1D42">
        <w:t>August 11</w:t>
      </w:r>
      <w:r w:rsidRPr="00EC1D42">
        <w:t xml:space="preserve">, 2022, </w:t>
      </w:r>
      <w:r w:rsidR="00C26471" w:rsidRPr="00EC1D42">
        <w:t>TCS</w:t>
      </w:r>
      <w:r w:rsidRPr="00EC1D42">
        <w:t xml:space="preserve"> will have an opportunity to present its evidence to refute or remedy each alleged violation to the Advisory Commission on Charter Schools (ACCS). The ACCS will review the evidence and discuss the items in a public forum and take action regarding a recommendation to the SBE.</w:t>
      </w:r>
    </w:p>
    <w:p w:rsidR="009557AD" w:rsidRPr="00EC1D42" w:rsidRDefault="009557AD" w:rsidP="009557AD">
      <w:pPr>
        <w:pStyle w:val="NoSpacing"/>
        <w:spacing w:after="240"/>
      </w:pPr>
      <w:r w:rsidRPr="00EC1D42">
        <w:t xml:space="preserve">On </w:t>
      </w:r>
      <w:r w:rsidR="00C26471" w:rsidRPr="00EC1D42">
        <w:t>September 14, 2022</w:t>
      </w:r>
      <w:r w:rsidRPr="00EC1D42">
        <w:t xml:space="preserve">, the SBE, in a public hearing, will consider whether there is substantial evidence to refute or remedy each alleged violation, at which time it may issue a Notice of Intent to Revoke, pursuant to </w:t>
      </w:r>
      <w:r w:rsidRPr="00EC1D42">
        <w:rPr>
          <w:i/>
        </w:rPr>
        <w:t>EC</w:t>
      </w:r>
      <w:r w:rsidRPr="00EC1D42">
        <w:t xml:space="preserve"> Section 47607(h). If the SBE issues a Notice of Intent to Revoke, the SBE will hold a public hearing on </w:t>
      </w:r>
      <w:r w:rsidR="00C26471" w:rsidRPr="00EC1D42">
        <w:t>September 15,</w:t>
      </w:r>
      <w:r w:rsidRPr="00EC1D42">
        <w:t xml:space="preserve"> 2022, at which time the SBE will determine whether sufficient evidence exists to revoke </w:t>
      </w:r>
      <w:r w:rsidR="007D422F" w:rsidRPr="00EC1D42">
        <w:t>TCS’</w:t>
      </w:r>
      <w:r w:rsidRPr="00EC1D42">
        <w:t xml:space="preserve"> charter.</w:t>
      </w:r>
    </w:p>
    <w:p w:rsidR="009557AD" w:rsidRPr="00EC1D42" w:rsidRDefault="009557AD" w:rsidP="009557AD">
      <w:pPr>
        <w:pStyle w:val="NoSpacing"/>
        <w:spacing w:after="240"/>
      </w:pPr>
      <w:r w:rsidRPr="00EC1D42">
        <w:t xml:space="preserve">This letter serves as a formal Notice of Violation, pursuant to </w:t>
      </w:r>
      <w:r w:rsidRPr="00EC1D42">
        <w:rPr>
          <w:i/>
        </w:rPr>
        <w:t>EC</w:t>
      </w:r>
      <w:r w:rsidRPr="00EC1D42">
        <w:t xml:space="preserve"> Section 47607(g) and 5 </w:t>
      </w:r>
      <w:r w:rsidRPr="00EC1D42">
        <w:rPr>
          <w:i/>
        </w:rPr>
        <w:t>CCR</w:t>
      </w:r>
      <w:r w:rsidRPr="00EC1D42">
        <w:t xml:space="preserve"> Section 11968.5.2, and provides </w:t>
      </w:r>
      <w:r w:rsidR="007D422F" w:rsidRPr="00EC1D42">
        <w:t>TCS</w:t>
      </w:r>
      <w:r w:rsidRPr="00EC1D42">
        <w:t xml:space="preserve"> a reasonable period in which to address these concerns.</w:t>
      </w:r>
    </w:p>
    <w:p w:rsidR="009557AD" w:rsidRPr="00EC1D42" w:rsidRDefault="009557AD" w:rsidP="009557AD">
      <w:pPr>
        <w:pStyle w:val="NoSpacing"/>
        <w:spacing w:after="240"/>
      </w:pPr>
      <w:r w:rsidRPr="00EC1D42">
        <w:t xml:space="preserve">A written response and supporting evidence addressing each of the above-outlined issues must be received by </w:t>
      </w:r>
      <w:r w:rsidR="00435236">
        <w:t xml:space="preserve">the </w:t>
      </w:r>
      <w:r w:rsidR="00DB2D9F" w:rsidRPr="00EC1D42">
        <w:t>LACOE</w:t>
      </w:r>
      <w:r w:rsidRPr="00EC1D42">
        <w:t xml:space="preserve"> </w:t>
      </w:r>
      <w:r w:rsidR="00435236">
        <w:t xml:space="preserve">and the CDE </w:t>
      </w:r>
      <w:r w:rsidRPr="00EC1D42">
        <w:t xml:space="preserve">by </w:t>
      </w:r>
      <w:r w:rsidRPr="00EC1D42">
        <w:rPr>
          <w:b/>
        </w:rPr>
        <w:t xml:space="preserve">5 p.m. on </w:t>
      </w:r>
      <w:r w:rsidR="00DB2D9F" w:rsidRPr="00EC1D42">
        <w:rPr>
          <w:b/>
        </w:rPr>
        <w:t>Wednesday</w:t>
      </w:r>
      <w:r w:rsidRPr="00EC1D42">
        <w:rPr>
          <w:b/>
        </w:rPr>
        <w:t xml:space="preserve">, </w:t>
      </w:r>
      <w:r w:rsidR="00435236">
        <w:rPr>
          <w:b/>
        </w:rPr>
        <w:br/>
      </w:r>
      <w:r w:rsidR="00493BFF" w:rsidRPr="00EC1D42">
        <w:rPr>
          <w:b/>
        </w:rPr>
        <w:t>July 2</w:t>
      </w:r>
      <w:r w:rsidR="00DB2D9F" w:rsidRPr="00EC1D42">
        <w:rPr>
          <w:b/>
        </w:rPr>
        <w:t>0</w:t>
      </w:r>
      <w:r w:rsidR="00493BFF" w:rsidRPr="00EC1D42">
        <w:rPr>
          <w:b/>
        </w:rPr>
        <w:t>, 2022</w:t>
      </w:r>
      <w:r w:rsidR="00493BFF" w:rsidRPr="00EC1D42">
        <w:t>,</w:t>
      </w:r>
      <w:r w:rsidRPr="00EC1D42">
        <w:rPr>
          <w:b/>
        </w:rPr>
        <w:t xml:space="preserve"> </w:t>
      </w:r>
      <w:r w:rsidRPr="00EC1D42">
        <w:t xml:space="preserve">via email at </w:t>
      </w:r>
      <w:hyperlink r:id="rId8" w:history="1">
        <w:r w:rsidR="00435236" w:rsidRPr="004340FA">
          <w:rPr>
            <w:rStyle w:val="Hyperlink"/>
          </w:rPr>
          <w:t>ciccarelli_indra@lacoe.edu</w:t>
        </w:r>
      </w:hyperlink>
      <w:r w:rsidR="00435236">
        <w:rPr>
          <w:rStyle w:val="Hyperlink"/>
          <w:color w:val="auto"/>
          <w:u w:val="none"/>
        </w:rPr>
        <w:t xml:space="preserve"> </w:t>
      </w:r>
      <w:r w:rsidR="00435236" w:rsidRPr="00435236">
        <w:rPr>
          <w:rStyle w:val="Hyperlink"/>
          <w:b/>
          <w:color w:val="auto"/>
          <w:u w:val="none"/>
        </w:rPr>
        <w:t xml:space="preserve">and </w:t>
      </w:r>
      <w:hyperlink r:id="rId9" w:history="1">
        <w:r w:rsidR="00435236" w:rsidRPr="004340FA">
          <w:rPr>
            <w:rStyle w:val="Hyperlink"/>
          </w:rPr>
          <w:t>sbeoversight@cde.ca.gov</w:t>
        </w:r>
      </w:hyperlink>
      <w:r w:rsidR="007D422F" w:rsidRPr="00435236">
        <w:rPr>
          <w:rStyle w:val="Hyperlink"/>
          <w:color w:val="auto"/>
          <w:u w:val="none"/>
        </w:rPr>
        <w:t>.</w:t>
      </w:r>
      <w:r w:rsidRPr="00435236">
        <w:rPr>
          <w:color w:val="auto"/>
        </w:rPr>
        <w:t xml:space="preserve"> </w:t>
      </w:r>
    </w:p>
    <w:p w:rsidR="009557AD" w:rsidRDefault="009557AD" w:rsidP="009557AD">
      <w:pPr>
        <w:pStyle w:val="NoSpacing"/>
        <w:spacing w:after="240"/>
      </w:pPr>
      <w:r w:rsidRPr="00EC1D42">
        <w:t xml:space="preserve">If you have any questions regarding this subject, please contact </w:t>
      </w:r>
      <w:r w:rsidR="00DB2D9F" w:rsidRPr="00EC1D42">
        <w:t>Indra Ciccarelli</w:t>
      </w:r>
      <w:r w:rsidRPr="00EC1D42">
        <w:t xml:space="preserve">, Director, Charter Schools </w:t>
      </w:r>
      <w:r w:rsidR="00DB2D9F" w:rsidRPr="00EC1D42">
        <w:t>Office,</w:t>
      </w:r>
      <w:r w:rsidRPr="00EC1D42">
        <w:t xml:space="preserve"> b</w:t>
      </w:r>
      <w:r w:rsidR="00DB2D9F" w:rsidRPr="00EC1D42">
        <w:t xml:space="preserve">y email at </w:t>
      </w:r>
      <w:hyperlink r:id="rId10" w:history="1">
        <w:r w:rsidR="00DB2D9F" w:rsidRPr="00EC1D42">
          <w:rPr>
            <w:rStyle w:val="Hyperlink"/>
          </w:rPr>
          <w:t>ciccarelli_indra@lacoe.edu</w:t>
        </w:r>
      </w:hyperlink>
      <w:r w:rsidR="00435236">
        <w:t xml:space="preserve"> or Stephanie Farland, Director, Charter Schools Division by email at </w:t>
      </w:r>
      <w:hyperlink r:id="rId11" w:history="1">
        <w:r w:rsidR="00435236" w:rsidRPr="004340FA">
          <w:rPr>
            <w:rStyle w:val="Hyperlink"/>
          </w:rPr>
          <w:t>sfarland@cde.ca.gov</w:t>
        </w:r>
      </w:hyperlink>
      <w:r w:rsidR="00435236">
        <w:t xml:space="preserve">. </w:t>
      </w:r>
      <w:r w:rsidR="00DB2D9F">
        <w:t xml:space="preserve"> </w:t>
      </w:r>
    </w:p>
    <w:p w:rsidR="009557AD" w:rsidRDefault="009557AD" w:rsidP="009557AD">
      <w:pPr>
        <w:pStyle w:val="NoSpacing"/>
        <w:spacing w:after="240"/>
      </w:pPr>
      <w:r>
        <w:t>Sincerely,</w:t>
      </w:r>
    </w:p>
    <w:p w:rsidR="009557AD" w:rsidRPr="00B15FC9" w:rsidRDefault="009557AD" w:rsidP="009557AD">
      <w:pPr>
        <w:pStyle w:val="NoSpacing"/>
        <w:spacing w:after="240"/>
      </w:pPr>
      <w:r w:rsidRPr="00B15FC9">
        <w:lastRenderedPageBreak/>
        <w:t>/s/</w:t>
      </w:r>
    </w:p>
    <w:p w:rsidR="009557AD" w:rsidRPr="00B15FC9" w:rsidRDefault="009557AD" w:rsidP="009557AD">
      <w:pPr>
        <w:pStyle w:val="NoSpacing"/>
        <w:spacing w:after="240"/>
      </w:pPr>
      <w:r w:rsidRPr="00B15FC9">
        <w:t>Dr. Linda Darling-Hammond, President</w:t>
      </w:r>
      <w:r w:rsidRPr="00B15FC9">
        <w:br/>
        <w:t>California State Board of Education</w:t>
      </w:r>
    </w:p>
    <w:p w:rsidR="009557AD" w:rsidRPr="00B15FC9" w:rsidRDefault="009557AD" w:rsidP="009557AD">
      <w:pPr>
        <w:pStyle w:val="NoSpacing"/>
        <w:spacing w:before="240" w:after="240"/>
      </w:pPr>
      <w:proofErr w:type="spellStart"/>
      <w:r w:rsidRPr="00B15FC9">
        <w:t>LDH:</w:t>
      </w:r>
      <w:r w:rsidR="007D422F" w:rsidRPr="00B15FC9">
        <w:t>mh</w:t>
      </w:r>
      <w:proofErr w:type="spellEnd"/>
    </w:p>
    <w:p w:rsidR="009557AD" w:rsidRPr="00B15FC9" w:rsidRDefault="009557AD" w:rsidP="009557AD">
      <w:pPr>
        <w:pStyle w:val="NoSpacing"/>
      </w:pPr>
      <w:r w:rsidRPr="00B15FC9">
        <w:t>cc:</w:t>
      </w:r>
      <w:r w:rsidRPr="00B15FC9">
        <w:tab/>
        <w:t xml:space="preserve">Brooks Allen, Executive Director, California State Board of Education </w:t>
      </w:r>
    </w:p>
    <w:p w:rsidR="009557AD" w:rsidRPr="007D422F" w:rsidRDefault="007D422F" w:rsidP="009557AD">
      <w:pPr>
        <w:pStyle w:val="NoSpacing"/>
        <w:ind w:left="1440" w:hanging="720"/>
      </w:pPr>
      <w:r w:rsidRPr="00B15FC9">
        <w:t>Amy Holloway</w:t>
      </w:r>
      <w:r w:rsidR="009557AD" w:rsidRPr="00B15FC9">
        <w:t xml:space="preserve">, </w:t>
      </w:r>
      <w:r w:rsidRPr="00B15FC9">
        <w:t xml:space="preserve">General Counsel, </w:t>
      </w:r>
      <w:r w:rsidR="009557AD" w:rsidRPr="00B15FC9">
        <w:t>California Department of Education</w:t>
      </w:r>
    </w:p>
    <w:p w:rsidR="009557AD" w:rsidRDefault="009557AD" w:rsidP="009557AD">
      <w:pPr>
        <w:pStyle w:val="NoSpacing"/>
        <w:ind w:left="1440" w:hanging="720"/>
      </w:pPr>
      <w:r>
        <w:t>Stephanie Farland, Director, Charter Schools Division, California Department of Education</w:t>
      </w:r>
    </w:p>
    <w:p w:rsidR="00435236" w:rsidRDefault="00435236" w:rsidP="009557AD">
      <w:pPr>
        <w:pStyle w:val="NoSpacing"/>
        <w:ind w:left="1440" w:hanging="720"/>
      </w:pPr>
      <w:r>
        <w:t>Indra Ciccarelli, Director, Charter Schools Office, Los Angeles County Office of Education</w:t>
      </w:r>
    </w:p>
    <w:p w:rsidR="009557AD" w:rsidRDefault="009557AD" w:rsidP="009557AD">
      <w:pPr>
        <w:pStyle w:val="NoSpacing"/>
        <w:spacing w:before="240"/>
        <w:rPr>
          <w:i/>
        </w:rPr>
      </w:pPr>
      <w:r w:rsidRPr="002B3CD2">
        <w:rPr>
          <w:i/>
        </w:rPr>
        <w:t>Sent via First Class Mail and Email to:</w:t>
      </w:r>
    </w:p>
    <w:p w:rsidR="007D422F" w:rsidRPr="007D422F" w:rsidRDefault="00391739" w:rsidP="007D422F">
      <w:pPr>
        <w:ind w:firstLine="720"/>
        <w:rPr>
          <w:rFonts w:ascii="Times New Roman" w:hAnsi="Times New Roman"/>
          <w:szCs w:val="22"/>
        </w:rPr>
      </w:pPr>
      <w:hyperlink r:id="rId12" w:history="1">
        <w:r w:rsidR="007D422F" w:rsidRPr="00A176A4">
          <w:rPr>
            <w:rStyle w:val="Hyperlink"/>
            <w:szCs w:val="22"/>
          </w:rPr>
          <w:t>lbrown@timecommunityschools.org</w:t>
        </w:r>
      </w:hyperlink>
      <w:r w:rsidR="007D422F">
        <w:rPr>
          <w:szCs w:val="22"/>
        </w:rPr>
        <w:t xml:space="preserve"> </w:t>
      </w:r>
    </w:p>
    <w:p w:rsidR="00432669" w:rsidRPr="00ED1667" w:rsidRDefault="00391739" w:rsidP="00ED1667">
      <w:pPr>
        <w:ind w:firstLine="720"/>
        <w:rPr>
          <w:szCs w:val="22"/>
        </w:rPr>
      </w:pPr>
      <w:hyperlink r:id="rId13" w:history="1">
        <w:r w:rsidR="007D422F" w:rsidRPr="00A176A4">
          <w:rPr>
            <w:rStyle w:val="Hyperlink"/>
            <w:szCs w:val="22"/>
          </w:rPr>
          <w:t>gramirez@timecommunityschools.org</w:t>
        </w:r>
      </w:hyperlink>
      <w:r w:rsidR="007D422F">
        <w:rPr>
          <w:szCs w:val="22"/>
        </w:rPr>
        <w:t xml:space="preserve"> </w:t>
      </w:r>
    </w:p>
    <w:sectPr w:rsidR="00432669" w:rsidRPr="00ED1667" w:rsidSect="00435C0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F" w:rsidRDefault="0039474F">
      <w:r>
        <w:separator/>
      </w:r>
    </w:p>
  </w:endnote>
  <w:endnote w:type="continuationSeparator" w:id="0">
    <w:p w:rsidR="0039474F" w:rsidRDefault="003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C9" w:rsidRDefault="00B15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C9" w:rsidRDefault="00B15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Pr="00592CD1" w:rsidRDefault="005649DB">
    <w:pPr>
      <w:pStyle w:val="Footer"/>
      <w:rPr>
        <w:rFonts w:cs="Arial"/>
      </w:rPr>
    </w:pP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F" w:rsidRDefault="0039474F">
      <w:r>
        <w:separator/>
      </w:r>
    </w:p>
  </w:footnote>
  <w:footnote w:type="continuationSeparator" w:id="0">
    <w:p w:rsidR="0039474F" w:rsidRDefault="0039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rsidR="00435C03" w:rsidRPr="00435C03" w:rsidRDefault="00435C03" w:rsidP="00435C03">
        <w:pPr>
          <w:pStyle w:val="Header"/>
          <w:tabs>
            <w:tab w:val="clear" w:pos="8640"/>
            <w:tab w:val="right" w:pos="9360"/>
          </w:tabs>
          <w:jc w:val="right"/>
          <w:rPr>
            <w:rFonts w:cs="Arial"/>
          </w:rPr>
        </w:pPr>
        <w:r>
          <w:rPr>
            <w:rFonts w:cs="Arial"/>
          </w:rPr>
          <w:t>o</w:t>
        </w:r>
        <w:r w:rsidRPr="00435C03">
          <w:rPr>
            <w:rFonts w:cs="Arial"/>
          </w:rPr>
          <w:t>ab-csd-</w:t>
        </w:r>
        <w:r w:rsidR="00524972">
          <w:rPr>
            <w:rFonts w:cs="Arial"/>
          </w:rPr>
          <w:t>jul</w:t>
        </w:r>
        <w:r w:rsidRPr="00435C03">
          <w:rPr>
            <w:rFonts w:cs="Arial"/>
          </w:rPr>
          <w:t>22item0</w:t>
        </w:r>
        <w:r w:rsidR="00524972">
          <w:rPr>
            <w:rFonts w:cs="Arial"/>
          </w:rPr>
          <w:t>5</w:t>
        </w:r>
      </w:p>
      <w:p w:rsidR="00435C03" w:rsidRPr="00435C03" w:rsidRDefault="00435C03" w:rsidP="00435C03">
        <w:pPr>
          <w:pStyle w:val="Header"/>
          <w:jc w:val="right"/>
          <w:rPr>
            <w:rFonts w:cs="Arial"/>
          </w:rPr>
        </w:pPr>
        <w:r w:rsidRPr="00435C03">
          <w:rPr>
            <w:rFonts w:cs="Arial"/>
          </w:rPr>
          <w:t>Attachment 1</w:t>
        </w:r>
      </w:p>
      <w:p w:rsidR="005649DB" w:rsidRPr="00435C03" w:rsidRDefault="00435C03" w:rsidP="00435C03">
        <w:pPr>
          <w:pStyle w:val="Header"/>
          <w:spacing w:after="240"/>
          <w:jc w:val="right"/>
        </w:pPr>
        <w:r w:rsidRPr="00435C03">
          <w:rPr>
            <w:rFonts w:cs="Arial"/>
          </w:rPr>
          <w:t xml:space="preserve">Page </w:t>
        </w:r>
        <w:r w:rsidRPr="00435C03">
          <w:rPr>
            <w:rFonts w:cs="Arial"/>
            <w:bCs/>
            <w:szCs w:val="24"/>
          </w:rPr>
          <w:fldChar w:fldCharType="begin"/>
        </w:r>
        <w:r w:rsidRPr="00435C03">
          <w:rPr>
            <w:rFonts w:cs="Arial"/>
            <w:bCs/>
          </w:rPr>
          <w:instrText xml:space="preserve"> PAGE </w:instrText>
        </w:r>
        <w:r w:rsidRPr="00435C03">
          <w:rPr>
            <w:rFonts w:cs="Arial"/>
            <w:bCs/>
            <w:szCs w:val="24"/>
          </w:rPr>
          <w:fldChar w:fldCharType="separate"/>
        </w:r>
        <w:r>
          <w:rPr>
            <w:rFonts w:cs="Arial"/>
            <w:bCs/>
            <w:szCs w:val="24"/>
          </w:rPr>
          <w:t>1</w:t>
        </w:r>
        <w:r w:rsidRPr="00435C03">
          <w:rPr>
            <w:rFonts w:cs="Arial"/>
            <w:bCs/>
            <w:szCs w:val="24"/>
          </w:rPr>
          <w:fldChar w:fldCharType="end"/>
        </w:r>
        <w:r w:rsidRPr="00435C03">
          <w:rPr>
            <w:rFonts w:cs="Arial"/>
          </w:rPr>
          <w:t xml:space="preserve"> of </w:t>
        </w:r>
        <w:r w:rsidRPr="00435C03">
          <w:rPr>
            <w:rFonts w:cs="Arial"/>
            <w:bCs/>
            <w:szCs w:val="24"/>
          </w:rPr>
          <w:fldChar w:fldCharType="begin"/>
        </w:r>
        <w:r w:rsidRPr="00435C03">
          <w:rPr>
            <w:rFonts w:cs="Arial"/>
            <w:bCs/>
          </w:rPr>
          <w:instrText xml:space="preserve"> NUMPAGES  </w:instrText>
        </w:r>
        <w:r w:rsidRPr="00435C03">
          <w:rPr>
            <w:rFonts w:cs="Arial"/>
            <w:bCs/>
            <w:szCs w:val="24"/>
          </w:rPr>
          <w:fldChar w:fldCharType="separate"/>
        </w:r>
        <w:r>
          <w:rPr>
            <w:rFonts w:cs="Arial"/>
            <w:bCs/>
            <w:szCs w:val="24"/>
          </w:rPr>
          <w:t>8</w:t>
        </w:r>
        <w:r w:rsidRPr="00435C03">
          <w:rPr>
            <w:rFonts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35C03" w:rsidRPr="00435C03" w:rsidRDefault="00435C03" w:rsidP="00435C03">
        <w:pPr>
          <w:pStyle w:val="Header"/>
          <w:jc w:val="right"/>
          <w:rPr>
            <w:rFonts w:cs="Arial"/>
          </w:rPr>
        </w:pPr>
        <w:r>
          <w:rPr>
            <w:rFonts w:cs="Arial"/>
          </w:rPr>
          <w:t>o</w:t>
        </w:r>
        <w:r w:rsidRPr="00435C03">
          <w:rPr>
            <w:rFonts w:cs="Arial"/>
          </w:rPr>
          <w:t>ab-csd-jan22item04</w:t>
        </w:r>
      </w:p>
      <w:p w:rsidR="00435C03" w:rsidRPr="00435C03" w:rsidRDefault="00435C03" w:rsidP="00435C03">
        <w:pPr>
          <w:pStyle w:val="Header"/>
          <w:jc w:val="right"/>
          <w:rPr>
            <w:rFonts w:cs="Arial"/>
          </w:rPr>
        </w:pPr>
        <w:r w:rsidRPr="00435C03">
          <w:rPr>
            <w:rFonts w:cs="Arial"/>
          </w:rPr>
          <w:t>Attachment 1</w:t>
        </w:r>
      </w:p>
      <w:p w:rsidR="00435C03" w:rsidRDefault="00435C03" w:rsidP="00435C03">
        <w:pPr>
          <w:pStyle w:val="Header"/>
          <w:spacing w:after="240"/>
          <w:jc w:val="right"/>
        </w:pPr>
        <w:r w:rsidRPr="00435C03">
          <w:rPr>
            <w:rFonts w:cs="Arial"/>
          </w:rPr>
          <w:t xml:space="preserve">Page </w:t>
        </w:r>
        <w:r w:rsidRPr="00435C03">
          <w:rPr>
            <w:rFonts w:cs="Arial"/>
            <w:bCs/>
            <w:szCs w:val="24"/>
          </w:rPr>
          <w:fldChar w:fldCharType="begin"/>
        </w:r>
        <w:r w:rsidRPr="00435C03">
          <w:rPr>
            <w:rFonts w:cs="Arial"/>
            <w:bCs/>
          </w:rPr>
          <w:instrText xml:space="preserve"> PAGE </w:instrText>
        </w:r>
        <w:r w:rsidRPr="00435C03">
          <w:rPr>
            <w:rFonts w:cs="Arial"/>
            <w:bCs/>
            <w:szCs w:val="24"/>
          </w:rPr>
          <w:fldChar w:fldCharType="separate"/>
        </w:r>
        <w:r w:rsidRPr="00435C03">
          <w:rPr>
            <w:rFonts w:cs="Arial"/>
            <w:bCs/>
            <w:noProof/>
          </w:rPr>
          <w:t>2</w:t>
        </w:r>
        <w:r w:rsidRPr="00435C03">
          <w:rPr>
            <w:rFonts w:cs="Arial"/>
            <w:bCs/>
            <w:szCs w:val="24"/>
          </w:rPr>
          <w:fldChar w:fldCharType="end"/>
        </w:r>
        <w:r w:rsidRPr="00435C03">
          <w:rPr>
            <w:rFonts w:cs="Arial"/>
          </w:rPr>
          <w:t xml:space="preserve"> of </w:t>
        </w:r>
        <w:r w:rsidRPr="00435C03">
          <w:rPr>
            <w:rFonts w:cs="Arial"/>
            <w:bCs/>
            <w:szCs w:val="24"/>
          </w:rPr>
          <w:fldChar w:fldCharType="begin"/>
        </w:r>
        <w:r w:rsidRPr="00435C03">
          <w:rPr>
            <w:rFonts w:cs="Arial"/>
            <w:bCs/>
          </w:rPr>
          <w:instrText xml:space="preserve"> NUMPAGES  </w:instrText>
        </w:r>
        <w:r w:rsidRPr="00435C03">
          <w:rPr>
            <w:rFonts w:cs="Arial"/>
            <w:bCs/>
            <w:szCs w:val="24"/>
          </w:rPr>
          <w:fldChar w:fldCharType="separate"/>
        </w:r>
        <w:r w:rsidRPr="00435C03">
          <w:rPr>
            <w:rFonts w:cs="Arial"/>
            <w:bCs/>
            <w:noProof/>
          </w:rPr>
          <w:t>2</w:t>
        </w:r>
        <w:r w:rsidRPr="00435C0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82A"/>
    <w:multiLevelType w:val="hybridMultilevel"/>
    <w:tmpl w:val="3CD2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42D0D"/>
    <w:multiLevelType w:val="hybridMultilevel"/>
    <w:tmpl w:val="FBAC84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16"/>
  </w:num>
  <w:num w:numId="2">
    <w:abstractNumId w:val="14"/>
  </w:num>
  <w:num w:numId="3">
    <w:abstractNumId w:val="15"/>
  </w:num>
  <w:num w:numId="4">
    <w:abstractNumId w:val="12"/>
  </w:num>
  <w:num w:numId="5">
    <w:abstractNumId w:val="13"/>
  </w:num>
  <w:num w:numId="6">
    <w:abstractNumId w:val="17"/>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E21A2"/>
    <w:rsid w:val="00107A41"/>
    <w:rsid w:val="0013658E"/>
    <w:rsid w:val="00152503"/>
    <w:rsid w:val="00167D41"/>
    <w:rsid w:val="001973D1"/>
    <w:rsid w:val="001B246E"/>
    <w:rsid w:val="00243BA6"/>
    <w:rsid w:val="00290238"/>
    <w:rsid w:val="00294F2D"/>
    <w:rsid w:val="002B468B"/>
    <w:rsid w:val="002B64C1"/>
    <w:rsid w:val="002C14D0"/>
    <w:rsid w:val="003118DA"/>
    <w:rsid w:val="00332BF0"/>
    <w:rsid w:val="0033388C"/>
    <w:rsid w:val="0035223A"/>
    <w:rsid w:val="0036140B"/>
    <w:rsid w:val="00391739"/>
    <w:rsid w:val="0039474F"/>
    <w:rsid w:val="00396214"/>
    <w:rsid w:val="003D2420"/>
    <w:rsid w:val="00405240"/>
    <w:rsid w:val="00432669"/>
    <w:rsid w:val="00433880"/>
    <w:rsid w:val="00435236"/>
    <w:rsid w:val="00435C03"/>
    <w:rsid w:val="00436258"/>
    <w:rsid w:val="00477B55"/>
    <w:rsid w:val="004829B5"/>
    <w:rsid w:val="00493BFF"/>
    <w:rsid w:val="00496449"/>
    <w:rsid w:val="004F7F74"/>
    <w:rsid w:val="00524972"/>
    <w:rsid w:val="005649DB"/>
    <w:rsid w:val="00581838"/>
    <w:rsid w:val="00592CD1"/>
    <w:rsid w:val="005D62D7"/>
    <w:rsid w:val="00653104"/>
    <w:rsid w:val="006B4FA3"/>
    <w:rsid w:val="007144F6"/>
    <w:rsid w:val="0074006C"/>
    <w:rsid w:val="007643E9"/>
    <w:rsid w:val="00775222"/>
    <w:rsid w:val="007A3B0B"/>
    <w:rsid w:val="007D422F"/>
    <w:rsid w:val="007E7EDD"/>
    <w:rsid w:val="007F3FF6"/>
    <w:rsid w:val="008136C2"/>
    <w:rsid w:val="00814ADB"/>
    <w:rsid w:val="0082760B"/>
    <w:rsid w:val="00831A07"/>
    <w:rsid w:val="00853D4D"/>
    <w:rsid w:val="008627ED"/>
    <w:rsid w:val="008A1439"/>
    <w:rsid w:val="008B45CA"/>
    <w:rsid w:val="008C2A38"/>
    <w:rsid w:val="00910D87"/>
    <w:rsid w:val="009557AD"/>
    <w:rsid w:val="0099563B"/>
    <w:rsid w:val="009C20F3"/>
    <w:rsid w:val="009C41E2"/>
    <w:rsid w:val="00A05CE1"/>
    <w:rsid w:val="00A1104A"/>
    <w:rsid w:val="00A13815"/>
    <w:rsid w:val="00A44C44"/>
    <w:rsid w:val="00A44C88"/>
    <w:rsid w:val="00A96553"/>
    <w:rsid w:val="00AB6BB2"/>
    <w:rsid w:val="00AD08B8"/>
    <w:rsid w:val="00AD3768"/>
    <w:rsid w:val="00AD510A"/>
    <w:rsid w:val="00AE6979"/>
    <w:rsid w:val="00AF2FB4"/>
    <w:rsid w:val="00B15C13"/>
    <w:rsid w:val="00B15FC9"/>
    <w:rsid w:val="00B3039E"/>
    <w:rsid w:val="00B33021"/>
    <w:rsid w:val="00B61AA2"/>
    <w:rsid w:val="00B76B0A"/>
    <w:rsid w:val="00B92FE5"/>
    <w:rsid w:val="00BC33F3"/>
    <w:rsid w:val="00BF6210"/>
    <w:rsid w:val="00C155BA"/>
    <w:rsid w:val="00C26471"/>
    <w:rsid w:val="00C64EA4"/>
    <w:rsid w:val="00C92D89"/>
    <w:rsid w:val="00CD3340"/>
    <w:rsid w:val="00CF1489"/>
    <w:rsid w:val="00CF2086"/>
    <w:rsid w:val="00D26EF1"/>
    <w:rsid w:val="00D3031C"/>
    <w:rsid w:val="00D430A3"/>
    <w:rsid w:val="00D66DFC"/>
    <w:rsid w:val="00D914A7"/>
    <w:rsid w:val="00DA4D96"/>
    <w:rsid w:val="00DB2D9F"/>
    <w:rsid w:val="00E006AB"/>
    <w:rsid w:val="00E029A4"/>
    <w:rsid w:val="00E10439"/>
    <w:rsid w:val="00E130FA"/>
    <w:rsid w:val="00E65B01"/>
    <w:rsid w:val="00E84FA6"/>
    <w:rsid w:val="00E9088E"/>
    <w:rsid w:val="00E94D35"/>
    <w:rsid w:val="00EC1D42"/>
    <w:rsid w:val="00ED1667"/>
    <w:rsid w:val="00EE285B"/>
    <w:rsid w:val="00EE7E04"/>
    <w:rsid w:val="00EF5D58"/>
    <w:rsid w:val="00F1063E"/>
    <w:rsid w:val="00F1439F"/>
    <w:rsid w:val="00F21480"/>
    <w:rsid w:val="00F95773"/>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972"/>
    <w:rPr>
      <w:rFonts w:ascii="Arial" w:hAnsi="Arial"/>
      <w:sz w:val="24"/>
    </w:rPr>
  </w:style>
  <w:style w:type="paragraph" w:styleId="Heading1">
    <w:name w:val="heading 1"/>
    <w:basedOn w:val="Normal"/>
    <w:next w:val="Normal"/>
    <w:autoRedefine/>
    <w:qFormat/>
    <w:rsid w:val="00435C03"/>
    <w:pPr>
      <w:keepNext/>
      <w:tabs>
        <w:tab w:val="right" w:pos="11340"/>
      </w:tabs>
      <w:spacing w:after="240"/>
      <w:jc w:val="center"/>
      <w:outlineLvl w:val="0"/>
    </w:pPr>
    <w:rPr>
      <w:b/>
      <w:sz w:val="40"/>
    </w:rPr>
  </w:style>
  <w:style w:type="paragraph" w:styleId="Heading2">
    <w:name w:val="heading 2"/>
    <w:basedOn w:val="Normal"/>
    <w:next w:val="Normal"/>
    <w:link w:val="Heading2Char"/>
    <w:autoRedefine/>
    <w:unhideWhenUsed/>
    <w:qFormat/>
    <w:rsid w:val="00524972"/>
    <w:pPr>
      <w:keepNext/>
      <w:spacing w:before="240" w:after="240"/>
      <w:outlineLvl w:val="1"/>
    </w:pPr>
    <w:rPr>
      <w:rFonts w:eastAsiaTheme="majorEastAsia" w:cstheme="majorBidi"/>
      <w:bCs/>
      <w:iCs/>
      <w:szCs w:val="28"/>
    </w:rPr>
  </w:style>
  <w:style w:type="paragraph" w:styleId="Heading3">
    <w:name w:val="heading 3"/>
    <w:basedOn w:val="Normal"/>
    <w:next w:val="Normal"/>
    <w:link w:val="Heading3Char"/>
    <w:autoRedefine/>
    <w:unhideWhenUsed/>
    <w:qFormat/>
    <w:rsid w:val="00524972"/>
    <w:pPr>
      <w:keepNext/>
      <w:spacing w:before="240" w:after="240"/>
      <w:outlineLvl w:val="2"/>
    </w:pPr>
    <w:rPr>
      <w:rFonts w:eastAsiaTheme="majorEastAsia" w:cstheme="majorBidi"/>
      <w:b/>
      <w:bCs/>
      <w:sz w:val="32"/>
      <w:szCs w:val="26"/>
    </w:rPr>
  </w:style>
  <w:style w:type="paragraph" w:styleId="Heading4">
    <w:name w:val="heading 4"/>
    <w:basedOn w:val="Normal"/>
    <w:next w:val="Normal"/>
    <w:link w:val="Heading4Char"/>
    <w:autoRedefine/>
    <w:unhideWhenUsed/>
    <w:qFormat/>
    <w:rsid w:val="00435C03"/>
    <w:pPr>
      <w:keepNext/>
      <w:spacing w:before="240" w:after="240"/>
      <w:outlineLvl w:val="3"/>
    </w:pPr>
    <w:rPr>
      <w:rFonts w:eastAsiaTheme="minorEastAsia" w:cstheme="minorBidi"/>
      <w:b/>
      <w:bCs/>
      <w:szCs w:val="28"/>
    </w:rPr>
  </w:style>
  <w:style w:type="paragraph" w:styleId="Heading5">
    <w:name w:val="heading 5"/>
    <w:basedOn w:val="Normal"/>
    <w:next w:val="Normal"/>
    <w:link w:val="Heading5Char"/>
    <w:autoRedefine/>
    <w:unhideWhenUsed/>
    <w:qFormat/>
    <w:rsid w:val="00435C03"/>
    <w:pPr>
      <w:keepNext/>
      <w:keepLines/>
      <w:spacing w:before="240" w:after="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524972"/>
    <w:rPr>
      <w:rFonts w:ascii="Arial" w:eastAsiaTheme="majorEastAsia" w:hAnsi="Arial" w:cstheme="majorBidi"/>
      <w:bCs/>
      <w:iCs/>
      <w:sz w:val="24"/>
      <w:szCs w:val="28"/>
    </w:rPr>
  </w:style>
  <w:style w:type="character" w:customStyle="1" w:styleId="Heading3Char">
    <w:name w:val="Heading 3 Char"/>
    <w:basedOn w:val="DefaultParagraphFont"/>
    <w:link w:val="Heading3"/>
    <w:rsid w:val="00524972"/>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eastAsia="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 w:type="paragraph" w:styleId="ListParagraph">
    <w:name w:val="List Paragraph"/>
    <w:basedOn w:val="Normal"/>
    <w:uiPriority w:val="34"/>
    <w:qFormat/>
    <w:rsid w:val="00524972"/>
    <w:pPr>
      <w:ind w:left="720"/>
      <w:contextualSpacing/>
    </w:pPr>
    <w:rPr>
      <w:szCs w:val="24"/>
    </w:rPr>
  </w:style>
  <w:style w:type="paragraph" w:styleId="CommentText">
    <w:name w:val="annotation text"/>
    <w:basedOn w:val="Normal"/>
    <w:link w:val="CommentTextChar"/>
    <w:unhideWhenUsed/>
    <w:rsid w:val="00524972"/>
    <w:rPr>
      <w:sz w:val="20"/>
    </w:rPr>
  </w:style>
  <w:style w:type="character" w:customStyle="1" w:styleId="CommentTextChar">
    <w:name w:val="Comment Text Char"/>
    <w:basedOn w:val="DefaultParagraphFont"/>
    <w:link w:val="CommentText"/>
    <w:rsid w:val="00524972"/>
    <w:rPr>
      <w:rFonts w:ascii="Arial" w:hAnsi="Arial"/>
    </w:rPr>
  </w:style>
  <w:style w:type="character" w:styleId="CommentReference">
    <w:name w:val="annotation reference"/>
    <w:unhideWhenUsed/>
    <w:rsid w:val="00524972"/>
    <w:rPr>
      <w:sz w:val="16"/>
      <w:szCs w:val="16"/>
    </w:rPr>
  </w:style>
  <w:style w:type="table" w:styleId="TableGrid">
    <w:name w:val="Table Grid"/>
    <w:basedOn w:val="TableNormal"/>
    <w:rsid w:val="005249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972"/>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7D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9905">
      <w:bodyDiv w:val="1"/>
      <w:marLeft w:val="0"/>
      <w:marRight w:val="0"/>
      <w:marTop w:val="0"/>
      <w:marBottom w:val="0"/>
      <w:divBdr>
        <w:top w:val="none" w:sz="0" w:space="0" w:color="auto"/>
        <w:left w:val="none" w:sz="0" w:space="0" w:color="auto"/>
        <w:bottom w:val="none" w:sz="0" w:space="0" w:color="auto"/>
        <w:right w:val="none" w:sz="0" w:space="0" w:color="auto"/>
      </w:divBdr>
    </w:div>
    <w:div w:id="13431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ccarelli_indra@lacoe.edu" TargetMode="External"/><Relationship Id="rId13" Type="http://schemas.openxmlformats.org/officeDocument/2006/relationships/hyperlink" Target="mailto:gramirez@timecommunityschool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brown@timecommunityschoo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rland@cde.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ccarelli_indra@laco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beoversight@cd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E85B-1680-41BA-91F2-C7A05DC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2636</Words>
  <Characters>15147</Characters>
  <DocSecurity>0</DocSecurity>
  <Lines>126</Lines>
  <Paragraphs>35</Paragraphs>
  <ScaleCrop>false</ScaleCrop>
  <HeadingPairs>
    <vt:vector size="2" baseType="variant">
      <vt:variant>
        <vt:lpstr>Title</vt:lpstr>
      </vt:variant>
      <vt:variant>
        <vt:i4>1</vt:i4>
      </vt:variant>
    </vt:vector>
  </HeadingPairs>
  <TitlesOfParts>
    <vt:vector size="1" baseType="lpstr">
      <vt:lpstr>January 2022 Agenda Item 12 Attachment 1 - Meeting Agendas (CA State Board of Education)</vt:lpstr>
    </vt:vector>
  </TitlesOfParts>
  <Company>California State Board of Education</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18 Attachment 1 - Meeting Agendas (CA State Board of Education)</dc:title>
  <dc:subject>Draft Letter to Board President Brown, Executive Director Ramirez, and T.I.M.E. Community School Governing Board Dated July 14, 2022: Notice of Violation Pursuant to California EC Section 47607(g).</dc:subject>
  <dc:creator/>
  <cp:keywords/>
  <dc:description/>
  <cp:lastPrinted>2010-05-25T23:53:00Z</cp:lastPrinted>
  <dcterms:created xsi:type="dcterms:W3CDTF">2021-12-29T18:00:00Z</dcterms:created>
  <dcterms:modified xsi:type="dcterms:W3CDTF">2022-06-29T15:56:00Z</dcterms:modified>
  <cp:category/>
</cp:coreProperties>
</file>