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1C0D" w14:textId="272756A9" w:rsidR="006E06C6" w:rsidRDefault="00D5115F" w:rsidP="00B723BE">
      <w:r w:rsidRPr="00D5115F">
        <w:rPr>
          <w:noProof/>
        </w:rPr>
        <w:drawing>
          <wp:inline distT="0" distB="0" distL="0" distR="0" wp14:anchorId="44A76581" wp14:editId="64EDD18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4120D05" w14:textId="77777777" w:rsidR="00B723BE" w:rsidRDefault="00FC1FCE" w:rsidP="00C6326E">
      <w:pPr>
        <w:jc w:val="right"/>
      </w:pPr>
      <w:r w:rsidRPr="00B723BE">
        <w:t>California Department of Education</w:t>
      </w:r>
    </w:p>
    <w:p w14:paraId="338A3AAE" w14:textId="77777777" w:rsidR="00B723BE" w:rsidRDefault="00FC1FCE" w:rsidP="00C6326E">
      <w:pPr>
        <w:jc w:val="right"/>
      </w:pPr>
      <w:r w:rsidRPr="00B723BE">
        <w:t>Executive Office</w:t>
      </w:r>
    </w:p>
    <w:p w14:paraId="58F9F216" w14:textId="77777777" w:rsidR="002B4B14" w:rsidRDefault="00692300" w:rsidP="00C6326E">
      <w:pPr>
        <w:jc w:val="right"/>
      </w:pPr>
      <w:r w:rsidRPr="00B723BE">
        <w:t>SBE-00</w:t>
      </w:r>
      <w:r w:rsidR="000324AD">
        <w:t>3</w:t>
      </w:r>
      <w:r w:rsidRPr="00B723BE">
        <w:t xml:space="preserve"> (REV. 1</w:t>
      </w:r>
      <w:r w:rsidR="00C27D57">
        <w:t>1</w:t>
      </w:r>
      <w:r w:rsidRPr="00B723BE">
        <w:t>/2017</w:t>
      </w:r>
      <w:r w:rsidR="00FC1FCE" w:rsidRPr="00B723BE">
        <w:t>)</w:t>
      </w:r>
    </w:p>
    <w:p w14:paraId="07C91DC6" w14:textId="5D30147C" w:rsidR="00B723BE" w:rsidRPr="00682A05" w:rsidRDefault="00C9663D" w:rsidP="00682A05">
      <w:pPr>
        <w:jc w:val="right"/>
        <w:sectPr w:rsidR="00B723BE" w:rsidRPr="00682A05" w:rsidSect="00C82CBA">
          <w:headerReference w:type="default" r:id="rId12"/>
          <w:type w:val="continuous"/>
          <w:pgSz w:w="12240" w:h="15840"/>
          <w:pgMar w:top="720" w:right="1440" w:bottom="1440" w:left="1440" w:header="720" w:footer="720" w:gutter="0"/>
          <w:cols w:num="2" w:space="720"/>
          <w:titlePg/>
          <w:docGrid w:linePitch="360"/>
        </w:sectPr>
      </w:pPr>
      <w:r>
        <w:t>s</w:t>
      </w:r>
      <w:r w:rsidR="00087F37">
        <w:t>ssb</w:t>
      </w:r>
      <w:r w:rsidR="00C6326E" w:rsidRPr="00682A05">
        <w:t>-</w:t>
      </w:r>
      <w:r w:rsidR="00087F37">
        <w:t>wcd</w:t>
      </w:r>
      <w:r w:rsidR="00C6326E" w:rsidRPr="00682A05">
        <w:t>-</w:t>
      </w:r>
      <w:r w:rsidR="00087F37">
        <w:t>jul</w:t>
      </w:r>
      <w:r w:rsidR="00C6326E" w:rsidRPr="00682A05">
        <w:t>2</w:t>
      </w:r>
      <w:r w:rsidR="008763AD">
        <w:t>3</w:t>
      </w:r>
      <w:r w:rsidR="00C6326E" w:rsidRPr="00682A05">
        <w:t>-item</w:t>
      </w:r>
      <w:r w:rsidR="00087F37">
        <w:t>01</w:t>
      </w:r>
    </w:p>
    <w:p w14:paraId="4987D7FF" w14:textId="77777777" w:rsidR="006E06C6" w:rsidRPr="00682A05" w:rsidRDefault="006E06C6" w:rsidP="00682A05">
      <w:pPr>
        <w:sectPr w:rsidR="006E06C6" w:rsidRPr="00682A05" w:rsidSect="0091117B">
          <w:type w:val="continuous"/>
          <w:pgSz w:w="12240" w:h="15840"/>
          <w:pgMar w:top="720" w:right="1440" w:bottom="1440" w:left="1440" w:header="720" w:footer="720" w:gutter="0"/>
          <w:cols w:space="720"/>
          <w:docGrid w:linePitch="360"/>
        </w:sectPr>
      </w:pPr>
    </w:p>
    <w:p w14:paraId="7B762BC6" w14:textId="5128E7F1" w:rsidR="00FC1FCE" w:rsidRPr="001B3958" w:rsidRDefault="0091117B" w:rsidP="00682A05">
      <w:pPr>
        <w:pStyle w:val="Heading1"/>
        <w:spacing w:before="48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5F6435">
        <w:rPr>
          <w:sz w:val="40"/>
          <w:szCs w:val="40"/>
        </w:rPr>
        <w:t>July</w:t>
      </w:r>
      <w:r w:rsidR="000D57F9" w:rsidRPr="000D57F9">
        <w:rPr>
          <w:sz w:val="40"/>
          <w:szCs w:val="40"/>
        </w:rPr>
        <w:t xml:space="preserve"> </w:t>
      </w:r>
      <w:r w:rsidR="000D57F9">
        <w:rPr>
          <w:sz w:val="40"/>
          <w:szCs w:val="40"/>
        </w:rPr>
        <w:t>202</w:t>
      </w:r>
      <w:r w:rsidR="00CF1A2A">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A43678">
        <w:rPr>
          <w:sz w:val="40"/>
          <w:szCs w:val="40"/>
        </w:rPr>
        <w:t>#</w:t>
      </w:r>
      <w:r w:rsidR="00087F37">
        <w:rPr>
          <w:sz w:val="40"/>
          <w:szCs w:val="40"/>
        </w:rPr>
        <w:t>12</w:t>
      </w:r>
    </w:p>
    <w:p w14:paraId="7F7A3879" w14:textId="77777777" w:rsidR="00FC1FCE" w:rsidRPr="001B3958" w:rsidRDefault="00FC1FCE" w:rsidP="002B4B14">
      <w:pPr>
        <w:pStyle w:val="Heading2"/>
        <w:spacing w:before="240" w:after="240"/>
        <w:rPr>
          <w:sz w:val="36"/>
          <w:szCs w:val="36"/>
        </w:rPr>
      </w:pPr>
      <w:r w:rsidRPr="001B3958">
        <w:rPr>
          <w:sz w:val="36"/>
          <w:szCs w:val="36"/>
        </w:rPr>
        <w:t>Subject</w:t>
      </w:r>
    </w:p>
    <w:p w14:paraId="0ED56961" w14:textId="56E8C023" w:rsidR="00692300" w:rsidRDefault="4BAFD22A" w:rsidP="000E09DC">
      <w:pPr>
        <w:spacing w:after="480"/>
      </w:pPr>
      <w:bookmarkStart w:id="0" w:name="_Hlk76120410"/>
      <w:r>
        <w:t xml:space="preserve">California's </w:t>
      </w:r>
      <w:r w:rsidR="4D43698F">
        <w:t>Bipartisan Safer Communities Act Stronger Connections Grant Program Proposal</w:t>
      </w:r>
      <w:r w:rsidR="3DA253D5">
        <w:t xml:space="preserve">: Approval of the Criteria to Define </w:t>
      </w:r>
      <w:r w:rsidR="005934FF">
        <w:t>High-</w:t>
      </w:r>
      <w:proofErr w:type="gramStart"/>
      <w:r w:rsidR="00A6072B">
        <w:t>n</w:t>
      </w:r>
      <w:r w:rsidR="005934FF">
        <w:t>eed</w:t>
      </w:r>
      <w:r w:rsidR="00A6072B">
        <w:t>s</w:t>
      </w:r>
      <w:proofErr w:type="gramEnd"/>
    </w:p>
    <w:bookmarkEnd w:id="0"/>
    <w:p w14:paraId="2C38659D" w14:textId="77777777" w:rsidR="00FC1FCE" w:rsidRPr="001B3958" w:rsidRDefault="00FC1FCE" w:rsidP="002B4B14">
      <w:pPr>
        <w:pStyle w:val="Heading2"/>
        <w:spacing w:before="240" w:after="240"/>
        <w:rPr>
          <w:sz w:val="36"/>
          <w:szCs w:val="36"/>
        </w:rPr>
      </w:pPr>
      <w:r w:rsidRPr="001B3958">
        <w:rPr>
          <w:sz w:val="36"/>
          <w:szCs w:val="36"/>
        </w:rPr>
        <w:t>Type of Action</w:t>
      </w:r>
    </w:p>
    <w:p w14:paraId="0A9EF46E" w14:textId="08BF647D" w:rsidR="0091117B" w:rsidRPr="00FC7F6D" w:rsidRDefault="00FC7F6D" w:rsidP="000E09DC">
      <w:pPr>
        <w:spacing w:after="480"/>
      </w:pPr>
      <w:r>
        <w:t>Action</w:t>
      </w:r>
      <w:r w:rsidR="08A83A44">
        <w:t>, Information</w:t>
      </w:r>
    </w:p>
    <w:p w14:paraId="0F13E2E0"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3D5FA0D" w14:textId="77777777" w:rsidR="005934FF" w:rsidRDefault="00993AA0" w:rsidP="00993AA0">
      <w:pPr>
        <w:spacing w:after="240"/>
        <w:ind w:right="240"/>
        <w:rPr>
          <w:rFonts w:cs="Arial"/>
        </w:rPr>
      </w:pPr>
      <w:r w:rsidRPr="00993AA0">
        <w:rPr>
          <w:rFonts w:cs="Arial"/>
        </w:rPr>
        <w:t xml:space="preserve">President Biden signed </w:t>
      </w:r>
      <w:bookmarkStart w:id="1" w:name="_Hlk133218449"/>
      <w:r w:rsidRPr="00993AA0">
        <w:rPr>
          <w:rFonts w:cs="Arial"/>
        </w:rPr>
        <w:t xml:space="preserve">the </w:t>
      </w:r>
      <w:bookmarkStart w:id="2" w:name="_Hlk133239600"/>
      <w:r w:rsidRPr="00993AA0">
        <w:rPr>
          <w:rFonts w:cs="Arial"/>
        </w:rPr>
        <w:t>Bipartisan Safer Communities Act</w:t>
      </w:r>
      <w:bookmarkEnd w:id="2"/>
      <w:r w:rsidRPr="00993AA0">
        <w:rPr>
          <w:rFonts w:cs="Arial"/>
        </w:rPr>
        <w:t xml:space="preserve"> (BSCA)</w:t>
      </w:r>
      <w:bookmarkEnd w:id="1"/>
      <w:r w:rsidRPr="00993AA0">
        <w:rPr>
          <w:rFonts w:cs="Arial"/>
        </w:rPr>
        <w:t xml:space="preserve"> on June 25, 2022, in response to the gun violence epidemic that has affected many schools and communities across the United States.</w:t>
      </w:r>
      <w:r w:rsidR="005934FF">
        <w:rPr>
          <w:rFonts w:cs="Arial"/>
        </w:rPr>
        <w:t xml:space="preserve"> </w:t>
      </w:r>
    </w:p>
    <w:p w14:paraId="4EFFBB3F" w14:textId="3820F7FA" w:rsidR="00993AA0" w:rsidRDefault="00993AA0" w:rsidP="00993AA0">
      <w:pPr>
        <w:spacing w:after="240"/>
        <w:ind w:right="240"/>
        <w:rPr>
          <w:rFonts w:cs="Arial"/>
        </w:rPr>
      </w:pPr>
      <w:r w:rsidRPr="00993AA0">
        <w:rPr>
          <w:rFonts w:cs="Arial"/>
        </w:rPr>
        <w:t xml:space="preserve">The BSCA-SCG Program is designed to encourage locally developed school safety and climate plans </w:t>
      </w:r>
      <w:r w:rsidR="00366DB8">
        <w:rPr>
          <w:rFonts w:cs="Arial"/>
        </w:rPr>
        <w:t>informed by</w:t>
      </w:r>
      <w:r w:rsidRPr="00993AA0">
        <w:rPr>
          <w:rFonts w:cs="Arial"/>
        </w:rPr>
        <w:t xml:space="preserve"> authentic community support t</w:t>
      </w:r>
      <w:r w:rsidR="00366DB8">
        <w:rPr>
          <w:rFonts w:cs="Arial"/>
        </w:rPr>
        <w:t>o</w:t>
      </w:r>
      <w:r w:rsidRPr="00993AA0">
        <w:rPr>
          <w:rFonts w:cs="Arial"/>
        </w:rPr>
        <w:t xml:space="preserve"> accelerate meaningful partnerships between school staff and students, families, and community members. The program focuses on evidence-based strategies for creating safe, healthy, and supportive learning environments that address local conditions, elevate communal assets, and strengthen communal infrastructure in neighborhoods. The LEA plans should include culturally and linguistically responsive practices, where students are surrounded by adults they can trust and who are committed to building strong relationships. Such environments help build connections that make students less likely to bring weapons to school and more likely to report the presence of weapons in school. Safe, inclusive, and supportive learning environments benefit not only individual students, but also their fellow students, educators, and the community at large.</w:t>
      </w:r>
    </w:p>
    <w:p w14:paraId="62DBAF2E" w14:textId="2849F9C8" w:rsidR="00993AA0" w:rsidRPr="00993AA0" w:rsidRDefault="00993AA0" w:rsidP="00993AA0">
      <w:pPr>
        <w:spacing w:after="240"/>
        <w:ind w:right="240"/>
        <w:rPr>
          <w:rFonts w:cs="Arial"/>
        </w:rPr>
      </w:pPr>
      <w:r>
        <w:rPr>
          <w:rFonts w:cs="Arial"/>
        </w:rPr>
        <w:t>Under the U.S. Department of Education</w:t>
      </w:r>
      <w:r w:rsidR="00CF1A2A">
        <w:rPr>
          <w:rFonts w:cs="Arial"/>
        </w:rPr>
        <w:t xml:space="preserve"> (ED)</w:t>
      </w:r>
      <w:r>
        <w:rPr>
          <w:rFonts w:cs="Arial"/>
        </w:rPr>
        <w:t xml:space="preserve"> provided guidance, the SEA </w:t>
      </w:r>
      <w:r w:rsidR="00B72615">
        <w:rPr>
          <w:rFonts w:cs="Arial"/>
        </w:rPr>
        <w:t xml:space="preserve">is encouraged to </w:t>
      </w:r>
      <w:r>
        <w:rPr>
          <w:rFonts w:cs="Arial"/>
        </w:rPr>
        <w:t>provid</w:t>
      </w:r>
      <w:r w:rsidR="00366DB8">
        <w:rPr>
          <w:rFonts w:cs="Arial"/>
        </w:rPr>
        <w:t>e</w:t>
      </w:r>
      <w:r>
        <w:rPr>
          <w:rFonts w:cs="Arial"/>
        </w:rPr>
        <w:t xml:space="preserve"> the public with an opportunity to </w:t>
      </w:r>
      <w:r w:rsidR="00CF1A2A">
        <w:rPr>
          <w:rFonts w:cs="Arial"/>
        </w:rPr>
        <w:t>comment and provide input related to the grant implementation</w:t>
      </w:r>
      <w:r w:rsidR="00366DB8">
        <w:rPr>
          <w:rFonts w:cs="Arial"/>
        </w:rPr>
        <w:t xml:space="preserve"> and </w:t>
      </w:r>
      <w:r w:rsidR="00B72615">
        <w:rPr>
          <w:rFonts w:cs="Arial"/>
        </w:rPr>
        <w:t xml:space="preserve">must </w:t>
      </w:r>
      <w:r w:rsidR="00366DB8">
        <w:rPr>
          <w:rFonts w:cs="Arial"/>
        </w:rPr>
        <w:t xml:space="preserve">define </w:t>
      </w:r>
      <w:r w:rsidR="00CF1A2A" w:rsidRPr="00CF1A2A">
        <w:rPr>
          <w:rFonts w:cs="Arial"/>
        </w:rPr>
        <w:t>"high-need LEA"</w:t>
      </w:r>
      <w:r w:rsidR="00B72615">
        <w:rPr>
          <w:rFonts w:cs="Arial"/>
        </w:rPr>
        <w:t xml:space="preserve"> for purposes of eligibility</w:t>
      </w:r>
      <w:r w:rsidR="00CF1A2A" w:rsidRPr="00CF1A2A">
        <w:rPr>
          <w:rFonts w:cs="Arial"/>
        </w:rPr>
        <w:t xml:space="preserve"> for the Stronger Connections </w:t>
      </w:r>
      <w:r w:rsidR="00AE6D93" w:rsidRPr="00CF1A2A">
        <w:rPr>
          <w:rFonts w:cs="Arial"/>
        </w:rPr>
        <w:t>program</w:t>
      </w:r>
      <w:r w:rsidR="00AE6D93">
        <w:rPr>
          <w:rFonts w:cs="Arial"/>
        </w:rPr>
        <w:t>. The</w:t>
      </w:r>
      <w:r w:rsidR="00366DB8">
        <w:rPr>
          <w:rFonts w:cs="Arial"/>
        </w:rPr>
        <w:t xml:space="preserve"> definition of “high-need LEA” can </w:t>
      </w:r>
      <w:r w:rsidR="00CF1A2A" w:rsidRPr="00CF1A2A">
        <w:rPr>
          <w:rFonts w:cs="Arial"/>
        </w:rPr>
        <w:lastRenderedPageBreak/>
        <w:t xml:space="preserve">include LEAs with high rates of </w:t>
      </w:r>
      <w:r w:rsidR="00AE6D93" w:rsidRPr="00CF1A2A">
        <w:rPr>
          <w:rFonts w:cs="Arial"/>
        </w:rPr>
        <w:t>poverty</w:t>
      </w:r>
      <w:r w:rsidR="00AE6D93">
        <w:rPr>
          <w:rFonts w:cs="Arial"/>
        </w:rPr>
        <w:t>,</w:t>
      </w:r>
      <w:r w:rsidR="00AE6D93" w:rsidRPr="00CF1A2A">
        <w:rPr>
          <w:rFonts w:cs="Arial"/>
        </w:rPr>
        <w:t xml:space="preserve"> characteristics</w:t>
      </w:r>
      <w:r w:rsidR="00CF1A2A" w:rsidRPr="00CF1A2A">
        <w:rPr>
          <w:rFonts w:cs="Arial"/>
        </w:rPr>
        <w:t xml:space="preserve"> such as chronic absenteeism, exclusionary discipline, referrals to the juvenile justice system, and substance use. </w:t>
      </w:r>
    </w:p>
    <w:p w14:paraId="4A05DC28" w14:textId="77777777" w:rsidR="003E4DF7" w:rsidRPr="00F40510" w:rsidRDefault="003E4DF7" w:rsidP="002B4B14">
      <w:pPr>
        <w:pStyle w:val="Heading2"/>
        <w:spacing w:before="240" w:after="240"/>
        <w:rPr>
          <w:sz w:val="36"/>
          <w:szCs w:val="36"/>
        </w:rPr>
      </w:pPr>
      <w:r>
        <w:rPr>
          <w:sz w:val="36"/>
          <w:szCs w:val="36"/>
        </w:rPr>
        <w:t>Recommendation</w:t>
      </w:r>
    </w:p>
    <w:p w14:paraId="5DDBD6F3" w14:textId="2CEBDF46" w:rsidR="00FC7F6D" w:rsidRDefault="4BAFD22A" w:rsidP="00FC7F6D">
      <w:pPr>
        <w:pStyle w:val="NoSpacing"/>
        <w:spacing w:after="240"/>
      </w:pPr>
      <w:r>
        <w:t>The C</w:t>
      </w:r>
      <w:r w:rsidR="3F456D32">
        <w:t xml:space="preserve">alifornia </w:t>
      </w:r>
      <w:r>
        <w:t>D</w:t>
      </w:r>
      <w:r w:rsidR="3F456D32">
        <w:t xml:space="preserve">epartment of </w:t>
      </w:r>
      <w:r>
        <w:t>E</w:t>
      </w:r>
      <w:r w:rsidR="3F456D32">
        <w:t>ducation</w:t>
      </w:r>
      <w:r w:rsidR="00B6A980">
        <w:t xml:space="preserve"> (CDE)</w:t>
      </w:r>
      <w:r>
        <w:t xml:space="preserve"> recommend</w:t>
      </w:r>
      <w:r w:rsidR="00431AD1">
        <w:t>s</w:t>
      </w:r>
      <w:r>
        <w:t xml:space="preserve"> that the SBE approve</w:t>
      </w:r>
      <w:r w:rsidR="00D52A8C">
        <w:t xml:space="preserve"> the criteria for the definition of </w:t>
      </w:r>
      <w:r w:rsidR="00CD6A07">
        <w:t>“</w:t>
      </w:r>
      <w:r w:rsidR="005934FF">
        <w:t>high-need</w:t>
      </w:r>
      <w:r>
        <w:t xml:space="preserve"> </w:t>
      </w:r>
      <w:r w:rsidR="00CD6A07">
        <w:t xml:space="preserve">LEA” </w:t>
      </w:r>
      <w:r w:rsidR="00D52A8C">
        <w:t xml:space="preserve">as required in the </w:t>
      </w:r>
      <w:r w:rsidR="7B160B42">
        <w:t>California’s Bipartisan Safer Communities Act (BSCA) Stronger Connections Grant (SCG)</w:t>
      </w:r>
      <w:r w:rsidR="00D52A8C">
        <w:t xml:space="preserve"> program</w:t>
      </w:r>
      <w:r>
        <w:t xml:space="preserve">, </w:t>
      </w:r>
      <w:r w:rsidR="00312013" w:rsidRPr="00312013">
        <w:t>pending the SBE Executive Director approval of final revisions requested by the SBE, correction of any typographical errors, and necessary, non-substantive clarifying edits.</w:t>
      </w:r>
    </w:p>
    <w:p w14:paraId="55D2221C" w14:textId="77777777" w:rsidR="00F40510" w:rsidRPr="00F40510" w:rsidRDefault="003E4DF7" w:rsidP="002B4B14">
      <w:pPr>
        <w:pStyle w:val="Heading2"/>
        <w:spacing w:before="240" w:after="240"/>
        <w:rPr>
          <w:sz w:val="36"/>
          <w:szCs w:val="36"/>
        </w:rPr>
      </w:pPr>
      <w:r>
        <w:rPr>
          <w:sz w:val="36"/>
          <w:szCs w:val="36"/>
        </w:rPr>
        <w:t>Brief History of Key Issues</w:t>
      </w:r>
    </w:p>
    <w:p w14:paraId="2F64E517" w14:textId="21D9A513" w:rsidR="008763AD" w:rsidRDefault="008763AD">
      <w:pPr>
        <w:spacing w:after="160" w:line="259" w:lineRule="auto"/>
      </w:pPr>
      <w:r w:rsidRPr="008763AD">
        <w:t>President Biden signed the BSCA in June 2022 to address the epidemic of gun violence in schools and communities. Congress authorized $1 billion in formula funding under Title IV, Part A of the ESEA to SEAs to provide safer and healthier learning environments for students. The CDE will award $</w:t>
      </w:r>
      <w:r w:rsidR="00F812B6">
        <w:t xml:space="preserve">113 </w:t>
      </w:r>
      <w:r w:rsidRPr="008763AD">
        <w:t xml:space="preserve">million to LEAs demonstrating </w:t>
      </w:r>
      <w:r w:rsidR="005934FF">
        <w:t>high-need</w:t>
      </w:r>
      <w:r w:rsidRPr="008763AD">
        <w:t xml:space="preserve"> based on a competitive process. </w:t>
      </w:r>
      <w:r w:rsidR="00366DB8">
        <w:t xml:space="preserve">LEAs may apply individually or in a consortium of LEAs. </w:t>
      </w:r>
      <w:r w:rsidRPr="008763AD">
        <w:t>The BSCA-SCG program is designed to create safe, healthy, and supportive learning environments, and accelerate partnerships between school staff, students, families, and community members. LEA plans should include evidence-based strategies such as safety assessments, emergency operation plans, positive school culture and climate, and integrated student supports to support student well-being.</w:t>
      </w:r>
    </w:p>
    <w:p w14:paraId="0C9929B9" w14:textId="21602F1B" w:rsidR="008763AD" w:rsidRDefault="008763AD">
      <w:pPr>
        <w:spacing w:after="160" w:line="259" w:lineRule="auto"/>
      </w:pPr>
      <w:r w:rsidRPr="008763AD">
        <w:t xml:space="preserve">The BSCA-SCG grant aims to increase school safety, address mental health needs of students, and promote the emotional and physical wellbeing of all students. </w:t>
      </w:r>
      <w:proofErr w:type="gramStart"/>
      <w:r w:rsidRPr="008763AD">
        <w:t>Participating</w:t>
      </w:r>
      <w:proofErr w:type="gramEnd"/>
      <w:r w:rsidRPr="008763AD">
        <w:t xml:space="preserve"> LEAs/consortia </w:t>
      </w:r>
      <w:r>
        <w:t>will</w:t>
      </w:r>
      <w:r w:rsidRPr="008763AD">
        <w:t xml:space="preserve"> ensure that their program goals, proposed activities, and targeted outcomes align with these goals. Funded activities may include providing mental health services and counseling, promoting community involvement, establishing dropout prevention programs, implementing systems to prevent bullying and harassment, and purchasing security equipment. Programs that link BSCA-SCG focused goals and activities could involve addressing chronic absenteeism in elementary school, providing early intervention to middle school students with disruptive behavior or mental health challenges, supporting high school students to avoid the school-to-prison pipeline, and providing training for staff to improve school climate and student engagement. Programs and strategies supported by the grant must address the needs and challenges experienced by students of any age who are experiencing or have experienced trauma or mental health challenges.</w:t>
      </w:r>
    </w:p>
    <w:p w14:paraId="44622335" w14:textId="082F2C13" w:rsidR="008763AD" w:rsidRDefault="00237727">
      <w:pPr>
        <w:spacing w:after="160" w:line="259" w:lineRule="auto"/>
      </w:pPr>
      <w:r w:rsidRPr="00237727">
        <w:t xml:space="preserve">To be eligible, an </w:t>
      </w:r>
      <w:proofErr w:type="gramStart"/>
      <w:r w:rsidRPr="00237727">
        <w:t>LEA/</w:t>
      </w:r>
      <w:r>
        <w:t>c</w:t>
      </w:r>
      <w:r w:rsidRPr="00237727">
        <w:t>onsorti</w:t>
      </w:r>
      <w:r>
        <w:t>a</w:t>
      </w:r>
      <w:proofErr w:type="gramEnd"/>
      <w:r w:rsidRPr="00237727">
        <w:t xml:space="preserve"> </w:t>
      </w:r>
      <w:r w:rsidR="005E257B">
        <w:t xml:space="preserve">will need to meet the definition of </w:t>
      </w:r>
      <w:r w:rsidR="00114057">
        <w:t>“</w:t>
      </w:r>
      <w:r w:rsidR="005934FF">
        <w:t>high-need</w:t>
      </w:r>
      <w:r w:rsidR="00CD6A07">
        <w:t xml:space="preserve"> LEA</w:t>
      </w:r>
      <w:r w:rsidR="00114057">
        <w:t>”</w:t>
      </w:r>
      <w:r w:rsidR="005E257B">
        <w:t xml:space="preserve"> adopted by the State Board of Education. </w:t>
      </w:r>
    </w:p>
    <w:p w14:paraId="4FA649B6" w14:textId="2179EEC3" w:rsidR="00237727" w:rsidRPr="00237727" w:rsidRDefault="00237727" w:rsidP="00237727">
      <w:pPr>
        <w:spacing w:after="160" w:line="259" w:lineRule="auto"/>
      </w:pPr>
      <w:r w:rsidRPr="00237727">
        <w:t xml:space="preserve">The CDE </w:t>
      </w:r>
      <w:r>
        <w:t xml:space="preserve">will </w:t>
      </w:r>
      <w:r w:rsidRPr="00237727">
        <w:t>award grant</w:t>
      </w:r>
      <w:r w:rsidR="005E257B">
        <w:t>s</w:t>
      </w:r>
      <w:r w:rsidRPr="00237727">
        <w:t xml:space="preserve"> to LEAs</w:t>
      </w:r>
      <w:r w:rsidR="00366DB8">
        <w:t>/</w:t>
      </w:r>
      <w:r w:rsidRPr="00237727">
        <w:t xml:space="preserve">consortia to support evidence-based, non-punitive programs and practices to keep the state's most vulnerable students in school. The grantees must use the grant funds for planning, implementation, and evaluation of such </w:t>
      </w:r>
      <w:r w:rsidRPr="00237727">
        <w:lastRenderedPageBreak/>
        <w:t xml:space="preserve">activities. The LEAs/consortia </w:t>
      </w:r>
      <w:r w:rsidR="00256B95">
        <w:t xml:space="preserve">must </w:t>
      </w:r>
      <w:r w:rsidRPr="00237727">
        <w:t>evaluate the activities undertaken, submit annual reports (ARs), annual expenditure reports (AERs), and an End of Project (EOP) report to the CDE.</w:t>
      </w:r>
    </w:p>
    <w:p w14:paraId="2E5AD844" w14:textId="5DC97053" w:rsidR="00566E49" w:rsidRDefault="2AE0DA71" w:rsidP="00535FA5">
      <w:pPr>
        <w:pStyle w:val="Heading3"/>
        <w:spacing w:before="240" w:after="240"/>
      </w:pPr>
      <w:r w:rsidRPr="5EE8DB95">
        <w:t>Educational Partner</w:t>
      </w:r>
      <w:r w:rsidR="18CF222E" w:rsidRPr="5EE8DB95">
        <w:t xml:space="preserve"> Engagement</w:t>
      </w:r>
    </w:p>
    <w:p w14:paraId="66B7AAF9" w14:textId="0A97C07C" w:rsidR="5EE8DB95" w:rsidRPr="0020514C" w:rsidRDefault="00651EED" w:rsidP="5EE8DB95">
      <w:pPr>
        <w:pStyle w:val="NormalWeb"/>
        <w:rPr>
          <w:rFonts w:ascii="Arial" w:hAnsi="Arial" w:cs="Arial"/>
          <w:color w:val="000000"/>
        </w:rPr>
      </w:pPr>
      <w:r>
        <w:rPr>
          <w:rFonts w:ascii="Arial" w:hAnsi="Arial" w:cs="Arial"/>
          <w:color w:val="000000" w:themeColor="text1"/>
        </w:rPr>
        <w:t>In accordance with the</w:t>
      </w:r>
      <w:r w:rsidR="3A407F35" w:rsidRPr="5EE8DB95">
        <w:rPr>
          <w:rFonts w:ascii="Arial" w:hAnsi="Arial" w:cs="Arial"/>
          <w:color w:val="000000" w:themeColor="text1"/>
        </w:rPr>
        <w:t xml:space="preserve"> released guidance from the U.S. Department of Education, the SEA is encouraged to provide the public with notice and a reasonable opportunity to comment and provide input on the design of its competitive subgrant process, including on the definition of “high-need LEA,” to maximize the impact of these funds in providing a safe, healthy, and supportive learning environment for schools and students most in need of services.</w:t>
      </w:r>
    </w:p>
    <w:p w14:paraId="5E0E6FF3" w14:textId="2E708794" w:rsidR="00714A44" w:rsidRPr="00D705C9" w:rsidRDefault="3C0B0573" w:rsidP="5EE8DB95">
      <w:pPr>
        <w:pStyle w:val="NormalWeb"/>
        <w:rPr>
          <w:rFonts w:ascii="Arial" w:hAnsi="Arial" w:cs="Arial"/>
          <w:color w:val="000000" w:themeColor="text1"/>
        </w:rPr>
      </w:pPr>
      <w:r w:rsidRPr="0020514C">
        <w:rPr>
          <w:rFonts w:ascii="Arial" w:hAnsi="Arial" w:cs="Arial"/>
          <w:color w:val="000000" w:themeColor="text1"/>
        </w:rPr>
        <w:t>To meet this requirement, t</w:t>
      </w:r>
      <w:r w:rsidR="59046EC7" w:rsidRPr="0020514C">
        <w:rPr>
          <w:rFonts w:ascii="Arial" w:hAnsi="Arial" w:cs="Arial"/>
          <w:color w:val="000000" w:themeColor="text1"/>
        </w:rPr>
        <w:t>he CDE sent out a public survey on June 6, 2023</w:t>
      </w:r>
      <w:r w:rsidR="42719BD7" w:rsidRPr="0020514C">
        <w:rPr>
          <w:rFonts w:ascii="Arial" w:hAnsi="Arial" w:cs="Arial"/>
          <w:color w:val="000000" w:themeColor="text1"/>
        </w:rPr>
        <w:t xml:space="preserve">. The survey was open through </w:t>
      </w:r>
      <w:r w:rsidR="0020514C" w:rsidRPr="00D705C9">
        <w:rPr>
          <w:rFonts w:ascii="Arial" w:hAnsi="Arial" w:cs="Arial"/>
          <w:color w:val="000000" w:themeColor="text1"/>
        </w:rPr>
        <w:t>June 12, 2023</w:t>
      </w:r>
      <w:r w:rsidR="42719BD7" w:rsidRPr="00D705C9">
        <w:rPr>
          <w:rFonts w:ascii="Arial" w:hAnsi="Arial" w:cs="Arial"/>
          <w:color w:val="000000" w:themeColor="text1"/>
        </w:rPr>
        <w:t xml:space="preserve">.  </w:t>
      </w:r>
      <w:r w:rsidR="01168109" w:rsidRPr="00D705C9">
        <w:rPr>
          <w:rFonts w:ascii="Arial" w:hAnsi="Arial" w:cs="Arial"/>
          <w:color w:val="000000" w:themeColor="text1"/>
        </w:rPr>
        <w:t xml:space="preserve">The </w:t>
      </w:r>
      <w:r w:rsidR="00651EED">
        <w:rPr>
          <w:rFonts w:ascii="Arial" w:hAnsi="Arial" w:cs="Arial"/>
          <w:color w:val="000000" w:themeColor="text1"/>
        </w:rPr>
        <w:t>full</w:t>
      </w:r>
      <w:r w:rsidR="01168109" w:rsidRPr="00D705C9">
        <w:rPr>
          <w:rFonts w:ascii="Arial" w:hAnsi="Arial" w:cs="Arial"/>
          <w:color w:val="000000" w:themeColor="text1"/>
        </w:rPr>
        <w:t xml:space="preserve"> survey is provided in attachment </w:t>
      </w:r>
      <w:r w:rsidR="00D441A6" w:rsidRPr="00D705C9">
        <w:rPr>
          <w:rFonts w:ascii="Arial" w:hAnsi="Arial" w:cs="Arial"/>
          <w:color w:val="000000" w:themeColor="text1"/>
        </w:rPr>
        <w:t>2</w:t>
      </w:r>
      <w:r w:rsidR="01168109" w:rsidRPr="00D705C9">
        <w:rPr>
          <w:rFonts w:ascii="Arial" w:hAnsi="Arial" w:cs="Arial"/>
          <w:color w:val="000000" w:themeColor="text1"/>
        </w:rPr>
        <w:t xml:space="preserve">. </w:t>
      </w:r>
    </w:p>
    <w:p w14:paraId="26E8387A" w14:textId="6D05B82B" w:rsidR="00714A44" w:rsidRPr="00B9232A" w:rsidRDefault="00CC42F1" w:rsidP="5EE8DB95">
      <w:pPr>
        <w:pStyle w:val="NormalWeb"/>
        <w:rPr>
          <w:rFonts w:ascii="Arial" w:hAnsi="Arial" w:cs="Arial"/>
          <w:color w:val="000000" w:themeColor="text1"/>
        </w:rPr>
      </w:pPr>
      <w:r w:rsidRPr="00D705C9">
        <w:rPr>
          <w:rFonts w:ascii="Arial" w:hAnsi="Arial" w:cs="Arial"/>
          <w:color w:val="000000" w:themeColor="text1"/>
        </w:rPr>
        <w:t>The survey</w:t>
      </w:r>
      <w:r w:rsidR="003E5DB1" w:rsidRPr="00D705C9">
        <w:rPr>
          <w:rFonts w:ascii="Arial" w:hAnsi="Arial" w:cs="Arial"/>
          <w:color w:val="000000" w:themeColor="text1"/>
        </w:rPr>
        <w:t xml:space="preserve">, composed of two main questions, </w:t>
      </w:r>
      <w:r w:rsidRPr="00D705C9">
        <w:rPr>
          <w:rFonts w:ascii="Arial" w:hAnsi="Arial" w:cs="Arial"/>
          <w:color w:val="000000" w:themeColor="text1"/>
        </w:rPr>
        <w:t>was sent</w:t>
      </w:r>
      <w:r w:rsidR="003E5DB1" w:rsidRPr="00D705C9">
        <w:rPr>
          <w:rFonts w:ascii="Arial" w:hAnsi="Arial" w:cs="Arial"/>
          <w:color w:val="000000" w:themeColor="text1"/>
        </w:rPr>
        <w:t xml:space="preserve"> to </w:t>
      </w:r>
      <w:r w:rsidRPr="00D705C9">
        <w:rPr>
          <w:rFonts w:ascii="Arial" w:hAnsi="Arial" w:cs="Arial"/>
          <w:color w:val="000000" w:themeColor="text1"/>
        </w:rPr>
        <w:t>educational partner</w:t>
      </w:r>
      <w:r w:rsidR="003E5DB1" w:rsidRPr="00D705C9">
        <w:rPr>
          <w:rFonts w:ascii="Arial" w:hAnsi="Arial" w:cs="Arial"/>
          <w:color w:val="000000" w:themeColor="text1"/>
        </w:rPr>
        <w:t xml:space="preserve"> groups</w:t>
      </w:r>
      <w:r w:rsidRPr="00D705C9">
        <w:rPr>
          <w:rFonts w:ascii="Arial" w:hAnsi="Arial" w:cs="Arial"/>
          <w:color w:val="000000" w:themeColor="text1"/>
        </w:rPr>
        <w:t xml:space="preserve"> including, but not limited to, State and Federal program directors, </w:t>
      </w:r>
      <w:r w:rsidR="00333021" w:rsidRPr="00D705C9">
        <w:rPr>
          <w:rFonts w:ascii="Arial" w:hAnsi="Arial" w:cs="Arial"/>
          <w:color w:val="000000" w:themeColor="text1"/>
        </w:rPr>
        <w:t xml:space="preserve">school safety partners from all counties, school districts, school site administrators, and service providers. The </w:t>
      </w:r>
      <w:r w:rsidR="003E5DB1" w:rsidRPr="00D705C9">
        <w:rPr>
          <w:rFonts w:ascii="Arial" w:hAnsi="Arial" w:cs="Arial"/>
          <w:color w:val="000000" w:themeColor="text1"/>
        </w:rPr>
        <w:t xml:space="preserve">CDE </w:t>
      </w:r>
      <w:r w:rsidR="00333021" w:rsidRPr="00D705C9">
        <w:rPr>
          <w:rFonts w:ascii="Arial" w:hAnsi="Arial" w:cs="Arial"/>
          <w:color w:val="000000" w:themeColor="text1"/>
        </w:rPr>
        <w:t xml:space="preserve">received 343 </w:t>
      </w:r>
      <w:r w:rsidR="003E5DB1" w:rsidRPr="00D705C9">
        <w:rPr>
          <w:rFonts w:ascii="Arial" w:hAnsi="Arial" w:cs="Arial"/>
          <w:color w:val="000000" w:themeColor="text1"/>
        </w:rPr>
        <w:t xml:space="preserve">survey </w:t>
      </w:r>
      <w:r w:rsidR="00333021" w:rsidRPr="00D705C9">
        <w:rPr>
          <w:rFonts w:ascii="Arial" w:hAnsi="Arial" w:cs="Arial"/>
          <w:color w:val="000000" w:themeColor="text1"/>
        </w:rPr>
        <w:t>responses</w:t>
      </w:r>
      <w:r w:rsidR="002E117D" w:rsidRPr="00D705C9">
        <w:rPr>
          <w:rFonts w:ascii="Arial" w:hAnsi="Arial" w:cs="Arial"/>
          <w:color w:val="000000" w:themeColor="text1"/>
        </w:rPr>
        <w:t>.</w:t>
      </w:r>
      <w:r w:rsidR="00F01340" w:rsidRPr="00D705C9">
        <w:rPr>
          <w:rFonts w:ascii="Arial" w:hAnsi="Arial" w:cs="Arial"/>
          <w:color w:val="000000" w:themeColor="text1"/>
        </w:rPr>
        <w:t xml:space="preserve"> </w:t>
      </w:r>
      <w:r w:rsidR="005E257B">
        <w:rPr>
          <w:rFonts w:ascii="Arial" w:hAnsi="Arial" w:cs="Arial"/>
          <w:color w:val="000000" w:themeColor="text1"/>
        </w:rPr>
        <w:t>T</w:t>
      </w:r>
      <w:r w:rsidR="002E117D" w:rsidRPr="00D705C9">
        <w:rPr>
          <w:rFonts w:ascii="Arial" w:hAnsi="Arial" w:cs="Arial"/>
          <w:color w:val="000000" w:themeColor="text1"/>
        </w:rPr>
        <w:t xml:space="preserve">he first question </w:t>
      </w:r>
      <w:r w:rsidR="005E257B">
        <w:rPr>
          <w:rFonts w:ascii="Arial" w:hAnsi="Arial" w:cs="Arial"/>
          <w:color w:val="000000" w:themeColor="text1"/>
        </w:rPr>
        <w:t>asked for input on the</w:t>
      </w:r>
      <w:r w:rsidR="002E117D" w:rsidRPr="00D705C9">
        <w:rPr>
          <w:rFonts w:ascii="Arial" w:hAnsi="Arial" w:cs="Arial"/>
          <w:color w:val="000000" w:themeColor="text1"/>
        </w:rPr>
        <w:t xml:space="preserve"> definition of </w:t>
      </w:r>
      <w:r w:rsidR="00CD6A07">
        <w:rPr>
          <w:rFonts w:ascii="Arial" w:hAnsi="Arial" w:cs="Arial"/>
          <w:color w:val="000000" w:themeColor="text1"/>
        </w:rPr>
        <w:t>“</w:t>
      </w:r>
      <w:r w:rsidR="002E117D" w:rsidRPr="00D705C9">
        <w:rPr>
          <w:rFonts w:ascii="Arial" w:hAnsi="Arial" w:cs="Arial"/>
          <w:color w:val="000000" w:themeColor="text1"/>
        </w:rPr>
        <w:t>high</w:t>
      </w:r>
      <w:r w:rsidR="004B71DF" w:rsidRPr="00D705C9">
        <w:rPr>
          <w:rFonts w:ascii="Arial" w:hAnsi="Arial" w:cs="Arial"/>
          <w:color w:val="000000" w:themeColor="text1"/>
        </w:rPr>
        <w:t>-</w:t>
      </w:r>
      <w:r w:rsidR="002E117D" w:rsidRPr="00D705C9">
        <w:rPr>
          <w:rFonts w:ascii="Arial" w:hAnsi="Arial" w:cs="Arial"/>
          <w:color w:val="000000" w:themeColor="text1"/>
        </w:rPr>
        <w:t>need</w:t>
      </w:r>
      <w:r w:rsidR="00CD6A07">
        <w:rPr>
          <w:rFonts w:ascii="Arial" w:hAnsi="Arial" w:cs="Arial"/>
          <w:color w:val="000000" w:themeColor="text1"/>
        </w:rPr>
        <w:t xml:space="preserve"> LEA”</w:t>
      </w:r>
      <w:r w:rsidR="005E257B">
        <w:rPr>
          <w:rFonts w:ascii="Arial" w:hAnsi="Arial" w:cs="Arial"/>
          <w:color w:val="000000" w:themeColor="text1"/>
        </w:rPr>
        <w:t>.</w:t>
      </w:r>
      <w:r w:rsidR="00F01340" w:rsidRPr="00D705C9">
        <w:rPr>
          <w:rFonts w:ascii="Arial" w:hAnsi="Arial" w:cs="Arial"/>
          <w:color w:val="000000" w:themeColor="text1"/>
        </w:rPr>
        <w:t xml:space="preserve"> </w:t>
      </w:r>
      <w:r w:rsidR="00651EED">
        <w:rPr>
          <w:rFonts w:ascii="Arial" w:hAnsi="Arial" w:cs="Arial"/>
          <w:color w:val="000000" w:themeColor="text1"/>
        </w:rPr>
        <w:t>Seventy-seven percent</w:t>
      </w:r>
      <w:r w:rsidR="00F01340" w:rsidRPr="00D705C9">
        <w:rPr>
          <w:rFonts w:ascii="Arial" w:hAnsi="Arial" w:cs="Arial"/>
          <w:color w:val="000000" w:themeColor="text1"/>
        </w:rPr>
        <w:t xml:space="preserve"> of respondents </w:t>
      </w:r>
      <w:r w:rsidR="00651EED">
        <w:rPr>
          <w:rFonts w:ascii="Arial" w:hAnsi="Arial" w:cs="Arial"/>
          <w:color w:val="000000" w:themeColor="text1"/>
        </w:rPr>
        <w:t>indicated that a</w:t>
      </w:r>
      <w:r w:rsidR="00651EED" w:rsidRPr="00D705C9">
        <w:rPr>
          <w:rFonts w:ascii="Arial" w:hAnsi="Arial" w:cs="Arial"/>
          <w:color w:val="000000" w:themeColor="text1"/>
        </w:rPr>
        <w:t xml:space="preserve"> </w:t>
      </w:r>
      <w:r w:rsidR="00D52A8C" w:rsidRPr="00D705C9">
        <w:rPr>
          <w:rFonts w:ascii="Arial" w:hAnsi="Arial" w:cs="Arial"/>
          <w:color w:val="000000" w:themeColor="text1"/>
        </w:rPr>
        <w:t>“</w:t>
      </w:r>
      <w:r w:rsidR="002E117D" w:rsidRPr="00D705C9">
        <w:rPr>
          <w:rFonts w:ascii="Arial" w:hAnsi="Arial" w:cs="Arial"/>
          <w:color w:val="000000" w:themeColor="text1"/>
        </w:rPr>
        <w:t>chronic absenteeism rate higher than the state average</w:t>
      </w:r>
      <w:r w:rsidR="00D52A8C" w:rsidRPr="00D705C9">
        <w:rPr>
          <w:rFonts w:ascii="Arial" w:hAnsi="Arial" w:cs="Arial"/>
          <w:color w:val="000000" w:themeColor="text1"/>
        </w:rPr>
        <w:t>”</w:t>
      </w:r>
      <w:r w:rsidR="00651EED">
        <w:rPr>
          <w:rFonts w:ascii="Arial" w:hAnsi="Arial" w:cs="Arial"/>
          <w:color w:val="000000" w:themeColor="text1"/>
        </w:rPr>
        <w:t xml:space="preserve"> </w:t>
      </w:r>
      <w:proofErr w:type="gramStart"/>
      <w:r w:rsidR="00651EED">
        <w:rPr>
          <w:rFonts w:ascii="Arial" w:hAnsi="Arial" w:cs="Arial"/>
          <w:color w:val="000000" w:themeColor="text1"/>
        </w:rPr>
        <w:t>as</w:t>
      </w:r>
      <w:proofErr w:type="gramEnd"/>
      <w:r w:rsidR="00651EED">
        <w:rPr>
          <w:rFonts w:ascii="Arial" w:hAnsi="Arial" w:cs="Arial"/>
          <w:color w:val="000000" w:themeColor="text1"/>
        </w:rPr>
        <w:t xml:space="preserve"> high importance as a characteristic to define </w:t>
      </w:r>
      <w:r w:rsidR="00CD6A07">
        <w:rPr>
          <w:rFonts w:ascii="Arial" w:hAnsi="Arial" w:cs="Arial"/>
          <w:color w:val="000000" w:themeColor="text1"/>
        </w:rPr>
        <w:t>“</w:t>
      </w:r>
      <w:r w:rsidR="005934FF">
        <w:rPr>
          <w:rFonts w:ascii="Arial" w:hAnsi="Arial" w:cs="Arial"/>
          <w:color w:val="000000" w:themeColor="text1"/>
        </w:rPr>
        <w:t>high-need</w:t>
      </w:r>
      <w:r w:rsidR="00CD6A07">
        <w:rPr>
          <w:rFonts w:ascii="Arial" w:hAnsi="Arial" w:cs="Arial"/>
          <w:color w:val="000000" w:themeColor="text1"/>
        </w:rPr>
        <w:t xml:space="preserve"> LEA”</w:t>
      </w:r>
      <w:r w:rsidR="00651EED">
        <w:rPr>
          <w:rFonts w:ascii="Arial" w:hAnsi="Arial" w:cs="Arial"/>
          <w:color w:val="000000" w:themeColor="text1"/>
        </w:rPr>
        <w:t xml:space="preserve">. The survey also allowed respondents to provide </w:t>
      </w:r>
      <w:r w:rsidR="00CD6A07">
        <w:rPr>
          <w:rFonts w:ascii="Arial" w:hAnsi="Arial" w:cs="Arial"/>
          <w:color w:val="000000" w:themeColor="text1"/>
        </w:rPr>
        <w:t>open-ended</w:t>
      </w:r>
      <w:r w:rsidR="00651EED">
        <w:rPr>
          <w:rFonts w:ascii="Arial" w:hAnsi="Arial" w:cs="Arial"/>
          <w:color w:val="000000" w:themeColor="text1"/>
        </w:rPr>
        <w:t xml:space="preserve"> feedback and </w:t>
      </w:r>
      <w:r w:rsidR="00B9232A" w:rsidRPr="00D705C9">
        <w:rPr>
          <w:rFonts w:ascii="Arial" w:hAnsi="Arial" w:cs="Arial"/>
          <w:color w:val="000000" w:themeColor="text1"/>
        </w:rPr>
        <w:t xml:space="preserve">41% of respondents provided comments covering a wide range of topics. </w:t>
      </w:r>
      <w:r w:rsidR="00973D83" w:rsidRPr="00D705C9">
        <w:rPr>
          <w:rFonts w:ascii="Arial" w:hAnsi="Arial" w:cs="Arial"/>
          <w:color w:val="000000" w:themeColor="text1"/>
        </w:rPr>
        <w:t xml:space="preserve">Amongst the most common were references to the </w:t>
      </w:r>
      <w:r w:rsidR="00651EED">
        <w:rPr>
          <w:rFonts w:ascii="Arial" w:hAnsi="Arial" w:cs="Arial"/>
          <w:color w:val="000000" w:themeColor="text1"/>
        </w:rPr>
        <w:t xml:space="preserve">specific </w:t>
      </w:r>
      <w:r w:rsidR="00973D83" w:rsidRPr="00D705C9">
        <w:rPr>
          <w:rFonts w:ascii="Arial" w:hAnsi="Arial" w:cs="Arial"/>
          <w:color w:val="000000" w:themeColor="text1"/>
        </w:rPr>
        <w:t xml:space="preserve">challenges faced by rural schools, the presence of community crime and violence, and homelessness. </w:t>
      </w:r>
      <w:r w:rsidR="007C0E31">
        <w:rPr>
          <w:rFonts w:ascii="Arial" w:hAnsi="Arial" w:cs="Arial"/>
          <w:color w:val="000000" w:themeColor="text1"/>
        </w:rPr>
        <w:t>T</w:t>
      </w:r>
      <w:r w:rsidR="00D441A6" w:rsidRPr="00D705C9">
        <w:rPr>
          <w:rFonts w:ascii="Arial" w:hAnsi="Arial" w:cs="Arial"/>
          <w:color w:val="000000" w:themeColor="text1"/>
        </w:rPr>
        <w:t>he second question</w:t>
      </w:r>
      <w:r w:rsidR="007C0E31">
        <w:rPr>
          <w:rFonts w:ascii="Arial" w:hAnsi="Arial" w:cs="Arial"/>
          <w:color w:val="000000" w:themeColor="text1"/>
        </w:rPr>
        <w:t xml:space="preserve"> asked respondents to</w:t>
      </w:r>
      <w:r w:rsidR="00D441A6" w:rsidRPr="00D705C9">
        <w:rPr>
          <w:rFonts w:ascii="Arial" w:hAnsi="Arial" w:cs="Arial"/>
          <w:color w:val="000000" w:themeColor="text1"/>
        </w:rPr>
        <w:t xml:space="preserve"> rank the importance of strategies and approaches to improve safety and student outcomes</w:t>
      </w:r>
      <w:r w:rsidR="00651EED">
        <w:rPr>
          <w:rFonts w:ascii="Arial" w:hAnsi="Arial" w:cs="Arial"/>
          <w:color w:val="000000" w:themeColor="text1"/>
        </w:rPr>
        <w:t>,</w:t>
      </w:r>
      <w:r w:rsidR="007C0E31">
        <w:rPr>
          <w:rFonts w:ascii="Arial" w:hAnsi="Arial" w:cs="Arial"/>
          <w:color w:val="000000" w:themeColor="text1"/>
        </w:rPr>
        <w:t xml:space="preserve"> and</w:t>
      </w:r>
      <w:r w:rsidR="00D441A6" w:rsidRPr="00D705C9">
        <w:rPr>
          <w:rFonts w:ascii="Arial" w:hAnsi="Arial" w:cs="Arial"/>
          <w:color w:val="000000" w:themeColor="text1"/>
        </w:rPr>
        <w:t xml:space="preserve"> </w:t>
      </w:r>
      <w:r w:rsidR="00D52A8C" w:rsidRPr="00D705C9">
        <w:rPr>
          <w:rFonts w:ascii="Arial" w:hAnsi="Arial" w:cs="Arial"/>
          <w:color w:val="000000" w:themeColor="text1"/>
        </w:rPr>
        <w:t>“</w:t>
      </w:r>
      <w:r w:rsidR="00D441A6" w:rsidRPr="00D705C9">
        <w:rPr>
          <w:rFonts w:ascii="Arial" w:hAnsi="Arial" w:cs="Arial"/>
          <w:color w:val="000000" w:themeColor="text1"/>
        </w:rPr>
        <w:t>adding or increasing staff within an LEA whose primary purpose is to address the mental health needs of students</w:t>
      </w:r>
      <w:r w:rsidR="00D52A8C" w:rsidRPr="00D705C9">
        <w:rPr>
          <w:rFonts w:ascii="Arial" w:hAnsi="Arial" w:cs="Arial"/>
          <w:color w:val="000000" w:themeColor="text1"/>
        </w:rPr>
        <w:t>”</w:t>
      </w:r>
      <w:r w:rsidR="00D441A6" w:rsidRPr="00D705C9">
        <w:rPr>
          <w:rFonts w:ascii="Arial" w:hAnsi="Arial" w:cs="Arial"/>
          <w:color w:val="000000" w:themeColor="text1"/>
        </w:rPr>
        <w:t xml:space="preserve"> was rated a</w:t>
      </w:r>
      <w:r w:rsidR="00651EED">
        <w:rPr>
          <w:rFonts w:ascii="Arial" w:hAnsi="Arial" w:cs="Arial"/>
          <w:color w:val="000000" w:themeColor="text1"/>
        </w:rPr>
        <w:t xml:space="preserve">s high </w:t>
      </w:r>
      <w:r w:rsidR="001221B0">
        <w:rPr>
          <w:rFonts w:ascii="Arial" w:hAnsi="Arial" w:cs="Arial"/>
          <w:color w:val="000000" w:themeColor="text1"/>
        </w:rPr>
        <w:t xml:space="preserve">importance </w:t>
      </w:r>
      <w:r w:rsidR="001221B0" w:rsidRPr="00D705C9">
        <w:rPr>
          <w:rFonts w:ascii="Arial" w:hAnsi="Arial" w:cs="Arial"/>
          <w:color w:val="000000" w:themeColor="text1"/>
        </w:rPr>
        <w:t>by</w:t>
      </w:r>
      <w:r w:rsidR="00D441A6" w:rsidRPr="00D705C9">
        <w:rPr>
          <w:rFonts w:ascii="Arial" w:hAnsi="Arial" w:cs="Arial"/>
          <w:color w:val="000000" w:themeColor="text1"/>
        </w:rPr>
        <w:t xml:space="preserve"> 82% of the respondents.</w:t>
      </w:r>
      <w:r w:rsidR="00651EED">
        <w:rPr>
          <w:rFonts w:ascii="Arial" w:hAnsi="Arial" w:cs="Arial"/>
          <w:color w:val="000000" w:themeColor="text1"/>
        </w:rPr>
        <w:t xml:space="preserve"> </w:t>
      </w:r>
    </w:p>
    <w:p w14:paraId="616A97A6" w14:textId="2348B265" w:rsidR="5EE8DB95" w:rsidRPr="00757A78" w:rsidRDefault="3D149BB6" w:rsidP="5EE8DB95">
      <w:pPr>
        <w:pStyle w:val="NormalWeb"/>
        <w:rPr>
          <w:rFonts w:ascii="Arial" w:hAnsi="Arial" w:cs="Arial"/>
        </w:rPr>
      </w:pPr>
      <w:r w:rsidRPr="00720ECC">
        <w:rPr>
          <w:rFonts w:ascii="Arial" w:hAnsi="Arial" w:cs="Arial"/>
        </w:rPr>
        <w:t>In addition</w:t>
      </w:r>
      <w:r w:rsidR="00651EED">
        <w:rPr>
          <w:rFonts w:ascii="Arial" w:hAnsi="Arial" w:cs="Arial"/>
        </w:rPr>
        <w:t xml:space="preserve"> to the input provided by the survey</w:t>
      </w:r>
      <w:r w:rsidRPr="00720ECC">
        <w:rPr>
          <w:rFonts w:ascii="Arial" w:hAnsi="Arial" w:cs="Arial"/>
        </w:rPr>
        <w:t>, public comments received as part of this board item will inform the final</w:t>
      </w:r>
      <w:r w:rsidR="59046EC7" w:rsidRPr="00720ECC">
        <w:rPr>
          <w:rFonts w:ascii="Arial" w:hAnsi="Arial" w:cs="Arial"/>
        </w:rPr>
        <w:t xml:space="preserve"> BSCG-SCG Request for Applications. </w:t>
      </w:r>
    </w:p>
    <w:p w14:paraId="454B5D20" w14:textId="2720378E" w:rsidR="005C3C10" w:rsidRPr="00535FA5" w:rsidRDefault="4D43698F" w:rsidP="00535FA5">
      <w:pPr>
        <w:pStyle w:val="Heading3"/>
        <w:spacing w:before="240" w:after="240"/>
      </w:pPr>
      <w:r w:rsidRPr="00535FA5">
        <w:t>Propos</w:t>
      </w:r>
      <w:r w:rsidR="067F3460" w:rsidRPr="00535FA5">
        <w:t>ed</w:t>
      </w:r>
      <w:r w:rsidR="00720ECC" w:rsidRPr="00535FA5">
        <w:t xml:space="preserve"> </w:t>
      </w:r>
      <w:r w:rsidR="10910D6D" w:rsidRPr="00535FA5">
        <w:t xml:space="preserve">Definition of </w:t>
      </w:r>
      <w:r w:rsidRPr="00535FA5">
        <w:t xml:space="preserve">High-Need </w:t>
      </w:r>
      <w:r w:rsidR="00CD6A07" w:rsidRPr="00535FA5">
        <w:t>LEA</w:t>
      </w:r>
      <w:r w:rsidRPr="00535FA5">
        <w:t xml:space="preserve"> </w:t>
      </w:r>
    </w:p>
    <w:p w14:paraId="69924767" w14:textId="7DCB0311" w:rsidR="00FA4B01" w:rsidRPr="00720ECC" w:rsidRDefault="59046EC7" w:rsidP="00FA4B01">
      <w:pPr>
        <w:spacing w:after="160" w:line="259" w:lineRule="auto"/>
        <w:rPr>
          <w:rFonts w:cs="Arial"/>
        </w:rPr>
      </w:pPr>
      <w:r w:rsidRPr="00720ECC">
        <w:rPr>
          <w:rFonts w:cs="Arial"/>
        </w:rPr>
        <w:t xml:space="preserve">The California Department of Education </w:t>
      </w:r>
      <w:r w:rsidR="60649965" w:rsidRPr="00720ECC">
        <w:rPr>
          <w:rFonts w:cs="Arial"/>
        </w:rPr>
        <w:t>proposes using</w:t>
      </w:r>
      <w:r w:rsidRPr="00720ECC">
        <w:rPr>
          <w:rFonts w:cs="Arial"/>
        </w:rPr>
        <w:t xml:space="preserve"> the following state-wide data elements </w:t>
      </w:r>
      <w:r w:rsidR="007C0E31">
        <w:rPr>
          <w:rFonts w:cs="Arial"/>
        </w:rPr>
        <w:t xml:space="preserve">to </w:t>
      </w:r>
      <w:r w:rsidRPr="00720ECC">
        <w:rPr>
          <w:rFonts w:cs="Arial"/>
        </w:rPr>
        <w:t>defin</w:t>
      </w:r>
      <w:r w:rsidR="007C0E31">
        <w:rPr>
          <w:rFonts w:cs="Arial"/>
        </w:rPr>
        <w:t>e</w:t>
      </w:r>
      <w:r w:rsidRPr="00720ECC">
        <w:rPr>
          <w:rFonts w:cs="Arial"/>
        </w:rPr>
        <w:t xml:space="preserve"> </w:t>
      </w:r>
      <w:r w:rsidR="00CD6A07">
        <w:rPr>
          <w:rFonts w:cs="Arial"/>
        </w:rPr>
        <w:t>“</w:t>
      </w:r>
      <w:r w:rsidR="005934FF">
        <w:rPr>
          <w:rFonts w:cs="Arial"/>
        </w:rPr>
        <w:t>high-need</w:t>
      </w:r>
      <w:r w:rsidR="00CD6A07">
        <w:rPr>
          <w:rFonts w:cs="Arial"/>
        </w:rPr>
        <w:t xml:space="preserve"> LEA”</w:t>
      </w:r>
      <w:r w:rsidR="00114057">
        <w:rPr>
          <w:rFonts w:cs="Arial"/>
        </w:rPr>
        <w:t xml:space="preserve"> and establish eligibility for the BSCG-SCG grant</w:t>
      </w:r>
      <w:r w:rsidR="000A3EFE">
        <w:rPr>
          <w:rFonts w:cs="Arial"/>
        </w:rPr>
        <w:t>.</w:t>
      </w:r>
    </w:p>
    <w:p w14:paraId="76687DA1" w14:textId="65C4392D" w:rsidR="00F75E77" w:rsidRPr="003D0E55" w:rsidRDefault="00FA4B01" w:rsidP="00FA4B01">
      <w:pPr>
        <w:rPr>
          <w:rFonts w:cs="Arial"/>
        </w:rPr>
      </w:pPr>
      <w:r w:rsidRPr="003D0E55">
        <w:rPr>
          <w:rFonts w:cs="Arial"/>
          <w:color w:val="000000"/>
          <w:shd w:val="clear" w:color="auto" w:fill="FFFFFF"/>
        </w:rPr>
        <w:t>Local Educational Agencies (</w:t>
      </w:r>
      <w:r w:rsidRPr="003D0E55">
        <w:rPr>
          <w:rFonts w:cs="Arial"/>
          <w:bCs/>
          <w:color w:val="000000"/>
          <w:shd w:val="clear" w:color="auto" w:fill="FFFFFF"/>
        </w:rPr>
        <w:t>LEAs</w:t>
      </w:r>
      <w:r w:rsidRPr="003D0E55">
        <w:rPr>
          <w:rFonts w:cs="Arial"/>
          <w:color w:val="000000"/>
          <w:shd w:val="clear" w:color="auto" w:fill="FFFFFF"/>
        </w:rPr>
        <w:t>)</w:t>
      </w:r>
      <w:r w:rsidRPr="003D0E55">
        <w:rPr>
          <w:rFonts w:cs="Arial"/>
        </w:rPr>
        <w:t xml:space="preserve"> with </w:t>
      </w:r>
      <w:r w:rsidR="007C0E31">
        <w:rPr>
          <w:rFonts w:cs="Arial"/>
        </w:rPr>
        <w:t xml:space="preserve">a </w:t>
      </w:r>
      <w:r w:rsidRPr="003D0E55">
        <w:rPr>
          <w:rFonts w:cs="Arial"/>
        </w:rPr>
        <w:t>concentration</w:t>
      </w:r>
      <w:r w:rsidR="007C0E31">
        <w:rPr>
          <w:rFonts w:cs="Arial"/>
        </w:rPr>
        <w:t xml:space="preserve"> of </w:t>
      </w:r>
      <w:r w:rsidR="000A5640">
        <w:rPr>
          <w:rFonts w:cs="Arial"/>
        </w:rPr>
        <w:t>8</w:t>
      </w:r>
      <w:r w:rsidR="007C0E31">
        <w:rPr>
          <w:rFonts w:cs="Arial"/>
        </w:rPr>
        <w:t>0% or above</w:t>
      </w:r>
      <w:r w:rsidRPr="003D0E55">
        <w:rPr>
          <w:rFonts w:cs="Arial"/>
        </w:rPr>
        <w:t xml:space="preserve"> of students from low-income families, English learners, and students in foster care, plus one or more of the following characteristics:</w:t>
      </w:r>
    </w:p>
    <w:p w14:paraId="29F07047" w14:textId="77777777" w:rsidR="00F75E77" w:rsidRPr="003D0E55" w:rsidRDefault="00F75E77" w:rsidP="00FA4B01">
      <w:pPr>
        <w:rPr>
          <w:rFonts w:cs="Arial"/>
        </w:rPr>
      </w:pPr>
    </w:p>
    <w:p w14:paraId="4E0F13F4" w14:textId="77777777" w:rsidR="00F75E77" w:rsidRPr="003D0E55" w:rsidRDefault="00F75E77" w:rsidP="00F75E77">
      <w:pPr>
        <w:pStyle w:val="ListParagraph"/>
        <w:numPr>
          <w:ilvl w:val="0"/>
          <w:numId w:val="18"/>
        </w:numPr>
        <w:rPr>
          <w:rFonts w:cs="Arial"/>
        </w:rPr>
      </w:pPr>
      <w:r w:rsidRPr="003D0E55">
        <w:rPr>
          <w:rFonts w:cs="Arial"/>
        </w:rPr>
        <w:t>A chronic absenteeism rate higher than the state average</w:t>
      </w:r>
    </w:p>
    <w:p w14:paraId="299388E1" w14:textId="77777777" w:rsidR="00F75E77" w:rsidRPr="003D0E55" w:rsidRDefault="00F75E77" w:rsidP="00F75E77">
      <w:pPr>
        <w:pStyle w:val="ListParagraph"/>
        <w:numPr>
          <w:ilvl w:val="0"/>
          <w:numId w:val="18"/>
        </w:numPr>
        <w:rPr>
          <w:rFonts w:cs="Arial"/>
        </w:rPr>
      </w:pPr>
      <w:r w:rsidRPr="003D0E55">
        <w:rPr>
          <w:rFonts w:cs="Arial"/>
        </w:rPr>
        <w:t>An exclusionary discipline (in and out of school suspension) rate higher than the state average</w:t>
      </w:r>
    </w:p>
    <w:p w14:paraId="055F20DC" w14:textId="77777777" w:rsidR="00F75E77" w:rsidRPr="003D0E55" w:rsidRDefault="00F75E77" w:rsidP="00F75E77">
      <w:pPr>
        <w:pStyle w:val="ListParagraph"/>
        <w:numPr>
          <w:ilvl w:val="0"/>
          <w:numId w:val="18"/>
        </w:numPr>
        <w:rPr>
          <w:rFonts w:cs="Arial"/>
        </w:rPr>
      </w:pPr>
      <w:r w:rsidRPr="003D0E55">
        <w:rPr>
          <w:rFonts w:cs="Arial"/>
        </w:rPr>
        <w:lastRenderedPageBreak/>
        <w:t>A school stability rate lower than the state average</w:t>
      </w:r>
    </w:p>
    <w:p w14:paraId="25E10FD9" w14:textId="4363197E" w:rsidR="00C9663D" w:rsidRPr="00CD6A07" w:rsidRDefault="00F75E77" w:rsidP="00C9663D">
      <w:pPr>
        <w:pStyle w:val="ListParagraph"/>
        <w:numPr>
          <w:ilvl w:val="0"/>
          <w:numId w:val="18"/>
        </w:numPr>
        <w:rPr>
          <w:rFonts w:cs="Arial"/>
        </w:rPr>
      </w:pPr>
      <w:r w:rsidRPr="003D0E55">
        <w:rPr>
          <w:rFonts w:cs="Arial"/>
        </w:rPr>
        <w:t>A dropout rate higher than the state average</w:t>
      </w:r>
      <w:r w:rsidR="00FA4B01" w:rsidRPr="003D0E55">
        <w:rPr>
          <w:rFonts w:cs="Arial"/>
        </w:rPr>
        <w:t xml:space="preserve"> </w:t>
      </w:r>
    </w:p>
    <w:p w14:paraId="55F036C9" w14:textId="278CE357" w:rsidR="003E4DF7" w:rsidRPr="00682A05" w:rsidRDefault="003E4DF7" w:rsidP="00682A05">
      <w:pPr>
        <w:pStyle w:val="Heading2"/>
        <w:spacing w:before="240" w:after="240"/>
        <w:rPr>
          <w:sz w:val="36"/>
          <w:szCs w:val="36"/>
        </w:rPr>
      </w:pPr>
      <w:r w:rsidRPr="007E7F23">
        <w:rPr>
          <w:sz w:val="36"/>
          <w:szCs w:val="36"/>
        </w:rPr>
        <w:t>Summary of Previous State Board of Education Discussion and Action</w:t>
      </w:r>
    </w:p>
    <w:p w14:paraId="6ECFD3EF" w14:textId="00641CBB" w:rsidR="005360CA" w:rsidRPr="00682A05" w:rsidRDefault="00BA6D5D" w:rsidP="00682A05">
      <w:r>
        <w:t xml:space="preserve">During the </w:t>
      </w:r>
      <w:r w:rsidR="005360CA" w:rsidRPr="00682A05">
        <w:t>Ju</w:t>
      </w:r>
      <w:r w:rsidR="00237727">
        <w:t>ly</w:t>
      </w:r>
      <w:r w:rsidR="005360CA" w:rsidRPr="00682A05">
        <w:t xml:space="preserve"> 2021 </w:t>
      </w:r>
      <w:r>
        <w:t>State Board Meeting,</w:t>
      </w:r>
      <w:r w:rsidR="005360CA" w:rsidRPr="00682A05">
        <w:t xml:space="preserve"> the </w:t>
      </w:r>
      <w:r>
        <w:t>SBE approved California’s submission of the American Rescue Plan (</w:t>
      </w:r>
      <w:r w:rsidR="005360CA" w:rsidRPr="00682A05">
        <w:t>ARP</w:t>
      </w:r>
      <w:r>
        <w:t>)</w:t>
      </w:r>
      <w:r w:rsidR="005360CA" w:rsidRPr="00682A05">
        <w:t xml:space="preserve"> </w:t>
      </w:r>
      <w:r w:rsidRPr="00BA6D5D">
        <w:t xml:space="preserve">Elementary and Secondary School Emergency Relief </w:t>
      </w:r>
      <w:r>
        <w:t>(</w:t>
      </w:r>
      <w:r w:rsidR="005360CA" w:rsidRPr="00682A05">
        <w:t>ESSER</w:t>
      </w:r>
      <w:r>
        <w:t>)</w:t>
      </w:r>
      <w:r w:rsidR="005360CA" w:rsidRPr="00682A05">
        <w:t xml:space="preserve"> State Plan</w:t>
      </w:r>
      <w:r>
        <w:t>.</w:t>
      </w:r>
      <w:r w:rsidR="005360CA" w:rsidRPr="00682A05">
        <w:t xml:space="preserve"> </w:t>
      </w:r>
    </w:p>
    <w:p w14:paraId="26216265" w14:textId="0F639131" w:rsidR="003E4DF7" w:rsidRDefault="003E4DF7" w:rsidP="002B4B14">
      <w:pPr>
        <w:pStyle w:val="Heading2"/>
        <w:spacing w:before="240" w:after="240"/>
        <w:rPr>
          <w:sz w:val="36"/>
          <w:szCs w:val="36"/>
        </w:rPr>
      </w:pPr>
      <w:r>
        <w:rPr>
          <w:sz w:val="36"/>
          <w:szCs w:val="36"/>
        </w:rPr>
        <w:t xml:space="preserve">Fiscal Analysis </w:t>
      </w:r>
    </w:p>
    <w:p w14:paraId="29A14919" w14:textId="71EA620C" w:rsidR="003E4DF7" w:rsidRPr="007E7F23" w:rsidRDefault="00BA6D5D" w:rsidP="00BA6D5D">
      <w:pPr>
        <w:shd w:val="clear" w:color="auto" w:fill="FFFFFF"/>
        <w:spacing w:after="240"/>
        <w:rPr>
          <w:rFonts w:ascii="Helvetica" w:hAnsi="Helvetica" w:cs="Helvetica"/>
          <w:color w:val="000000"/>
        </w:rPr>
      </w:pPr>
      <w:r w:rsidRPr="00993AA0">
        <w:rPr>
          <w:rFonts w:ascii="Helvetica" w:hAnsi="Helvetica" w:cs="Helvetica"/>
          <w:color w:val="000000"/>
        </w:rPr>
        <w:t xml:space="preserve">California's </w:t>
      </w:r>
      <w:r>
        <w:rPr>
          <w:rFonts w:ascii="Helvetica" w:hAnsi="Helvetica" w:cs="Helvetica"/>
          <w:color w:val="000000"/>
        </w:rPr>
        <w:t xml:space="preserve">allocation for the </w:t>
      </w:r>
      <w:r w:rsidRPr="00993AA0">
        <w:rPr>
          <w:rFonts w:ascii="Helvetica" w:hAnsi="Helvetica" w:cs="Helvetica"/>
          <w:color w:val="000000"/>
        </w:rPr>
        <w:t>BSCA</w:t>
      </w:r>
      <w:r>
        <w:rPr>
          <w:rFonts w:ascii="Helvetica" w:hAnsi="Helvetica" w:cs="Helvetica"/>
          <w:color w:val="000000"/>
        </w:rPr>
        <w:t>-</w:t>
      </w:r>
      <w:r w:rsidRPr="00BA6D5D">
        <w:rPr>
          <w:rFonts w:ascii="Helvetica" w:hAnsi="Helvetica" w:cs="Helvetica"/>
          <w:color w:val="000000"/>
        </w:rPr>
        <w:t>SCG</w:t>
      </w:r>
      <w:r>
        <w:rPr>
          <w:rFonts w:ascii="Helvetica" w:hAnsi="Helvetica" w:cs="Helvetica"/>
          <w:color w:val="000000"/>
        </w:rPr>
        <w:t xml:space="preserve"> </w:t>
      </w:r>
      <w:r w:rsidRPr="00993AA0">
        <w:rPr>
          <w:rFonts w:ascii="Helvetica" w:hAnsi="Helvetica" w:cs="Helvetica"/>
          <w:color w:val="000000"/>
        </w:rPr>
        <w:t>Program is $119 million, and the CDE will award $</w:t>
      </w:r>
      <w:r w:rsidR="00F812B6">
        <w:rPr>
          <w:rFonts w:ascii="Helvetica" w:hAnsi="Helvetica" w:cs="Helvetica"/>
          <w:color w:val="000000"/>
        </w:rPr>
        <w:t>113</w:t>
      </w:r>
      <w:r w:rsidR="00F812B6" w:rsidRPr="00993AA0">
        <w:rPr>
          <w:rFonts w:ascii="Helvetica" w:hAnsi="Helvetica" w:cs="Helvetica"/>
          <w:color w:val="000000"/>
        </w:rPr>
        <w:t xml:space="preserve"> </w:t>
      </w:r>
      <w:r w:rsidRPr="00993AA0">
        <w:rPr>
          <w:rFonts w:ascii="Helvetica" w:hAnsi="Helvetica" w:cs="Helvetica"/>
          <w:color w:val="000000"/>
        </w:rPr>
        <w:t>million on a competitive basis to high-need LEAs</w:t>
      </w:r>
      <w:r>
        <w:rPr>
          <w:rFonts w:ascii="Helvetica" w:hAnsi="Helvetica" w:cs="Helvetica"/>
          <w:color w:val="000000"/>
        </w:rPr>
        <w:t>.</w:t>
      </w:r>
    </w:p>
    <w:p w14:paraId="2B7E0665" w14:textId="77777777" w:rsidR="00406F50" w:rsidRPr="001B3958" w:rsidRDefault="00406F50" w:rsidP="00125DB9">
      <w:pPr>
        <w:pStyle w:val="Heading2"/>
        <w:spacing w:before="240" w:after="240"/>
        <w:rPr>
          <w:sz w:val="36"/>
          <w:szCs w:val="36"/>
        </w:rPr>
      </w:pPr>
      <w:r w:rsidRPr="001B3958">
        <w:rPr>
          <w:sz w:val="36"/>
          <w:szCs w:val="36"/>
        </w:rPr>
        <w:t>Attachment(s)</w:t>
      </w:r>
    </w:p>
    <w:p w14:paraId="70B473E9" w14:textId="280C4CC4" w:rsidR="00B9232A" w:rsidRDefault="000D57F9" w:rsidP="0051131F">
      <w:pPr>
        <w:pStyle w:val="ListParagraph"/>
        <w:numPr>
          <w:ilvl w:val="0"/>
          <w:numId w:val="19"/>
        </w:numPr>
      </w:pPr>
      <w:r w:rsidRPr="000D57F9">
        <w:t xml:space="preserve">Attachment 1: </w:t>
      </w:r>
      <w:r w:rsidR="0051131F">
        <w:t>Bipartisan Safer Communities Act Stronger Connections Grant Program</w:t>
      </w:r>
      <w:r w:rsidR="00535FA5">
        <w:t xml:space="preserve"> </w:t>
      </w:r>
      <w:r w:rsidR="0051131F">
        <w:t>Request for Applications</w:t>
      </w:r>
      <w:r w:rsidR="0071331B">
        <w:t xml:space="preserve"> (</w:t>
      </w:r>
      <w:r w:rsidR="0051131F">
        <w:t>4</w:t>
      </w:r>
      <w:r w:rsidR="00465ECF">
        <w:t>2</w:t>
      </w:r>
      <w:r w:rsidR="0071331B">
        <w:t xml:space="preserve"> pages)</w:t>
      </w:r>
      <w:r w:rsidR="00535FA5">
        <w:br/>
      </w:r>
    </w:p>
    <w:p w14:paraId="1E9D5AAF" w14:textId="4490D01C" w:rsidR="00F812B6" w:rsidRDefault="00B9232A" w:rsidP="00535FA5">
      <w:pPr>
        <w:pStyle w:val="ListParagraph"/>
        <w:numPr>
          <w:ilvl w:val="0"/>
          <w:numId w:val="19"/>
        </w:numPr>
      </w:pPr>
      <w:r w:rsidRPr="00114BFF">
        <w:t xml:space="preserve">Attachment 2: </w:t>
      </w:r>
      <w:r w:rsidR="004B71DF" w:rsidRPr="00114BFF">
        <w:t>Bipartisan Safer Communities Act-Stronger Connections Grant Survey</w:t>
      </w:r>
      <w:r w:rsidR="00114057">
        <w:t xml:space="preserve"> (2 pages)</w:t>
      </w:r>
    </w:p>
    <w:sectPr w:rsidR="00F812B6" w:rsidSect="00407E9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E5DC" w14:textId="77777777" w:rsidR="002956CA" w:rsidRDefault="002956CA" w:rsidP="000E09DC">
      <w:r>
        <w:separator/>
      </w:r>
    </w:p>
  </w:endnote>
  <w:endnote w:type="continuationSeparator" w:id="0">
    <w:p w14:paraId="7F0742E6" w14:textId="77777777" w:rsidR="002956CA" w:rsidRDefault="002956CA" w:rsidP="000E09DC">
      <w:r>
        <w:continuationSeparator/>
      </w:r>
    </w:p>
  </w:endnote>
  <w:endnote w:type="continuationNotice" w:id="1">
    <w:p w14:paraId="5ED501E8" w14:textId="77777777" w:rsidR="002956CA" w:rsidRDefault="00295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2540" w14:textId="77777777" w:rsidR="002956CA" w:rsidRDefault="002956CA" w:rsidP="000E09DC">
      <w:r>
        <w:separator/>
      </w:r>
    </w:p>
  </w:footnote>
  <w:footnote w:type="continuationSeparator" w:id="0">
    <w:p w14:paraId="74F794EA" w14:textId="77777777" w:rsidR="002956CA" w:rsidRDefault="002956CA" w:rsidP="000E09DC">
      <w:r>
        <w:continuationSeparator/>
      </w:r>
    </w:p>
  </w:footnote>
  <w:footnote w:type="continuationNotice" w:id="1">
    <w:p w14:paraId="28BB2A29" w14:textId="77777777" w:rsidR="002956CA" w:rsidRDefault="00295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869" w14:textId="77777777" w:rsidR="00087F37" w:rsidRDefault="00087F37" w:rsidP="000E09DC">
    <w:pPr>
      <w:pStyle w:val="Header"/>
      <w:jc w:val="right"/>
      <w:rPr>
        <w:rFonts w:eastAsia="Calibri" w:cs="Arial"/>
      </w:rPr>
    </w:pPr>
    <w:r w:rsidRPr="00087F37">
      <w:rPr>
        <w:rFonts w:eastAsia="Calibri" w:cs="Arial"/>
      </w:rPr>
      <w:t>sssb-wcd-jul23-item01</w:t>
    </w:r>
  </w:p>
  <w:p w14:paraId="7A186509" w14:textId="3E616379"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087F37">
      <w:rPr>
        <w:rFonts w:cs="Arial"/>
      </w:rPr>
      <w:t>4</w:t>
    </w:r>
  </w:p>
  <w:p w14:paraId="14E8F100" w14:textId="77777777" w:rsidR="00527B0E" w:rsidRPr="00527B0E" w:rsidRDefault="00527B0E"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11A"/>
    <w:multiLevelType w:val="multilevel"/>
    <w:tmpl w:val="30D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921F3"/>
    <w:multiLevelType w:val="hybridMultilevel"/>
    <w:tmpl w:val="A12EF300"/>
    <w:lvl w:ilvl="0" w:tplc="0E2AA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84FBA"/>
    <w:multiLevelType w:val="hybridMultilevel"/>
    <w:tmpl w:val="AE486DD8"/>
    <w:lvl w:ilvl="0" w:tplc="7AE8AF74">
      <w:start w:val="1"/>
      <w:numFmt w:val="bullet"/>
      <w:lvlText w:val="•"/>
      <w:lvlJc w:val="left"/>
      <w:pPr>
        <w:tabs>
          <w:tab w:val="num" w:pos="720"/>
        </w:tabs>
        <w:ind w:left="720" w:hanging="360"/>
      </w:pPr>
      <w:rPr>
        <w:rFonts w:ascii="Arial" w:hAnsi="Arial" w:hint="default"/>
      </w:rPr>
    </w:lvl>
    <w:lvl w:ilvl="1" w:tplc="6548DE2E" w:tentative="1">
      <w:start w:val="1"/>
      <w:numFmt w:val="bullet"/>
      <w:lvlText w:val="•"/>
      <w:lvlJc w:val="left"/>
      <w:pPr>
        <w:tabs>
          <w:tab w:val="num" w:pos="1440"/>
        </w:tabs>
        <w:ind w:left="1440" w:hanging="360"/>
      </w:pPr>
      <w:rPr>
        <w:rFonts w:ascii="Arial" w:hAnsi="Arial" w:hint="default"/>
      </w:rPr>
    </w:lvl>
    <w:lvl w:ilvl="2" w:tplc="08645FD2" w:tentative="1">
      <w:start w:val="1"/>
      <w:numFmt w:val="bullet"/>
      <w:lvlText w:val="•"/>
      <w:lvlJc w:val="left"/>
      <w:pPr>
        <w:tabs>
          <w:tab w:val="num" w:pos="2160"/>
        </w:tabs>
        <w:ind w:left="2160" w:hanging="360"/>
      </w:pPr>
      <w:rPr>
        <w:rFonts w:ascii="Arial" w:hAnsi="Arial" w:hint="default"/>
      </w:rPr>
    </w:lvl>
    <w:lvl w:ilvl="3" w:tplc="7CCE50F4" w:tentative="1">
      <w:start w:val="1"/>
      <w:numFmt w:val="bullet"/>
      <w:lvlText w:val="•"/>
      <w:lvlJc w:val="left"/>
      <w:pPr>
        <w:tabs>
          <w:tab w:val="num" w:pos="2880"/>
        </w:tabs>
        <w:ind w:left="2880" w:hanging="360"/>
      </w:pPr>
      <w:rPr>
        <w:rFonts w:ascii="Arial" w:hAnsi="Arial" w:hint="default"/>
      </w:rPr>
    </w:lvl>
    <w:lvl w:ilvl="4" w:tplc="2D0A3196" w:tentative="1">
      <w:start w:val="1"/>
      <w:numFmt w:val="bullet"/>
      <w:lvlText w:val="•"/>
      <w:lvlJc w:val="left"/>
      <w:pPr>
        <w:tabs>
          <w:tab w:val="num" w:pos="3600"/>
        </w:tabs>
        <w:ind w:left="3600" w:hanging="360"/>
      </w:pPr>
      <w:rPr>
        <w:rFonts w:ascii="Arial" w:hAnsi="Arial" w:hint="default"/>
      </w:rPr>
    </w:lvl>
    <w:lvl w:ilvl="5" w:tplc="BF88447E" w:tentative="1">
      <w:start w:val="1"/>
      <w:numFmt w:val="bullet"/>
      <w:lvlText w:val="•"/>
      <w:lvlJc w:val="left"/>
      <w:pPr>
        <w:tabs>
          <w:tab w:val="num" w:pos="4320"/>
        </w:tabs>
        <w:ind w:left="4320" w:hanging="360"/>
      </w:pPr>
      <w:rPr>
        <w:rFonts w:ascii="Arial" w:hAnsi="Arial" w:hint="default"/>
      </w:rPr>
    </w:lvl>
    <w:lvl w:ilvl="6" w:tplc="FF807CA6" w:tentative="1">
      <w:start w:val="1"/>
      <w:numFmt w:val="bullet"/>
      <w:lvlText w:val="•"/>
      <w:lvlJc w:val="left"/>
      <w:pPr>
        <w:tabs>
          <w:tab w:val="num" w:pos="5040"/>
        </w:tabs>
        <w:ind w:left="5040" w:hanging="360"/>
      </w:pPr>
      <w:rPr>
        <w:rFonts w:ascii="Arial" w:hAnsi="Arial" w:hint="default"/>
      </w:rPr>
    </w:lvl>
    <w:lvl w:ilvl="7" w:tplc="93C45874" w:tentative="1">
      <w:start w:val="1"/>
      <w:numFmt w:val="bullet"/>
      <w:lvlText w:val="•"/>
      <w:lvlJc w:val="left"/>
      <w:pPr>
        <w:tabs>
          <w:tab w:val="num" w:pos="5760"/>
        </w:tabs>
        <w:ind w:left="5760" w:hanging="360"/>
      </w:pPr>
      <w:rPr>
        <w:rFonts w:ascii="Arial" w:hAnsi="Arial" w:hint="default"/>
      </w:rPr>
    </w:lvl>
    <w:lvl w:ilvl="8" w:tplc="D1484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E54A5"/>
    <w:multiLevelType w:val="hybridMultilevel"/>
    <w:tmpl w:val="190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D76D5"/>
    <w:multiLevelType w:val="hybridMultilevel"/>
    <w:tmpl w:val="467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82CF3"/>
    <w:multiLevelType w:val="hybridMultilevel"/>
    <w:tmpl w:val="8598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425D1"/>
    <w:multiLevelType w:val="hybridMultilevel"/>
    <w:tmpl w:val="130A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B7CE7"/>
    <w:multiLevelType w:val="hybridMultilevel"/>
    <w:tmpl w:val="06F4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A5C3E"/>
    <w:multiLevelType w:val="hybridMultilevel"/>
    <w:tmpl w:val="251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C221B"/>
    <w:multiLevelType w:val="hybridMultilevel"/>
    <w:tmpl w:val="18A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A59F9"/>
    <w:multiLevelType w:val="hybridMultilevel"/>
    <w:tmpl w:val="E084E440"/>
    <w:lvl w:ilvl="0" w:tplc="F028B4BA">
      <w:start w:val="1"/>
      <w:numFmt w:val="bullet"/>
      <w:lvlText w:val="•"/>
      <w:lvlJc w:val="left"/>
      <w:pPr>
        <w:tabs>
          <w:tab w:val="num" w:pos="720"/>
        </w:tabs>
        <w:ind w:left="720" w:hanging="360"/>
      </w:pPr>
      <w:rPr>
        <w:rFonts w:ascii="Arial" w:hAnsi="Arial" w:hint="default"/>
      </w:rPr>
    </w:lvl>
    <w:lvl w:ilvl="1" w:tplc="D576C41A" w:tentative="1">
      <w:start w:val="1"/>
      <w:numFmt w:val="bullet"/>
      <w:lvlText w:val="•"/>
      <w:lvlJc w:val="left"/>
      <w:pPr>
        <w:tabs>
          <w:tab w:val="num" w:pos="1440"/>
        </w:tabs>
        <w:ind w:left="1440" w:hanging="360"/>
      </w:pPr>
      <w:rPr>
        <w:rFonts w:ascii="Arial" w:hAnsi="Arial" w:hint="default"/>
      </w:rPr>
    </w:lvl>
    <w:lvl w:ilvl="2" w:tplc="C6F2A9CC" w:tentative="1">
      <w:start w:val="1"/>
      <w:numFmt w:val="bullet"/>
      <w:lvlText w:val="•"/>
      <w:lvlJc w:val="left"/>
      <w:pPr>
        <w:tabs>
          <w:tab w:val="num" w:pos="2160"/>
        </w:tabs>
        <w:ind w:left="2160" w:hanging="360"/>
      </w:pPr>
      <w:rPr>
        <w:rFonts w:ascii="Arial" w:hAnsi="Arial" w:hint="default"/>
      </w:rPr>
    </w:lvl>
    <w:lvl w:ilvl="3" w:tplc="79AAE8EE" w:tentative="1">
      <w:start w:val="1"/>
      <w:numFmt w:val="bullet"/>
      <w:lvlText w:val="•"/>
      <w:lvlJc w:val="left"/>
      <w:pPr>
        <w:tabs>
          <w:tab w:val="num" w:pos="2880"/>
        </w:tabs>
        <w:ind w:left="2880" w:hanging="360"/>
      </w:pPr>
      <w:rPr>
        <w:rFonts w:ascii="Arial" w:hAnsi="Arial" w:hint="default"/>
      </w:rPr>
    </w:lvl>
    <w:lvl w:ilvl="4" w:tplc="9AF8A40C" w:tentative="1">
      <w:start w:val="1"/>
      <w:numFmt w:val="bullet"/>
      <w:lvlText w:val="•"/>
      <w:lvlJc w:val="left"/>
      <w:pPr>
        <w:tabs>
          <w:tab w:val="num" w:pos="3600"/>
        </w:tabs>
        <w:ind w:left="3600" w:hanging="360"/>
      </w:pPr>
      <w:rPr>
        <w:rFonts w:ascii="Arial" w:hAnsi="Arial" w:hint="default"/>
      </w:rPr>
    </w:lvl>
    <w:lvl w:ilvl="5" w:tplc="E6BA2E16" w:tentative="1">
      <w:start w:val="1"/>
      <w:numFmt w:val="bullet"/>
      <w:lvlText w:val="•"/>
      <w:lvlJc w:val="left"/>
      <w:pPr>
        <w:tabs>
          <w:tab w:val="num" w:pos="4320"/>
        </w:tabs>
        <w:ind w:left="4320" w:hanging="360"/>
      </w:pPr>
      <w:rPr>
        <w:rFonts w:ascii="Arial" w:hAnsi="Arial" w:hint="default"/>
      </w:rPr>
    </w:lvl>
    <w:lvl w:ilvl="6" w:tplc="5E50BC74" w:tentative="1">
      <w:start w:val="1"/>
      <w:numFmt w:val="bullet"/>
      <w:lvlText w:val="•"/>
      <w:lvlJc w:val="left"/>
      <w:pPr>
        <w:tabs>
          <w:tab w:val="num" w:pos="5040"/>
        </w:tabs>
        <w:ind w:left="5040" w:hanging="360"/>
      </w:pPr>
      <w:rPr>
        <w:rFonts w:ascii="Arial" w:hAnsi="Arial" w:hint="default"/>
      </w:rPr>
    </w:lvl>
    <w:lvl w:ilvl="7" w:tplc="48C06168" w:tentative="1">
      <w:start w:val="1"/>
      <w:numFmt w:val="bullet"/>
      <w:lvlText w:val="•"/>
      <w:lvlJc w:val="left"/>
      <w:pPr>
        <w:tabs>
          <w:tab w:val="num" w:pos="5760"/>
        </w:tabs>
        <w:ind w:left="5760" w:hanging="360"/>
      </w:pPr>
      <w:rPr>
        <w:rFonts w:ascii="Arial" w:hAnsi="Arial" w:hint="default"/>
      </w:rPr>
    </w:lvl>
    <w:lvl w:ilvl="8" w:tplc="32F4114C" w:tentative="1">
      <w:start w:val="1"/>
      <w:numFmt w:val="bullet"/>
      <w:lvlText w:val="•"/>
      <w:lvlJc w:val="left"/>
      <w:pPr>
        <w:tabs>
          <w:tab w:val="num" w:pos="6480"/>
        </w:tabs>
        <w:ind w:left="6480" w:hanging="360"/>
      </w:pPr>
      <w:rPr>
        <w:rFonts w:ascii="Arial" w:hAnsi="Arial" w:hint="default"/>
      </w:rPr>
    </w:lvl>
  </w:abstractNum>
  <w:num w:numId="1" w16cid:durableId="910391549">
    <w:abstractNumId w:val="6"/>
  </w:num>
  <w:num w:numId="2" w16cid:durableId="1327630276">
    <w:abstractNumId w:val="12"/>
  </w:num>
  <w:num w:numId="3" w16cid:durableId="2046707234">
    <w:abstractNumId w:val="2"/>
  </w:num>
  <w:num w:numId="4" w16cid:durableId="1158691408">
    <w:abstractNumId w:val="10"/>
  </w:num>
  <w:num w:numId="5" w16cid:durableId="1852525159">
    <w:abstractNumId w:val="11"/>
  </w:num>
  <w:num w:numId="6" w16cid:durableId="430127480">
    <w:abstractNumId w:val="1"/>
  </w:num>
  <w:num w:numId="7" w16cid:durableId="146828616">
    <w:abstractNumId w:val="4"/>
  </w:num>
  <w:num w:numId="8" w16cid:durableId="457798913">
    <w:abstractNumId w:val="0"/>
  </w:num>
  <w:num w:numId="9" w16cid:durableId="1321276554">
    <w:abstractNumId w:val="16"/>
  </w:num>
  <w:num w:numId="10" w16cid:durableId="1775981772">
    <w:abstractNumId w:val="7"/>
  </w:num>
  <w:num w:numId="11" w16cid:durableId="1643996175">
    <w:abstractNumId w:val="15"/>
  </w:num>
  <w:num w:numId="12" w16cid:durableId="1749226328">
    <w:abstractNumId w:val="18"/>
  </w:num>
  <w:num w:numId="13" w16cid:durableId="856577086">
    <w:abstractNumId w:val="5"/>
  </w:num>
  <w:num w:numId="14" w16cid:durableId="154608139">
    <w:abstractNumId w:val="8"/>
  </w:num>
  <w:num w:numId="15" w16cid:durableId="104274740">
    <w:abstractNumId w:val="14"/>
  </w:num>
  <w:num w:numId="16" w16cid:durableId="319895597">
    <w:abstractNumId w:val="3"/>
  </w:num>
  <w:num w:numId="17" w16cid:durableId="300042106">
    <w:abstractNumId w:val="13"/>
  </w:num>
  <w:num w:numId="18" w16cid:durableId="1360355264">
    <w:abstractNumId w:val="17"/>
  </w:num>
  <w:num w:numId="19" w16cid:durableId="1863474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0163"/>
    <w:rsid w:val="000107BB"/>
    <w:rsid w:val="000324AD"/>
    <w:rsid w:val="00036EF3"/>
    <w:rsid w:val="00050469"/>
    <w:rsid w:val="00050EA7"/>
    <w:rsid w:val="00067B32"/>
    <w:rsid w:val="00087F37"/>
    <w:rsid w:val="00092EF5"/>
    <w:rsid w:val="000A03D3"/>
    <w:rsid w:val="000A3EFE"/>
    <w:rsid w:val="000A5640"/>
    <w:rsid w:val="000B2ACE"/>
    <w:rsid w:val="000D0DB7"/>
    <w:rsid w:val="000D57F9"/>
    <w:rsid w:val="000D69B5"/>
    <w:rsid w:val="000E09DC"/>
    <w:rsid w:val="000F6E61"/>
    <w:rsid w:val="001048F3"/>
    <w:rsid w:val="00114057"/>
    <w:rsid w:val="00114BFF"/>
    <w:rsid w:val="00120BD7"/>
    <w:rsid w:val="001221B0"/>
    <w:rsid w:val="00125DB9"/>
    <w:rsid w:val="00130059"/>
    <w:rsid w:val="00131830"/>
    <w:rsid w:val="0018148D"/>
    <w:rsid w:val="00190982"/>
    <w:rsid w:val="001922E1"/>
    <w:rsid w:val="001A0CA5"/>
    <w:rsid w:val="001B3958"/>
    <w:rsid w:val="001B6703"/>
    <w:rsid w:val="001C3E9D"/>
    <w:rsid w:val="001E0BB9"/>
    <w:rsid w:val="001E1929"/>
    <w:rsid w:val="0020514C"/>
    <w:rsid w:val="00212B45"/>
    <w:rsid w:val="00223112"/>
    <w:rsid w:val="00237727"/>
    <w:rsid w:val="00240B26"/>
    <w:rsid w:val="00256043"/>
    <w:rsid w:val="00256B95"/>
    <w:rsid w:val="002956CA"/>
    <w:rsid w:val="002A31C8"/>
    <w:rsid w:val="002B4B14"/>
    <w:rsid w:val="002D1A82"/>
    <w:rsid w:val="002D3849"/>
    <w:rsid w:val="002E117D"/>
    <w:rsid w:val="002E4CB5"/>
    <w:rsid w:val="002E6FCA"/>
    <w:rsid w:val="002F279B"/>
    <w:rsid w:val="0030663D"/>
    <w:rsid w:val="00312013"/>
    <w:rsid w:val="00315131"/>
    <w:rsid w:val="00333021"/>
    <w:rsid w:val="00341ADE"/>
    <w:rsid w:val="00363520"/>
    <w:rsid w:val="0036479B"/>
    <w:rsid w:val="00366DB8"/>
    <w:rsid w:val="0036765F"/>
    <w:rsid w:val="003705FC"/>
    <w:rsid w:val="00380D63"/>
    <w:rsid w:val="00384ACF"/>
    <w:rsid w:val="003A5CFF"/>
    <w:rsid w:val="003B68F2"/>
    <w:rsid w:val="003C01D6"/>
    <w:rsid w:val="003C28EA"/>
    <w:rsid w:val="003D0E55"/>
    <w:rsid w:val="003D1ECD"/>
    <w:rsid w:val="003E1E8D"/>
    <w:rsid w:val="003E4DF7"/>
    <w:rsid w:val="003E5DB1"/>
    <w:rsid w:val="00406F50"/>
    <w:rsid w:val="00407E9B"/>
    <w:rsid w:val="004203BC"/>
    <w:rsid w:val="00431AD1"/>
    <w:rsid w:val="0044670C"/>
    <w:rsid w:val="00465ECF"/>
    <w:rsid w:val="00470A0D"/>
    <w:rsid w:val="0047534A"/>
    <w:rsid w:val="004A736E"/>
    <w:rsid w:val="004B35E5"/>
    <w:rsid w:val="004B573E"/>
    <w:rsid w:val="004B71DF"/>
    <w:rsid w:val="004C0DFD"/>
    <w:rsid w:val="004C541B"/>
    <w:rsid w:val="004D1EF0"/>
    <w:rsid w:val="004D5EB0"/>
    <w:rsid w:val="004D6043"/>
    <w:rsid w:val="004E029B"/>
    <w:rsid w:val="004F54B4"/>
    <w:rsid w:val="004F756E"/>
    <w:rsid w:val="0051131F"/>
    <w:rsid w:val="005172C2"/>
    <w:rsid w:val="00517C00"/>
    <w:rsid w:val="00527293"/>
    <w:rsid w:val="00527B0E"/>
    <w:rsid w:val="00535FA5"/>
    <w:rsid w:val="005360CA"/>
    <w:rsid w:val="005448B0"/>
    <w:rsid w:val="00566E49"/>
    <w:rsid w:val="00577C56"/>
    <w:rsid w:val="005934FF"/>
    <w:rsid w:val="005A1FBB"/>
    <w:rsid w:val="005C3C10"/>
    <w:rsid w:val="005E23D4"/>
    <w:rsid w:val="005E257B"/>
    <w:rsid w:val="005E3EF9"/>
    <w:rsid w:val="005F6435"/>
    <w:rsid w:val="005F6DB9"/>
    <w:rsid w:val="006012C1"/>
    <w:rsid w:val="00602BB0"/>
    <w:rsid w:val="00651EED"/>
    <w:rsid w:val="00682A05"/>
    <w:rsid w:val="00683328"/>
    <w:rsid w:val="00686E4E"/>
    <w:rsid w:val="00692300"/>
    <w:rsid w:val="00693951"/>
    <w:rsid w:val="006B01D2"/>
    <w:rsid w:val="006B1E99"/>
    <w:rsid w:val="006B2111"/>
    <w:rsid w:val="006C0113"/>
    <w:rsid w:val="006C3618"/>
    <w:rsid w:val="006D0223"/>
    <w:rsid w:val="006D3024"/>
    <w:rsid w:val="006E06C6"/>
    <w:rsid w:val="0071331B"/>
    <w:rsid w:val="00713A41"/>
    <w:rsid w:val="00714A44"/>
    <w:rsid w:val="00720ECC"/>
    <w:rsid w:val="00726EDA"/>
    <w:rsid w:val="007313A3"/>
    <w:rsid w:val="007428B8"/>
    <w:rsid w:val="00746164"/>
    <w:rsid w:val="00746239"/>
    <w:rsid w:val="0075457C"/>
    <w:rsid w:val="00757A78"/>
    <w:rsid w:val="00780BB6"/>
    <w:rsid w:val="00794D8D"/>
    <w:rsid w:val="007B0E18"/>
    <w:rsid w:val="007C0E31"/>
    <w:rsid w:val="007C5697"/>
    <w:rsid w:val="007D6A8F"/>
    <w:rsid w:val="007E7F23"/>
    <w:rsid w:val="00801FB6"/>
    <w:rsid w:val="00821A2F"/>
    <w:rsid w:val="00823270"/>
    <w:rsid w:val="00837C14"/>
    <w:rsid w:val="00862F41"/>
    <w:rsid w:val="008763AD"/>
    <w:rsid w:val="0088560D"/>
    <w:rsid w:val="008909EE"/>
    <w:rsid w:val="00895AE5"/>
    <w:rsid w:val="008B5470"/>
    <w:rsid w:val="008D28A1"/>
    <w:rsid w:val="008E135E"/>
    <w:rsid w:val="008F25DD"/>
    <w:rsid w:val="008F5555"/>
    <w:rsid w:val="0091117B"/>
    <w:rsid w:val="009446AA"/>
    <w:rsid w:val="00973D83"/>
    <w:rsid w:val="00993AA0"/>
    <w:rsid w:val="009A570E"/>
    <w:rsid w:val="009B04E1"/>
    <w:rsid w:val="009D5028"/>
    <w:rsid w:val="009E5792"/>
    <w:rsid w:val="00A07F42"/>
    <w:rsid w:val="00A16315"/>
    <w:rsid w:val="00A30B3C"/>
    <w:rsid w:val="00A43678"/>
    <w:rsid w:val="00A6072B"/>
    <w:rsid w:val="00A764DB"/>
    <w:rsid w:val="00A97CC7"/>
    <w:rsid w:val="00AA73EE"/>
    <w:rsid w:val="00AC1A1D"/>
    <w:rsid w:val="00AC7948"/>
    <w:rsid w:val="00AD547B"/>
    <w:rsid w:val="00AE6D93"/>
    <w:rsid w:val="00AF0CB3"/>
    <w:rsid w:val="00B03772"/>
    <w:rsid w:val="00B133D7"/>
    <w:rsid w:val="00B15526"/>
    <w:rsid w:val="00B155C0"/>
    <w:rsid w:val="00B35869"/>
    <w:rsid w:val="00B51D0D"/>
    <w:rsid w:val="00B6015F"/>
    <w:rsid w:val="00B6A980"/>
    <w:rsid w:val="00B723BE"/>
    <w:rsid w:val="00B72615"/>
    <w:rsid w:val="00B82705"/>
    <w:rsid w:val="00B86F87"/>
    <w:rsid w:val="00B9232A"/>
    <w:rsid w:val="00BA0468"/>
    <w:rsid w:val="00BA6D5D"/>
    <w:rsid w:val="00BF59A8"/>
    <w:rsid w:val="00C11C02"/>
    <w:rsid w:val="00C132AC"/>
    <w:rsid w:val="00C14B5D"/>
    <w:rsid w:val="00C27D57"/>
    <w:rsid w:val="00C3563C"/>
    <w:rsid w:val="00C61130"/>
    <w:rsid w:val="00C6326E"/>
    <w:rsid w:val="00C82CBA"/>
    <w:rsid w:val="00C83DB2"/>
    <w:rsid w:val="00C920D2"/>
    <w:rsid w:val="00C9663D"/>
    <w:rsid w:val="00CA1B85"/>
    <w:rsid w:val="00CB4793"/>
    <w:rsid w:val="00CC42F1"/>
    <w:rsid w:val="00CD6A07"/>
    <w:rsid w:val="00CE1C84"/>
    <w:rsid w:val="00CF1A2A"/>
    <w:rsid w:val="00D01643"/>
    <w:rsid w:val="00D441A6"/>
    <w:rsid w:val="00D47DAB"/>
    <w:rsid w:val="00D5115F"/>
    <w:rsid w:val="00D52A8C"/>
    <w:rsid w:val="00D5730E"/>
    <w:rsid w:val="00D705C9"/>
    <w:rsid w:val="00D80D57"/>
    <w:rsid w:val="00D8667C"/>
    <w:rsid w:val="00D86AB9"/>
    <w:rsid w:val="00DB45FD"/>
    <w:rsid w:val="00DE635B"/>
    <w:rsid w:val="00DF3106"/>
    <w:rsid w:val="00E371EC"/>
    <w:rsid w:val="00E50C31"/>
    <w:rsid w:val="00E5481E"/>
    <w:rsid w:val="00E6251C"/>
    <w:rsid w:val="00E97C72"/>
    <w:rsid w:val="00E97F22"/>
    <w:rsid w:val="00EA0081"/>
    <w:rsid w:val="00EA7D4F"/>
    <w:rsid w:val="00EB16F7"/>
    <w:rsid w:val="00EB203F"/>
    <w:rsid w:val="00EC3AF9"/>
    <w:rsid w:val="00EC504C"/>
    <w:rsid w:val="00EE40D5"/>
    <w:rsid w:val="00F01340"/>
    <w:rsid w:val="00F047AC"/>
    <w:rsid w:val="00F40510"/>
    <w:rsid w:val="00F62478"/>
    <w:rsid w:val="00F75E77"/>
    <w:rsid w:val="00F812B6"/>
    <w:rsid w:val="00F8286F"/>
    <w:rsid w:val="00FA4B01"/>
    <w:rsid w:val="00FB34D2"/>
    <w:rsid w:val="00FC1FCE"/>
    <w:rsid w:val="00FC7F6D"/>
    <w:rsid w:val="00FE3007"/>
    <w:rsid w:val="00FE4BD6"/>
    <w:rsid w:val="00FF277C"/>
    <w:rsid w:val="01168109"/>
    <w:rsid w:val="05B2849A"/>
    <w:rsid w:val="067F3460"/>
    <w:rsid w:val="08A83A44"/>
    <w:rsid w:val="08A939D3"/>
    <w:rsid w:val="08EA255C"/>
    <w:rsid w:val="0C6198A2"/>
    <w:rsid w:val="10910D6D"/>
    <w:rsid w:val="18CF222E"/>
    <w:rsid w:val="1F5E4FD3"/>
    <w:rsid w:val="25D50EB0"/>
    <w:rsid w:val="25E8969B"/>
    <w:rsid w:val="29AA9EEF"/>
    <w:rsid w:val="2AE0DA71"/>
    <w:rsid w:val="320406F1"/>
    <w:rsid w:val="34A71749"/>
    <w:rsid w:val="353BA7B3"/>
    <w:rsid w:val="39F5F079"/>
    <w:rsid w:val="39F6C85B"/>
    <w:rsid w:val="3A407F35"/>
    <w:rsid w:val="3B2AC82D"/>
    <w:rsid w:val="3C0B0573"/>
    <w:rsid w:val="3D149BB6"/>
    <w:rsid w:val="3DA253D5"/>
    <w:rsid w:val="3F456D32"/>
    <w:rsid w:val="42719BD7"/>
    <w:rsid w:val="45AC59AD"/>
    <w:rsid w:val="4BAFD22A"/>
    <w:rsid w:val="4D43698F"/>
    <w:rsid w:val="548D911F"/>
    <w:rsid w:val="59046EC7"/>
    <w:rsid w:val="5EE8DB95"/>
    <w:rsid w:val="5F415EB5"/>
    <w:rsid w:val="60649965"/>
    <w:rsid w:val="678B9B2B"/>
    <w:rsid w:val="68E413F7"/>
    <w:rsid w:val="6AE01BBC"/>
    <w:rsid w:val="6F59C4AC"/>
    <w:rsid w:val="6FE34DE5"/>
    <w:rsid w:val="7B160B42"/>
    <w:rsid w:val="7FE99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9DE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E23D4"/>
    <w:rPr>
      <w:color w:val="605E5C"/>
      <w:shd w:val="clear" w:color="auto" w:fill="E1DFDD"/>
    </w:rPr>
  </w:style>
  <w:style w:type="paragraph" w:styleId="NormalWeb">
    <w:name w:val="Normal (Web)"/>
    <w:basedOn w:val="Normal"/>
    <w:uiPriority w:val="99"/>
    <w:unhideWhenUsed/>
    <w:rsid w:val="00EC3AF9"/>
    <w:pPr>
      <w:spacing w:before="100" w:beforeAutospacing="1" w:after="100" w:afterAutospacing="1"/>
    </w:pPr>
    <w:rPr>
      <w:rFonts w:ascii="Times New Roman" w:hAnsi="Times New Roman"/>
    </w:rPr>
  </w:style>
  <w:style w:type="character" w:styleId="Strong">
    <w:name w:val="Strong"/>
    <w:uiPriority w:val="22"/>
    <w:qFormat/>
    <w:rsid w:val="00566E49"/>
    <w:rPr>
      <w:b/>
      <w:bCs/>
    </w:rPr>
  </w:style>
  <w:style w:type="character" w:styleId="CommentReference">
    <w:name w:val="annotation reference"/>
    <w:basedOn w:val="DefaultParagraphFont"/>
    <w:uiPriority w:val="99"/>
    <w:unhideWhenUsed/>
    <w:rsid w:val="007E7F23"/>
    <w:rPr>
      <w:sz w:val="16"/>
      <w:szCs w:val="16"/>
    </w:rPr>
  </w:style>
  <w:style w:type="paragraph" w:styleId="CommentText">
    <w:name w:val="annotation text"/>
    <w:basedOn w:val="Normal"/>
    <w:link w:val="CommentTextChar"/>
    <w:uiPriority w:val="99"/>
    <w:unhideWhenUsed/>
    <w:rsid w:val="007E7F2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7F23"/>
    <w:rPr>
      <w:sz w:val="20"/>
      <w:szCs w:val="20"/>
    </w:rPr>
  </w:style>
  <w:style w:type="paragraph" w:styleId="CommentSubject">
    <w:name w:val="annotation subject"/>
    <w:basedOn w:val="CommentText"/>
    <w:next w:val="CommentText"/>
    <w:link w:val="CommentSubjectChar"/>
    <w:uiPriority w:val="99"/>
    <w:semiHidden/>
    <w:unhideWhenUsed/>
    <w:rsid w:val="00EE40D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E40D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5730E"/>
    <w:rPr>
      <w:color w:val="954F72" w:themeColor="followedHyperlink"/>
      <w:u w:val="single"/>
    </w:rPr>
  </w:style>
  <w:style w:type="character" w:customStyle="1" w:styleId="ListParagraphChar">
    <w:name w:val="List Paragraph Char"/>
    <w:aliases w:val="list Char"/>
    <w:basedOn w:val="DefaultParagraphFont"/>
    <w:link w:val="ListParagraph"/>
    <w:uiPriority w:val="34"/>
    <w:locked/>
    <w:rsid w:val="004B35E5"/>
    <w:rPr>
      <w:rFonts w:ascii="Arial" w:eastAsia="Times New Roman" w:hAnsi="Arial" w:cs="Times New Roman"/>
      <w:sz w:val="24"/>
      <w:szCs w:val="24"/>
    </w:rPr>
  </w:style>
  <w:style w:type="paragraph" w:styleId="Revision">
    <w:name w:val="Revision"/>
    <w:hidden/>
    <w:uiPriority w:val="99"/>
    <w:semiHidden/>
    <w:rsid w:val="00FB34D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7104">
      <w:bodyDiv w:val="1"/>
      <w:marLeft w:val="0"/>
      <w:marRight w:val="0"/>
      <w:marTop w:val="0"/>
      <w:marBottom w:val="0"/>
      <w:divBdr>
        <w:top w:val="none" w:sz="0" w:space="0" w:color="auto"/>
        <w:left w:val="none" w:sz="0" w:space="0" w:color="auto"/>
        <w:bottom w:val="none" w:sz="0" w:space="0" w:color="auto"/>
        <w:right w:val="none" w:sz="0" w:space="0" w:color="auto"/>
      </w:divBdr>
    </w:div>
    <w:div w:id="965354440">
      <w:bodyDiv w:val="1"/>
      <w:marLeft w:val="0"/>
      <w:marRight w:val="0"/>
      <w:marTop w:val="0"/>
      <w:marBottom w:val="0"/>
      <w:divBdr>
        <w:top w:val="none" w:sz="0" w:space="0" w:color="auto"/>
        <w:left w:val="none" w:sz="0" w:space="0" w:color="auto"/>
        <w:bottom w:val="none" w:sz="0" w:space="0" w:color="auto"/>
        <w:right w:val="none" w:sz="0" w:space="0" w:color="auto"/>
      </w:divBdr>
    </w:div>
    <w:div w:id="1108693743">
      <w:bodyDiv w:val="1"/>
      <w:marLeft w:val="0"/>
      <w:marRight w:val="0"/>
      <w:marTop w:val="0"/>
      <w:marBottom w:val="0"/>
      <w:divBdr>
        <w:top w:val="none" w:sz="0" w:space="0" w:color="auto"/>
        <w:left w:val="none" w:sz="0" w:space="0" w:color="auto"/>
        <w:bottom w:val="none" w:sz="0" w:space="0" w:color="auto"/>
        <w:right w:val="none" w:sz="0" w:space="0" w:color="auto"/>
      </w:divBdr>
      <w:divsChild>
        <w:div w:id="542180016">
          <w:marLeft w:val="806"/>
          <w:marRight w:val="0"/>
          <w:marTop w:val="0"/>
          <w:marBottom w:val="0"/>
          <w:divBdr>
            <w:top w:val="none" w:sz="0" w:space="0" w:color="auto"/>
            <w:left w:val="none" w:sz="0" w:space="0" w:color="auto"/>
            <w:bottom w:val="none" w:sz="0" w:space="0" w:color="auto"/>
            <w:right w:val="none" w:sz="0" w:space="0" w:color="auto"/>
          </w:divBdr>
        </w:div>
        <w:div w:id="1846941336">
          <w:marLeft w:val="806"/>
          <w:marRight w:val="0"/>
          <w:marTop w:val="0"/>
          <w:marBottom w:val="0"/>
          <w:divBdr>
            <w:top w:val="none" w:sz="0" w:space="0" w:color="auto"/>
            <w:left w:val="none" w:sz="0" w:space="0" w:color="auto"/>
            <w:bottom w:val="none" w:sz="0" w:space="0" w:color="auto"/>
            <w:right w:val="none" w:sz="0" w:space="0" w:color="auto"/>
          </w:divBdr>
        </w:div>
      </w:divsChild>
    </w:div>
    <w:div w:id="1446537792">
      <w:bodyDiv w:val="1"/>
      <w:marLeft w:val="0"/>
      <w:marRight w:val="0"/>
      <w:marTop w:val="0"/>
      <w:marBottom w:val="0"/>
      <w:divBdr>
        <w:top w:val="none" w:sz="0" w:space="0" w:color="auto"/>
        <w:left w:val="none" w:sz="0" w:space="0" w:color="auto"/>
        <w:bottom w:val="none" w:sz="0" w:space="0" w:color="auto"/>
        <w:right w:val="none" w:sz="0" w:space="0" w:color="auto"/>
      </w:divBdr>
    </w:div>
    <w:div w:id="1658532832">
      <w:bodyDiv w:val="1"/>
      <w:marLeft w:val="0"/>
      <w:marRight w:val="0"/>
      <w:marTop w:val="0"/>
      <w:marBottom w:val="0"/>
      <w:divBdr>
        <w:top w:val="none" w:sz="0" w:space="0" w:color="auto"/>
        <w:left w:val="none" w:sz="0" w:space="0" w:color="auto"/>
        <w:bottom w:val="none" w:sz="0" w:space="0" w:color="auto"/>
        <w:right w:val="none" w:sz="0" w:space="0" w:color="auto"/>
      </w:divBdr>
    </w:div>
    <w:div w:id="1695424030">
      <w:bodyDiv w:val="1"/>
      <w:marLeft w:val="0"/>
      <w:marRight w:val="0"/>
      <w:marTop w:val="0"/>
      <w:marBottom w:val="0"/>
      <w:divBdr>
        <w:top w:val="none" w:sz="0" w:space="0" w:color="auto"/>
        <w:left w:val="none" w:sz="0" w:space="0" w:color="auto"/>
        <w:bottom w:val="none" w:sz="0" w:space="0" w:color="auto"/>
        <w:right w:val="none" w:sz="0" w:space="0" w:color="auto"/>
      </w:divBdr>
    </w:div>
    <w:div w:id="20808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51DBE87ADF7042BEB79ADCE4C42F98" ma:contentTypeVersion="5" ma:contentTypeDescription="Create a new document." ma:contentTypeScope="" ma:versionID="24586ecc42876098acf1be864841cafa">
  <xsd:schema xmlns:xsd="http://www.w3.org/2001/XMLSchema" xmlns:xs="http://www.w3.org/2001/XMLSchema" xmlns:p="http://schemas.microsoft.com/office/2006/metadata/properties" xmlns:ns2="0d53f84f-1316-4c48-862f-bc4d448a8b3a" xmlns:ns3="d85e858a-9d19-42cd-a604-c36375cb551e" targetNamespace="http://schemas.microsoft.com/office/2006/metadata/properties" ma:root="true" ma:fieldsID="99657ca7d7f3b23ed1e118f242a1fa8b" ns2:_="" ns3:_="">
    <xsd:import namespace="0d53f84f-1316-4c48-862f-bc4d448a8b3a"/>
    <xsd:import namespace="d85e858a-9d19-42cd-a604-c36375cb55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3f84f-1316-4c48-862f-bc4d448a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e858a-9d19-42cd-a604-c36375cb55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E4373-A323-4895-9608-169837EB2BD7}">
  <ds:schemaRefs>
    <ds:schemaRef ds:uri="http://schemas.openxmlformats.org/officeDocument/2006/bibliography"/>
  </ds:schemaRefs>
</ds:datastoreItem>
</file>

<file path=customXml/itemProps2.xml><?xml version="1.0" encoding="utf-8"?>
<ds:datastoreItem xmlns:ds="http://schemas.openxmlformats.org/officeDocument/2006/customXml" ds:itemID="{11D36040-64A2-428F-AE40-5E14AEBB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3f84f-1316-4c48-862f-bc4d448a8b3a"/>
    <ds:schemaRef ds:uri="d85e858a-9d19-42cd-a604-c36375cb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85523-A94E-40C0-8D99-700182BFF120}">
  <ds:schemaRefs>
    <ds:schemaRef ds:uri="http://schemas.microsoft.com/sharepoint/v3/contenttype/forms"/>
  </ds:schemaRefs>
</ds:datastoreItem>
</file>

<file path=customXml/itemProps4.xml><?xml version="1.0" encoding="utf-8"?>
<ds:datastoreItem xmlns:ds="http://schemas.openxmlformats.org/officeDocument/2006/customXml" ds:itemID="{F3105280-E691-438B-9AF0-8D0A4FF96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1235</Words>
  <Characters>7045</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July 2023 Agenda Item 12 - Meeting Agendas (CA State Board of Education)</vt:lpstr>
    </vt:vector>
  </TitlesOfParts>
  <Company>California State Board of Education</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12 - Meeting Agendas (CA State Board of Education)</dc:title>
  <dc:subject>California's Bipartisan Safer Communities Act Stronger Connections Grant Program Proposal: Approval of the Criteria to Define High-needs.</dc:subject>
  <dc:creator/>
  <cp:keywords/>
  <dc:description/>
  <cp:lastPrinted>2017-10-30T17:36:00Z</cp:lastPrinted>
  <dcterms:created xsi:type="dcterms:W3CDTF">2023-06-27T22:56:00Z</dcterms:created>
  <dcterms:modified xsi:type="dcterms:W3CDTF">2023-06-29T18:20:00Z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0x010100D051DBE87ADF7042BEB79ADCE4C42F98</vt:lpwstr>
  </property>
</Properties>
</file>