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B3A3" w14:textId="00B30443" w:rsidR="006E06C6" w:rsidRPr="00924644" w:rsidRDefault="00D5115F" w:rsidP="00582C51">
      <w:pPr>
        <w:spacing w:after="240"/>
      </w:pPr>
      <w:r w:rsidRPr="00924644">
        <w:rPr>
          <w:noProof/>
        </w:rPr>
        <w:drawing>
          <wp:inline distT="0" distB="0" distL="0" distR="0" wp14:anchorId="247B4E7B" wp14:editId="297E8AE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71D3A93" w14:textId="77777777" w:rsidR="00B723BE" w:rsidRPr="00924644" w:rsidRDefault="00FC1FCE" w:rsidP="00582C51">
      <w:pPr>
        <w:jc w:val="right"/>
      </w:pPr>
      <w:r w:rsidRPr="00924644">
        <w:t>California Department of Education</w:t>
      </w:r>
    </w:p>
    <w:p w14:paraId="275CE262" w14:textId="77777777" w:rsidR="00B723BE" w:rsidRPr="00924644" w:rsidRDefault="00FC1FCE" w:rsidP="00582C51">
      <w:pPr>
        <w:jc w:val="right"/>
      </w:pPr>
      <w:r w:rsidRPr="00924644">
        <w:t>Executive Office</w:t>
      </w:r>
    </w:p>
    <w:p w14:paraId="3165A04B" w14:textId="77777777" w:rsidR="002B4B14" w:rsidRPr="00924644" w:rsidRDefault="00692300" w:rsidP="00582C51">
      <w:pPr>
        <w:jc w:val="right"/>
      </w:pPr>
      <w:r w:rsidRPr="00924644">
        <w:t>SBE-00</w:t>
      </w:r>
      <w:r w:rsidR="000324AD" w:rsidRPr="00924644">
        <w:t>3</w:t>
      </w:r>
      <w:r w:rsidRPr="00924644">
        <w:t xml:space="preserve"> (REV. 1</w:t>
      </w:r>
      <w:r w:rsidR="00C27D57" w:rsidRPr="00924644">
        <w:t>1</w:t>
      </w:r>
      <w:r w:rsidRPr="00924644">
        <w:t>/2017</w:t>
      </w:r>
      <w:r w:rsidR="00FC1FCE" w:rsidRPr="00924644">
        <w:t>)</w:t>
      </w:r>
    </w:p>
    <w:p w14:paraId="22C33D28" w14:textId="77777777" w:rsidR="00B723BE" w:rsidRPr="00924644" w:rsidRDefault="000E5B90" w:rsidP="00582C51">
      <w:pPr>
        <w:jc w:val="right"/>
      </w:pPr>
      <w:r w:rsidRPr="00924644">
        <w:t>sssb-cctd-</w:t>
      </w:r>
      <w:r w:rsidR="00E72CF6">
        <w:t>nov</w:t>
      </w:r>
      <w:r w:rsidRPr="00924644">
        <w:t>2</w:t>
      </w:r>
      <w:r w:rsidR="00646C52">
        <w:t>3</w:t>
      </w:r>
      <w:r w:rsidRPr="00924644">
        <w:t>item</w:t>
      </w:r>
      <w:r w:rsidR="00512EE1" w:rsidRPr="00512EE1">
        <w:t>01</w:t>
      </w:r>
    </w:p>
    <w:p w14:paraId="370DEE31" w14:textId="77777777" w:rsidR="00B723BE" w:rsidRPr="00924644" w:rsidRDefault="00B723BE" w:rsidP="00582C51">
      <w:pPr>
        <w:pStyle w:val="Heading1"/>
        <w:spacing w:after="240"/>
        <w:jc w:val="center"/>
        <w:rPr>
          <w:sz w:val="40"/>
          <w:szCs w:val="40"/>
        </w:rPr>
        <w:sectPr w:rsidR="00B723BE" w:rsidRPr="00924644" w:rsidSect="00C82CBA">
          <w:headerReference w:type="default" r:id="rId9"/>
          <w:type w:val="continuous"/>
          <w:pgSz w:w="12240" w:h="15840"/>
          <w:pgMar w:top="720" w:right="1440" w:bottom="1440" w:left="1440" w:header="720" w:footer="720" w:gutter="0"/>
          <w:cols w:num="2" w:space="720"/>
          <w:titlePg/>
          <w:docGrid w:linePitch="360"/>
        </w:sectPr>
      </w:pPr>
    </w:p>
    <w:p w14:paraId="2C778C4B" w14:textId="77777777" w:rsidR="006E06C6" w:rsidRPr="00924644" w:rsidRDefault="006E06C6" w:rsidP="00582C51">
      <w:pPr>
        <w:pStyle w:val="Heading1"/>
        <w:spacing w:after="240"/>
        <w:jc w:val="center"/>
        <w:rPr>
          <w:sz w:val="40"/>
          <w:szCs w:val="40"/>
        </w:rPr>
        <w:sectPr w:rsidR="006E06C6" w:rsidRPr="00924644" w:rsidSect="0091117B">
          <w:type w:val="continuous"/>
          <w:pgSz w:w="12240" w:h="15840"/>
          <w:pgMar w:top="720" w:right="1440" w:bottom="1440" w:left="1440" w:header="720" w:footer="720" w:gutter="0"/>
          <w:cols w:space="720"/>
          <w:docGrid w:linePitch="360"/>
        </w:sectPr>
      </w:pPr>
    </w:p>
    <w:p w14:paraId="014DDF75" w14:textId="2FB00ED5" w:rsidR="00FC1FCE" w:rsidRPr="00924644" w:rsidRDefault="0091117B" w:rsidP="00582C51">
      <w:pPr>
        <w:pStyle w:val="Heading1"/>
        <w:spacing w:before="240" w:after="240"/>
        <w:jc w:val="center"/>
        <w:rPr>
          <w:sz w:val="40"/>
          <w:szCs w:val="40"/>
        </w:rPr>
      </w:pPr>
      <w:r w:rsidRPr="00924644">
        <w:rPr>
          <w:sz w:val="40"/>
          <w:szCs w:val="40"/>
        </w:rPr>
        <w:t>Californ</w:t>
      </w:r>
      <w:r w:rsidR="00693951" w:rsidRPr="00924644">
        <w:rPr>
          <w:sz w:val="40"/>
          <w:szCs w:val="40"/>
        </w:rPr>
        <w:t>ia State Board of Education</w:t>
      </w:r>
      <w:r w:rsidR="00693951" w:rsidRPr="00924644">
        <w:rPr>
          <w:sz w:val="40"/>
          <w:szCs w:val="40"/>
        </w:rPr>
        <w:br/>
      </w:r>
      <w:r w:rsidR="00E72CF6">
        <w:rPr>
          <w:sz w:val="40"/>
          <w:szCs w:val="40"/>
        </w:rPr>
        <w:t>November</w:t>
      </w:r>
      <w:r w:rsidR="000E5B90" w:rsidRPr="00924644">
        <w:rPr>
          <w:sz w:val="40"/>
          <w:szCs w:val="40"/>
        </w:rPr>
        <w:t xml:space="preserve"> 202</w:t>
      </w:r>
      <w:r w:rsidR="00646C52">
        <w:rPr>
          <w:sz w:val="40"/>
          <w:szCs w:val="40"/>
        </w:rPr>
        <w:t>3</w:t>
      </w:r>
      <w:r w:rsidR="00130059" w:rsidRPr="00924644">
        <w:rPr>
          <w:sz w:val="40"/>
          <w:szCs w:val="40"/>
        </w:rPr>
        <w:t xml:space="preserve"> </w:t>
      </w:r>
      <w:r w:rsidRPr="00924644">
        <w:rPr>
          <w:sz w:val="40"/>
          <w:szCs w:val="40"/>
        </w:rPr>
        <w:t>Agenda</w:t>
      </w:r>
      <w:r w:rsidR="00FC1FCE" w:rsidRPr="00924644">
        <w:rPr>
          <w:sz w:val="40"/>
          <w:szCs w:val="40"/>
        </w:rPr>
        <w:br/>
        <w:t>Item</w:t>
      </w:r>
      <w:r w:rsidR="00692300" w:rsidRPr="00924644">
        <w:rPr>
          <w:sz w:val="40"/>
          <w:szCs w:val="40"/>
        </w:rPr>
        <w:t xml:space="preserve"> </w:t>
      </w:r>
      <w:r w:rsidR="00346650">
        <w:rPr>
          <w:sz w:val="40"/>
          <w:szCs w:val="40"/>
        </w:rPr>
        <w:t>#16</w:t>
      </w:r>
    </w:p>
    <w:p w14:paraId="2382468D" w14:textId="77777777" w:rsidR="00FC1FCE" w:rsidRPr="00924644" w:rsidRDefault="00FC1FCE" w:rsidP="00582C51">
      <w:pPr>
        <w:pStyle w:val="Heading2"/>
        <w:spacing w:before="240" w:after="240"/>
        <w:rPr>
          <w:sz w:val="36"/>
          <w:szCs w:val="36"/>
        </w:rPr>
      </w:pPr>
      <w:r w:rsidRPr="00924644">
        <w:rPr>
          <w:sz w:val="36"/>
          <w:szCs w:val="36"/>
        </w:rPr>
        <w:t>Subject</w:t>
      </w:r>
    </w:p>
    <w:p w14:paraId="57D947CB" w14:textId="17783C89" w:rsidR="00692300" w:rsidRPr="00924644" w:rsidRDefault="000E5B90" w:rsidP="00582C51">
      <w:pPr>
        <w:spacing w:after="240"/>
      </w:pPr>
      <w:r w:rsidRPr="00924644">
        <w:t>California Community Schools Partnership Program</w:t>
      </w:r>
      <w:r w:rsidR="00646C52">
        <w:t xml:space="preserve"> update. </w:t>
      </w:r>
      <w:r w:rsidR="00EE05FD">
        <w:t>Presentations by the CCSPP State Transformati</w:t>
      </w:r>
      <w:r w:rsidR="00BF43B0">
        <w:t>onal</w:t>
      </w:r>
      <w:r w:rsidR="00EE05FD">
        <w:t xml:space="preserve"> Assistance Center</w:t>
      </w:r>
      <w:r w:rsidR="00646C52">
        <w:t xml:space="preserve"> and the </w:t>
      </w:r>
      <w:r w:rsidR="006451E9">
        <w:t>Southern Inland</w:t>
      </w:r>
      <w:r w:rsidR="00646C52">
        <w:t xml:space="preserve"> Regional T</w:t>
      </w:r>
      <w:r w:rsidR="00191FF8">
        <w:t>echnical</w:t>
      </w:r>
      <w:r w:rsidR="00646C52">
        <w:t xml:space="preserve"> Assistance Center.</w:t>
      </w:r>
    </w:p>
    <w:p w14:paraId="45A42168" w14:textId="77777777" w:rsidR="00FC1FCE" w:rsidRPr="00924644" w:rsidRDefault="00FC1FCE" w:rsidP="00582C51">
      <w:pPr>
        <w:pStyle w:val="Heading2"/>
        <w:spacing w:before="240" w:after="240"/>
        <w:rPr>
          <w:sz w:val="36"/>
          <w:szCs w:val="36"/>
        </w:rPr>
      </w:pPr>
      <w:r w:rsidRPr="00924644">
        <w:rPr>
          <w:sz w:val="36"/>
          <w:szCs w:val="36"/>
        </w:rPr>
        <w:t>Type of Action</w:t>
      </w:r>
    </w:p>
    <w:p w14:paraId="44A26F18" w14:textId="77777777" w:rsidR="0091117B" w:rsidRPr="00924644" w:rsidRDefault="000E5B90" w:rsidP="00582C51">
      <w:pPr>
        <w:spacing w:after="240"/>
      </w:pPr>
      <w:r w:rsidRPr="00924644">
        <w:t>Information</w:t>
      </w:r>
    </w:p>
    <w:p w14:paraId="268CBD2B" w14:textId="77777777" w:rsidR="000324AD" w:rsidRPr="00924644" w:rsidRDefault="00C961EB" w:rsidP="00582C51">
      <w:pPr>
        <w:pStyle w:val="Heading2"/>
        <w:spacing w:before="240" w:after="240"/>
        <w:rPr>
          <w:sz w:val="36"/>
          <w:szCs w:val="36"/>
        </w:rPr>
      </w:pPr>
      <w:r w:rsidRPr="00924644">
        <w:rPr>
          <w:sz w:val="36"/>
          <w:szCs w:val="36"/>
        </w:rPr>
        <w:t>Summary of the Issue</w:t>
      </w:r>
      <w:r w:rsidR="001E1FA7">
        <w:rPr>
          <w:sz w:val="36"/>
          <w:szCs w:val="36"/>
        </w:rPr>
        <w:t>s</w:t>
      </w:r>
    </w:p>
    <w:p w14:paraId="0041DF1C" w14:textId="77777777" w:rsidR="001E1FA7" w:rsidRDefault="00B019DA" w:rsidP="00582C51">
      <w:pPr>
        <w:spacing w:after="240"/>
      </w:pPr>
      <w:r w:rsidRPr="00924644">
        <w:t>The California Department of Education (</w:t>
      </w:r>
      <w:r w:rsidR="00C961EB" w:rsidRPr="00924644">
        <w:t>CDE</w:t>
      </w:r>
      <w:r w:rsidRPr="00924644">
        <w:t>)</w:t>
      </w:r>
      <w:r w:rsidR="00C961EB" w:rsidRPr="00924644">
        <w:t xml:space="preserve"> is </w:t>
      </w:r>
      <w:r w:rsidR="00646C52">
        <w:t>providing</w:t>
      </w:r>
      <w:r w:rsidR="00AA1D8D">
        <w:t xml:space="preserve"> </w:t>
      </w:r>
      <w:r w:rsidR="00C961EB" w:rsidRPr="00924644">
        <w:t>the State Board of Education</w:t>
      </w:r>
      <w:r w:rsidRPr="00924644">
        <w:t xml:space="preserve"> (SBE)</w:t>
      </w:r>
      <w:r w:rsidR="00C961EB" w:rsidRPr="00924644">
        <w:t xml:space="preserve"> </w:t>
      </w:r>
      <w:r w:rsidR="00646C52">
        <w:t xml:space="preserve">an update on the </w:t>
      </w:r>
      <w:r w:rsidR="00646C52" w:rsidRPr="00924644">
        <w:t>California Community Schools Partnership Program (CCSPP)</w:t>
      </w:r>
      <w:r w:rsidR="00646C52">
        <w:t xml:space="preserve"> including two presentations </w:t>
      </w:r>
      <w:r w:rsidR="001E1FA7">
        <w:t xml:space="preserve">to </w:t>
      </w:r>
      <w:r w:rsidR="00AA1D8D">
        <w:t xml:space="preserve">illustrate </w:t>
      </w:r>
      <w:r w:rsidR="001E1FA7">
        <w:t xml:space="preserve">the state technical assistance </w:t>
      </w:r>
      <w:r w:rsidR="00AA1D8D">
        <w:t>structure</w:t>
      </w:r>
      <w:r w:rsidR="00646C52">
        <w:t xml:space="preserve"> and services being provided to grantees:</w:t>
      </w:r>
    </w:p>
    <w:p w14:paraId="7A18E965" w14:textId="71C6CE84" w:rsidR="00296B86" w:rsidRPr="00BF43B0" w:rsidRDefault="00731B7F" w:rsidP="000E7975">
      <w:pPr>
        <w:pStyle w:val="ListParagraph"/>
        <w:numPr>
          <w:ilvl w:val="0"/>
          <w:numId w:val="23"/>
        </w:numPr>
        <w:spacing w:after="240"/>
        <w:contextualSpacing w:val="0"/>
      </w:pPr>
      <w:r w:rsidRPr="00BF43B0">
        <w:rPr>
          <w:b/>
        </w:rPr>
        <w:t>State Transformat</w:t>
      </w:r>
      <w:r w:rsidR="00646C52" w:rsidRPr="00BF43B0">
        <w:rPr>
          <w:b/>
        </w:rPr>
        <w:t>ional</w:t>
      </w:r>
      <w:r w:rsidRPr="00BF43B0">
        <w:rPr>
          <w:b/>
        </w:rPr>
        <w:t xml:space="preserve"> Assistance Center (S-TAC): </w:t>
      </w:r>
      <w:r w:rsidRPr="00BF43B0">
        <w:t>In May</w:t>
      </w:r>
      <w:r w:rsidR="00646C52" w:rsidRPr="00BF43B0">
        <w:t xml:space="preserve"> 2022</w:t>
      </w:r>
      <w:r w:rsidRPr="00BF43B0">
        <w:t>, the SBE approved CDE’s recommendation to award the Alameda County Office of Education (ACOE) the Lead Technical Assistance Center contract. The ACOE consortium—now called the State Transforma</w:t>
      </w:r>
      <w:r w:rsidR="00646C52" w:rsidRPr="00BF43B0">
        <w:t>tional</w:t>
      </w:r>
      <w:r w:rsidRPr="00BF43B0">
        <w:t xml:space="preserve"> Assistance Center, or S-TAC—includes the UCLA Center for Community Schools, the National Education Association (NEA), and Californians for Justice (CFJ). Since Board approval, the S-TAC has convened an advisory council, develop</w:t>
      </w:r>
      <w:r w:rsidR="00E36C7F" w:rsidRPr="00BF43B0">
        <w:t>ed</w:t>
      </w:r>
      <w:r w:rsidRPr="00BF43B0">
        <w:t xml:space="preserve"> tools for statewide </w:t>
      </w:r>
      <w:r w:rsidR="00CF755A" w:rsidRPr="00BF43B0">
        <w:t>transformat</w:t>
      </w:r>
      <w:r w:rsidR="00646C52" w:rsidRPr="00BF43B0">
        <w:t>ional</w:t>
      </w:r>
      <w:r w:rsidR="00CF755A" w:rsidRPr="00BF43B0">
        <w:t xml:space="preserve"> </w:t>
      </w:r>
      <w:r w:rsidRPr="00BF43B0">
        <w:t xml:space="preserve">assistance, convened county offices of education for </w:t>
      </w:r>
      <w:r w:rsidR="00CF755A" w:rsidRPr="00BF43B0">
        <w:t>communities of transformati</w:t>
      </w:r>
      <w:r w:rsidR="00646C52" w:rsidRPr="00BF43B0">
        <w:t>onal</w:t>
      </w:r>
      <w:r w:rsidR="00CF755A" w:rsidRPr="00BF43B0">
        <w:t xml:space="preserve"> practice</w:t>
      </w:r>
      <w:r w:rsidRPr="00BF43B0">
        <w:t xml:space="preserve">, and </w:t>
      </w:r>
      <w:r w:rsidR="00E36C7F" w:rsidRPr="00BF43B0">
        <w:t xml:space="preserve">supported </w:t>
      </w:r>
      <w:r w:rsidRPr="00BF43B0">
        <w:t xml:space="preserve">planning and implementation grantees through webinars, </w:t>
      </w:r>
      <w:r w:rsidR="00CF755A" w:rsidRPr="00BF43B0">
        <w:t xml:space="preserve">office hours, </w:t>
      </w:r>
      <w:r w:rsidRPr="00BF43B0">
        <w:t xml:space="preserve">and </w:t>
      </w:r>
      <w:r w:rsidR="00CF755A" w:rsidRPr="00BF43B0">
        <w:t>phone/email support</w:t>
      </w:r>
      <w:r w:rsidRPr="00BF43B0">
        <w:t xml:space="preserve">, in partnership with </w:t>
      </w:r>
      <w:r w:rsidR="00646C52" w:rsidRPr="00BF43B0">
        <w:t xml:space="preserve">the </w:t>
      </w:r>
      <w:r w:rsidRPr="00BF43B0">
        <w:t xml:space="preserve">CDE. </w:t>
      </w:r>
      <w:r w:rsidR="00A70BA8" w:rsidRPr="00BF43B0">
        <w:t xml:space="preserve">The </w:t>
      </w:r>
      <w:r w:rsidR="00BF43B0" w:rsidRPr="00BF43B0">
        <w:t xml:space="preserve">ACOE </w:t>
      </w:r>
      <w:r w:rsidR="00BF43B0">
        <w:t xml:space="preserve">Senior Chief of Student Services, </w:t>
      </w:r>
      <w:proofErr w:type="spellStart"/>
      <w:r w:rsidR="00BF43B0">
        <w:t>Chaunise</w:t>
      </w:r>
      <w:proofErr w:type="spellEnd"/>
      <w:r w:rsidR="00BF43B0">
        <w:t xml:space="preserve"> “Chaun” Powell, and the ACOE </w:t>
      </w:r>
      <w:r w:rsidR="00A70BA8" w:rsidRPr="00BF43B0">
        <w:t>Executive Director of Community Schools, Student Services Division, Michael Essien,</w:t>
      </w:r>
      <w:r w:rsidRPr="00BF43B0">
        <w:t xml:space="preserve"> will update to the Board on S-TAC progress and present on the S-TAC CCSPP transformat</w:t>
      </w:r>
      <w:r w:rsidR="00646C52" w:rsidRPr="00BF43B0">
        <w:t>ional</w:t>
      </w:r>
      <w:r w:rsidRPr="00BF43B0">
        <w:t xml:space="preserve"> assistance implementation plan.  </w:t>
      </w:r>
    </w:p>
    <w:p w14:paraId="28BEB8B0" w14:textId="1ED63A9E" w:rsidR="003F5497" w:rsidRDefault="006451E9" w:rsidP="00DC2C3C">
      <w:pPr>
        <w:pStyle w:val="ListParagraph"/>
        <w:numPr>
          <w:ilvl w:val="0"/>
          <w:numId w:val="23"/>
        </w:numPr>
      </w:pPr>
      <w:r w:rsidRPr="00655DF1">
        <w:rPr>
          <w:b/>
        </w:rPr>
        <w:lastRenderedPageBreak/>
        <w:t>Southern Inland</w:t>
      </w:r>
      <w:r w:rsidR="003F5497" w:rsidRPr="00655DF1">
        <w:rPr>
          <w:b/>
        </w:rPr>
        <w:t xml:space="preserve"> Regional T</w:t>
      </w:r>
      <w:r w:rsidR="00C93C20">
        <w:rPr>
          <w:b/>
        </w:rPr>
        <w:t>echnica</w:t>
      </w:r>
      <w:r w:rsidR="003F5497" w:rsidRPr="00655DF1">
        <w:rPr>
          <w:b/>
        </w:rPr>
        <w:t xml:space="preserve">l Assistance Center (R-TAC): </w:t>
      </w:r>
      <w:r w:rsidR="003F5497">
        <w:t xml:space="preserve">In </w:t>
      </w:r>
      <w:r w:rsidR="00547973">
        <w:t xml:space="preserve">November </w:t>
      </w:r>
      <w:r w:rsidR="003F5497">
        <w:t xml:space="preserve">2022, the SBE approved CDE’s recommendation to award the </w:t>
      </w:r>
      <w:r>
        <w:t xml:space="preserve">San Bernardino County Superintendent of Schools (SBCSS) </w:t>
      </w:r>
      <w:r w:rsidR="00547973">
        <w:t>a</w:t>
      </w:r>
      <w:r w:rsidR="003F5497">
        <w:t xml:space="preserve"> </w:t>
      </w:r>
      <w:r w:rsidR="00547973">
        <w:t>Regional</w:t>
      </w:r>
      <w:r w:rsidR="003F5497">
        <w:t xml:space="preserve"> Technical Assistance Center</w:t>
      </w:r>
      <w:r w:rsidR="00547973">
        <w:t xml:space="preserve"> (R-TAC)</w:t>
      </w:r>
      <w:r w:rsidR="003F5497">
        <w:t xml:space="preserve"> contract. The </w:t>
      </w:r>
      <w:r>
        <w:t xml:space="preserve">SBCSS </w:t>
      </w:r>
      <w:r w:rsidR="003F5497">
        <w:t>consortium</w:t>
      </w:r>
      <w:r w:rsidR="00547973">
        <w:t xml:space="preserve"> </w:t>
      </w:r>
      <w:r w:rsidR="003F5497">
        <w:t xml:space="preserve">includes the </w:t>
      </w:r>
      <w:r w:rsidRPr="006451E9">
        <w:t>California School-Based Health Alliance</w:t>
      </w:r>
      <w:r w:rsidR="003F5497">
        <w:t xml:space="preserve">, the </w:t>
      </w:r>
      <w:r w:rsidRPr="006451E9">
        <w:t>Los Angeles Education Partnership</w:t>
      </w:r>
      <w:r w:rsidR="00547973">
        <w:t>,</w:t>
      </w:r>
      <w:r w:rsidR="003F5497">
        <w:t xml:space="preserve"> and </w:t>
      </w:r>
      <w:r w:rsidRPr="006451E9">
        <w:t>Capacity to Impact</w:t>
      </w:r>
      <w:r w:rsidR="003F5497">
        <w:t xml:space="preserve">. </w:t>
      </w:r>
      <w:r w:rsidR="00547973">
        <w:t xml:space="preserve">This year, </w:t>
      </w:r>
      <w:r w:rsidR="003F5497">
        <w:t xml:space="preserve">the </w:t>
      </w:r>
      <w:r>
        <w:t>Southern Inland</w:t>
      </w:r>
      <w:r w:rsidR="00547973">
        <w:t xml:space="preserve"> R</w:t>
      </w:r>
      <w:r w:rsidR="003F5497">
        <w:t xml:space="preserve">-TAC has begun to develop tools for </w:t>
      </w:r>
      <w:r w:rsidR="00547973">
        <w:t>regional grantees</w:t>
      </w:r>
      <w:r w:rsidR="003F5497">
        <w:t xml:space="preserve">, convened </w:t>
      </w:r>
      <w:r w:rsidR="00547973">
        <w:t xml:space="preserve">regional </w:t>
      </w:r>
      <w:r w:rsidR="003F5497">
        <w:t xml:space="preserve">communities of transformational practice, and begun supporting planning and implementation grantees through webinars, office hours, and phone/email support, in partnership with the </w:t>
      </w:r>
      <w:r w:rsidR="00547973">
        <w:t xml:space="preserve">S-TAC and the </w:t>
      </w:r>
      <w:r w:rsidR="003F5497">
        <w:t xml:space="preserve">CDE. </w:t>
      </w:r>
      <w:r w:rsidRPr="006451E9">
        <w:t xml:space="preserve">Assistant Superintendent </w:t>
      </w:r>
      <w:r>
        <w:t xml:space="preserve">of </w:t>
      </w:r>
      <w:r w:rsidRPr="006451E9">
        <w:t xml:space="preserve">Innovation and Engagement, Stephanie Houston, Ed.D. </w:t>
      </w:r>
      <w:r w:rsidR="003F5497">
        <w:t xml:space="preserve">from </w:t>
      </w:r>
      <w:r>
        <w:t xml:space="preserve">SBCSS </w:t>
      </w:r>
      <w:r w:rsidR="003F5497">
        <w:t xml:space="preserve">will be </w:t>
      </w:r>
      <w:r>
        <w:t>providing</w:t>
      </w:r>
      <w:r w:rsidR="003F5497">
        <w:t xml:space="preserve"> this update to the </w:t>
      </w:r>
      <w:proofErr w:type="gramStart"/>
      <w:r w:rsidR="003F5497">
        <w:t>Board</w:t>
      </w:r>
      <w:proofErr w:type="gramEnd"/>
      <w:r w:rsidR="003F5497">
        <w:t xml:space="preserve"> </w:t>
      </w:r>
      <w:r w:rsidR="00547973">
        <w:t>their R</w:t>
      </w:r>
      <w:r w:rsidR="003F5497">
        <w:t>-TAC progress</w:t>
      </w:r>
      <w:r w:rsidR="00547973">
        <w:t>.</w:t>
      </w:r>
    </w:p>
    <w:p w14:paraId="37BFF681" w14:textId="77777777" w:rsidR="003E4DF7" w:rsidRPr="00924644" w:rsidRDefault="003E4DF7" w:rsidP="00582C51">
      <w:pPr>
        <w:pStyle w:val="Heading2"/>
        <w:spacing w:before="240" w:after="240"/>
        <w:rPr>
          <w:sz w:val="36"/>
          <w:szCs w:val="36"/>
        </w:rPr>
      </w:pPr>
      <w:r w:rsidRPr="00924644">
        <w:rPr>
          <w:sz w:val="36"/>
          <w:szCs w:val="36"/>
        </w:rPr>
        <w:t>Recommendation</w:t>
      </w:r>
      <w:r w:rsidR="008325F4" w:rsidRPr="00924644">
        <w:rPr>
          <w:sz w:val="36"/>
          <w:szCs w:val="36"/>
        </w:rPr>
        <w:t>s</w:t>
      </w:r>
    </w:p>
    <w:p w14:paraId="5A60800A" w14:textId="77777777" w:rsidR="002832C4" w:rsidRDefault="002832C4" w:rsidP="003F5497">
      <w:pPr>
        <w:spacing w:after="240"/>
      </w:pPr>
      <w:r>
        <w:t xml:space="preserve">This item has </w:t>
      </w:r>
      <w:r w:rsidR="003F5497">
        <w:t>no recommendations.</w:t>
      </w:r>
    </w:p>
    <w:p w14:paraId="431CDCEB" w14:textId="5ADDBAE2" w:rsidR="003E4DF7" w:rsidRPr="00924644" w:rsidRDefault="00D93CA7" w:rsidP="00582C51">
      <w:pPr>
        <w:pStyle w:val="Heading2"/>
        <w:spacing w:before="240" w:after="240"/>
        <w:rPr>
          <w:sz w:val="36"/>
          <w:szCs w:val="36"/>
        </w:rPr>
      </w:pPr>
      <w:r w:rsidRPr="00924644">
        <w:rPr>
          <w:sz w:val="36"/>
          <w:szCs w:val="36"/>
        </w:rPr>
        <w:t xml:space="preserve">Brief History </w:t>
      </w:r>
      <w:r w:rsidR="00E36C7F">
        <w:rPr>
          <w:sz w:val="36"/>
          <w:szCs w:val="36"/>
        </w:rPr>
        <w:t xml:space="preserve">of </w:t>
      </w:r>
      <w:r w:rsidR="003E4DF7" w:rsidRPr="00924644">
        <w:rPr>
          <w:sz w:val="36"/>
          <w:szCs w:val="36"/>
        </w:rPr>
        <w:t>Key Issues</w:t>
      </w:r>
    </w:p>
    <w:p w14:paraId="455402AE" w14:textId="77777777" w:rsidR="00EA0864" w:rsidRPr="00083F9A" w:rsidRDefault="00EA0864" w:rsidP="00EA0864">
      <w:pPr>
        <w:pStyle w:val="Heading3"/>
        <w:spacing w:before="240" w:after="240"/>
      </w:pPr>
      <w:r w:rsidRPr="00083F9A">
        <w:t xml:space="preserve">2021–2031 California Community Schools Partnership Program </w:t>
      </w:r>
    </w:p>
    <w:p w14:paraId="42F7A8D9" w14:textId="77777777" w:rsidR="00EA0864" w:rsidRPr="00D7514F" w:rsidRDefault="00EA0864" w:rsidP="00EA0864">
      <w:pPr>
        <w:autoSpaceDE w:val="0"/>
        <w:autoSpaceDN w:val="0"/>
        <w:adjustRightInd w:val="0"/>
        <w:spacing w:after="240"/>
        <w:rPr>
          <w:rFonts w:cs="Arial"/>
        </w:rPr>
      </w:pPr>
      <w:r w:rsidRPr="00D7514F">
        <w:rPr>
          <w:rFonts w:cs="Arial"/>
        </w:rPr>
        <w:t>In 2020, the state invested $45 million</w:t>
      </w:r>
      <w:r>
        <w:rPr>
          <w:rFonts w:cs="Arial"/>
        </w:rPr>
        <w:t xml:space="preserve"> of the </w:t>
      </w:r>
      <w:r w:rsidRPr="00D12667">
        <w:rPr>
          <w:rFonts w:cs="Arial"/>
        </w:rPr>
        <w:t>Elementary and Secondary School Emergency Relief Fund (ESSER)</w:t>
      </w:r>
      <w:r>
        <w:rPr>
          <w:rFonts w:cs="Arial"/>
        </w:rPr>
        <w:t xml:space="preserve"> funds</w:t>
      </w:r>
      <w:r w:rsidRPr="00D7514F">
        <w:rPr>
          <w:rFonts w:cs="Arial"/>
        </w:rPr>
        <w:t xml:space="preserve"> to expand and sustain existing community schools and funded 20 grants to </w:t>
      </w:r>
      <w:r>
        <w:rPr>
          <w:rFonts w:cs="Arial"/>
        </w:rPr>
        <w:t>local educational agencies (</w:t>
      </w:r>
      <w:r w:rsidRPr="00D7514F">
        <w:rPr>
          <w:rFonts w:cs="Arial"/>
        </w:rPr>
        <w:t>LEAs</w:t>
      </w:r>
      <w:r>
        <w:rPr>
          <w:rFonts w:cs="Arial"/>
        </w:rPr>
        <w:t>)</w:t>
      </w:r>
      <w:r w:rsidRPr="00D7514F">
        <w:rPr>
          <w:rFonts w:cs="Arial"/>
        </w:rPr>
        <w:t xml:space="preserve"> serving 156 community school sites.</w:t>
      </w:r>
    </w:p>
    <w:p w14:paraId="32156C4B" w14:textId="112175D8" w:rsidR="00EA0864" w:rsidRPr="00D7514F" w:rsidRDefault="00EA0864" w:rsidP="00EA0864">
      <w:pPr>
        <w:autoSpaceDE w:val="0"/>
        <w:autoSpaceDN w:val="0"/>
        <w:adjustRightInd w:val="0"/>
        <w:spacing w:after="240"/>
        <w:rPr>
          <w:rFonts w:cs="Arial"/>
        </w:rPr>
      </w:pPr>
      <w:r w:rsidRPr="00D7514F">
        <w:rPr>
          <w:rFonts w:cs="Arial"/>
        </w:rPr>
        <w:t>In 2021</w:t>
      </w:r>
      <w:r w:rsidR="00E36C7F">
        <w:rPr>
          <w:rFonts w:cs="Arial"/>
        </w:rPr>
        <w:t>,</w:t>
      </w:r>
      <w:r w:rsidRPr="00D7514F">
        <w:rPr>
          <w:rFonts w:cs="Arial"/>
        </w:rPr>
        <w:t xml:space="preserve"> the California Legislature allocated $3,015,997,000 for the CCSPP to establish new and expand existing community schools and to create a statewide technical assistance</w:t>
      </w:r>
      <w:r>
        <w:rPr>
          <w:rFonts w:cs="Arial"/>
        </w:rPr>
        <w:t xml:space="preserve"> (TA)</w:t>
      </w:r>
      <w:r w:rsidRPr="00D7514F">
        <w:rPr>
          <w:rFonts w:cs="Arial"/>
        </w:rPr>
        <w:t xml:space="preserve"> infrastructure to </w:t>
      </w:r>
      <w:r w:rsidR="00E36C7F">
        <w:rPr>
          <w:rFonts w:cs="Arial"/>
        </w:rPr>
        <w:t>support</w:t>
      </w:r>
      <w:r w:rsidR="00E36C7F" w:rsidRPr="00D7514F">
        <w:rPr>
          <w:rFonts w:cs="Arial"/>
        </w:rPr>
        <w:t xml:space="preserve"> </w:t>
      </w:r>
      <w:r w:rsidRPr="00D7514F">
        <w:rPr>
          <w:rFonts w:cs="Arial"/>
        </w:rPr>
        <w:t>and sustain community school implementation and programming. In 2022, the Legislature allocated an additional $1,132,554,000 to further expand</w:t>
      </w:r>
      <w:r w:rsidR="00E36C7F">
        <w:rPr>
          <w:rFonts w:cs="Arial"/>
        </w:rPr>
        <w:t xml:space="preserve"> LEA</w:t>
      </w:r>
      <w:r w:rsidRPr="00D7514F">
        <w:rPr>
          <w:rFonts w:cs="Arial"/>
        </w:rPr>
        <w:t xml:space="preserve"> access to the CCSPP. State law and the SBE-adopted California Community Schools Framework establish the CCSPP as a critical equity program rooted in the four pillars of community schools: (1) integrated supports services, (2) family and community engagement, (3) collaborative leadership and practices for educators and administrators, and (4) extended learning time and opportunities. The program prioritizes schools with more than 80 percent unduplicated students (students</w:t>
      </w:r>
      <w:r w:rsidR="00E36C7F" w:rsidRPr="00E36C7F">
        <w:rPr>
          <w:rFonts w:cs="Arial"/>
        </w:rPr>
        <w:t xml:space="preserve"> </w:t>
      </w:r>
      <w:r w:rsidR="00E36C7F">
        <w:rPr>
          <w:rFonts w:cs="Arial"/>
        </w:rPr>
        <w:t xml:space="preserve">from </w:t>
      </w:r>
      <w:r w:rsidR="00E36C7F" w:rsidRPr="00D7514F">
        <w:rPr>
          <w:rFonts w:cs="Arial"/>
        </w:rPr>
        <w:t>low-income</w:t>
      </w:r>
      <w:r w:rsidR="00E36C7F">
        <w:rPr>
          <w:rFonts w:cs="Arial"/>
        </w:rPr>
        <w:t xml:space="preserve"> families</w:t>
      </w:r>
      <w:r w:rsidRPr="00D7514F">
        <w:rPr>
          <w:rFonts w:cs="Arial"/>
        </w:rPr>
        <w:t xml:space="preserve">, </w:t>
      </w:r>
      <w:r w:rsidR="00E36C7F">
        <w:rPr>
          <w:rFonts w:cs="Arial"/>
        </w:rPr>
        <w:t>multilingual</w:t>
      </w:r>
      <w:r w:rsidRPr="00D7514F">
        <w:rPr>
          <w:rFonts w:cs="Arial"/>
        </w:rPr>
        <w:t xml:space="preserve"> learners, and youth in foster care) for grantmaking to implement community schools. The assets-based and justice-driven core practices that guide the community school strategy seek to address longstanding opportunity gaps and disparities in student academic outcomes.</w:t>
      </w:r>
    </w:p>
    <w:p w14:paraId="7AE83C74" w14:textId="77777777" w:rsidR="00EA0864" w:rsidRPr="00D7514F" w:rsidRDefault="00EA0864" w:rsidP="00EA0864">
      <w:pPr>
        <w:autoSpaceDE w:val="0"/>
        <w:autoSpaceDN w:val="0"/>
        <w:adjustRightInd w:val="0"/>
        <w:spacing w:after="240"/>
        <w:rPr>
          <w:rFonts w:cs="Arial"/>
        </w:rPr>
      </w:pPr>
      <w:r w:rsidRPr="00D7514F">
        <w:rPr>
          <w:rFonts w:cs="Arial"/>
        </w:rPr>
        <w:t>For the complete language of the C</w:t>
      </w:r>
      <w:r>
        <w:rPr>
          <w:rFonts w:cs="Arial"/>
        </w:rPr>
        <w:t>CSPP</w:t>
      </w:r>
      <w:r w:rsidRPr="00D7514F">
        <w:rPr>
          <w:rFonts w:cs="Arial"/>
        </w:rPr>
        <w:t xml:space="preserve"> Act</w:t>
      </w:r>
      <w:r>
        <w:rPr>
          <w:rFonts w:cs="Arial"/>
        </w:rPr>
        <w:t xml:space="preserve"> please visit the California Legislative Information web page at:</w:t>
      </w:r>
      <w:r w:rsidRPr="00D7514F">
        <w:rPr>
          <w:rFonts w:cs="Arial"/>
        </w:rPr>
        <w:t xml:space="preserve"> </w:t>
      </w:r>
      <w:hyperlink r:id="rId10" w:tooltip="California Community Schools Partnership Act" w:history="1">
        <w:r w:rsidRPr="00D7514F">
          <w:rPr>
            <w:rStyle w:val="Hyperlink"/>
            <w:rFonts w:cs="Arial"/>
          </w:rPr>
          <w:t>https://leginfo.legislature.ca.gov/faces/codes_displayText.xhtml?lawCode=EDC&amp;division=1.&amp;title=1.&amp;part=6.&amp;chapter=6.&amp;article=</w:t>
        </w:r>
      </w:hyperlink>
      <w:r w:rsidRPr="00D7514F">
        <w:rPr>
          <w:rFonts w:cs="Arial"/>
        </w:rPr>
        <w:t>.</w:t>
      </w:r>
    </w:p>
    <w:p w14:paraId="3A642BB9" w14:textId="4BB29C03" w:rsidR="00EA0864" w:rsidRPr="00D7514F" w:rsidRDefault="00EA0864" w:rsidP="00EA0864">
      <w:pPr>
        <w:autoSpaceDE w:val="0"/>
        <w:autoSpaceDN w:val="0"/>
        <w:adjustRightInd w:val="0"/>
        <w:spacing w:after="240"/>
        <w:rPr>
          <w:rFonts w:cs="Arial"/>
          <w:color w:val="000000"/>
        </w:rPr>
      </w:pPr>
      <w:r w:rsidRPr="00D7514F">
        <w:rPr>
          <w:rFonts w:cs="Arial"/>
        </w:rPr>
        <w:lastRenderedPageBreak/>
        <w:t xml:space="preserve">To guide its grantmaking and creation of a statewide </w:t>
      </w:r>
      <w:r>
        <w:rPr>
          <w:rFonts w:cs="Arial"/>
        </w:rPr>
        <w:t>TA</w:t>
      </w:r>
      <w:r w:rsidRPr="00D7514F">
        <w:rPr>
          <w:rFonts w:cs="Arial"/>
        </w:rPr>
        <w:t xml:space="preserve"> system for community schools, the CDE conducted listening sessions in 2021 and presented a Community Schools Framework to the SBE in January 2022. </w:t>
      </w:r>
      <w:r w:rsidRPr="00D7514F">
        <w:t xml:space="preserve">The California Community Schools Framework now serves as the guiding document to support the implementation of the CCSPP at the school, district, </w:t>
      </w:r>
      <w:proofErr w:type="gramStart"/>
      <w:r w:rsidRPr="00D7514F">
        <w:t>county</w:t>
      </w:r>
      <w:proofErr w:type="gramEnd"/>
      <w:r w:rsidRPr="00D7514F">
        <w:t xml:space="preserve"> and state level</w:t>
      </w:r>
      <w:r w:rsidR="00E36C7F">
        <w:t>s</w:t>
      </w:r>
      <w:r w:rsidRPr="00D7514F">
        <w:t>. In addition to signaling California’s intent to adapt the four pillars of community schools, the Framework identifies four cornerstone commitments that will help define California’s community schools implementation: (1) a</w:t>
      </w:r>
      <w:r w:rsidRPr="00D7514F">
        <w:rPr>
          <w:rFonts w:cs="Arial"/>
          <w:b/>
          <w:color w:val="000000"/>
        </w:rPr>
        <w:t xml:space="preserve"> </w:t>
      </w:r>
      <w:r w:rsidRPr="00D7514F">
        <w:rPr>
          <w:rFonts w:cs="Arial"/>
          <w:color w:val="000000"/>
        </w:rPr>
        <w:t>commitment to assets-driven and strength-based practice</w:t>
      </w:r>
      <w:r w:rsidR="00E36C7F">
        <w:rPr>
          <w:rFonts w:cs="Arial"/>
          <w:color w:val="000000"/>
        </w:rPr>
        <w:t>s</w:t>
      </w:r>
      <w:r w:rsidRPr="00D7514F">
        <w:rPr>
          <w:rFonts w:cs="Arial"/>
          <w:color w:val="000000"/>
        </w:rPr>
        <w:t>, (2) a commitment to racially just and restorative school climates, (3) a commitment to powerful, culturally proficient and relevant instruction, and (4) a commitment to shared decision</w:t>
      </w:r>
      <w:r w:rsidR="00E36C7F">
        <w:rPr>
          <w:rFonts w:cs="Arial"/>
          <w:color w:val="000000"/>
        </w:rPr>
        <w:t>-</w:t>
      </w:r>
      <w:r w:rsidRPr="00D7514F">
        <w:rPr>
          <w:rFonts w:cs="Arial"/>
          <w:color w:val="000000"/>
        </w:rPr>
        <w:t>making and participatory practices.</w:t>
      </w:r>
    </w:p>
    <w:p w14:paraId="2FEE1C2B" w14:textId="19688411" w:rsidR="00EA0864" w:rsidRPr="00892E85" w:rsidRDefault="00EA0864" w:rsidP="00EA0864">
      <w:pPr>
        <w:autoSpaceDE w:val="0"/>
        <w:autoSpaceDN w:val="0"/>
        <w:adjustRightInd w:val="0"/>
        <w:spacing w:after="240"/>
        <w:rPr>
          <w:rStyle w:val="Hyperlink"/>
          <w:rFonts w:eastAsia="Arial" w:cs="Arial"/>
          <w:color w:val="auto"/>
        </w:rPr>
      </w:pPr>
      <w:r w:rsidRPr="00D7514F">
        <w:rPr>
          <w:rFonts w:cs="Arial"/>
          <w:color w:val="000000"/>
        </w:rPr>
        <w:t>For the complete language of the Framework</w:t>
      </w:r>
      <w:r>
        <w:rPr>
          <w:rFonts w:cs="Arial"/>
          <w:color w:val="000000"/>
        </w:rPr>
        <w:t xml:space="preserve"> please visit:</w:t>
      </w:r>
      <w:r w:rsidRPr="00D7514F">
        <w:rPr>
          <w:rFonts w:cs="Arial"/>
          <w:color w:val="000000"/>
        </w:rPr>
        <w:t xml:space="preserve"> </w:t>
      </w:r>
      <w:hyperlink r:id="rId11" w:tooltip="California Community Schools Framework" w:history="1">
        <w:r w:rsidRPr="00D7514F">
          <w:rPr>
            <w:rStyle w:val="Hyperlink"/>
          </w:rPr>
          <w:t>https://www.cde.ca.gov/ci/gs/hs/documents/ccsppframework.docx</w:t>
        </w:r>
      </w:hyperlink>
      <w:r w:rsidRPr="005551D4">
        <w:rPr>
          <w:rStyle w:val="Hyperlink"/>
          <w:color w:val="auto"/>
          <w:u w:val="none"/>
        </w:rPr>
        <w:t>.</w:t>
      </w:r>
    </w:p>
    <w:p w14:paraId="5CBB6DCB" w14:textId="0D105F66" w:rsidR="00EA0864" w:rsidRDefault="00EA0864" w:rsidP="00EA0864">
      <w:pPr>
        <w:spacing w:after="240"/>
        <w:rPr>
          <w:rFonts w:eastAsiaTheme="minorHAnsi"/>
          <w:iCs/>
        </w:rPr>
      </w:pPr>
      <w:r w:rsidRPr="00D7514F">
        <w:t xml:space="preserve">Per statute, the SBE has an active role in the implementation of the CCSPP. The SBE approves all CDE-recommended LEA grantees, and the CDE-recommended </w:t>
      </w:r>
      <w:r>
        <w:t>TA</w:t>
      </w:r>
      <w:r w:rsidRPr="00D7514F">
        <w:t xml:space="preserve"> contract awardees. In addition, statute requires the Superintendent </w:t>
      </w:r>
      <w:r w:rsidRPr="00D7514F">
        <w:rPr>
          <w:rFonts w:eastAsiaTheme="minorHAnsi"/>
          <w:iCs/>
        </w:rPr>
        <w:t xml:space="preserve">to update the SBE annually regarding the CDE’s CCSPP application processes and administration plan. </w:t>
      </w:r>
      <w:r w:rsidRPr="00D15554">
        <w:rPr>
          <w:rFonts w:eastAsiaTheme="minorHAnsi"/>
          <w:iCs/>
        </w:rPr>
        <w:t xml:space="preserve">To date, the SBE has approved </w:t>
      </w:r>
      <w:r w:rsidR="00E752EB">
        <w:rPr>
          <w:rFonts w:eastAsiaTheme="minorHAnsi"/>
          <w:iCs/>
        </w:rPr>
        <w:t xml:space="preserve">the CCSPP Framework, </w:t>
      </w:r>
      <w:r>
        <w:rPr>
          <w:rFonts w:eastAsiaTheme="minorHAnsi"/>
          <w:iCs/>
        </w:rPr>
        <w:t>623</w:t>
      </w:r>
      <w:r w:rsidRPr="00D15554">
        <w:rPr>
          <w:rFonts w:eastAsiaTheme="minorHAnsi"/>
          <w:iCs/>
        </w:rPr>
        <w:t xml:space="preserve"> </w:t>
      </w:r>
      <w:r w:rsidR="00E752EB">
        <w:rPr>
          <w:rFonts w:eastAsiaTheme="minorHAnsi"/>
          <w:iCs/>
        </w:rPr>
        <w:t xml:space="preserve">planning and implementation </w:t>
      </w:r>
      <w:r w:rsidRPr="00D15554">
        <w:rPr>
          <w:rFonts w:eastAsiaTheme="minorHAnsi"/>
          <w:iCs/>
        </w:rPr>
        <w:t>grants to LEAs</w:t>
      </w:r>
      <w:r w:rsidR="00E752EB">
        <w:rPr>
          <w:rFonts w:eastAsiaTheme="minorHAnsi"/>
          <w:iCs/>
        </w:rPr>
        <w:t>, the S-TAC and eight R-TACs, and application processes and administration plans in 2021 and 2022</w:t>
      </w:r>
      <w:r w:rsidR="00003DE6">
        <w:rPr>
          <w:rFonts w:eastAsiaTheme="minorHAnsi"/>
          <w:iCs/>
        </w:rPr>
        <w:t>.</w:t>
      </w:r>
    </w:p>
    <w:p w14:paraId="482880F4" w14:textId="0763DAB4" w:rsidR="00C33599" w:rsidRPr="00BF43B0" w:rsidRDefault="00C33599" w:rsidP="00EA0864">
      <w:pPr>
        <w:spacing w:after="240"/>
        <w:rPr>
          <w:rStyle w:val="Hyperlink"/>
          <w:rFonts w:eastAsiaTheme="minorHAnsi"/>
          <w:b/>
          <w:iCs/>
          <w:color w:val="auto"/>
          <w:sz w:val="36"/>
          <w:szCs w:val="36"/>
          <w:u w:val="none"/>
        </w:rPr>
      </w:pPr>
      <w:r w:rsidRPr="00BF43B0">
        <w:rPr>
          <w:rStyle w:val="Hyperlink"/>
          <w:rFonts w:eastAsiaTheme="minorHAnsi"/>
          <w:b/>
          <w:iCs/>
          <w:color w:val="auto"/>
          <w:sz w:val="36"/>
          <w:szCs w:val="36"/>
          <w:u w:val="none"/>
        </w:rPr>
        <w:t>CCSPP Updates</w:t>
      </w:r>
    </w:p>
    <w:p w14:paraId="1D6FEC39" w14:textId="77777777" w:rsidR="0005751A" w:rsidRPr="00A7745C" w:rsidRDefault="0005751A" w:rsidP="0005751A">
      <w:pPr>
        <w:pStyle w:val="Heading3"/>
        <w:spacing w:before="240" w:after="240"/>
      </w:pPr>
      <w:r w:rsidRPr="00A7745C">
        <w:t>Update on the Community Schools Office (CSO)</w:t>
      </w:r>
    </w:p>
    <w:p w14:paraId="69C61AA0" w14:textId="261A14A6" w:rsidR="0005751A" w:rsidRDefault="0005751A" w:rsidP="0005751A">
      <w:r w:rsidRPr="00A7745C">
        <w:t xml:space="preserve">The </w:t>
      </w:r>
      <w:r w:rsidR="00A7745C">
        <w:t>CDE’s Community Schools O</w:t>
      </w:r>
      <w:r w:rsidRPr="00A7745C">
        <w:t>ffice</w:t>
      </w:r>
      <w:r w:rsidR="00A7745C">
        <w:t xml:space="preserve"> (CSO)</w:t>
      </w:r>
      <w:r w:rsidR="00207C8F">
        <w:t xml:space="preserve"> in </w:t>
      </w:r>
      <w:r w:rsidR="00BF43B0">
        <w:t>CDE’s</w:t>
      </w:r>
      <w:r w:rsidR="00207C8F">
        <w:t xml:space="preserve"> Career and College Transition Division</w:t>
      </w:r>
      <w:r w:rsidR="00C93C20">
        <w:t xml:space="preserve"> (CCTD)</w:t>
      </w:r>
      <w:r w:rsidRPr="00A7745C">
        <w:t xml:space="preserve"> is staffed</w:t>
      </w:r>
      <w:r w:rsidR="00A7745C">
        <w:t xml:space="preserve"> and operational. The CSO works closely with the S</w:t>
      </w:r>
      <w:r w:rsidR="00E752EB">
        <w:t>-</w:t>
      </w:r>
      <w:r w:rsidR="00A7745C">
        <w:t>TAC and SBE staff</w:t>
      </w:r>
      <w:r w:rsidR="008230AC">
        <w:t xml:space="preserve"> on overall statewide implementation, policy and needed guidance for the field</w:t>
      </w:r>
      <w:r w:rsidR="00456730">
        <w:t>.</w:t>
      </w:r>
      <w:r w:rsidR="008230AC">
        <w:t xml:space="preserve"> The CSO is also responsible for grant management and execution for all planning and implementation grants as well as the </w:t>
      </w:r>
      <w:r w:rsidR="00655DF1">
        <w:t xml:space="preserve">S-TAC and R-TAC </w:t>
      </w:r>
      <w:r w:rsidR="008230AC">
        <w:t xml:space="preserve">transformational assistance </w:t>
      </w:r>
      <w:r w:rsidR="004B56E6">
        <w:t xml:space="preserve">contracts </w:t>
      </w:r>
      <w:r w:rsidR="008230AC">
        <w:t xml:space="preserve">and the </w:t>
      </w:r>
      <w:r w:rsidR="00BF43B0">
        <w:t>c</w:t>
      </w:r>
      <w:r w:rsidR="00655DF1">
        <w:t xml:space="preserve">ounty </w:t>
      </w:r>
      <w:r w:rsidR="00BF43B0">
        <w:t>o</w:t>
      </w:r>
      <w:r w:rsidR="00655DF1">
        <w:t xml:space="preserve">ffice of </w:t>
      </w:r>
      <w:r w:rsidR="00BF43B0">
        <w:t>e</w:t>
      </w:r>
      <w:r w:rsidR="00655DF1">
        <w:t xml:space="preserve">ducation (COE) coordination </w:t>
      </w:r>
      <w:r w:rsidR="008230AC">
        <w:t>grants</w:t>
      </w:r>
      <w:r w:rsidR="00A7745C">
        <w:t>.</w:t>
      </w:r>
      <w:r w:rsidR="004D2F52">
        <w:t xml:space="preserve"> </w:t>
      </w:r>
      <w:r w:rsidR="00A7745C">
        <w:t xml:space="preserve">The office also </w:t>
      </w:r>
      <w:r w:rsidR="004D2F52">
        <w:t>plays a role</w:t>
      </w:r>
      <w:r w:rsidR="00A67329">
        <w:t>, in collaboration with the S</w:t>
      </w:r>
      <w:r w:rsidR="00655DF1">
        <w:t>-</w:t>
      </w:r>
      <w:r w:rsidR="00A67329">
        <w:t>TAC and R</w:t>
      </w:r>
      <w:r w:rsidR="00655DF1">
        <w:t>-</w:t>
      </w:r>
      <w:r w:rsidR="00A67329">
        <w:t>TACs,</w:t>
      </w:r>
      <w:r w:rsidR="005D4C34">
        <w:t xml:space="preserve"> in providing guidance</w:t>
      </w:r>
      <w:r w:rsidRPr="00A7745C">
        <w:t xml:space="preserve"> </w:t>
      </w:r>
      <w:r w:rsidR="00A67329">
        <w:t xml:space="preserve">to the field on the technical elements of the grant process.  </w:t>
      </w:r>
      <w:r w:rsidR="00C66E43">
        <w:t>The CSO maintains the CDE’s CCSPP webpage</w:t>
      </w:r>
      <w:r w:rsidR="007F1742">
        <w:t xml:space="preserve">, </w:t>
      </w:r>
      <w:proofErr w:type="gramStart"/>
      <w:r w:rsidR="007F1742">
        <w:t>listserv</w:t>
      </w:r>
      <w:proofErr w:type="gramEnd"/>
      <w:r w:rsidR="007F1742">
        <w:t xml:space="preserve"> and email</w:t>
      </w:r>
      <w:r w:rsidR="00C66E43">
        <w:t xml:space="preserve">: </w:t>
      </w:r>
      <w:hyperlink r:id="rId12" w:history="1">
        <w:r w:rsidR="00C66E43" w:rsidRPr="004D05ED">
          <w:rPr>
            <w:rStyle w:val="Hyperlink"/>
          </w:rPr>
          <w:t>https://www.cde.ca.gov/ci/gs/hs/ccspp.asp</w:t>
        </w:r>
      </w:hyperlink>
      <w:r w:rsidR="00C66E43">
        <w:t xml:space="preserve">.  </w:t>
      </w:r>
    </w:p>
    <w:p w14:paraId="6FF856BF" w14:textId="77777777" w:rsidR="00A7745C" w:rsidRPr="00A7745C" w:rsidRDefault="00A7745C" w:rsidP="0005751A">
      <w:r>
        <w:t xml:space="preserve"> </w:t>
      </w:r>
    </w:p>
    <w:p w14:paraId="0F507E78" w14:textId="2DC3E074" w:rsidR="00CD63F4" w:rsidRDefault="00A67329" w:rsidP="0005751A">
      <w:r>
        <w:t xml:space="preserve">In accordance with </w:t>
      </w:r>
      <w:r w:rsidR="00E752EB">
        <w:t xml:space="preserve">direction </w:t>
      </w:r>
      <w:r>
        <w:t xml:space="preserve">from the Board, CDE has launched an internal </w:t>
      </w:r>
      <w:r w:rsidR="00E82A73">
        <w:t>interdepartmental working group between the CSO and the Division</w:t>
      </w:r>
      <w:r w:rsidR="00E752EB">
        <w:t>s</w:t>
      </w:r>
      <w:r w:rsidR="00E82A73">
        <w:t xml:space="preserve"> of Special Education, Early Education</w:t>
      </w:r>
      <w:r w:rsidR="00DA4E17">
        <w:t xml:space="preserve">, </w:t>
      </w:r>
      <w:r w:rsidR="00E752EB">
        <w:t xml:space="preserve">Multilingual </w:t>
      </w:r>
      <w:r w:rsidR="00DA4E17">
        <w:t>Learners,</w:t>
      </w:r>
      <w:r w:rsidR="00E82A73">
        <w:t xml:space="preserve"> and Expanded Learning. The group will meet </w:t>
      </w:r>
      <w:r w:rsidR="00DA4E17">
        <w:t>on a regular basis</w:t>
      </w:r>
      <w:r w:rsidR="00E82A73">
        <w:t xml:space="preserve"> with the goal of identifying both key areas of the intersectional work where we can produce guidance for the field</w:t>
      </w:r>
      <w:r w:rsidR="00482311" w:rsidRPr="00A7745C">
        <w:t xml:space="preserve">. </w:t>
      </w:r>
      <w:r w:rsidR="00655DF1">
        <w:t>The CSO</w:t>
      </w:r>
      <w:r w:rsidR="00655DF1" w:rsidRPr="00A7745C">
        <w:t xml:space="preserve"> </w:t>
      </w:r>
      <w:r w:rsidR="00482311" w:rsidRPr="00A7745C">
        <w:t xml:space="preserve">has </w:t>
      </w:r>
      <w:r w:rsidR="00DA4E17">
        <w:t xml:space="preserve">provided </w:t>
      </w:r>
      <w:r w:rsidR="00482311" w:rsidRPr="00A7745C">
        <w:t xml:space="preserve">a short </w:t>
      </w:r>
      <w:r w:rsidR="00DA4E17">
        <w:t>overview</w:t>
      </w:r>
      <w:r w:rsidR="00DA4E17" w:rsidRPr="00A7745C">
        <w:t xml:space="preserve"> </w:t>
      </w:r>
      <w:r w:rsidR="00482311" w:rsidRPr="00A7745C">
        <w:t xml:space="preserve">to the </w:t>
      </w:r>
      <w:r w:rsidR="00DA4E17">
        <w:t xml:space="preserve">Special Education </w:t>
      </w:r>
      <w:r w:rsidR="00482311" w:rsidRPr="00A7745C">
        <w:t>interim assistant director and staff.</w:t>
      </w:r>
    </w:p>
    <w:p w14:paraId="1E107E96" w14:textId="77777777" w:rsidR="00CD63F4" w:rsidRDefault="00CD63F4" w:rsidP="0005751A"/>
    <w:p w14:paraId="79D514C9" w14:textId="0FC62535" w:rsidR="00482311" w:rsidRDefault="00CD63F4" w:rsidP="0005751A">
      <w:r>
        <w:t>The Community Schools Office and the Student Support Services Branch have</w:t>
      </w:r>
      <w:r w:rsidR="00E752EB">
        <w:t xml:space="preserve"> also</w:t>
      </w:r>
      <w:r>
        <w:t xml:space="preserve"> been working closely with the Department of Health Care Services (DHCS) for over a </w:t>
      </w:r>
      <w:r>
        <w:lastRenderedPageBreak/>
        <w:t xml:space="preserve">year to closely coordinate the implementation of CCSPP and </w:t>
      </w:r>
      <w:r w:rsidR="00191FF8">
        <w:t>Children and Youth Behavioral Health Initiative (</w:t>
      </w:r>
      <w:r>
        <w:t>CYBHI</w:t>
      </w:r>
      <w:r w:rsidR="00191FF8">
        <w:t>)</w:t>
      </w:r>
      <w:r w:rsidR="00330970">
        <w:t xml:space="preserve"> throughout the State. There have been </w:t>
      </w:r>
      <w:r w:rsidR="00BF43B0">
        <w:t xml:space="preserve">regular meetings and </w:t>
      </w:r>
      <w:r w:rsidR="00330970">
        <w:t xml:space="preserve">a series of webinars focused on the intersection of CCSPP and CYBHI implementation. </w:t>
      </w:r>
      <w:r w:rsidR="00C66E43">
        <w:t>CDE</w:t>
      </w:r>
      <w:r w:rsidR="00BF43B0">
        <w:t>, and the CSO specifically,</w:t>
      </w:r>
      <w:r w:rsidR="00C66E43">
        <w:t xml:space="preserve"> </w:t>
      </w:r>
      <w:r w:rsidR="00BF43B0">
        <w:t>are</w:t>
      </w:r>
      <w:r w:rsidR="00C66E43">
        <w:t xml:space="preserve"> </w:t>
      </w:r>
      <w:r w:rsidR="00330970">
        <w:t>work</w:t>
      </w:r>
      <w:r w:rsidR="00BF43B0">
        <w:t>ing</w:t>
      </w:r>
      <w:r w:rsidR="00330970">
        <w:t xml:space="preserve"> in partnership with DHCS on the Collaborative Leadership Working Group that will launch demonstration project of joint implementation curated by San Bernardino County </w:t>
      </w:r>
      <w:r w:rsidR="00C66E43">
        <w:t>Superintendent of Schools</w:t>
      </w:r>
      <w:r w:rsidR="00330970">
        <w:t xml:space="preserve">. CDE plans to accelerate collaboration with DCHS as the implementation with CCSPP and CYBHI move forward. </w:t>
      </w:r>
      <w:r>
        <w:t xml:space="preserve"> </w:t>
      </w:r>
    </w:p>
    <w:p w14:paraId="751D5963" w14:textId="77777777" w:rsidR="00B23604" w:rsidRPr="00A7745C" w:rsidRDefault="00B23604" w:rsidP="0005751A"/>
    <w:p w14:paraId="578B9FA8" w14:textId="32422752" w:rsidR="00603A74" w:rsidRPr="00BF43B0" w:rsidRDefault="00603A74" w:rsidP="00603A74">
      <w:pPr>
        <w:spacing w:after="240"/>
        <w:rPr>
          <w:b/>
          <w:bCs/>
        </w:rPr>
      </w:pPr>
      <w:r w:rsidRPr="00BF43B0">
        <w:rPr>
          <w:b/>
          <w:bCs/>
        </w:rPr>
        <w:t>State Transformational Assistance Center</w:t>
      </w:r>
      <w:r w:rsidR="00C33599" w:rsidRPr="00BF43B0">
        <w:rPr>
          <w:b/>
          <w:bCs/>
        </w:rPr>
        <w:t xml:space="preserve"> (S-TAC)</w:t>
      </w:r>
    </w:p>
    <w:p w14:paraId="2278D4A9" w14:textId="02D7BBC8" w:rsidR="00603A74" w:rsidRPr="00BF43B0" w:rsidRDefault="00603A74" w:rsidP="00BF75B0">
      <w:pPr>
        <w:spacing w:after="240"/>
      </w:pPr>
      <w:r w:rsidRPr="00BF43B0">
        <w:t>The CCSPP State Transformational Assistance Center (S-TAC) led by the Alameda County Office of Education in partnership with the UCLA Center for Community School</w:t>
      </w:r>
      <w:r w:rsidR="0016256C" w:rsidRPr="00BF43B0">
        <w:t>ing</w:t>
      </w:r>
      <w:r w:rsidRPr="00BF43B0">
        <w:t xml:space="preserve">, </w:t>
      </w:r>
      <w:r w:rsidR="00125734" w:rsidRPr="00BF43B0">
        <w:t xml:space="preserve">the </w:t>
      </w:r>
      <w:r w:rsidRPr="00BF43B0">
        <w:t>National Education Association, and Californians for Justice has developed guidance documents</w:t>
      </w:r>
      <w:r w:rsidR="00DA4E17" w:rsidRPr="00BF43B0">
        <w:t xml:space="preserve"> that will be launched on the Digital Commons </w:t>
      </w:r>
      <w:r w:rsidR="008A6695" w:rsidRPr="00BF43B0">
        <w:t>website (</w:t>
      </w:r>
      <w:r w:rsidR="00125734" w:rsidRPr="00BF43B0">
        <w:t>e</w:t>
      </w:r>
      <w:r w:rsidR="008A6695" w:rsidRPr="00BF43B0">
        <w:t>arly 2024),</w:t>
      </w:r>
      <w:r w:rsidRPr="00BF43B0">
        <w:t xml:space="preserve"> in response to the needs of grantees and </w:t>
      </w:r>
      <w:r w:rsidR="00BF75B0" w:rsidRPr="00BF43B0">
        <w:t xml:space="preserve">continues to </w:t>
      </w:r>
      <w:r w:rsidRPr="00BF43B0">
        <w:t>develop</w:t>
      </w:r>
      <w:r w:rsidR="00BF75B0" w:rsidRPr="00BF43B0">
        <w:t xml:space="preserve"> </w:t>
      </w:r>
      <w:r w:rsidRPr="00BF43B0">
        <w:t xml:space="preserve">resources that provide grantees with implementation guidance and </w:t>
      </w:r>
      <w:r w:rsidR="00125734" w:rsidRPr="00BF43B0">
        <w:t xml:space="preserve">the </w:t>
      </w:r>
      <w:r w:rsidRPr="00BF43B0">
        <w:t>opportunity to gauge their progress.</w:t>
      </w:r>
      <w:r w:rsidR="00955BD7" w:rsidRPr="00BF43B0">
        <w:t xml:space="preserve"> The most important collaboratively developed document to date is the Annual Progress Report</w:t>
      </w:r>
      <w:r w:rsidR="00D802DD" w:rsidRPr="00BF43B0">
        <w:t xml:space="preserve"> template that LEAs and school sites will use to report their grant related </w:t>
      </w:r>
      <w:r w:rsidR="007473EA" w:rsidRPr="00BF43B0">
        <w:t xml:space="preserve">accomplishments. </w:t>
      </w:r>
    </w:p>
    <w:p w14:paraId="10832F10" w14:textId="77777777" w:rsidR="00BF75B0" w:rsidRPr="00BF43B0" w:rsidRDefault="00BF75B0" w:rsidP="00BF75B0">
      <w:pPr>
        <w:spacing w:after="240"/>
      </w:pPr>
      <w:r w:rsidRPr="00BF43B0">
        <w:t xml:space="preserve">In June 2023, the S-TAC held the first Community Schools Summit in San Francisco. Over 900 participants attended the one-day event representing students, families, educators, and community organizations. </w:t>
      </w:r>
      <w:r w:rsidR="00955BD7" w:rsidRPr="00BF43B0">
        <w:t>T</w:t>
      </w:r>
      <w:r w:rsidRPr="00BF43B0">
        <w:t>he second annual Community Schools Summit will be held in Hollywood</w:t>
      </w:r>
      <w:r w:rsidR="00E25F5B" w:rsidRPr="00BF43B0">
        <w:t>,</w:t>
      </w:r>
      <w:r w:rsidRPr="00BF43B0">
        <w:t xml:space="preserve"> June 13–14, 2024. </w:t>
      </w:r>
    </w:p>
    <w:p w14:paraId="13B14039" w14:textId="77777777" w:rsidR="00E25F5B" w:rsidRPr="00BF43B0" w:rsidRDefault="00E25F5B" w:rsidP="00E25F5B">
      <w:pPr>
        <w:spacing w:after="240"/>
      </w:pPr>
      <w:r w:rsidRPr="00BF43B0">
        <w:t>The S-TAC hosts a Collective Learning space and a webinar series for grantees throughout the year. Topics are formalized by feedback from grantees in collaboration with the Regional Technical/Transformational Assistance Centers (R-TACs).</w:t>
      </w:r>
    </w:p>
    <w:p w14:paraId="2C02FBE5" w14:textId="294BABFE" w:rsidR="00603A74" w:rsidRPr="00BF43B0" w:rsidRDefault="00BF75B0" w:rsidP="00BF43B0">
      <w:pPr>
        <w:spacing w:after="240"/>
      </w:pPr>
      <w:r w:rsidRPr="00BF43B0">
        <w:t xml:space="preserve">The S-TAC and the CDE meet with each R-TAC </w:t>
      </w:r>
      <w:proofErr w:type="gramStart"/>
      <w:r w:rsidRPr="00BF43B0">
        <w:t>on a monthly basis</w:t>
      </w:r>
      <w:proofErr w:type="gramEnd"/>
      <w:r w:rsidRPr="00BF43B0">
        <w:t xml:space="preserve">, and collectively with all R-TACs five times throughout the year. </w:t>
      </w:r>
      <w:r w:rsidR="00125734" w:rsidRPr="00BF43B0">
        <w:t xml:space="preserve">For more information, see </w:t>
      </w:r>
      <w:hyperlink r:id="rId13" w:history="1">
        <w:r w:rsidR="00125734" w:rsidRPr="00BF43B0">
          <w:rPr>
            <w:rStyle w:val="Hyperlink"/>
          </w:rPr>
          <w:t>https://www.acoe.org/stac</w:t>
        </w:r>
      </w:hyperlink>
      <w:r w:rsidR="00125734" w:rsidRPr="00BF43B0">
        <w:t xml:space="preserve">. </w:t>
      </w:r>
    </w:p>
    <w:p w14:paraId="09863EFC" w14:textId="77777777" w:rsidR="00E25F5B" w:rsidRPr="00EF190F" w:rsidRDefault="00F77065" w:rsidP="00E25F5B">
      <w:pPr>
        <w:spacing w:after="240"/>
        <w:rPr>
          <w:b/>
          <w:bCs/>
        </w:rPr>
      </w:pPr>
      <w:r w:rsidRPr="00BF43B0">
        <w:rPr>
          <w:b/>
          <w:bCs/>
        </w:rPr>
        <w:t>Regional</w:t>
      </w:r>
      <w:r w:rsidR="00E25F5B" w:rsidRPr="00BF43B0">
        <w:rPr>
          <w:b/>
          <w:bCs/>
        </w:rPr>
        <w:t xml:space="preserve"> Technical/Transformational Assistance</w:t>
      </w:r>
      <w:r w:rsidR="00E25F5B" w:rsidRPr="00EF190F">
        <w:rPr>
          <w:b/>
          <w:bCs/>
        </w:rPr>
        <w:t xml:space="preserve"> Centers</w:t>
      </w:r>
      <w:r w:rsidR="007473EA" w:rsidRPr="00EF190F">
        <w:rPr>
          <w:b/>
          <w:bCs/>
        </w:rPr>
        <w:t xml:space="preserve"> (R-TACs)</w:t>
      </w:r>
    </w:p>
    <w:p w14:paraId="4D52E26C" w14:textId="30728338" w:rsidR="00564582" w:rsidRPr="00EF190F" w:rsidRDefault="00564582" w:rsidP="00564582">
      <w:pPr>
        <w:spacing w:after="240"/>
      </w:pPr>
      <w:r w:rsidRPr="00EF190F">
        <w:t xml:space="preserve">The 2021–22 Budget Act allocated up to $141,833,000 for CDE to contract with local educational agencies to create a </w:t>
      </w:r>
      <w:r w:rsidR="00125734">
        <w:t>statewide technical assistance</w:t>
      </w:r>
      <w:r w:rsidR="00191FF8">
        <w:t xml:space="preserve"> (TA) </w:t>
      </w:r>
      <w:r w:rsidR="00125734">
        <w:t xml:space="preserve">system for </w:t>
      </w:r>
      <w:r w:rsidRPr="00EF190F">
        <w:t xml:space="preserve">CCSPP </w:t>
      </w:r>
      <w:r w:rsidR="00125734">
        <w:t>implementation</w:t>
      </w:r>
      <w:r w:rsidRPr="00EF190F">
        <w:t xml:space="preserve">. In January 2022, the CDE recommended, and the SBE approved, a TA system comprised of a lead TA provider and eight regional TA providers. </w:t>
      </w:r>
      <w:r w:rsidR="00125734">
        <w:t xml:space="preserve">In November 2022, the SBE approved CDE’s recommendation to award the R-TAC contracts to eight county offices of education covering </w:t>
      </w:r>
      <w:r w:rsidR="00C66E43">
        <w:t>every region of the state</w:t>
      </w:r>
      <w:r w:rsidR="00125734">
        <w:t xml:space="preserve">. </w:t>
      </w:r>
    </w:p>
    <w:p w14:paraId="7E2B0543" w14:textId="3420D3FC" w:rsidR="00603A74" w:rsidRPr="00EF190F" w:rsidRDefault="00125734" w:rsidP="003A1E86">
      <w:pPr>
        <w:spacing w:after="240"/>
      </w:pPr>
      <w:r>
        <w:t>Over the past year, t</w:t>
      </w:r>
      <w:r w:rsidR="00603A74" w:rsidRPr="00EF190F">
        <w:t xml:space="preserve">he </w:t>
      </w:r>
      <w:r w:rsidR="00E25F5B" w:rsidRPr="00EF190F">
        <w:t xml:space="preserve">eight R-TACs </w:t>
      </w:r>
      <w:r>
        <w:t>have focused on staffing internally, connecting with one another and the S-TAC, and</w:t>
      </w:r>
      <w:r w:rsidRPr="00EF190F">
        <w:t xml:space="preserve"> </w:t>
      </w:r>
      <w:r w:rsidR="00E25F5B" w:rsidRPr="00EF190F">
        <w:t xml:space="preserve">building up </w:t>
      </w:r>
      <w:r w:rsidR="00F77065" w:rsidRPr="00EF190F">
        <w:t xml:space="preserve">their </w:t>
      </w:r>
      <w:r w:rsidR="00E25F5B" w:rsidRPr="00EF190F">
        <w:t>support for grantees</w:t>
      </w:r>
      <w:r>
        <w:t xml:space="preserve"> in their regions</w:t>
      </w:r>
      <w:r w:rsidR="00E25F5B" w:rsidRPr="00EF190F">
        <w:t xml:space="preserve">. Each R-TAC hosts a variety of professional learning spaces including monthly regional Community of Practice meetings, weekly or bi-weekly webinars, and quarterly </w:t>
      </w:r>
      <w:r w:rsidR="00E25F5B" w:rsidRPr="00EF190F">
        <w:lastRenderedPageBreak/>
        <w:t>Peer Learning webinar</w:t>
      </w:r>
      <w:r w:rsidR="00F77065" w:rsidRPr="00EF190F">
        <w:t>s</w:t>
      </w:r>
      <w:r w:rsidR="00E25F5B" w:rsidRPr="00EF190F">
        <w:t xml:space="preserve">. </w:t>
      </w:r>
      <w:r w:rsidR="00F77065" w:rsidRPr="00EF190F">
        <w:t xml:space="preserve">The </w:t>
      </w:r>
      <w:r w:rsidR="00E25F5B" w:rsidRPr="00EF190F">
        <w:t xml:space="preserve">R-TACs have office hours for grantees and have been reaching out and building relationships with </w:t>
      </w:r>
      <w:r w:rsidR="00F77065" w:rsidRPr="00EF190F">
        <w:t>each</w:t>
      </w:r>
      <w:r w:rsidR="00E25F5B" w:rsidRPr="00EF190F">
        <w:t xml:space="preserve"> grantee in their region. R-TACs are also supporting </w:t>
      </w:r>
      <w:r w:rsidR="00C66E43">
        <w:t>c</w:t>
      </w:r>
      <w:r w:rsidR="00E25F5B" w:rsidRPr="00EF190F">
        <w:t xml:space="preserve">ounty </w:t>
      </w:r>
      <w:r w:rsidR="00C66E43">
        <w:t>o</w:t>
      </w:r>
      <w:r w:rsidR="00E25F5B" w:rsidRPr="00EF190F">
        <w:t xml:space="preserve">ffices of </w:t>
      </w:r>
      <w:r w:rsidR="00C66E43">
        <w:t>e</w:t>
      </w:r>
      <w:r w:rsidR="00E25F5B" w:rsidRPr="00EF190F">
        <w:t xml:space="preserve">ducation </w:t>
      </w:r>
      <w:r w:rsidR="00C66E43">
        <w:t xml:space="preserve">with coordination grants, to provide additional support to current </w:t>
      </w:r>
      <w:r w:rsidR="00E25F5B" w:rsidRPr="00EF190F">
        <w:t>and prospective grantees.</w:t>
      </w:r>
    </w:p>
    <w:tbl>
      <w:tblPr>
        <w:tblStyle w:val="GridTable6Colorful"/>
        <w:tblW w:w="0" w:type="auto"/>
        <w:tblLook w:val="04A0" w:firstRow="1" w:lastRow="0" w:firstColumn="1" w:lastColumn="0" w:noHBand="0" w:noVBand="1"/>
      </w:tblPr>
      <w:tblGrid>
        <w:gridCol w:w="2245"/>
        <w:gridCol w:w="3780"/>
        <w:gridCol w:w="3325"/>
      </w:tblGrid>
      <w:tr w:rsidR="003A1E86" w:rsidRPr="00EF190F" w14:paraId="7A16D52F" w14:textId="77777777" w:rsidTr="003A1E8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45" w:type="dxa"/>
          </w:tcPr>
          <w:p w14:paraId="5375D2A0" w14:textId="77777777" w:rsidR="003A1E86" w:rsidRPr="00EF190F" w:rsidRDefault="003A1E86" w:rsidP="003A1E86">
            <w:pPr>
              <w:spacing w:before="60" w:after="60"/>
            </w:pPr>
            <w:r w:rsidRPr="00EF190F">
              <w:t>R-TAC Region</w:t>
            </w:r>
          </w:p>
        </w:tc>
        <w:tc>
          <w:tcPr>
            <w:tcW w:w="3780" w:type="dxa"/>
          </w:tcPr>
          <w:p w14:paraId="6A1E248E" w14:textId="77777777" w:rsidR="003A1E86" w:rsidRPr="00EF190F" w:rsidRDefault="003A1E86" w:rsidP="003A1E86">
            <w:pPr>
              <w:spacing w:before="60" w:after="60"/>
              <w:cnfStyle w:val="100000000000" w:firstRow="1" w:lastRow="0" w:firstColumn="0" w:lastColumn="0" w:oddVBand="0" w:evenVBand="0" w:oddHBand="0" w:evenHBand="0" w:firstRowFirstColumn="0" w:firstRowLastColumn="0" w:lastRowFirstColumn="0" w:lastRowLastColumn="0"/>
            </w:pPr>
            <w:r w:rsidRPr="00EF190F">
              <w:t>Counties Served</w:t>
            </w:r>
          </w:p>
        </w:tc>
        <w:tc>
          <w:tcPr>
            <w:tcW w:w="3325" w:type="dxa"/>
          </w:tcPr>
          <w:p w14:paraId="216D5306" w14:textId="77777777" w:rsidR="003A1E86" w:rsidRPr="00EF190F" w:rsidRDefault="003A1E86" w:rsidP="003A1E86">
            <w:pPr>
              <w:spacing w:before="60" w:after="60"/>
              <w:cnfStyle w:val="100000000000" w:firstRow="1" w:lastRow="0" w:firstColumn="0" w:lastColumn="0" w:oddVBand="0" w:evenVBand="0" w:oddHBand="0" w:evenHBand="0" w:firstRowFirstColumn="0" w:firstRowLastColumn="0" w:lastRowFirstColumn="0" w:lastRowLastColumn="0"/>
            </w:pPr>
            <w:r w:rsidRPr="00EF190F">
              <w:t>Lead</w:t>
            </w:r>
          </w:p>
        </w:tc>
      </w:tr>
      <w:tr w:rsidR="003A1E86" w:rsidRPr="00EF190F" w14:paraId="3591B2F6" w14:textId="77777777" w:rsidTr="003A1E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45" w:type="dxa"/>
          </w:tcPr>
          <w:p w14:paraId="58FD5B44" w14:textId="77777777" w:rsidR="003A1E86" w:rsidRPr="00EF190F" w:rsidRDefault="003A1E86" w:rsidP="003A1E86">
            <w:pPr>
              <w:spacing w:before="60" w:after="60"/>
            </w:pPr>
            <w:r w:rsidRPr="00EF190F">
              <w:t>Bay Area</w:t>
            </w:r>
          </w:p>
        </w:tc>
        <w:tc>
          <w:tcPr>
            <w:tcW w:w="3780" w:type="dxa"/>
          </w:tcPr>
          <w:p w14:paraId="0AA32ED3" w14:textId="77777777" w:rsidR="003A1E86" w:rsidRPr="00EF190F" w:rsidRDefault="003A1E86" w:rsidP="003A1E86">
            <w:pPr>
              <w:spacing w:before="60" w:after="60"/>
              <w:cnfStyle w:val="000000100000" w:firstRow="0" w:lastRow="0" w:firstColumn="0" w:lastColumn="0" w:oddVBand="0" w:evenVBand="0" w:oddHBand="1" w:evenHBand="0" w:firstRowFirstColumn="0" w:firstRowLastColumn="0" w:lastRowFirstColumn="0" w:lastRowLastColumn="0"/>
            </w:pPr>
            <w:r w:rsidRPr="00EF190F">
              <w:t>Alameda, Contra Costa, Marin, San Francisco, San Mateo, Santa Clara, and Sonoma</w:t>
            </w:r>
          </w:p>
        </w:tc>
        <w:tc>
          <w:tcPr>
            <w:tcW w:w="3325" w:type="dxa"/>
          </w:tcPr>
          <w:p w14:paraId="31481671" w14:textId="77777777" w:rsidR="003A1E86" w:rsidRPr="00EF190F" w:rsidRDefault="003A1E86" w:rsidP="003A1E86">
            <w:pPr>
              <w:spacing w:before="60" w:after="60"/>
              <w:cnfStyle w:val="000000100000" w:firstRow="0" w:lastRow="0" w:firstColumn="0" w:lastColumn="0" w:oddVBand="0" w:evenVBand="0" w:oddHBand="1" w:evenHBand="0" w:firstRowFirstColumn="0" w:firstRowLastColumn="0" w:lastRowFirstColumn="0" w:lastRowLastColumn="0"/>
            </w:pPr>
            <w:r w:rsidRPr="00EF190F">
              <w:t>Santa Clara County Office of Education</w:t>
            </w:r>
          </w:p>
        </w:tc>
      </w:tr>
      <w:tr w:rsidR="003A1E86" w:rsidRPr="00EF190F" w14:paraId="4EBDA2AF" w14:textId="77777777" w:rsidTr="003A1E86">
        <w:trPr>
          <w:cantSplit/>
        </w:trPr>
        <w:tc>
          <w:tcPr>
            <w:cnfStyle w:val="001000000000" w:firstRow="0" w:lastRow="0" w:firstColumn="1" w:lastColumn="0" w:oddVBand="0" w:evenVBand="0" w:oddHBand="0" w:evenHBand="0" w:firstRowFirstColumn="0" w:firstRowLastColumn="0" w:lastRowFirstColumn="0" w:lastRowLastColumn="0"/>
            <w:tcW w:w="2245" w:type="dxa"/>
          </w:tcPr>
          <w:p w14:paraId="318B4CE7" w14:textId="77777777" w:rsidR="003A1E86" w:rsidRPr="00EF190F" w:rsidRDefault="003A1E86" w:rsidP="003A1E86">
            <w:pPr>
              <w:spacing w:before="60" w:after="60"/>
            </w:pPr>
            <w:r w:rsidRPr="00EF190F">
              <w:t>Capitol Area</w:t>
            </w:r>
          </w:p>
        </w:tc>
        <w:tc>
          <w:tcPr>
            <w:tcW w:w="3780" w:type="dxa"/>
          </w:tcPr>
          <w:p w14:paraId="481202F9" w14:textId="77777777" w:rsidR="003A1E86" w:rsidRPr="00EF190F" w:rsidRDefault="003A1E86" w:rsidP="003A1E86">
            <w:pPr>
              <w:spacing w:before="60" w:after="60"/>
              <w:cnfStyle w:val="000000000000" w:firstRow="0" w:lastRow="0" w:firstColumn="0" w:lastColumn="0" w:oddVBand="0" w:evenVBand="0" w:oddHBand="0" w:evenHBand="0" w:firstRowFirstColumn="0" w:firstRowLastColumn="0" w:lastRowFirstColumn="0" w:lastRowLastColumn="0"/>
            </w:pPr>
            <w:r w:rsidRPr="00EF190F">
              <w:t>Alpine, Colusa, El Dorado, Nevada, Placer, Sacramento, San Joaquin, Sierra, Solano, Sutter, Yolo, and Yuba</w:t>
            </w:r>
          </w:p>
        </w:tc>
        <w:tc>
          <w:tcPr>
            <w:tcW w:w="3325" w:type="dxa"/>
          </w:tcPr>
          <w:p w14:paraId="7608E81D" w14:textId="77777777" w:rsidR="003A1E86" w:rsidRPr="00EF190F" w:rsidRDefault="003A1E86" w:rsidP="003A1E86">
            <w:pPr>
              <w:spacing w:before="60" w:after="60"/>
              <w:cnfStyle w:val="000000000000" w:firstRow="0" w:lastRow="0" w:firstColumn="0" w:lastColumn="0" w:oddVBand="0" w:evenVBand="0" w:oddHBand="0" w:evenHBand="0" w:firstRowFirstColumn="0" w:firstRowLastColumn="0" w:lastRowFirstColumn="0" w:lastRowLastColumn="0"/>
            </w:pPr>
            <w:r w:rsidRPr="00EF190F">
              <w:t>Sacramento County Office of Education</w:t>
            </w:r>
          </w:p>
        </w:tc>
      </w:tr>
      <w:tr w:rsidR="003A1E86" w:rsidRPr="00EF190F" w14:paraId="1292C3E0" w14:textId="77777777" w:rsidTr="003A1E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45" w:type="dxa"/>
          </w:tcPr>
          <w:p w14:paraId="5C17010B" w14:textId="77777777" w:rsidR="003A1E86" w:rsidRPr="00EF190F" w:rsidRDefault="003A1E86" w:rsidP="003A1E86">
            <w:pPr>
              <w:spacing w:before="60" w:after="60"/>
            </w:pPr>
            <w:r w:rsidRPr="00EF190F">
              <w:t>Central Coast</w:t>
            </w:r>
          </w:p>
        </w:tc>
        <w:tc>
          <w:tcPr>
            <w:tcW w:w="3780" w:type="dxa"/>
          </w:tcPr>
          <w:p w14:paraId="798FEB4B" w14:textId="77777777" w:rsidR="003A1E86" w:rsidRPr="00EF190F" w:rsidRDefault="003A1E86" w:rsidP="003A1E86">
            <w:pPr>
              <w:spacing w:before="60" w:after="60"/>
              <w:cnfStyle w:val="000000100000" w:firstRow="0" w:lastRow="0" w:firstColumn="0" w:lastColumn="0" w:oddVBand="0" w:evenVBand="0" w:oddHBand="1" w:evenHBand="0" w:firstRowFirstColumn="0" w:firstRowLastColumn="0" w:lastRowFirstColumn="0" w:lastRowLastColumn="0"/>
            </w:pPr>
            <w:r w:rsidRPr="00EF190F">
              <w:t>Monterey, San Benito, San Luis Obispo, Santa Barbara, Santa Cruz, and Ventura</w:t>
            </w:r>
          </w:p>
        </w:tc>
        <w:tc>
          <w:tcPr>
            <w:tcW w:w="3325" w:type="dxa"/>
          </w:tcPr>
          <w:p w14:paraId="21429675" w14:textId="77777777" w:rsidR="003A1E86" w:rsidRPr="00EF190F" w:rsidRDefault="003A1E86" w:rsidP="003A1E86">
            <w:pPr>
              <w:spacing w:before="60" w:after="60"/>
              <w:cnfStyle w:val="000000100000" w:firstRow="0" w:lastRow="0" w:firstColumn="0" w:lastColumn="0" w:oddVBand="0" w:evenVBand="0" w:oddHBand="1" w:evenHBand="0" w:firstRowFirstColumn="0" w:firstRowLastColumn="0" w:lastRowFirstColumn="0" w:lastRowLastColumn="0"/>
            </w:pPr>
            <w:r w:rsidRPr="00EF190F">
              <w:t>Monterey County Office of Education</w:t>
            </w:r>
          </w:p>
        </w:tc>
      </w:tr>
      <w:tr w:rsidR="003A1E86" w:rsidRPr="00EF190F" w14:paraId="02C12E54" w14:textId="77777777" w:rsidTr="003A1E86">
        <w:trPr>
          <w:cantSplit/>
        </w:trPr>
        <w:tc>
          <w:tcPr>
            <w:cnfStyle w:val="001000000000" w:firstRow="0" w:lastRow="0" w:firstColumn="1" w:lastColumn="0" w:oddVBand="0" w:evenVBand="0" w:oddHBand="0" w:evenHBand="0" w:firstRowFirstColumn="0" w:firstRowLastColumn="0" w:lastRowFirstColumn="0" w:lastRowLastColumn="0"/>
            <w:tcW w:w="2245" w:type="dxa"/>
          </w:tcPr>
          <w:p w14:paraId="237112C9" w14:textId="77777777" w:rsidR="003A1E86" w:rsidRPr="00EF190F" w:rsidRDefault="003A1E86" w:rsidP="003A1E86">
            <w:pPr>
              <w:spacing w:before="60" w:after="60"/>
            </w:pPr>
            <w:r w:rsidRPr="00EF190F">
              <w:t>Central Valley</w:t>
            </w:r>
          </w:p>
        </w:tc>
        <w:tc>
          <w:tcPr>
            <w:tcW w:w="3780" w:type="dxa"/>
          </w:tcPr>
          <w:p w14:paraId="43EA7B84" w14:textId="77777777" w:rsidR="003A1E86" w:rsidRPr="00EF190F" w:rsidRDefault="003A1E86" w:rsidP="003A1E86">
            <w:pPr>
              <w:spacing w:before="60" w:after="60"/>
              <w:cnfStyle w:val="000000000000" w:firstRow="0" w:lastRow="0" w:firstColumn="0" w:lastColumn="0" w:oddVBand="0" w:evenVBand="0" w:oddHBand="0" w:evenHBand="0" w:firstRowFirstColumn="0" w:firstRowLastColumn="0" w:lastRowFirstColumn="0" w:lastRowLastColumn="0"/>
            </w:pPr>
            <w:r w:rsidRPr="00EF190F">
              <w:t>Amador, Calavera, Fresno, Kern, Kings, Madera, Mariposa, Merced, Stanislaus, Tulare, and Tuolumne</w:t>
            </w:r>
          </w:p>
        </w:tc>
        <w:tc>
          <w:tcPr>
            <w:tcW w:w="3325" w:type="dxa"/>
          </w:tcPr>
          <w:p w14:paraId="15915045" w14:textId="77777777" w:rsidR="003A1E86" w:rsidRPr="00EF190F" w:rsidRDefault="003A1E86" w:rsidP="003A1E86">
            <w:pPr>
              <w:spacing w:before="60" w:after="60"/>
              <w:cnfStyle w:val="000000000000" w:firstRow="0" w:lastRow="0" w:firstColumn="0" w:lastColumn="0" w:oddVBand="0" w:evenVBand="0" w:oddHBand="0" w:evenHBand="0" w:firstRowFirstColumn="0" w:firstRowLastColumn="0" w:lastRowFirstColumn="0" w:lastRowLastColumn="0"/>
            </w:pPr>
            <w:r w:rsidRPr="00EF190F">
              <w:t>Fresno County Office of Education</w:t>
            </w:r>
          </w:p>
        </w:tc>
      </w:tr>
      <w:tr w:rsidR="003A1E86" w:rsidRPr="00EF190F" w14:paraId="09D978E5" w14:textId="77777777" w:rsidTr="003A1E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45" w:type="dxa"/>
          </w:tcPr>
          <w:p w14:paraId="481AF607" w14:textId="77777777" w:rsidR="003A1E86" w:rsidRPr="00EF190F" w:rsidRDefault="003A1E86" w:rsidP="003A1E86">
            <w:pPr>
              <w:spacing w:before="60" w:after="60"/>
            </w:pPr>
            <w:r w:rsidRPr="00EF190F">
              <w:t>Greater Los Angeles</w:t>
            </w:r>
          </w:p>
        </w:tc>
        <w:tc>
          <w:tcPr>
            <w:tcW w:w="3780" w:type="dxa"/>
          </w:tcPr>
          <w:p w14:paraId="4D5D3626" w14:textId="77777777" w:rsidR="003A1E86" w:rsidRPr="00EF190F" w:rsidRDefault="003A1E86" w:rsidP="003A1E86">
            <w:pPr>
              <w:spacing w:before="60" w:after="60"/>
              <w:cnfStyle w:val="000000100000" w:firstRow="0" w:lastRow="0" w:firstColumn="0" w:lastColumn="0" w:oddVBand="0" w:evenVBand="0" w:oddHBand="1" w:evenHBand="0" w:firstRowFirstColumn="0" w:firstRowLastColumn="0" w:lastRowFirstColumn="0" w:lastRowLastColumn="0"/>
            </w:pPr>
            <w:r w:rsidRPr="00EF190F">
              <w:t>Los Angeles</w:t>
            </w:r>
          </w:p>
        </w:tc>
        <w:tc>
          <w:tcPr>
            <w:tcW w:w="3325" w:type="dxa"/>
          </w:tcPr>
          <w:p w14:paraId="0BF324DA" w14:textId="77777777" w:rsidR="003A1E86" w:rsidRPr="00EF190F" w:rsidRDefault="003A1E86" w:rsidP="003A1E86">
            <w:pPr>
              <w:spacing w:before="60" w:after="60"/>
              <w:cnfStyle w:val="000000100000" w:firstRow="0" w:lastRow="0" w:firstColumn="0" w:lastColumn="0" w:oddVBand="0" w:evenVBand="0" w:oddHBand="1" w:evenHBand="0" w:firstRowFirstColumn="0" w:firstRowLastColumn="0" w:lastRowFirstColumn="0" w:lastRowLastColumn="0"/>
            </w:pPr>
            <w:r w:rsidRPr="00EF190F">
              <w:t>Los Angeles County Office of Education</w:t>
            </w:r>
          </w:p>
        </w:tc>
      </w:tr>
      <w:tr w:rsidR="003A1E86" w:rsidRPr="00EF190F" w14:paraId="19A3F4C0" w14:textId="77777777" w:rsidTr="003A1E86">
        <w:trPr>
          <w:cantSplit/>
        </w:trPr>
        <w:tc>
          <w:tcPr>
            <w:cnfStyle w:val="001000000000" w:firstRow="0" w:lastRow="0" w:firstColumn="1" w:lastColumn="0" w:oddVBand="0" w:evenVBand="0" w:oddHBand="0" w:evenHBand="0" w:firstRowFirstColumn="0" w:firstRowLastColumn="0" w:lastRowFirstColumn="0" w:lastRowLastColumn="0"/>
            <w:tcW w:w="2245" w:type="dxa"/>
          </w:tcPr>
          <w:p w14:paraId="76FF976B" w14:textId="77777777" w:rsidR="003A1E86" w:rsidRPr="00EF190F" w:rsidRDefault="003A1E86" w:rsidP="003A1E86">
            <w:pPr>
              <w:spacing w:before="60" w:after="60"/>
            </w:pPr>
            <w:r w:rsidRPr="00EF190F">
              <w:t>Northern California</w:t>
            </w:r>
          </w:p>
        </w:tc>
        <w:tc>
          <w:tcPr>
            <w:tcW w:w="3780" w:type="dxa"/>
          </w:tcPr>
          <w:p w14:paraId="4660E6D8" w14:textId="77777777" w:rsidR="003A1E86" w:rsidRPr="00EF190F" w:rsidRDefault="003A1E86" w:rsidP="003A1E86">
            <w:pPr>
              <w:spacing w:before="60" w:after="60"/>
              <w:cnfStyle w:val="000000000000" w:firstRow="0" w:lastRow="0" w:firstColumn="0" w:lastColumn="0" w:oddVBand="0" w:evenVBand="0" w:oddHBand="0" w:evenHBand="0" w:firstRowFirstColumn="0" w:firstRowLastColumn="0" w:lastRowFirstColumn="0" w:lastRowLastColumn="0"/>
            </w:pPr>
            <w:r w:rsidRPr="00EF190F">
              <w:t>Butte, Del Norte, Glenn, Humboldt, Lake, Lassen, Mendocino, Modoc, Plumas, Shasta, Siskiyou, Tehama, and Trinity</w:t>
            </w:r>
          </w:p>
        </w:tc>
        <w:tc>
          <w:tcPr>
            <w:tcW w:w="3325" w:type="dxa"/>
          </w:tcPr>
          <w:p w14:paraId="0E84D9CB" w14:textId="77777777" w:rsidR="003A1E86" w:rsidRPr="00EF190F" w:rsidRDefault="003A1E86" w:rsidP="003A1E86">
            <w:pPr>
              <w:spacing w:before="60" w:after="60"/>
              <w:cnfStyle w:val="000000000000" w:firstRow="0" w:lastRow="0" w:firstColumn="0" w:lastColumn="0" w:oddVBand="0" w:evenVBand="0" w:oddHBand="0" w:evenHBand="0" w:firstRowFirstColumn="0" w:firstRowLastColumn="0" w:lastRowFirstColumn="0" w:lastRowLastColumn="0"/>
            </w:pPr>
            <w:r w:rsidRPr="00EF190F">
              <w:t>Shasta County Office of Education</w:t>
            </w:r>
          </w:p>
        </w:tc>
      </w:tr>
      <w:tr w:rsidR="003A1E86" w:rsidRPr="00EF190F" w14:paraId="307783D1" w14:textId="77777777" w:rsidTr="003A1E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45" w:type="dxa"/>
          </w:tcPr>
          <w:p w14:paraId="41F11F79" w14:textId="77777777" w:rsidR="003A1E86" w:rsidRPr="00EF190F" w:rsidRDefault="003A1E86" w:rsidP="003A1E86">
            <w:pPr>
              <w:spacing w:before="60" w:after="60"/>
            </w:pPr>
            <w:r w:rsidRPr="00EF190F">
              <w:t>Southern Coast</w:t>
            </w:r>
          </w:p>
        </w:tc>
        <w:tc>
          <w:tcPr>
            <w:tcW w:w="3780" w:type="dxa"/>
          </w:tcPr>
          <w:p w14:paraId="5A5147DC" w14:textId="77777777" w:rsidR="003A1E86" w:rsidRPr="00EF190F" w:rsidRDefault="003A1E86" w:rsidP="003A1E86">
            <w:pPr>
              <w:spacing w:before="60" w:after="60"/>
              <w:cnfStyle w:val="000000100000" w:firstRow="0" w:lastRow="0" w:firstColumn="0" w:lastColumn="0" w:oddVBand="0" w:evenVBand="0" w:oddHBand="1" w:evenHBand="0" w:firstRowFirstColumn="0" w:firstRowLastColumn="0" w:lastRowFirstColumn="0" w:lastRowLastColumn="0"/>
            </w:pPr>
            <w:r w:rsidRPr="00EF190F">
              <w:t>Imperial, Orange, and San Diego</w:t>
            </w:r>
          </w:p>
        </w:tc>
        <w:tc>
          <w:tcPr>
            <w:tcW w:w="3325" w:type="dxa"/>
          </w:tcPr>
          <w:p w14:paraId="7B3EBA21" w14:textId="77777777" w:rsidR="003A1E86" w:rsidRPr="00EF190F" w:rsidRDefault="003A1E86" w:rsidP="003A1E86">
            <w:pPr>
              <w:spacing w:before="60" w:after="60"/>
              <w:cnfStyle w:val="000000100000" w:firstRow="0" w:lastRow="0" w:firstColumn="0" w:lastColumn="0" w:oddVBand="0" w:evenVBand="0" w:oddHBand="1" w:evenHBand="0" w:firstRowFirstColumn="0" w:firstRowLastColumn="0" w:lastRowFirstColumn="0" w:lastRowLastColumn="0"/>
            </w:pPr>
            <w:r w:rsidRPr="00EF190F">
              <w:t>San Diego County Office of Education</w:t>
            </w:r>
          </w:p>
        </w:tc>
      </w:tr>
      <w:tr w:rsidR="003A1E86" w:rsidRPr="00EF190F" w14:paraId="64311D00" w14:textId="77777777" w:rsidTr="003A1E86">
        <w:trPr>
          <w:cantSplit/>
        </w:trPr>
        <w:tc>
          <w:tcPr>
            <w:cnfStyle w:val="001000000000" w:firstRow="0" w:lastRow="0" w:firstColumn="1" w:lastColumn="0" w:oddVBand="0" w:evenVBand="0" w:oddHBand="0" w:evenHBand="0" w:firstRowFirstColumn="0" w:firstRowLastColumn="0" w:lastRowFirstColumn="0" w:lastRowLastColumn="0"/>
            <w:tcW w:w="2245" w:type="dxa"/>
          </w:tcPr>
          <w:p w14:paraId="7408BE44" w14:textId="77777777" w:rsidR="003A1E86" w:rsidRPr="00EF190F" w:rsidRDefault="003A1E86" w:rsidP="003A1E86">
            <w:pPr>
              <w:spacing w:before="60" w:after="60"/>
            </w:pPr>
            <w:r w:rsidRPr="00EF190F">
              <w:t>Southern Inland</w:t>
            </w:r>
          </w:p>
        </w:tc>
        <w:tc>
          <w:tcPr>
            <w:tcW w:w="3780" w:type="dxa"/>
          </w:tcPr>
          <w:p w14:paraId="0E7832A3" w14:textId="77777777" w:rsidR="003A1E86" w:rsidRPr="00EF190F" w:rsidRDefault="003A1E86" w:rsidP="003A1E86">
            <w:pPr>
              <w:spacing w:before="60" w:after="60"/>
              <w:cnfStyle w:val="000000000000" w:firstRow="0" w:lastRow="0" w:firstColumn="0" w:lastColumn="0" w:oddVBand="0" w:evenVBand="0" w:oddHBand="0" w:evenHBand="0" w:firstRowFirstColumn="0" w:firstRowLastColumn="0" w:lastRowFirstColumn="0" w:lastRowLastColumn="0"/>
            </w:pPr>
            <w:r w:rsidRPr="00EF190F">
              <w:t>Inyo, Mono, Riverside, and San Bernardino</w:t>
            </w:r>
          </w:p>
        </w:tc>
        <w:tc>
          <w:tcPr>
            <w:tcW w:w="3325" w:type="dxa"/>
          </w:tcPr>
          <w:p w14:paraId="343B5B7A" w14:textId="77777777" w:rsidR="003A1E86" w:rsidRPr="00EF190F" w:rsidRDefault="003A1E86" w:rsidP="003A1E86">
            <w:pPr>
              <w:spacing w:before="60" w:after="60"/>
              <w:cnfStyle w:val="000000000000" w:firstRow="0" w:lastRow="0" w:firstColumn="0" w:lastColumn="0" w:oddVBand="0" w:evenVBand="0" w:oddHBand="0" w:evenHBand="0" w:firstRowFirstColumn="0" w:firstRowLastColumn="0" w:lastRowFirstColumn="0" w:lastRowLastColumn="0"/>
            </w:pPr>
            <w:r w:rsidRPr="00EF190F">
              <w:t>San Bernardino County Superintendent of Schools</w:t>
            </w:r>
          </w:p>
        </w:tc>
      </w:tr>
    </w:tbl>
    <w:p w14:paraId="37289DB9" w14:textId="2C37A184" w:rsidR="00131DF7" w:rsidRDefault="00131DF7" w:rsidP="00603A74"/>
    <w:p w14:paraId="43D386C9" w14:textId="69A0FE66" w:rsidR="00131DF7" w:rsidRDefault="00131DF7" w:rsidP="00603A74">
      <w:r>
        <w:t>The R</w:t>
      </w:r>
      <w:r w:rsidR="00564582">
        <w:t>-</w:t>
      </w:r>
      <w:r>
        <w:t xml:space="preserve">TACs are all in implementation mode and are actively assisting </w:t>
      </w:r>
      <w:r w:rsidR="00564582">
        <w:t xml:space="preserve">LEA grantees </w:t>
      </w:r>
      <w:r>
        <w:t>in all aspects of the planning and implementation processes. Area</w:t>
      </w:r>
      <w:r w:rsidR="00564582">
        <w:t>s</w:t>
      </w:r>
      <w:r>
        <w:t xml:space="preserve"> of focus for support vary from region to region but all R</w:t>
      </w:r>
      <w:r w:rsidR="00564582">
        <w:t>-</w:t>
      </w:r>
      <w:r>
        <w:t>TACs are currently offering guidance and services to LEAs in the following areas (</w:t>
      </w:r>
      <w:r w:rsidR="00564582">
        <w:t xml:space="preserve">this is a </w:t>
      </w:r>
      <w:r>
        <w:t xml:space="preserve">partial, </w:t>
      </w:r>
      <w:r w:rsidR="004A552B">
        <w:t>non-exhaustive</w:t>
      </w:r>
      <w:r>
        <w:t xml:space="preserve"> list):</w:t>
      </w:r>
    </w:p>
    <w:p w14:paraId="55C384A6" w14:textId="77777777" w:rsidR="009D6EF8" w:rsidRDefault="009D6EF8" w:rsidP="00603A74"/>
    <w:p w14:paraId="232F87E0" w14:textId="50E3E85B" w:rsidR="00131DF7" w:rsidRDefault="00131DF7" w:rsidP="00131DF7">
      <w:pPr>
        <w:pStyle w:val="ListParagraph"/>
        <w:numPr>
          <w:ilvl w:val="0"/>
          <w:numId w:val="31"/>
        </w:numPr>
      </w:pPr>
      <w:r>
        <w:t xml:space="preserve">The </w:t>
      </w:r>
      <w:r w:rsidR="00AC2C2D">
        <w:t>a</w:t>
      </w:r>
      <w:r>
        <w:t xml:space="preserve">sset </w:t>
      </w:r>
      <w:r w:rsidR="00AC2C2D">
        <w:t>m</w:t>
      </w:r>
      <w:r>
        <w:t xml:space="preserve">apping, </w:t>
      </w:r>
      <w:r w:rsidR="00AC2C2D">
        <w:t>n</w:t>
      </w:r>
      <w:r>
        <w:t xml:space="preserve">eeds </w:t>
      </w:r>
      <w:r w:rsidR="00AC2C2D">
        <w:t>a</w:t>
      </w:r>
      <w:r>
        <w:t xml:space="preserve">ssessment and </w:t>
      </w:r>
      <w:r w:rsidR="00AC2C2D">
        <w:t>g</w:t>
      </w:r>
      <w:r>
        <w:t xml:space="preserve">ap </w:t>
      </w:r>
      <w:r w:rsidR="00AC2C2D">
        <w:t>a</w:t>
      </w:r>
      <w:r>
        <w:t xml:space="preserve">nalysis </w:t>
      </w:r>
      <w:proofErr w:type="gramStart"/>
      <w:r w:rsidR="00AC2C2D">
        <w:t>p</w:t>
      </w:r>
      <w:r>
        <w:t>rocess</w:t>
      </w:r>
      <w:proofErr w:type="gramEnd"/>
    </w:p>
    <w:p w14:paraId="0438BFA5" w14:textId="0D8BA8F8" w:rsidR="00131DF7" w:rsidRDefault="00131DF7" w:rsidP="00131DF7">
      <w:pPr>
        <w:pStyle w:val="ListParagraph"/>
        <w:numPr>
          <w:ilvl w:val="0"/>
          <w:numId w:val="31"/>
        </w:numPr>
      </w:pPr>
      <w:r>
        <w:t xml:space="preserve">The formation of </w:t>
      </w:r>
      <w:r w:rsidR="00AC2C2D">
        <w:t>s</w:t>
      </w:r>
      <w:r>
        <w:t xml:space="preserve">hared </w:t>
      </w:r>
      <w:r w:rsidR="00AC2C2D">
        <w:t>g</w:t>
      </w:r>
      <w:r>
        <w:t xml:space="preserve">overnance </w:t>
      </w:r>
      <w:r w:rsidR="00AC2C2D">
        <w:t>c</w:t>
      </w:r>
      <w:r>
        <w:t>ouncils</w:t>
      </w:r>
    </w:p>
    <w:p w14:paraId="353A0EFF" w14:textId="41DDD78F" w:rsidR="00131DF7" w:rsidRDefault="00131DF7" w:rsidP="00131DF7">
      <w:pPr>
        <w:pStyle w:val="ListParagraph"/>
        <w:numPr>
          <w:ilvl w:val="0"/>
          <w:numId w:val="31"/>
        </w:numPr>
      </w:pPr>
      <w:r>
        <w:t xml:space="preserve">The establishment of </w:t>
      </w:r>
      <w:r w:rsidR="00AC2C2D">
        <w:t xml:space="preserve">memoranda of understanding </w:t>
      </w:r>
      <w:r>
        <w:t>and other agreements for integrated student and family services at district and school sites</w:t>
      </w:r>
    </w:p>
    <w:p w14:paraId="603B0B3E" w14:textId="72584173" w:rsidR="00131DF7" w:rsidRDefault="00131DF7" w:rsidP="00131DF7">
      <w:pPr>
        <w:pStyle w:val="ListParagraph"/>
        <w:numPr>
          <w:ilvl w:val="0"/>
          <w:numId w:val="31"/>
        </w:numPr>
      </w:pPr>
      <w:r>
        <w:t xml:space="preserve">Implementation and execution of successful partnerships </w:t>
      </w:r>
    </w:p>
    <w:p w14:paraId="3ED3CDAA" w14:textId="74093CF3" w:rsidR="00131DF7" w:rsidRDefault="00131DF7" w:rsidP="00131DF7">
      <w:pPr>
        <w:pStyle w:val="ListParagraph"/>
        <w:numPr>
          <w:ilvl w:val="0"/>
          <w:numId w:val="31"/>
        </w:numPr>
      </w:pPr>
      <w:r>
        <w:lastRenderedPageBreak/>
        <w:t xml:space="preserve">Planning and visioning for collective leadership in response to needs identified in the </w:t>
      </w:r>
      <w:r w:rsidR="00AC2C2D">
        <w:t>g</w:t>
      </w:r>
      <w:r>
        <w:t xml:space="preserve">ap </w:t>
      </w:r>
      <w:proofErr w:type="gramStart"/>
      <w:r w:rsidR="00AC2C2D">
        <w:t>a</w:t>
      </w:r>
      <w:r>
        <w:t>nalysis</w:t>
      </w:r>
      <w:proofErr w:type="gramEnd"/>
    </w:p>
    <w:p w14:paraId="2149B8E7" w14:textId="15AA0387" w:rsidR="00131DF7" w:rsidRDefault="00131DF7" w:rsidP="00131DF7">
      <w:pPr>
        <w:pStyle w:val="ListParagraph"/>
        <w:numPr>
          <w:ilvl w:val="0"/>
          <w:numId w:val="31"/>
        </w:numPr>
      </w:pPr>
      <w:r>
        <w:t xml:space="preserve">Strategic </w:t>
      </w:r>
      <w:r w:rsidR="00191FF8">
        <w:t>p</w:t>
      </w:r>
      <w:r>
        <w:t xml:space="preserve">lanning for sustainability including billing for services and understanding coming changes in fee schedule and other ways to expand service for student and </w:t>
      </w:r>
      <w:proofErr w:type="gramStart"/>
      <w:r>
        <w:t>families</w:t>
      </w:r>
      <w:proofErr w:type="gramEnd"/>
    </w:p>
    <w:p w14:paraId="21DBC847" w14:textId="0BB4C084" w:rsidR="00131DF7" w:rsidRDefault="00131DF7" w:rsidP="00564582">
      <w:pPr>
        <w:pStyle w:val="ListParagraph"/>
        <w:numPr>
          <w:ilvl w:val="0"/>
          <w:numId w:val="31"/>
        </w:numPr>
      </w:pPr>
      <w:r>
        <w:t xml:space="preserve">Working with all interest holders to develop shared vision and priorities for CCSPP </w:t>
      </w:r>
      <w:proofErr w:type="gramStart"/>
      <w:r>
        <w:t>implementation</w:t>
      </w:r>
      <w:proofErr w:type="gramEnd"/>
      <w:r>
        <w:t xml:space="preserve"> </w:t>
      </w:r>
    </w:p>
    <w:p w14:paraId="304A374F" w14:textId="4A0CED91" w:rsidR="00564582" w:rsidRDefault="00564582" w:rsidP="00564582"/>
    <w:p w14:paraId="6D02B887" w14:textId="2216CA2B" w:rsidR="00564582" w:rsidRPr="00EF190F" w:rsidRDefault="00564582" w:rsidP="00564582">
      <w:r>
        <w:t xml:space="preserve">R-TACs </w:t>
      </w:r>
      <w:r w:rsidR="00C66E43">
        <w:t>and Coordination Grant-funded COEs are LEAs</w:t>
      </w:r>
      <w:r w:rsidR="00BF43B0">
        <w:t>’</w:t>
      </w:r>
      <w:r>
        <w:t xml:space="preserve"> first line of CCSPP support, and where R-TACs need assistance in answering questions they can reach out or direct grantees to the S-TAC or to CDE directly.</w:t>
      </w:r>
      <w:r w:rsidR="00125734">
        <w:t xml:space="preserve"> For R-TAC contact information, see </w:t>
      </w:r>
      <w:hyperlink r:id="rId14" w:history="1">
        <w:r w:rsidR="00125734" w:rsidRPr="004D05ED">
          <w:rPr>
            <w:rStyle w:val="Hyperlink"/>
          </w:rPr>
          <w:t>https://www.acoe.org/Page/2545</w:t>
        </w:r>
      </w:hyperlink>
      <w:r w:rsidR="00125734">
        <w:t xml:space="preserve">. </w:t>
      </w:r>
    </w:p>
    <w:p w14:paraId="6C592679" w14:textId="2AE632CA" w:rsidR="00EA0864" w:rsidRPr="00083F9A" w:rsidRDefault="00EA0864" w:rsidP="00EA0864">
      <w:pPr>
        <w:pStyle w:val="Heading3"/>
        <w:spacing w:before="240" w:after="240"/>
      </w:pPr>
      <w:r w:rsidRPr="00083F9A">
        <w:t>CCSPP Grantmaking to LEAs</w:t>
      </w:r>
      <w:r w:rsidR="0014097F">
        <w:t>: Planning Grants, Implementation Grants and COE Coordination Grants</w:t>
      </w:r>
    </w:p>
    <w:p w14:paraId="3325F2DC" w14:textId="77777777" w:rsidR="00EA0864" w:rsidRPr="00D7514F" w:rsidRDefault="00EA0864" w:rsidP="00EA0864">
      <w:pPr>
        <w:autoSpaceDE w:val="0"/>
        <w:autoSpaceDN w:val="0"/>
        <w:adjustRightInd w:val="0"/>
        <w:spacing w:after="240"/>
        <w:rPr>
          <w:rFonts w:cs="Arial"/>
        </w:rPr>
      </w:pPr>
      <w:r w:rsidRPr="00D7514F">
        <w:rPr>
          <w:rFonts w:cs="Arial"/>
        </w:rPr>
        <w:t>State law establishes grant opportunities starting in the 2021–22 program year through the 2030–31 program year, as follows:</w:t>
      </w:r>
    </w:p>
    <w:p w14:paraId="51E2A1FC" w14:textId="66428D04" w:rsidR="00560888" w:rsidRDefault="00EA0864" w:rsidP="00EA0864">
      <w:pPr>
        <w:pStyle w:val="ListParagraph"/>
        <w:numPr>
          <w:ilvl w:val="0"/>
          <w:numId w:val="8"/>
        </w:numPr>
        <w:spacing w:after="240"/>
        <w:contextualSpacing w:val="0"/>
      </w:pPr>
      <w:r w:rsidRPr="00D7514F">
        <w:t xml:space="preserve">Planning grants (at least 10 percent of 2021 funding = $287,416,400) for the 2021–22 and 2022–23 program years. Grants </w:t>
      </w:r>
      <w:r w:rsidR="00191FF8">
        <w:t>we</w:t>
      </w:r>
      <w:r w:rsidRPr="00D7514F">
        <w:t xml:space="preserve">re up to $200,000 per qualifying entity for LEAs with no community schools. Planning grants have a matching requirement of one-third, with grant periods of up to two years. Any remaining planning grant funding after 2022–23 </w:t>
      </w:r>
      <w:r w:rsidR="00191FF8">
        <w:t>is</w:t>
      </w:r>
      <w:r w:rsidRPr="00D7514F">
        <w:t xml:space="preserve"> available for implementation grants. </w:t>
      </w:r>
    </w:p>
    <w:p w14:paraId="7E6D25FF" w14:textId="77777777" w:rsidR="00560888" w:rsidRDefault="00560888" w:rsidP="00560888">
      <w:pPr>
        <w:pStyle w:val="ListParagraph"/>
        <w:numPr>
          <w:ilvl w:val="1"/>
          <w:numId w:val="8"/>
        </w:numPr>
        <w:spacing w:after="240"/>
        <w:contextualSpacing w:val="0"/>
      </w:pPr>
      <w:r>
        <w:t xml:space="preserve">Cohort 1: </w:t>
      </w:r>
      <w:r w:rsidR="00EA0864" w:rsidRPr="00D7514F">
        <w:t xml:space="preserve">In 2021–22, the SBE approved </w:t>
      </w:r>
      <w:r w:rsidR="00EA0864">
        <w:t>p</w:t>
      </w:r>
      <w:r w:rsidR="00EA0864" w:rsidRPr="00D7514F">
        <w:t xml:space="preserve">lanning </w:t>
      </w:r>
      <w:r w:rsidR="00EA0864">
        <w:t>g</w:t>
      </w:r>
      <w:r w:rsidR="00EA0864" w:rsidRPr="00D7514F">
        <w:t xml:space="preserve">rant funding for 192 LEAs, for a total allocation of </w:t>
      </w:r>
      <w:r w:rsidR="00EA0864" w:rsidRPr="00D7514F">
        <w:rPr>
          <w:rFonts w:eastAsia="Arial" w:cs="Arial"/>
          <w:color w:val="000000" w:themeColor="text1"/>
        </w:rPr>
        <w:t>$38,200,122</w:t>
      </w:r>
      <w:r w:rsidR="00EA0864" w:rsidRPr="00D7514F">
        <w:t xml:space="preserve"> </w:t>
      </w:r>
      <w:r w:rsidR="00EA0864" w:rsidRPr="00D7514F">
        <w:rPr>
          <w:rFonts w:eastAsia="Arial" w:cs="Arial"/>
          <w:color w:val="000000" w:themeColor="text1"/>
        </w:rPr>
        <w:t>(</w:t>
      </w:r>
      <w:hyperlink r:id="rId15" w:tooltip="May SBE Item" w:history="1">
        <w:r w:rsidR="00EA0864" w:rsidRPr="00D7514F">
          <w:rPr>
            <w:rStyle w:val="Hyperlink"/>
            <w:rFonts w:eastAsia="Arial" w:cs="Arial"/>
          </w:rPr>
          <w:t>https://www.cde.ca.gov/be/ag/ag/yr22/documents/may22item02a1rev.docx</w:t>
        </w:r>
      </w:hyperlink>
      <w:r w:rsidR="00EA0864" w:rsidRPr="00D7514F">
        <w:rPr>
          <w:rFonts w:eastAsia="Arial" w:cs="Arial"/>
          <w:color w:val="000000" w:themeColor="text1"/>
        </w:rPr>
        <w:t xml:space="preserve">). </w:t>
      </w:r>
      <w:r w:rsidR="00EA0864" w:rsidRPr="00D7514F">
        <w:t xml:space="preserve">Subsequently, one LEA appealed and was awarded a planning grant, bringing the total number of </w:t>
      </w:r>
      <w:r w:rsidR="00EA0864">
        <w:t>p</w:t>
      </w:r>
      <w:r w:rsidR="00EA0864" w:rsidRPr="00D7514F">
        <w:t xml:space="preserve">lanning </w:t>
      </w:r>
      <w:r w:rsidR="00EA0864">
        <w:t>g</w:t>
      </w:r>
      <w:r w:rsidR="00EA0864" w:rsidRPr="00D7514F">
        <w:t>rants to 193</w:t>
      </w:r>
      <w:r w:rsidR="00EA0864">
        <w:t xml:space="preserve"> and $38,400,122</w:t>
      </w:r>
      <w:r w:rsidR="00EA0864" w:rsidRPr="00D7514F">
        <w:t>.</w:t>
      </w:r>
      <w:r w:rsidR="00EA0864">
        <w:t xml:space="preserve"> </w:t>
      </w:r>
    </w:p>
    <w:p w14:paraId="3C57A597" w14:textId="77777777" w:rsidR="00EA0864" w:rsidRPr="00D7514F" w:rsidRDefault="00560888" w:rsidP="00560888">
      <w:pPr>
        <w:pStyle w:val="ListParagraph"/>
        <w:numPr>
          <w:ilvl w:val="1"/>
          <w:numId w:val="8"/>
        </w:numPr>
        <w:spacing w:after="240"/>
        <w:contextualSpacing w:val="0"/>
      </w:pPr>
      <w:r>
        <w:t xml:space="preserve">Cohort 2: </w:t>
      </w:r>
      <w:r w:rsidR="00E23919" w:rsidRPr="00D7514F">
        <w:t>In 202</w:t>
      </w:r>
      <w:r w:rsidR="00E23919">
        <w:t>2</w:t>
      </w:r>
      <w:r w:rsidR="00E23919" w:rsidRPr="00D7514F">
        <w:t>–2</w:t>
      </w:r>
      <w:r w:rsidR="00E23919">
        <w:t>3</w:t>
      </w:r>
      <w:r w:rsidR="00E23919" w:rsidRPr="00D7514F">
        <w:t xml:space="preserve">, the SBE approved </w:t>
      </w:r>
      <w:r w:rsidR="00E23919">
        <w:t>p</w:t>
      </w:r>
      <w:r w:rsidR="00E23919" w:rsidRPr="00D7514F">
        <w:t xml:space="preserve">lanning </w:t>
      </w:r>
      <w:r w:rsidR="00E23919">
        <w:t>g</w:t>
      </w:r>
      <w:r w:rsidR="00E23919" w:rsidRPr="00D7514F">
        <w:t xml:space="preserve">rant funding for </w:t>
      </w:r>
      <w:r w:rsidR="00E23919">
        <w:t>226</w:t>
      </w:r>
      <w:r w:rsidR="00E23919" w:rsidRPr="00D7514F">
        <w:t xml:space="preserve"> LEAs, for a total allocation of </w:t>
      </w:r>
      <w:r w:rsidR="00E23919">
        <w:t xml:space="preserve">$44,294,432 </w:t>
      </w:r>
      <w:r w:rsidR="00E23919" w:rsidRPr="00D7514F">
        <w:rPr>
          <w:rFonts w:eastAsia="Arial" w:cs="Arial"/>
          <w:color w:val="000000" w:themeColor="text1"/>
        </w:rPr>
        <w:t>(</w:t>
      </w:r>
      <w:hyperlink r:id="rId16" w:history="1">
        <w:r w:rsidR="00E23919" w:rsidRPr="00976B1B">
          <w:rPr>
            <w:rStyle w:val="Hyperlink"/>
            <w:rFonts w:eastAsia="Arial" w:cs="Arial"/>
          </w:rPr>
          <w:t>https://www.cde.ca.gov/be/ag/ag/yr23/documents/mar23item09a1rev.docx</w:t>
        </w:r>
      </w:hyperlink>
      <w:r w:rsidR="00E23919" w:rsidRPr="00D7514F">
        <w:rPr>
          <w:rFonts w:eastAsia="Arial" w:cs="Arial"/>
          <w:color w:val="000000" w:themeColor="text1"/>
        </w:rPr>
        <w:t>)</w:t>
      </w:r>
      <w:r w:rsidR="00E23919">
        <w:rPr>
          <w:rFonts w:eastAsia="Arial" w:cs="Arial"/>
          <w:color w:val="000000" w:themeColor="text1"/>
        </w:rPr>
        <w:t xml:space="preserve"> </w:t>
      </w:r>
      <w:r w:rsidR="00EA0864">
        <w:t>in planning grants to another 226 LEAs, bringing the total planning grant allocations to $83,294,554.</w:t>
      </w:r>
    </w:p>
    <w:p w14:paraId="097878BC" w14:textId="763B956D" w:rsidR="00560888" w:rsidRDefault="00EA0864" w:rsidP="00EA0864">
      <w:pPr>
        <w:pStyle w:val="ListParagraph"/>
        <w:numPr>
          <w:ilvl w:val="0"/>
          <w:numId w:val="8"/>
        </w:numPr>
        <w:spacing w:after="240"/>
        <w:contextualSpacing w:val="0"/>
      </w:pPr>
      <w:r w:rsidRPr="00D7514F">
        <w:t xml:space="preserve">Implementation grants (up to 70 percent of 2021 funding = $2,191,251,800) for the 2021–22 through 2030-31 program years. </w:t>
      </w:r>
      <w:r w:rsidR="00191FF8">
        <w:t>Five-year</w:t>
      </w:r>
      <w:r w:rsidRPr="00D7514F" w:rsidDel="00CF755A">
        <w:t xml:space="preserve"> grants </w:t>
      </w:r>
      <w:r w:rsidR="00191FF8">
        <w:t xml:space="preserve">of </w:t>
      </w:r>
      <w:r w:rsidRPr="00D7514F" w:rsidDel="00CF755A">
        <w:t xml:space="preserve">between $100,000 and $500,000 </w:t>
      </w:r>
      <w:r w:rsidR="00191FF8">
        <w:t xml:space="preserve">annually </w:t>
      </w:r>
      <w:r w:rsidRPr="00D7514F" w:rsidDel="00CF755A">
        <w:t xml:space="preserve">per school are available for new, </w:t>
      </w:r>
      <w:proofErr w:type="gramStart"/>
      <w:r w:rsidRPr="00D7514F" w:rsidDel="00CF755A">
        <w:t>expanded</w:t>
      </w:r>
      <w:proofErr w:type="gramEnd"/>
      <w:r w:rsidRPr="00D7514F" w:rsidDel="00CF755A">
        <w:t xml:space="preserve"> or continuing community schools, with a matching requirement of one-third.</w:t>
      </w:r>
      <w:r w:rsidRPr="00D7514F">
        <w:t xml:space="preserve"> </w:t>
      </w:r>
    </w:p>
    <w:p w14:paraId="6DBC86D5" w14:textId="3B50E9D8" w:rsidR="00560888" w:rsidRDefault="00560888" w:rsidP="00560888">
      <w:pPr>
        <w:pStyle w:val="ListParagraph"/>
        <w:numPr>
          <w:ilvl w:val="1"/>
          <w:numId w:val="8"/>
        </w:numPr>
        <w:spacing w:after="240"/>
        <w:contextualSpacing w:val="0"/>
      </w:pPr>
      <w:r>
        <w:t xml:space="preserve">Cohort 1: </w:t>
      </w:r>
      <w:r w:rsidR="00EA0864" w:rsidRPr="00D7514F">
        <w:t xml:space="preserve">In 2021–22, the SBE approved </w:t>
      </w:r>
      <w:r w:rsidR="00191FF8">
        <w:t>i</w:t>
      </w:r>
      <w:r w:rsidR="00EA0864" w:rsidRPr="00D7514F">
        <w:t xml:space="preserve">mplementation </w:t>
      </w:r>
      <w:r w:rsidR="00191FF8">
        <w:t>g</w:t>
      </w:r>
      <w:r w:rsidR="00EA0864" w:rsidRPr="00D7514F">
        <w:t>rant</w:t>
      </w:r>
      <w:r w:rsidR="00191FF8">
        <w:t>s</w:t>
      </w:r>
      <w:r w:rsidR="00EA0864" w:rsidRPr="00D7514F">
        <w:t xml:space="preserve"> for 76 LEAs supporting 458 school sites, for a total allocation of $625,575,000 (</w:t>
      </w:r>
      <w:hyperlink r:id="rId17" w:history="1">
        <w:r w:rsidR="00E23919" w:rsidRPr="00976B1B">
          <w:rPr>
            <w:rStyle w:val="Hyperlink"/>
          </w:rPr>
          <w:t>https://www.cde.ca.gov/be/ag/ag/yr22/documents/may22item02a2rev2.docx</w:t>
        </w:r>
      </w:hyperlink>
      <w:r w:rsidR="00EA0864" w:rsidRPr="00D7514F">
        <w:t>). Of these school sites, 447 were at or above the 80</w:t>
      </w:r>
      <w:r w:rsidR="00EA0864">
        <w:t xml:space="preserve"> percent</w:t>
      </w:r>
      <w:r w:rsidR="00EA0864" w:rsidRPr="00D7514F">
        <w:t xml:space="preserve"> </w:t>
      </w:r>
      <w:r w:rsidR="00EA0864" w:rsidRPr="00D7514F">
        <w:lastRenderedPageBreak/>
        <w:t>unduplicated student preference set in statute, and 11 were in rural LEAs serving between 70</w:t>
      </w:r>
      <w:r w:rsidR="00EA0864">
        <w:t>–</w:t>
      </w:r>
      <w:r w:rsidR="00EA0864" w:rsidRPr="00D7514F">
        <w:t>80</w:t>
      </w:r>
      <w:r w:rsidR="00EA0864">
        <w:t xml:space="preserve"> percent</w:t>
      </w:r>
      <w:r w:rsidR="00EA0864" w:rsidRPr="00D7514F">
        <w:t xml:space="preserve"> unduplicated students.</w:t>
      </w:r>
      <w:r w:rsidR="00E23919">
        <w:t xml:space="preserve"> </w:t>
      </w:r>
    </w:p>
    <w:p w14:paraId="748D7E9B" w14:textId="487D2BAA" w:rsidR="00EA0864" w:rsidRDefault="00560888" w:rsidP="00560888">
      <w:pPr>
        <w:pStyle w:val="ListParagraph"/>
        <w:numPr>
          <w:ilvl w:val="1"/>
          <w:numId w:val="8"/>
        </w:numPr>
        <w:spacing w:after="240"/>
        <w:contextualSpacing w:val="0"/>
      </w:pPr>
      <w:r>
        <w:t xml:space="preserve">Cohort 2: </w:t>
      </w:r>
      <w:r w:rsidR="00E23919" w:rsidRPr="00D7514F">
        <w:t>In 202</w:t>
      </w:r>
      <w:r w:rsidR="00E23919">
        <w:t>2</w:t>
      </w:r>
      <w:r w:rsidR="00E23919" w:rsidRPr="00D7514F">
        <w:t>–2</w:t>
      </w:r>
      <w:r w:rsidR="00E23919">
        <w:t>3</w:t>
      </w:r>
      <w:r w:rsidR="00E23919" w:rsidRPr="00D7514F">
        <w:t xml:space="preserve">, the SBE approved </w:t>
      </w:r>
      <w:r w:rsidR="00191FF8">
        <w:t>i</w:t>
      </w:r>
      <w:r w:rsidR="00E23919" w:rsidRPr="00D7514F">
        <w:t xml:space="preserve">mplementation </w:t>
      </w:r>
      <w:r w:rsidR="00191FF8">
        <w:t>g</w:t>
      </w:r>
      <w:r w:rsidR="00E23919" w:rsidRPr="00D7514F">
        <w:t>rant</w:t>
      </w:r>
      <w:r w:rsidR="00191FF8">
        <w:t>s</w:t>
      </w:r>
      <w:r w:rsidR="00E23919" w:rsidRPr="00D7514F">
        <w:t xml:space="preserve"> for </w:t>
      </w:r>
      <w:r w:rsidR="00E23919">
        <w:t>128</w:t>
      </w:r>
      <w:r w:rsidR="00E23919" w:rsidRPr="00D7514F">
        <w:t xml:space="preserve"> LEAs supporting </w:t>
      </w:r>
      <w:r w:rsidR="00E23919">
        <w:t>570</w:t>
      </w:r>
      <w:r w:rsidR="00E23919" w:rsidRPr="00D7514F">
        <w:t xml:space="preserve"> school sites, for a total allocation of $</w:t>
      </w:r>
      <w:r w:rsidR="00E23919">
        <w:t xml:space="preserve">750,500,000 </w:t>
      </w:r>
      <w:r w:rsidR="00E23919" w:rsidRPr="00D7514F">
        <w:t>(</w:t>
      </w:r>
      <w:hyperlink r:id="rId18" w:history="1">
        <w:r w:rsidR="00E23919" w:rsidRPr="00976B1B">
          <w:rPr>
            <w:rStyle w:val="Hyperlink"/>
          </w:rPr>
          <w:t>https://www.cde.ca.gov/be/ag/ag/yr23/documents/may23item09a1.docx</w:t>
        </w:r>
      </w:hyperlink>
      <w:r w:rsidR="00E23919" w:rsidRPr="00D7514F">
        <w:t xml:space="preserve">). Of these school sites, </w:t>
      </w:r>
      <w:r w:rsidR="00E23919" w:rsidRPr="00E23919">
        <w:t>551 schools that serve 68 percent or more unduplicated students, 15 rural schools that serve 58 percent or more unduplicated students, and four schools with a non-stability rate of 58 percent or higher (a student is considered non-stable when they are continuously enrolled for less than 245 days or when they exit the school with a disqualifying exit).</w:t>
      </w:r>
    </w:p>
    <w:p w14:paraId="5DFE4AAB" w14:textId="5E4144E8" w:rsidR="007271F4" w:rsidRPr="00191FF8" w:rsidRDefault="008A6695" w:rsidP="00D76072">
      <w:pPr>
        <w:pStyle w:val="ListParagraph"/>
        <w:numPr>
          <w:ilvl w:val="1"/>
          <w:numId w:val="8"/>
        </w:numPr>
        <w:spacing w:after="240"/>
        <w:contextualSpacing w:val="0"/>
        <w:rPr>
          <w:rFonts w:cs="Arial"/>
        </w:rPr>
      </w:pPr>
      <w:r w:rsidRPr="00191FF8">
        <w:rPr>
          <w:rStyle w:val="ui-provider"/>
          <w:rFonts w:eastAsiaTheme="majorEastAsia"/>
        </w:rPr>
        <w:t>Cohort 3: The CDE plans to release the Cohort 3 Implementation Grant Request for Applications on November 13, 2023, with applications due on February 9, 2024.</w:t>
      </w:r>
      <w:r w:rsidR="004022B3" w:rsidRPr="00191FF8">
        <w:rPr>
          <w:rStyle w:val="ui-provider"/>
          <w:rFonts w:eastAsiaTheme="majorEastAsia"/>
        </w:rPr>
        <w:t xml:space="preserve"> </w:t>
      </w:r>
      <w:r w:rsidR="00564582" w:rsidRPr="00191FF8">
        <w:rPr>
          <w:rStyle w:val="ui-provider"/>
          <w:rFonts w:eastAsiaTheme="majorEastAsia"/>
        </w:rPr>
        <w:t xml:space="preserve">As described in the fiscal analysis section below, approximately $1.8 billion remains for allocation in cohorts three and four and there are several factors that impact allocation of these funds, including the statutory priority criteria, application quality, and how many planning grantees apply for implementation grants. </w:t>
      </w:r>
      <w:r w:rsidR="00F475DA" w:rsidRPr="00191FF8">
        <w:rPr>
          <w:rStyle w:val="ui-provider"/>
          <w:rFonts w:eastAsiaTheme="majorEastAsia"/>
        </w:rPr>
        <w:t xml:space="preserve">As such, it is impossible to predict precise allocation amounts for </w:t>
      </w:r>
      <w:r w:rsidR="00191FF8">
        <w:rPr>
          <w:rStyle w:val="ui-provider"/>
          <w:rFonts w:eastAsiaTheme="majorEastAsia"/>
        </w:rPr>
        <w:t xml:space="preserve">the </w:t>
      </w:r>
      <w:r w:rsidR="00F475DA" w:rsidRPr="00191FF8">
        <w:rPr>
          <w:rStyle w:val="ui-provider"/>
          <w:rFonts w:eastAsiaTheme="majorEastAsia"/>
        </w:rPr>
        <w:t xml:space="preserve">Cohort </w:t>
      </w:r>
      <w:r w:rsidR="00191FF8">
        <w:rPr>
          <w:rStyle w:val="ui-provider"/>
          <w:rFonts w:eastAsiaTheme="majorEastAsia"/>
        </w:rPr>
        <w:t>3</w:t>
      </w:r>
      <w:r w:rsidR="00F475DA" w:rsidRPr="00191FF8">
        <w:rPr>
          <w:rStyle w:val="ui-provider"/>
          <w:rFonts w:eastAsiaTheme="majorEastAsia"/>
        </w:rPr>
        <w:t xml:space="preserve"> and Cohort </w:t>
      </w:r>
      <w:r w:rsidR="00191FF8">
        <w:rPr>
          <w:rStyle w:val="ui-provider"/>
          <w:rFonts w:eastAsiaTheme="majorEastAsia"/>
        </w:rPr>
        <w:t>4</w:t>
      </w:r>
      <w:r w:rsidR="00F475DA" w:rsidRPr="00191FF8">
        <w:rPr>
          <w:rStyle w:val="ui-provider"/>
          <w:rFonts w:eastAsiaTheme="majorEastAsia"/>
        </w:rPr>
        <w:t xml:space="preserve"> implementation grant cycle</w:t>
      </w:r>
      <w:r w:rsidR="00191FF8">
        <w:rPr>
          <w:rStyle w:val="ui-provider"/>
          <w:rFonts w:eastAsiaTheme="majorEastAsia"/>
        </w:rPr>
        <w:t>s</w:t>
      </w:r>
      <w:r w:rsidR="00F475DA" w:rsidRPr="00191FF8">
        <w:rPr>
          <w:rStyle w:val="ui-provider"/>
          <w:rFonts w:eastAsiaTheme="majorEastAsia"/>
        </w:rPr>
        <w:t xml:space="preserve">. </w:t>
      </w:r>
      <w:r w:rsidR="004022B3" w:rsidRPr="00191FF8">
        <w:rPr>
          <w:rStyle w:val="ui-provider"/>
          <w:rFonts w:eastAsiaTheme="majorEastAsia"/>
        </w:rPr>
        <w:t>The tentative timeline for the</w:t>
      </w:r>
      <w:r w:rsidR="00F475DA" w:rsidRPr="00191FF8">
        <w:rPr>
          <w:rStyle w:val="ui-provider"/>
          <w:rFonts w:eastAsiaTheme="majorEastAsia"/>
        </w:rPr>
        <w:t xml:space="preserve"> Cohort </w:t>
      </w:r>
      <w:r w:rsidR="00191FF8">
        <w:rPr>
          <w:rStyle w:val="ui-provider"/>
          <w:rFonts w:eastAsiaTheme="majorEastAsia"/>
        </w:rPr>
        <w:t>3</w:t>
      </w:r>
      <w:r w:rsidR="00F475DA" w:rsidRPr="00191FF8">
        <w:rPr>
          <w:rStyle w:val="ui-provider"/>
          <w:rFonts w:eastAsiaTheme="majorEastAsia"/>
        </w:rPr>
        <w:t xml:space="preserve"> CCSPP</w:t>
      </w:r>
      <w:r w:rsidR="004022B3" w:rsidRPr="00191FF8">
        <w:rPr>
          <w:rStyle w:val="ui-provider"/>
          <w:rFonts w:eastAsiaTheme="majorEastAsia"/>
        </w:rPr>
        <w:t xml:space="preserve"> RFA is listed below</w:t>
      </w:r>
      <w:r w:rsidR="00564582" w:rsidRPr="00191FF8">
        <w:rPr>
          <w:rStyle w:val="ui-provider"/>
          <w:rFonts w:eastAsiaTheme="majorEastAsia"/>
        </w:rPr>
        <w:t>:</w:t>
      </w:r>
    </w:p>
    <w:tbl>
      <w:tblPr>
        <w:tblStyle w:val="GridTable1Light"/>
        <w:tblW w:w="0" w:type="auto"/>
        <w:tblLook w:val="04A0" w:firstRow="1" w:lastRow="0" w:firstColumn="1" w:lastColumn="0" w:noHBand="0" w:noVBand="1"/>
      </w:tblPr>
      <w:tblGrid>
        <w:gridCol w:w="3136"/>
        <w:gridCol w:w="6214"/>
      </w:tblGrid>
      <w:tr w:rsidR="009A6FF3" w:rsidRPr="00564582" w14:paraId="1203924F" w14:textId="77777777" w:rsidTr="00147D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7F836FBD" w14:textId="77777777" w:rsidR="009A6FF3" w:rsidRPr="00564582" w:rsidRDefault="009A6FF3" w:rsidP="00147DE6">
            <w:pPr>
              <w:spacing w:before="40" w:after="40"/>
              <w:jc w:val="center"/>
              <w:rPr>
                <w:rFonts w:cs="Arial"/>
                <w:b w:val="0"/>
                <w:bCs w:val="0"/>
              </w:rPr>
            </w:pPr>
            <w:r w:rsidRPr="00564582">
              <w:rPr>
                <w:rFonts w:cs="Arial"/>
              </w:rPr>
              <w:t>Date</w:t>
            </w:r>
          </w:p>
        </w:tc>
        <w:tc>
          <w:tcPr>
            <w:tcW w:w="0" w:type="auto"/>
            <w:hideMark/>
          </w:tcPr>
          <w:p w14:paraId="70629BE5" w14:textId="77777777" w:rsidR="009A6FF3" w:rsidRPr="00564582" w:rsidRDefault="009A6FF3" w:rsidP="00147DE6">
            <w:pPr>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564582">
              <w:rPr>
                <w:rFonts w:cs="Arial"/>
              </w:rPr>
              <w:t>Activity</w:t>
            </w:r>
          </w:p>
        </w:tc>
      </w:tr>
      <w:tr w:rsidR="009A6FF3" w:rsidRPr="00564582" w14:paraId="7708C957" w14:textId="77777777" w:rsidTr="00147DE6">
        <w:trPr>
          <w:cantSplit/>
        </w:trPr>
        <w:tc>
          <w:tcPr>
            <w:cnfStyle w:val="001000000000" w:firstRow="0" w:lastRow="0" w:firstColumn="1" w:lastColumn="0" w:oddVBand="0" w:evenVBand="0" w:oddHBand="0" w:evenHBand="0" w:firstRowFirstColumn="0" w:firstRowLastColumn="0" w:lastRowFirstColumn="0" w:lastRowLastColumn="0"/>
            <w:tcW w:w="0" w:type="auto"/>
            <w:hideMark/>
          </w:tcPr>
          <w:p w14:paraId="2E10ACC1" w14:textId="77777777" w:rsidR="009A6FF3" w:rsidRPr="00147DE6" w:rsidRDefault="009A6FF3" w:rsidP="00147DE6">
            <w:pPr>
              <w:spacing w:before="40" w:after="40"/>
              <w:rPr>
                <w:rFonts w:cs="Arial"/>
                <w:b w:val="0"/>
                <w:bCs w:val="0"/>
              </w:rPr>
            </w:pPr>
            <w:r w:rsidRPr="00147DE6">
              <w:rPr>
                <w:rFonts w:cs="Arial"/>
                <w:b w:val="0"/>
                <w:bCs w:val="0"/>
              </w:rPr>
              <w:t>November 13, 2023</w:t>
            </w:r>
          </w:p>
        </w:tc>
        <w:tc>
          <w:tcPr>
            <w:tcW w:w="0" w:type="auto"/>
            <w:hideMark/>
          </w:tcPr>
          <w:p w14:paraId="50C0299A" w14:textId="77777777" w:rsidR="009A6FF3" w:rsidRPr="00564582" w:rsidRDefault="009A6FF3" w:rsidP="00147DE6">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564582">
              <w:rPr>
                <w:rFonts w:cs="Arial"/>
              </w:rPr>
              <w:t>RFA Release Date</w:t>
            </w:r>
          </w:p>
        </w:tc>
      </w:tr>
      <w:tr w:rsidR="009A6FF3" w:rsidRPr="00564582" w14:paraId="1621E7FB" w14:textId="77777777" w:rsidTr="00147DE6">
        <w:trPr>
          <w:cantSplit/>
        </w:trPr>
        <w:tc>
          <w:tcPr>
            <w:cnfStyle w:val="001000000000" w:firstRow="0" w:lastRow="0" w:firstColumn="1" w:lastColumn="0" w:oddVBand="0" w:evenVBand="0" w:oddHBand="0" w:evenHBand="0" w:firstRowFirstColumn="0" w:firstRowLastColumn="0" w:lastRowFirstColumn="0" w:lastRowLastColumn="0"/>
            <w:tcW w:w="0" w:type="auto"/>
            <w:hideMark/>
          </w:tcPr>
          <w:p w14:paraId="27210AFD" w14:textId="77777777" w:rsidR="009A6FF3" w:rsidRPr="00147DE6" w:rsidRDefault="009A6FF3" w:rsidP="00147DE6">
            <w:pPr>
              <w:spacing w:before="40" w:after="40"/>
              <w:rPr>
                <w:rFonts w:cs="Arial"/>
                <w:b w:val="0"/>
                <w:bCs w:val="0"/>
              </w:rPr>
            </w:pPr>
            <w:r w:rsidRPr="00147DE6">
              <w:rPr>
                <w:rFonts w:cs="Arial"/>
                <w:b w:val="0"/>
                <w:bCs w:val="0"/>
              </w:rPr>
              <w:t>February 9, 2024</w:t>
            </w:r>
          </w:p>
        </w:tc>
        <w:tc>
          <w:tcPr>
            <w:tcW w:w="0" w:type="auto"/>
            <w:hideMark/>
          </w:tcPr>
          <w:p w14:paraId="39AF5378" w14:textId="77777777" w:rsidR="009A6FF3" w:rsidRPr="00564582" w:rsidRDefault="009A6FF3" w:rsidP="00147DE6">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564582">
              <w:rPr>
                <w:rFonts w:cs="Arial"/>
              </w:rPr>
              <w:t>Applications must be received at the CDE, by 11:59 p.m. Pacific Daylight Time (PDT)</w:t>
            </w:r>
          </w:p>
        </w:tc>
      </w:tr>
      <w:tr w:rsidR="009A6FF3" w:rsidRPr="00564582" w14:paraId="11295A6B" w14:textId="77777777" w:rsidTr="00147DE6">
        <w:trPr>
          <w:cantSplit/>
        </w:trPr>
        <w:tc>
          <w:tcPr>
            <w:cnfStyle w:val="001000000000" w:firstRow="0" w:lastRow="0" w:firstColumn="1" w:lastColumn="0" w:oddVBand="0" w:evenVBand="0" w:oddHBand="0" w:evenHBand="0" w:firstRowFirstColumn="0" w:firstRowLastColumn="0" w:lastRowFirstColumn="0" w:lastRowLastColumn="0"/>
            <w:tcW w:w="0" w:type="auto"/>
            <w:hideMark/>
          </w:tcPr>
          <w:p w14:paraId="2DCD434E" w14:textId="77777777" w:rsidR="009A6FF3" w:rsidRPr="00147DE6" w:rsidRDefault="009A6FF3" w:rsidP="00147DE6">
            <w:pPr>
              <w:spacing w:before="40" w:after="40"/>
              <w:rPr>
                <w:rFonts w:cs="Arial"/>
                <w:b w:val="0"/>
                <w:bCs w:val="0"/>
              </w:rPr>
            </w:pPr>
            <w:r w:rsidRPr="00147DE6">
              <w:rPr>
                <w:rFonts w:cs="Arial"/>
                <w:b w:val="0"/>
                <w:bCs w:val="0"/>
              </w:rPr>
              <w:t>February–April 2024</w:t>
            </w:r>
          </w:p>
        </w:tc>
        <w:tc>
          <w:tcPr>
            <w:tcW w:w="0" w:type="auto"/>
            <w:hideMark/>
          </w:tcPr>
          <w:p w14:paraId="369BC6E0" w14:textId="77777777" w:rsidR="009A6FF3" w:rsidRPr="00564582" w:rsidRDefault="009A6FF3" w:rsidP="00147DE6">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564582">
              <w:rPr>
                <w:rFonts w:cs="Arial"/>
              </w:rPr>
              <w:t>Scoring of Applications</w:t>
            </w:r>
          </w:p>
        </w:tc>
      </w:tr>
      <w:tr w:rsidR="009A6FF3" w:rsidRPr="00564582" w14:paraId="4AC8F4FE" w14:textId="77777777" w:rsidTr="00147DE6">
        <w:trPr>
          <w:cantSplit/>
        </w:trPr>
        <w:tc>
          <w:tcPr>
            <w:cnfStyle w:val="001000000000" w:firstRow="0" w:lastRow="0" w:firstColumn="1" w:lastColumn="0" w:oddVBand="0" w:evenVBand="0" w:oddHBand="0" w:evenHBand="0" w:firstRowFirstColumn="0" w:firstRowLastColumn="0" w:lastRowFirstColumn="0" w:lastRowLastColumn="0"/>
            <w:tcW w:w="0" w:type="auto"/>
            <w:hideMark/>
          </w:tcPr>
          <w:p w14:paraId="7A7E6294" w14:textId="77777777" w:rsidR="009A6FF3" w:rsidRPr="00147DE6" w:rsidRDefault="009A6FF3" w:rsidP="00147DE6">
            <w:pPr>
              <w:spacing w:before="40" w:after="40"/>
              <w:rPr>
                <w:rFonts w:cs="Arial"/>
                <w:b w:val="0"/>
                <w:bCs w:val="0"/>
              </w:rPr>
            </w:pPr>
            <w:r w:rsidRPr="00147DE6">
              <w:rPr>
                <w:rFonts w:cs="Arial"/>
                <w:b w:val="0"/>
                <w:bCs w:val="0"/>
              </w:rPr>
              <w:t>May 2024</w:t>
            </w:r>
          </w:p>
        </w:tc>
        <w:tc>
          <w:tcPr>
            <w:tcW w:w="0" w:type="auto"/>
            <w:hideMark/>
          </w:tcPr>
          <w:p w14:paraId="5D98D24E" w14:textId="77777777" w:rsidR="009A6FF3" w:rsidRPr="00564582" w:rsidRDefault="009A6FF3" w:rsidP="00147DE6">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564582">
              <w:rPr>
                <w:rFonts w:cs="Arial"/>
              </w:rPr>
              <w:t>Proposed grantees Announced and Presented to the SBE for Approval</w:t>
            </w:r>
          </w:p>
        </w:tc>
      </w:tr>
      <w:tr w:rsidR="009A6FF3" w:rsidRPr="00564582" w14:paraId="5384C14A" w14:textId="77777777" w:rsidTr="00147DE6">
        <w:trPr>
          <w:cantSplit/>
        </w:trPr>
        <w:tc>
          <w:tcPr>
            <w:cnfStyle w:val="001000000000" w:firstRow="0" w:lastRow="0" w:firstColumn="1" w:lastColumn="0" w:oddVBand="0" w:evenVBand="0" w:oddHBand="0" w:evenHBand="0" w:firstRowFirstColumn="0" w:firstRowLastColumn="0" w:lastRowFirstColumn="0" w:lastRowLastColumn="0"/>
            <w:tcW w:w="0" w:type="auto"/>
            <w:hideMark/>
          </w:tcPr>
          <w:p w14:paraId="1A6B9B61" w14:textId="77777777" w:rsidR="009A6FF3" w:rsidRPr="00147DE6" w:rsidRDefault="009A6FF3" w:rsidP="00147DE6">
            <w:pPr>
              <w:spacing w:before="40" w:after="40"/>
              <w:rPr>
                <w:rFonts w:cs="Arial"/>
                <w:b w:val="0"/>
                <w:bCs w:val="0"/>
              </w:rPr>
            </w:pPr>
            <w:r w:rsidRPr="00147DE6">
              <w:rPr>
                <w:rFonts w:cs="Arial"/>
                <w:b w:val="0"/>
                <w:bCs w:val="0"/>
              </w:rPr>
              <w:t>Two weeks after the May SBE meeting</w:t>
            </w:r>
          </w:p>
        </w:tc>
        <w:tc>
          <w:tcPr>
            <w:tcW w:w="0" w:type="auto"/>
            <w:hideMark/>
          </w:tcPr>
          <w:p w14:paraId="2D348951" w14:textId="77777777" w:rsidR="009A6FF3" w:rsidRPr="00564582" w:rsidRDefault="009A6FF3" w:rsidP="00147DE6">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564582">
              <w:rPr>
                <w:rFonts w:cs="Arial"/>
              </w:rPr>
              <w:t>Appeals must be received at the CDE</w:t>
            </w:r>
          </w:p>
        </w:tc>
      </w:tr>
      <w:tr w:rsidR="009A6FF3" w:rsidRPr="00564582" w14:paraId="52B6144B" w14:textId="77777777" w:rsidTr="00147DE6">
        <w:trPr>
          <w:cantSplit/>
        </w:trPr>
        <w:tc>
          <w:tcPr>
            <w:cnfStyle w:val="001000000000" w:firstRow="0" w:lastRow="0" w:firstColumn="1" w:lastColumn="0" w:oddVBand="0" w:evenVBand="0" w:oddHBand="0" w:evenHBand="0" w:firstRowFirstColumn="0" w:firstRowLastColumn="0" w:lastRowFirstColumn="0" w:lastRowLastColumn="0"/>
            <w:tcW w:w="0" w:type="auto"/>
            <w:hideMark/>
          </w:tcPr>
          <w:p w14:paraId="26F81E0F" w14:textId="77777777" w:rsidR="009A6FF3" w:rsidRPr="00147DE6" w:rsidRDefault="009A6FF3" w:rsidP="00147DE6">
            <w:pPr>
              <w:spacing w:before="40" w:after="40"/>
              <w:rPr>
                <w:rFonts w:cs="Arial"/>
                <w:b w:val="0"/>
                <w:bCs w:val="0"/>
              </w:rPr>
            </w:pPr>
            <w:r w:rsidRPr="00147DE6">
              <w:rPr>
                <w:rFonts w:cs="Arial"/>
                <w:b w:val="0"/>
                <w:bCs w:val="0"/>
              </w:rPr>
              <w:t>June–July 2024</w:t>
            </w:r>
          </w:p>
        </w:tc>
        <w:tc>
          <w:tcPr>
            <w:tcW w:w="0" w:type="auto"/>
            <w:hideMark/>
          </w:tcPr>
          <w:p w14:paraId="17A5E7B0" w14:textId="77777777" w:rsidR="009A6FF3" w:rsidRPr="00564582" w:rsidRDefault="009A6FF3" w:rsidP="00147DE6">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564582">
              <w:rPr>
                <w:rFonts w:cs="Arial"/>
              </w:rPr>
              <w:t>Grant Award Notification Letters Released</w:t>
            </w:r>
          </w:p>
        </w:tc>
      </w:tr>
      <w:tr w:rsidR="009A6FF3" w:rsidRPr="00564582" w14:paraId="0EE77EE2" w14:textId="77777777" w:rsidTr="00147DE6">
        <w:trPr>
          <w:cantSplit/>
        </w:trPr>
        <w:tc>
          <w:tcPr>
            <w:cnfStyle w:val="001000000000" w:firstRow="0" w:lastRow="0" w:firstColumn="1" w:lastColumn="0" w:oddVBand="0" w:evenVBand="0" w:oddHBand="0" w:evenHBand="0" w:firstRowFirstColumn="0" w:firstRowLastColumn="0" w:lastRowFirstColumn="0" w:lastRowLastColumn="0"/>
            <w:tcW w:w="0" w:type="auto"/>
            <w:hideMark/>
          </w:tcPr>
          <w:p w14:paraId="2E35546B" w14:textId="77777777" w:rsidR="009A6FF3" w:rsidRPr="00147DE6" w:rsidRDefault="009A6FF3" w:rsidP="00147DE6">
            <w:pPr>
              <w:spacing w:before="40" w:after="40"/>
              <w:rPr>
                <w:rFonts w:cs="Arial"/>
                <w:b w:val="0"/>
                <w:bCs w:val="0"/>
              </w:rPr>
            </w:pPr>
            <w:r w:rsidRPr="00147DE6">
              <w:rPr>
                <w:rFonts w:cs="Arial"/>
                <w:b w:val="0"/>
                <w:bCs w:val="0"/>
              </w:rPr>
              <w:t>July 1, 2024</w:t>
            </w:r>
          </w:p>
        </w:tc>
        <w:tc>
          <w:tcPr>
            <w:tcW w:w="0" w:type="auto"/>
            <w:hideMark/>
          </w:tcPr>
          <w:p w14:paraId="4EF4582C" w14:textId="77777777" w:rsidR="009A6FF3" w:rsidRPr="00564582" w:rsidRDefault="009A6FF3" w:rsidP="00147DE6">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564582">
              <w:rPr>
                <w:rFonts w:cs="Arial"/>
              </w:rPr>
              <w:t>Project Term Begins</w:t>
            </w:r>
          </w:p>
        </w:tc>
      </w:tr>
      <w:tr w:rsidR="009A6FF3" w:rsidRPr="00564582" w14:paraId="270C2DB3" w14:textId="77777777" w:rsidTr="00147DE6">
        <w:trPr>
          <w:cantSplit/>
        </w:trPr>
        <w:tc>
          <w:tcPr>
            <w:cnfStyle w:val="001000000000" w:firstRow="0" w:lastRow="0" w:firstColumn="1" w:lastColumn="0" w:oddVBand="0" w:evenVBand="0" w:oddHBand="0" w:evenHBand="0" w:firstRowFirstColumn="0" w:firstRowLastColumn="0" w:lastRowFirstColumn="0" w:lastRowLastColumn="0"/>
            <w:tcW w:w="0" w:type="auto"/>
            <w:hideMark/>
          </w:tcPr>
          <w:p w14:paraId="61FB50FB" w14:textId="77777777" w:rsidR="009A6FF3" w:rsidRPr="00147DE6" w:rsidRDefault="009A6FF3" w:rsidP="00147DE6">
            <w:pPr>
              <w:spacing w:before="40" w:after="40"/>
              <w:rPr>
                <w:rFonts w:cs="Arial"/>
                <w:b w:val="0"/>
                <w:bCs w:val="0"/>
              </w:rPr>
            </w:pPr>
            <w:r w:rsidRPr="00147DE6">
              <w:rPr>
                <w:rFonts w:cs="Arial"/>
                <w:b w:val="0"/>
                <w:bCs w:val="0"/>
              </w:rPr>
              <w:t>August 2024</w:t>
            </w:r>
          </w:p>
        </w:tc>
        <w:tc>
          <w:tcPr>
            <w:tcW w:w="0" w:type="auto"/>
            <w:hideMark/>
          </w:tcPr>
          <w:p w14:paraId="015EA5D3" w14:textId="77777777" w:rsidR="009A6FF3" w:rsidRPr="00564582" w:rsidRDefault="009A6FF3" w:rsidP="00147DE6">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564582">
              <w:rPr>
                <w:rFonts w:cs="Arial"/>
              </w:rPr>
              <w:t>Disbursement of Funds</w:t>
            </w:r>
          </w:p>
        </w:tc>
      </w:tr>
      <w:tr w:rsidR="009A6FF3" w:rsidRPr="00564582" w14:paraId="6086F566" w14:textId="77777777" w:rsidTr="00147DE6">
        <w:trPr>
          <w:cantSplit/>
          <w:trHeight w:val="40"/>
        </w:trPr>
        <w:tc>
          <w:tcPr>
            <w:cnfStyle w:val="001000000000" w:firstRow="0" w:lastRow="0" w:firstColumn="1" w:lastColumn="0" w:oddVBand="0" w:evenVBand="0" w:oddHBand="0" w:evenHBand="0" w:firstRowFirstColumn="0" w:firstRowLastColumn="0" w:lastRowFirstColumn="0" w:lastRowLastColumn="0"/>
            <w:tcW w:w="0" w:type="auto"/>
            <w:hideMark/>
          </w:tcPr>
          <w:p w14:paraId="1941FFA7" w14:textId="77777777" w:rsidR="009A6FF3" w:rsidRPr="00147DE6" w:rsidRDefault="009A6FF3" w:rsidP="00147DE6">
            <w:pPr>
              <w:spacing w:before="40" w:after="40"/>
              <w:rPr>
                <w:rFonts w:cs="Arial"/>
                <w:b w:val="0"/>
                <w:bCs w:val="0"/>
              </w:rPr>
            </w:pPr>
            <w:r w:rsidRPr="00147DE6">
              <w:rPr>
                <w:rFonts w:cs="Arial"/>
                <w:b w:val="0"/>
                <w:bCs w:val="0"/>
              </w:rPr>
              <w:t>June 30, 2029</w:t>
            </w:r>
          </w:p>
        </w:tc>
        <w:tc>
          <w:tcPr>
            <w:tcW w:w="0" w:type="auto"/>
            <w:hideMark/>
          </w:tcPr>
          <w:p w14:paraId="13F95D8F" w14:textId="77777777" w:rsidR="009A6FF3" w:rsidRPr="00564582" w:rsidRDefault="009A6FF3" w:rsidP="00147DE6">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564582">
              <w:rPr>
                <w:rFonts w:cs="Arial"/>
              </w:rPr>
              <w:t>All Funds Must be Expended</w:t>
            </w:r>
          </w:p>
        </w:tc>
      </w:tr>
    </w:tbl>
    <w:p w14:paraId="34814653" w14:textId="77777777" w:rsidR="009A6FF3" w:rsidRPr="00D7514F" w:rsidRDefault="009A6FF3" w:rsidP="00564582">
      <w:pPr>
        <w:pStyle w:val="ListParagraph"/>
        <w:spacing w:after="240"/>
        <w:ind w:left="1440"/>
        <w:contextualSpacing w:val="0"/>
      </w:pPr>
    </w:p>
    <w:p w14:paraId="5E73AE79" w14:textId="77777777" w:rsidR="00EA0864" w:rsidRPr="00D7514F" w:rsidRDefault="00EA0864" w:rsidP="00EA0864">
      <w:pPr>
        <w:pStyle w:val="ListParagraph"/>
        <w:numPr>
          <w:ilvl w:val="0"/>
          <w:numId w:val="8"/>
        </w:numPr>
        <w:spacing w:after="240"/>
        <w:contextualSpacing w:val="0"/>
      </w:pPr>
      <w:r w:rsidRPr="00D7514F">
        <w:t xml:space="preserve">Extension grants (at least 20 percent of 2021 funding = $574,832,800) for the 2024–25 through 2030–31 program years. Grants are intended to extend implementation funding from five to seven years. LEAs may receive up to $100,000 annually per community school with a one-to-one matching funds </w:t>
      </w:r>
      <w:r w:rsidRPr="00D7514F">
        <w:lastRenderedPageBreak/>
        <w:t>requirement.</w:t>
      </w:r>
      <w:r w:rsidR="00560888">
        <w:t xml:space="preserve"> The first Extension Grant Request for Applications (RFA) will be published in 2026–27, the final year of the Cohort 1 Implementation Grant.</w:t>
      </w:r>
    </w:p>
    <w:p w14:paraId="16F94D5F" w14:textId="160DE6AC" w:rsidR="00EA0864" w:rsidRPr="000724A7" w:rsidRDefault="00EA0864" w:rsidP="00EA0864">
      <w:pPr>
        <w:pStyle w:val="ListParagraph"/>
        <w:numPr>
          <w:ilvl w:val="0"/>
          <w:numId w:val="8"/>
        </w:numPr>
        <w:spacing w:after="240"/>
        <w:contextualSpacing w:val="0"/>
      </w:pPr>
      <w:r w:rsidRPr="00D7514F">
        <w:t xml:space="preserve">Implementation and Extension Grant Note: The 2022–23 Budget Act increased the total amount for Implementation Grants and Extension Grants from $2,766,084,600 (the grant amounts from 2021) to $3,758,638,600 (with the additional </w:t>
      </w:r>
      <w:r w:rsidRPr="00D7514F">
        <w:rPr>
          <w:rFonts w:cs="Arial"/>
        </w:rPr>
        <w:t>$1,132,554,000 and subtracting the $140,000,000 for county coordination grants, described below)</w:t>
      </w:r>
      <w:r w:rsidRPr="00D7514F">
        <w:t xml:space="preserve">. </w:t>
      </w:r>
      <w:r w:rsidRPr="00D7514F">
        <w:rPr>
          <w:rFonts w:cs="Arial"/>
        </w:rPr>
        <w:t>This additional allocation will allow the CDE to fund implementation grants at a greater number of priority schools</w:t>
      </w:r>
      <w:r w:rsidR="00191FF8">
        <w:rPr>
          <w:rFonts w:cs="Arial"/>
        </w:rPr>
        <w:t xml:space="preserve"> </w:t>
      </w:r>
      <w:r w:rsidRPr="00D7514F">
        <w:rPr>
          <w:rFonts w:cs="Arial"/>
        </w:rPr>
        <w:t>and ensure eligible implementation grantees receive extension grants.</w:t>
      </w:r>
    </w:p>
    <w:p w14:paraId="751A0130" w14:textId="0185F601" w:rsidR="000724A7" w:rsidRDefault="000724A7" w:rsidP="000724A7">
      <w:pPr>
        <w:pStyle w:val="ListParagraph"/>
        <w:numPr>
          <w:ilvl w:val="0"/>
          <w:numId w:val="8"/>
        </w:numPr>
        <w:spacing w:after="240"/>
        <w:contextualSpacing w:val="0"/>
      </w:pPr>
      <w:r>
        <w:t>Coordination</w:t>
      </w:r>
      <w:r w:rsidRPr="00D7514F">
        <w:t xml:space="preserve"> grants (</w:t>
      </w:r>
      <w:r>
        <w:t>$140,000,000 available</w:t>
      </w:r>
      <w:r w:rsidRPr="00D7514F">
        <w:t xml:space="preserve">) for </w:t>
      </w:r>
      <w:r>
        <w:t>up to seven years.</w:t>
      </w:r>
      <w:r w:rsidRPr="00D7514F">
        <w:t xml:space="preserve"> Grants </w:t>
      </w:r>
      <w:r>
        <w:t>range from $200,000 to</w:t>
      </w:r>
      <w:r w:rsidRPr="00D7514F">
        <w:t xml:space="preserve"> $</w:t>
      </w:r>
      <w:r>
        <w:t>5</w:t>
      </w:r>
      <w:r w:rsidRPr="00D7514F">
        <w:t xml:space="preserve">00,000 </w:t>
      </w:r>
      <w:r w:rsidR="00191FF8">
        <w:t>annually for every</w:t>
      </w:r>
      <w:r w:rsidRPr="00D7514F">
        <w:t xml:space="preserve"> </w:t>
      </w:r>
      <w:r w:rsidR="00191FF8">
        <w:t>c</w:t>
      </w:r>
      <w:r>
        <w:t xml:space="preserve">ounty </w:t>
      </w:r>
      <w:r w:rsidR="00191FF8">
        <w:t>o</w:t>
      </w:r>
      <w:r>
        <w:t xml:space="preserve">ffice of </w:t>
      </w:r>
      <w:r w:rsidR="00191FF8">
        <w:t>e</w:t>
      </w:r>
      <w:r>
        <w:t xml:space="preserve">ducation (COE) </w:t>
      </w:r>
      <w:r w:rsidR="00191FF8">
        <w:t>serving</w:t>
      </w:r>
      <w:r>
        <w:t xml:space="preserve"> a minimum of two CCSPP grantees in the county.</w:t>
      </w:r>
      <w:r w:rsidRPr="00D7514F">
        <w:t xml:space="preserve"> </w:t>
      </w:r>
      <w:r w:rsidR="00472B4B">
        <w:t>To date</w:t>
      </w:r>
      <w:r w:rsidR="00BA21AE">
        <w:t xml:space="preserve">, </w:t>
      </w:r>
      <w:r w:rsidR="00BA21AE" w:rsidRPr="005A014B">
        <w:t>52</w:t>
      </w:r>
      <w:r w:rsidR="00BA21AE">
        <w:t xml:space="preserve"> </w:t>
      </w:r>
      <w:r w:rsidR="00191FF8">
        <w:t>c</w:t>
      </w:r>
      <w:r w:rsidR="00274452">
        <w:t xml:space="preserve">ounty </w:t>
      </w:r>
      <w:r w:rsidR="00191FF8">
        <w:t>o</w:t>
      </w:r>
      <w:r w:rsidR="00274452">
        <w:t xml:space="preserve">ffices of </w:t>
      </w:r>
      <w:r w:rsidR="00191FF8">
        <w:t>e</w:t>
      </w:r>
      <w:r w:rsidR="00274452">
        <w:t xml:space="preserve">ducation have been funded through </w:t>
      </w:r>
      <w:r w:rsidR="00191FF8">
        <w:t>c</w:t>
      </w:r>
      <w:r w:rsidR="00274452">
        <w:t xml:space="preserve">oordination grants. </w:t>
      </w:r>
    </w:p>
    <w:p w14:paraId="01AC79D0" w14:textId="77777777" w:rsidR="000724A7" w:rsidRDefault="000724A7" w:rsidP="000724A7">
      <w:pPr>
        <w:pStyle w:val="ListParagraph"/>
        <w:numPr>
          <w:ilvl w:val="1"/>
          <w:numId w:val="8"/>
        </w:numPr>
        <w:spacing w:after="240"/>
        <w:contextualSpacing w:val="0"/>
      </w:pPr>
      <w:r w:rsidRPr="00D7514F">
        <w:t>In 202</w:t>
      </w:r>
      <w:r>
        <w:t>2</w:t>
      </w:r>
      <w:r w:rsidRPr="00D7514F">
        <w:t>–2</w:t>
      </w:r>
      <w:r>
        <w:t>3</w:t>
      </w:r>
      <w:r w:rsidRPr="00D7514F">
        <w:t>, the SBE approved</w:t>
      </w:r>
      <w:r>
        <w:t xml:space="preserve"> the coordination grant</w:t>
      </w:r>
      <w:r w:rsidRPr="00D7514F">
        <w:t xml:space="preserve"> funding </w:t>
      </w:r>
      <w:r>
        <w:t xml:space="preserve">allocation formula </w:t>
      </w:r>
      <w:r w:rsidRPr="00D7514F">
        <w:t xml:space="preserve">for </w:t>
      </w:r>
      <w:r>
        <w:t>41 COEs</w:t>
      </w:r>
      <w:r w:rsidRPr="00D7514F">
        <w:t xml:space="preserve">, for a total allocation of </w:t>
      </w:r>
      <w:r w:rsidRPr="00D7514F">
        <w:rPr>
          <w:rFonts w:eastAsia="Arial" w:cs="Arial"/>
          <w:color w:val="000000" w:themeColor="text1"/>
        </w:rPr>
        <w:t>$</w:t>
      </w:r>
      <w:r>
        <w:t xml:space="preserve">13,950,000 </w:t>
      </w:r>
      <w:r w:rsidRPr="00D7514F">
        <w:rPr>
          <w:rFonts w:eastAsia="Arial" w:cs="Arial"/>
          <w:color w:val="000000" w:themeColor="text1"/>
        </w:rPr>
        <w:t>(</w:t>
      </w:r>
      <w:hyperlink r:id="rId19" w:history="1">
        <w:r w:rsidRPr="00CA57F8">
          <w:rPr>
            <w:rStyle w:val="Hyperlink"/>
          </w:rPr>
          <w:t>https://www.cde.ca.gov/fg/fo/r17/ccsppcg22results.asp</w:t>
        </w:r>
      </w:hyperlink>
      <w:r w:rsidRPr="00D7514F">
        <w:rPr>
          <w:rFonts w:eastAsia="Arial" w:cs="Arial"/>
          <w:color w:val="000000" w:themeColor="text1"/>
        </w:rPr>
        <w:t>).</w:t>
      </w:r>
    </w:p>
    <w:p w14:paraId="50C9DF47" w14:textId="451409B0" w:rsidR="000724A7" w:rsidRDefault="000724A7" w:rsidP="000724A7">
      <w:pPr>
        <w:pStyle w:val="ListParagraph"/>
        <w:numPr>
          <w:ilvl w:val="1"/>
          <w:numId w:val="8"/>
        </w:numPr>
        <w:spacing w:after="240"/>
        <w:contextualSpacing w:val="0"/>
      </w:pPr>
      <w:r w:rsidRPr="00D7514F">
        <w:t>In 202</w:t>
      </w:r>
      <w:r>
        <w:t>3</w:t>
      </w:r>
      <w:r w:rsidRPr="00D7514F">
        <w:t>–2</w:t>
      </w:r>
      <w:r>
        <w:t>4</w:t>
      </w:r>
      <w:r w:rsidRPr="00D7514F">
        <w:t xml:space="preserve">, </w:t>
      </w:r>
      <w:r w:rsidR="00191FF8">
        <w:t xml:space="preserve">after the SBE approved the second rounds of planning and implementation grantees, </w:t>
      </w:r>
      <w:r w:rsidRPr="00D7514F">
        <w:t xml:space="preserve">the </w:t>
      </w:r>
      <w:r>
        <w:t xml:space="preserve">CDE awarded </w:t>
      </w:r>
      <w:r w:rsidR="00191FF8">
        <w:t>11 additional</w:t>
      </w:r>
      <w:r>
        <w:t xml:space="preserve"> COEs</w:t>
      </w:r>
      <w:r w:rsidR="00191FF8">
        <w:t xml:space="preserve"> coordination grants</w:t>
      </w:r>
      <w:r w:rsidRPr="00D7514F">
        <w:t xml:space="preserve">, for a total allocation of </w:t>
      </w:r>
      <w:r w:rsidR="00191FF8">
        <w:t xml:space="preserve">52 COEs receiving </w:t>
      </w:r>
      <w:r>
        <w:t xml:space="preserve">$17,150,000 </w:t>
      </w:r>
      <w:r w:rsidRPr="00D7514F">
        <w:rPr>
          <w:rFonts w:eastAsia="Arial" w:cs="Arial"/>
          <w:color w:val="000000" w:themeColor="text1"/>
        </w:rPr>
        <w:t>(</w:t>
      </w:r>
      <w:hyperlink r:id="rId20" w:history="1">
        <w:r w:rsidRPr="00CA57F8">
          <w:rPr>
            <w:rStyle w:val="Hyperlink"/>
          </w:rPr>
          <w:t>https://www.cde.ca.gov/fg/fo/r17/ccsppcg23results.asp</w:t>
        </w:r>
      </w:hyperlink>
      <w:r w:rsidRPr="00D7514F">
        <w:rPr>
          <w:rFonts w:eastAsia="Arial" w:cs="Arial"/>
          <w:color w:val="000000" w:themeColor="text1"/>
        </w:rPr>
        <w:t>)</w:t>
      </w:r>
      <w:r>
        <w:t>.</w:t>
      </w:r>
    </w:p>
    <w:p w14:paraId="6B8781E8" w14:textId="7D454E4C" w:rsidR="00EA0864" w:rsidRDefault="00EA0864" w:rsidP="00EA0864">
      <w:pPr>
        <w:spacing w:after="240"/>
        <w:rPr>
          <w:rStyle w:val="Hyperlink"/>
          <w:color w:val="auto"/>
          <w:u w:val="none"/>
        </w:rPr>
      </w:pPr>
      <w:r w:rsidRPr="00D7514F">
        <w:t>For more information</w:t>
      </w:r>
      <w:r>
        <w:t xml:space="preserve"> on the </w:t>
      </w:r>
      <w:r w:rsidR="007F1742">
        <w:t xml:space="preserve">grants timeline, see Attachment 1 and </w:t>
      </w:r>
      <w:r w:rsidRPr="00D7514F">
        <w:t>the CDE CCSPP web</w:t>
      </w:r>
      <w:r>
        <w:t xml:space="preserve"> </w:t>
      </w:r>
      <w:r w:rsidRPr="00D7514F">
        <w:t>page</w:t>
      </w:r>
      <w:r w:rsidR="007F1742">
        <w:t>:</w:t>
      </w:r>
      <w:r w:rsidRPr="00D7514F">
        <w:t xml:space="preserve"> </w:t>
      </w:r>
      <w:hyperlink r:id="rId21" w:tooltip="CCSPP web page" w:history="1">
        <w:r w:rsidRPr="00D7514F">
          <w:rPr>
            <w:rStyle w:val="Hyperlink"/>
          </w:rPr>
          <w:t>https://www.cde.ca.gov/ci/gs/hs/ccspp.asp</w:t>
        </w:r>
      </w:hyperlink>
      <w:r w:rsidRPr="005551D4">
        <w:rPr>
          <w:rStyle w:val="Hyperlink"/>
          <w:color w:val="auto"/>
          <w:u w:val="none"/>
        </w:rPr>
        <w:t>.</w:t>
      </w:r>
    </w:p>
    <w:p w14:paraId="462DA6A8" w14:textId="77777777" w:rsidR="00E25F5B" w:rsidRPr="00DC2C3C" w:rsidRDefault="00E25F5B" w:rsidP="00E25F5B">
      <w:pPr>
        <w:pStyle w:val="Heading3"/>
        <w:spacing w:before="240" w:after="240"/>
      </w:pPr>
      <w:r w:rsidRPr="00DC2C3C">
        <w:t>Annual Reporting</w:t>
      </w:r>
    </w:p>
    <w:p w14:paraId="605F5E62" w14:textId="77777777" w:rsidR="00F77065" w:rsidRPr="00DC2C3C" w:rsidRDefault="00F77065" w:rsidP="00EA0864">
      <w:pPr>
        <w:spacing w:after="240"/>
      </w:pPr>
      <w:r w:rsidRPr="00DC2C3C">
        <w:t>The S-TAC, with input from the CDE, the SBE, and the R-TACs, developed the template for the Annual Progress Report (APR). The APR also went through a public input period and was tested with practitioners before launching.</w:t>
      </w:r>
    </w:p>
    <w:p w14:paraId="45B4D042" w14:textId="0206D4BA" w:rsidR="00E25F5B" w:rsidRDefault="00F77065" w:rsidP="00EA0864">
      <w:pPr>
        <w:spacing w:after="240"/>
      </w:pPr>
      <w:r w:rsidRPr="00DC2C3C">
        <w:t xml:space="preserve">The APR serves as a tool to assess implementation efforts and encourage reflection as part of an ongoing continuous improvement process. The APR encourages grantees to </w:t>
      </w:r>
      <w:r w:rsidR="00C33599" w:rsidRPr="00DC2C3C">
        <w:t>collaborative</w:t>
      </w:r>
      <w:r w:rsidR="00C33599">
        <w:t>ly</w:t>
      </w:r>
      <w:r w:rsidR="00C33599" w:rsidRPr="00DC2C3C">
        <w:t xml:space="preserve"> </w:t>
      </w:r>
      <w:r w:rsidRPr="00DC2C3C">
        <w:t xml:space="preserve">identify and reflect on areas for growth, learning, and evidence of progress. </w:t>
      </w:r>
      <w:r w:rsidR="00B648A1" w:rsidRPr="00DC2C3C">
        <w:rPr>
          <w:rStyle w:val="ui-provider"/>
          <w:rFonts w:eastAsiaTheme="majorEastAsia"/>
        </w:rPr>
        <w:t>The 2023 APR is for Cohort 1 Planning and Implementation Grantees. </w:t>
      </w:r>
      <w:r w:rsidR="00B648A1" w:rsidRPr="00DC2C3C">
        <w:t xml:space="preserve"> </w:t>
      </w:r>
      <w:r w:rsidRPr="00DC2C3C">
        <w:t xml:space="preserve">The S-TAC and the CDE </w:t>
      </w:r>
      <w:r w:rsidR="00EF190F" w:rsidRPr="00DC2C3C">
        <w:t>distributed</w:t>
      </w:r>
      <w:r w:rsidRPr="00DC2C3C">
        <w:t xml:space="preserve"> annual reporting </w:t>
      </w:r>
      <w:proofErr w:type="gramStart"/>
      <w:r w:rsidR="00EF190F" w:rsidRPr="00DC2C3C">
        <w:t>materials</w:t>
      </w:r>
      <w:proofErr w:type="gramEnd"/>
      <w:r w:rsidR="00EF190F" w:rsidRPr="00DC2C3C">
        <w:t xml:space="preserve"> </w:t>
      </w:r>
      <w:r w:rsidRPr="00DC2C3C">
        <w:t>September 29, 202</w:t>
      </w:r>
      <w:r w:rsidR="00EF190F" w:rsidRPr="00DC2C3C">
        <w:t xml:space="preserve">3. The first CCSPP </w:t>
      </w:r>
      <w:r w:rsidR="00C33599">
        <w:t>APR</w:t>
      </w:r>
      <w:r w:rsidR="00EF190F" w:rsidRPr="00DC2C3C">
        <w:t xml:space="preserve"> </w:t>
      </w:r>
      <w:r w:rsidRPr="00DC2C3C">
        <w:t xml:space="preserve">is due </w:t>
      </w:r>
      <w:r w:rsidRPr="00BF43B0">
        <w:t>November 30, 2023.</w:t>
      </w:r>
    </w:p>
    <w:p w14:paraId="3E34E91B" w14:textId="487B9F8D" w:rsidR="0014097F" w:rsidRDefault="0014097F" w:rsidP="00EA0864">
      <w:pPr>
        <w:spacing w:after="240"/>
        <w:rPr>
          <w:b/>
        </w:rPr>
      </w:pPr>
      <w:r>
        <w:rPr>
          <w:b/>
        </w:rPr>
        <w:t>Annual Formative Evaluations</w:t>
      </w:r>
    </w:p>
    <w:p w14:paraId="128A64E0" w14:textId="77777777" w:rsidR="0014097F" w:rsidRDefault="0014097F" w:rsidP="0014097F">
      <w:pPr>
        <w:autoSpaceDE w:val="0"/>
        <w:autoSpaceDN w:val="0"/>
        <w:adjustRightInd w:val="0"/>
        <w:spacing w:after="240"/>
        <w:rPr>
          <w:rFonts w:cs="Arial"/>
        </w:rPr>
      </w:pPr>
      <w:r>
        <w:rPr>
          <w:rFonts w:cs="Arial"/>
        </w:rPr>
        <w:t xml:space="preserve">Budget Trailer Bill AB 181 requires the Superintendent to use a competitive grant process to contract with an entity to administer annual formative evaluations of the CCSPP. The 2022-23 Budget Act allocated $2,500,000 on a one-time basis to support </w:t>
      </w:r>
      <w:r>
        <w:rPr>
          <w:rFonts w:cs="Arial"/>
        </w:rPr>
        <w:lastRenderedPageBreak/>
        <w:t>these evaluations, through fiscal year 2027-28. The evaluations are to include the following components:</w:t>
      </w:r>
    </w:p>
    <w:p w14:paraId="624CA4FD" w14:textId="77777777" w:rsidR="0014097F" w:rsidRDefault="0014097F" w:rsidP="0014097F">
      <w:pPr>
        <w:pStyle w:val="ListParagraph"/>
        <w:numPr>
          <w:ilvl w:val="0"/>
          <w:numId w:val="22"/>
        </w:numPr>
        <w:autoSpaceDE w:val="0"/>
        <w:autoSpaceDN w:val="0"/>
        <w:adjustRightInd w:val="0"/>
        <w:spacing w:before="240" w:after="240"/>
        <w:rPr>
          <w:rFonts w:cs="Arial"/>
        </w:rPr>
      </w:pPr>
      <w:r>
        <w:rPr>
          <w:rFonts w:cs="Arial"/>
        </w:rPr>
        <w:t>O</w:t>
      </w:r>
      <w:r w:rsidRPr="00591DFE">
        <w:rPr>
          <w:rFonts w:cs="Arial"/>
        </w:rPr>
        <w:t xml:space="preserve">utcome data, as specified by CDE and the SBE, including measures of student wellbeing and engagement, including student attendance and school </w:t>
      </w:r>
      <w:proofErr w:type="gramStart"/>
      <w:r w:rsidRPr="00591DFE">
        <w:rPr>
          <w:rFonts w:cs="Arial"/>
        </w:rPr>
        <w:t>climate</w:t>
      </w:r>
      <w:proofErr w:type="gramEnd"/>
    </w:p>
    <w:p w14:paraId="31625FEB" w14:textId="77777777" w:rsidR="0014097F" w:rsidRPr="001E1FA7" w:rsidRDefault="0014097F" w:rsidP="0014097F">
      <w:pPr>
        <w:pStyle w:val="ListParagraph"/>
        <w:autoSpaceDE w:val="0"/>
        <w:autoSpaceDN w:val="0"/>
        <w:adjustRightInd w:val="0"/>
        <w:spacing w:before="240" w:after="240"/>
        <w:rPr>
          <w:rFonts w:cs="Arial"/>
        </w:rPr>
      </w:pPr>
    </w:p>
    <w:p w14:paraId="26068454" w14:textId="77777777" w:rsidR="0014097F" w:rsidRPr="001E1FA7" w:rsidRDefault="0014097F" w:rsidP="0014097F">
      <w:pPr>
        <w:pStyle w:val="ListParagraph"/>
        <w:numPr>
          <w:ilvl w:val="0"/>
          <w:numId w:val="22"/>
        </w:numPr>
        <w:autoSpaceDE w:val="0"/>
        <w:autoSpaceDN w:val="0"/>
        <w:adjustRightInd w:val="0"/>
        <w:spacing w:before="240" w:after="240"/>
        <w:rPr>
          <w:rFonts w:cs="Arial"/>
        </w:rPr>
      </w:pPr>
      <w:r>
        <w:rPr>
          <w:rFonts w:cs="Arial"/>
        </w:rPr>
        <w:t xml:space="preserve">An analysis of the services </w:t>
      </w:r>
      <w:proofErr w:type="gramStart"/>
      <w:r>
        <w:rPr>
          <w:rFonts w:cs="Arial"/>
        </w:rPr>
        <w:t>provided</w:t>
      </w:r>
      <w:proofErr w:type="gramEnd"/>
      <w:r>
        <w:rPr>
          <w:rFonts w:cs="Arial"/>
        </w:rPr>
        <w:t xml:space="preserve"> and the changes made within community schools, areas of progress and challenges to be addressed, including but not limited to effective integration of instructional and student support services, and support for authentic student, educator and family engagement</w:t>
      </w:r>
    </w:p>
    <w:p w14:paraId="630F48B4" w14:textId="77777777" w:rsidR="0014097F" w:rsidRPr="001E1FA7" w:rsidRDefault="0014097F" w:rsidP="0014097F">
      <w:pPr>
        <w:pStyle w:val="ListParagraph"/>
        <w:autoSpaceDE w:val="0"/>
        <w:autoSpaceDN w:val="0"/>
        <w:adjustRightInd w:val="0"/>
        <w:spacing w:before="240" w:after="240"/>
        <w:rPr>
          <w:rFonts w:cs="Arial"/>
        </w:rPr>
      </w:pPr>
    </w:p>
    <w:p w14:paraId="5C651873" w14:textId="77777777" w:rsidR="0014097F" w:rsidRDefault="0014097F" w:rsidP="0014097F">
      <w:pPr>
        <w:pStyle w:val="ListParagraph"/>
        <w:numPr>
          <w:ilvl w:val="0"/>
          <w:numId w:val="22"/>
        </w:numPr>
        <w:autoSpaceDE w:val="0"/>
        <w:autoSpaceDN w:val="0"/>
        <w:adjustRightInd w:val="0"/>
        <w:spacing w:before="240" w:after="240"/>
        <w:rPr>
          <w:rFonts w:cs="Arial"/>
        </w:rPr>
      </w:pPr>
      <w:r>
        <w:rPr>
          <w:rFonts w:cs="Arial"/>
        </w:rPr>
        <w:t xml:space="preserve">Evidence of best practices and successful strategies for integrating multiple funding sources to meet </w:t>
      </w:r>
      <w:proofErr w:type="gramStart"/>
      <w:r>
        <w:rPr>
          <w:rFonts w:cs="Arial"/>
        </w:rPr>
        <w:t>an LEA’s</w:t>
      </w:r>
      <w:proofErr w:type="gramEnd"/>
      <w:r>
        <w:rPr>
          <w:rFonts w:cs="Arial"/>
        </w:rPr>
        <w:t xml:space="preserve"> Local Control and Accountability Plan (LCAP) goals.</w:t>
      </w:r>
    </w:p>
    <w:p w14:paraId="2D67E5AB" w14:textId="77777777" w:rsidR="0014097F" w:rsidRPr="001E1FA7" w:rsidRDefault="0014097F" w:rsidP="0014097F">
      <w:pPr>
        <w:autoSpaceDE w:val="0"/>
        <w:autoSpaceDN w:val="0"/>
        <w:adjustRightInd w:val="0"/>
        <w:spacing w:before="240" w:after="240"/>
        <w:rPr>
          <w:rFonts w:cs="Arial"/>
        </w:rPr>
      </w:pPr>
      <w:r>
        <w:rPr>
          <w:rFonts w:cs="Arial"/>
        </w:rPr>
        <w:t>The first annual formative evaluation is due to the Governor and the Legislature by December 31, 2023, with a final comprehensive report due by December 31, 2031.</w:t>
      </w:r>
    </w:p>
    <w:p w14:paraId="0BCF0890" w14:textId="77777777" w:rsidR="0014097F" w:rsidRDefault="0014097F" w:rsidP="0014097F">
      <w:pPr>
        <w:spacing w:after="240"/>
        <w:rPr>
          <w:rStyle w:val="ui-provider"/>
          <w:rFonts w:eastAsiaTheme="majorEastAsia"/>
        </w:rPr>
      </w:pPr>
      <w:proofErr w:type="gramStart"/>
      <w:r>
        <w:t>In order to</w:t>
      </w:r>
      <w:proofErr w:type="gramEnd"/>
      <w:r>
        <w:t xml:space="preserve"> contract with an expert evaluator to conduct annual comprehensive formative evaluations of the CCSPP program, </w:t>
      </w:r>
      <w:r w:rsidRPr="0014097F">
        <w:rPr>
          <w:rStyle w:val="ui-provider"/>
          <w:rFonts w:eastAsiaTheme="majorEastAsia"/>
        </w:rPr>
        <w:t xml:space="preserve">CCTD has prepared a Request for Proposals (RFP) with a proposed start date of 7/1/24. Per the state contracting manual it is critical that all potential bidders are given access to identical information and facts and that all bidders are treated fairly. The RFP is in draft form and cannot be released at this time. </w:t>
      </w:r>
    </w:p>
    <w:p w14:paraId="50ABF704" w14:textId="4259D862" w:rsidR="0014097F" w:rsidRPr="0069732E" w:rsidRDefault="0014097F" w:rsidP="00BF43B0">
      <w:pPr>
        <w:spacing w:after="240"/>
        <w:rPr>
          <w:rStyle w:val="ui-provider"/>
        </w:rPr>
      </w:pPr>
      <w:r w:rsidRPr="0014097F">
        <w:rPr>
          <w:rStyle w:val="ui-provider"/>
          <w:rFonts w:eastAsiaTheme="majorEastAsia"/>
        </w:rPr>
        <w:t xml:space="preserve">The CDE CSO and the S-TAC are working together to submit the initial formative evaluation report to the Legislature and the Governor by the December 31, </w:t>
      </w:r>
      <w:proofErr w:type="gramStart"/>
      <w:r w:rsidRPr="0014097F">
        <w:rPr>
          <w:rStyle w:val="ui-provider"/>
          <w:rFonts w:eastAsiaTheme="majorEastAsia"/>
        </w:rPr>
        <w:t>2023</w:t>
      </w:r>
      <w:proofErr w:type="gramEnd"/>
      <w:r w:rsidRPr="0014097F">
        <w:rPr>
          <w:rStyle w:val="ui-provider"/>
          <w:rFonts w:eastAsiaTheme="majorEastAsia"/>
        </w:rPr>
        <w:t xml:space="preserve"> statutory deadline. CDE and STAC will use available current documentation and reporting from the field to provide the most current information and implementation update as part of this initial report.</w:t>
      </w:r>
    </w:p>
    <w:p w14:paraId="44A65B14" w14:textId="77777777" w:rsidR="00803806" w:rsidRPr="00924644" w:rsidRDefault="00803806" w:rsidP="00803806">
      <w:pPr>
        <w:pStyle w:val="Heading2"/>
        <w:spacing w:before="240" w:after="240"/>
        <w:rPr>
          <w:sz w:val="36"/>
          <w:szCs w:val="36"/>
        </w:rPr>
      </w:pPr>
      <w:r w:rsidRPr="00924644">
        <w:rPr>
          <w:sz w:val="36"/>
          <w:szCs w:val="36"/>
        </w:rPr>
        <w:t>Summary of Previous State Board of Education Discussion and Action</w:t>
      </w:r>
    </w:p>
    <w:p w14:paraId="3D00E5B5" w14:textId="77777777" w:rsidR="00803806" w:rsidRPr="00924644" w:rsidRDefault="00803806" w:rsidP="00803806">
      <w:pPr>
        <w:spacing w:after="240"/>
      </w:pPr>
      <w:r w:rsidRPr="00924644">
        <w:t xml:space="preserve">In October 2021, </w:t>
      </w:r>
      <w:r w:rsidRPr="00924644">
        <w:rPr>
          <w:color w:val="000000"/>
        </w:rPr>
        <w:t>the CDE provided an information memorandum providing the SBE with an introduction to the community school model and an o</w:t>
      </w:r>
      <w:r w:rsidRPr="00924644">
        <w:rPr>
          <w:rFonts w:cs="Arial"/>
        </w:rPr>
        <w:t>verview of the CCSPP. (</w:t>
      </w:r>
      <w:hyperlink r:id="rId22" w:tooltip="October Community Schools Memo" w:history="1">
        <w:r w:rsidRPr="00924644">
          <w:rPr>
            <w:rStyle w:val="Hyperlink"/>
            <w:rFonts w:cs="Arial"/>
          </w:rPr>
          <w:t>https://www.cde.ca.gov/be/pn/im/index.asp</w:t>
        </w:r>
      </w:hyperlink>
      <w:r w:rsidRPr="00924644">
        <w:t>)</w:t>
      </w:r>
    </w:p>
    <w:p w14:paraId="6679299E" w14:textId="77777777" w:rsidR="00803806" w:rsidRPr="00924644" w:rsidRDefault="00803806" w:rsidP="00803806">
      <w:pPr>
        <w:spacing w:after="240"/>
        <w:rPr>
          <w:rFonts w:eastAsia="Arial" w:cs="Arial"/>
          <w:color w:val="000000" w:themeColor="text1"/>
        </w:rPr>
      </w:pPr>
      <w:r w:rsidRPr="00924644">
        <w:t xml:space="preserve">In November 2021, </w:t>
      </w:r>
      <w:r w:rsidRPr="00924644">
        <w:rPr>
          <w:rFonts w:cs="Arial"/>
          <w:color w:val="000000"/>
          <w:shd w:val="clear" w:color="auto" w:fill="FFFFFF"/>
        </w:rPr>
        <w:t xml:space="preserve">the SBE approved the </w:t>
      </w:r>
      <w:r w:rsidRPr="00924644">
        <w:rPr>
          <w:rFonts w:eastAsia="Arial" w:cs="Arial"/>
          <w:color w:val="000000" w:themeColor="text1"/>
        </w:rPr>
        <w:t>CCSPP proposed application process and administration plan. (</w:t>
      </w:r>
      <w:hyperlink r:id="rId23" w:tooltip="November Community Schools Agenda Item" w:history="1">
        <w:r w:rsidRPr="00924644">
          <w:rPr>
            <w:rStyle w:val="Hyperlink"/>
            <w:rFonts w:eastAsia="Arial" w:cs="Arial"/>
          </w:rPr>
          <w:t>https://www.cde.ca.gov/be/ag/ag/yr21/documents/nov21item17.docx</w:t>
        </w:r>
      </w:hyperlink>
      <w:r w:rsidRPr="00924644">
        <w:rPr>
          <w:rFonts w:eastAsia="Arial" w:cs="Arial"/>
          <w:color w:val="000000" w:themeColor="text1"/>
        </w:rPr>
        <w:t>)</w:t>
      </w:r>
    </w:p>
    <w:p w14:paraId="513E7C92" w14:textId="77777777" w:rsidR="00803806" w:rsidRDefault="00803806" w:rsidP="00803806">
      <w:pPr>
        <w:spacing w:after="240"/>
        <w:rPr>
          <w:rFonts w:eastAsia="Arial" w:cs="Arial"/>
          <w:color w:val="000000" w:themeColor="text1"/>
        </w:rPr>
      </w:pPr>
      <w:r w:rsidRPr="00924644">
        <w:t xml:space="preserve">In January 2022, the SBE approved an amendment to </w:t>
      </w:r>
      <w:r w:rsidRPr="00924644">
        <w:rPr>
          <w:rFonts w:cs="Arial"/>
          <w:color w:val="000000"/>
          <w:shd w:val="clear" w:color="auto" w:fill="FFFFFF"/>
        </w:rPr>
        <w:t xml:space="preserve">the </w:t>
      </w:r>
      <w:r w:rsidRPr="00924644">
        <w:rPr>
          <w:rFonts w:eastAsia="Arial" w:cs="Arial"/>
          <w:color w:val="000000" w:themeColor="text1"/>
        </w:rPr>
        <w:t xml:space="preserve">CCSPP application process and administration plan to publish an RFA for a lead TAC in winter 2022 and delayed the release of an RFA for the regional TACs to later in 2022. The SBE also approved an amendment to the application process and administration plan to give priority to applicants serving small and rural schools to the seven competitive priorities set out in </w:t>
      </w:r>
      <w:r w:rsidRPr="00924644">
        <w:rPr>
          <w:rFonts w:eastAsia="Arial" w:cs="Arial"/>
          <w:color w:val="000000" w:themeColor="text1"/>
        </w:rPr>
        <w:lastRenderedPageBreak/>
        <w:t>statute. The SBE also adopted the California Community Schools Framework. (</w:t>
      </w:r>
      <w:hyperlink r:id="rId24" w:tooltip="Community Schools Framework" w:history="1">
        <w:r w:rsidRPr="00924644">
          <w:rPr>
            <w:rStyle w:val="Hyperlink"/>
            <w:rFonts w:eastAsia="Arial" w:cs="Arial"/>
          </w:rPr>
          <w:t>https://www.cde.ca.gov/be/ag/ag/yr22/documents/jan22item02.docx</w:t>
        </w:r>
      </w:hyperlink>
      <w:r w:rsidRPr="00924644">
        <w:rPr>
          <w:rFonts w:eastAsia="Arial" w:cs="Arial"/>
          <w:color w:val="000000" w:themeColor="text1"/>
        </w:rPr>
        <w:t>)</w:t>
      </w:r>
    </w:p>
    <w:p w14:paraId="653DD5A3" w14:textId="3C6CC040" w:rsidR="00364BFF" w:rsidRDefault="00364BFF" w:rsidP="00803806">
      <w:pPr>
        <w:spacing w:after="240"/>
        <w:rPr>
          <w:rFonts w:eastAsia="Arial" w:cs="Arial"/>
          <w:color w:val="000000" w:themeColor="text1"/>
        </w:rPr>
      </w:pPr>
      <w:r>
        <w:rPr>
          <w:rFonts w:eastAsia="Arial" w:cs="Arial"/>
          <w:color w:val="000000" w:themeColor="text1"/>
        </w:rPr>
        <w:t xml:space="preserve">In May 2022, the SBE approved the </w:t>
      </w:r>
      <w:r>
        <w:rPr>
          <w:rFonts w:ascii="Helvetica" w:hAnsi="Helvetica" w:cs="Helvetica"/>
          <w:color w:val="000000"/>
          <w:shd w:val="clear" w:color="auto" w:fill="FFFFFF"/>
        </w:rPr>
        <w:t xml:space="preserve">Cohort 1 Planning and Implementation Grantees and </w:t>
      </w:r>
      <w:r w:rsidR="00C33599">
        <w:rPr>
          <w:rFonts w:ascii="Helvetica" w:hAnsi="Helvetica" w:cs="Helvetica"/>
          <w:color w:val="000000"/>
          <w:shd w:val="clear" w:color="auto" w:fill="FFFFFF"/>
        </w:rPr>
        <w:t xml:space="preserve">the </w:t>
      </w:r>
      <w:r>
        <w:rPr>
          <w:rFonts w:ascii="Helvetica" w:hAnsi="Helvetica" w:cs="Helvetica"/>
          <w:color w:val="000000"/>
          <w:shd w:val="clear" w:color="auto" w:fill="FFFFFF"/>
        </w:rPr>
        <w:t>Lead Technical Assistance Center Contract Awardee. (</w:t>
      </w:r>
      <w:hyperlink r:id="rId25" w:tooltip="May 2022 SBE Item" w:history="1">
        <w:r w:rsidRPr="00DD3C6A">
          <w:rPr>
            <w:rStyle w:val="Hyperlink"/>
            <w:rFonts w:ascii="Helvetica" w:hAnsi="Helvetica" w:cs="Helvetica"/>
            <w:shd w:val="clear" w:color="auto" w:fill="FFFFFF"/>
          </w:rPr>
          <w:t>https://www.cde.ca.gov/be/ag/ag/yr22/documents/may22item02rev.docx</w:t>
        </w:r>
      </w:hyperlink>
      <w:r>
        <w:rPr>
          <w:rFonts w:ascii="Helvetica" w:hAnsi="Helvetica" w:cs="Helvetica"/>
          <w:color w:val="000000"/>
          <w:shd w:val="clear" w:color="auto" w:fill="FFFFFF"/>
        </w:rPr>
        <w:t xml:space="preserve">) </w:t>
      </w:r>
    </w:p>
    <w:p w14:paraId="1039BDF0" w14:textId="77777777" w:rsidR="00364BFF" w:rsidRDefault="00364BFF" w:rsidP="00803806">
      <w:pPr>
        <w:spacing w:after="240"/>
        <w:rPr>
          <w:color w:val="000000"/>
        </w:rPr>
      </w:pPr>
      <w:r>
        <w:rPr>
          <w:rFonts w:eastAsia="Arial" w:cs="Arial"/>
          <w:color w:val="000000" w:themeColor="text1"/>
        </w:rPr>
        <w:t xml:space="preserve">In August 2022, </w:t>
      </w:r>
      <w:r w:rsidRPr="00924644">
        <w:rPr>
          <w:color w:val="000000"/>
        </w:rPr>
        <w:t xml:space="preserve">the CDE provided an information memorandum </w:t>
      </w:r>
      <w:r>
        <w:rPr>
          <w:color w:val="000000"/>
        </w:rPr>
        <w:t>updating</w:t>
      </w:r>
      <w:r w:rsidRPr="00924644">
        <w:rPr>
          <w:color w:val="000000"/>
        </w:rPr>
        <w:t xml:space="preserve"> the SBE </w:t>
      </w:r>
      <w:r>
        <w:rPr>
          <w:color w:val="000000"/>
        </w:rPr>
        <w:t>on the C</w:t>
      </w:r>
      <w:r w:rsidRPr="00924644">
        <w:rPr>
          <w:color w:val="000000"/>
        </w:rPr>
        <w:t xml:space="preserve">ommunity </w:t>
      </w:r>
      <w:r>
        <w:rPr>
          <w:color w:val="000000"/>
        </w:rPr>
        <w:t>S</w:t>
      </w:r>
      <w:r w:rsidRPr="00924644">
        <w:rPr>
          <w:color w:val="000000"/>
        </w:rPr>
        <w:t>chool</w:t>
      </w:r>
      <w:r>
        <w:rPr>
          <w:color w:val="000000"/>
        </w:rPr>
        <w:t>s</w:t>
      </w:r>
      <w:r w:rsidRPr="00924644">
        <w:rPr>
          <w:color w:val="000000"/>
        </w:rPr>
        <w:t xml:space="preserve"> </w:t>
      </w:r>
      <w:r>
        <w:rPr>
          <w:color w:val="000000"/>
        </w:rPr>
        <w:t>Partnership Program and timeline</w:t>
      </w:r>
      <w:r w:rsidR="00281FA5">
        <w:rPr>
          <w:color w:val="000000"/>
        </w:rPr>
        <w:t>.</w:t>
      </w:r>
      <w:r>
        <w:rPr>
          <w:color w:val="000000"/>
        </w:rPr>
        <w:t xml:space="preserve"> (</w:t>
      </w:r>
      <w:hyperlink r:id="rId26" w:tooltip="August 2022 SBE Memo" w:history="1">
        <w:r w:rsidRPr="00DD3C6A">
          <w:rPr>
            <w:rStyle w:val="Hyperlink"/>
          </w:rPr>
          <w:t>https://www.cde.ca.gov/be/pn/im/documents/aug22memocctd01.docx</w:t>
        </w:r>
      </w:hyperlink>
      <w:r>
        <w:rPr>
          <w:color w:val="000000"/>
        </w:rPr>
        <w:t xml:space="preserve">) </w:t>
      </w:r>
    </w:p>
    <w:p w14:paraId="12384CFF" w14:textId="77777777" w:rsidR="000E7975" w:rsidRDefault="000E7975" w:rsidP="000E7975">
      <w:pPr>
        <w:spacing w:after="240"/>
        <w:rPr>
          <w:rFonts w:eastAsia="Arial" w:cs="Arial"/>
          <w:color w:val="000000" w:themeColor="text1"/>
        </w:rPr>
      </w:pPr>
      <w:bookmarkStart w:id="0" w:name="_Hlk131679764"/>
      <w:r w:rsidRPr="00D7514F">
        <w:rPr>
          <w:rFonts w:eastAsia="Arial" w:cs="Arial"/>
          <w:color w:val="000000" w:themeColor="text1"/>
        </w:rPr>
        <w:t>In November 2022, the SBE approved the eight R-TACs and the proposed 2022–23 CCSPP Administrative Plan. (</w:t>
      </w:r>
      <w:hyperlink r:id="rId27" w:tooltip="November 2022 Community Schools Agenda Item" w:history="1">
        <w:r w:rsidRPr="00D7514F">
          <w:rPr>
            <w:rStyle w:val="Hyperlink"/>
            <w:rFonts w:eastAsia="Arial" w:cs="Arial"/>
          </w:rPr>
          <w:t>https://www.cde.ca.gov/be/ag/ag/yr22/documents/nov22item04.docx</w:t>
        </w:r>
      </w:hyperlink>
      <w:r w:rsidRPr="00D7514F">
        <w:rPr>
          <w:rFonts w:eastAsia="Arial" w:cs="Arial"/>
          <w:color w:val="000000" w:themeColor="text1"/>
        </w:rPr>
        <w:t>)</w:t>
      </w:r>
      <w:bookmarkEnd w:id="0"/>
    </w:p>
    <w:p w14:paraId="14EE9DF1" w14:textId="77777777" w:rsidR="000E7975" w:rsidRDefault="000E7975" w:rsidP="000E7975">
      <w:pPr>
        <w:spacing w:after="240"/>
        <w:rPr>
          <w:rFonts w:eastAsia="Arial" w:cs="Arial"/>
          <w:color w:val="000000" w:themeColor="text1"/>
        </w:rPr>
      </w:pPr>
      <w:bookmarkStart w:id="1" w:name="_Hlk131765425"/>
      <w:r w:rsidRPr="0007629E">
        <w:rPr>
          <w:rFonts w:eastAsia="Arial" w:cs="Arial"/>
          <w:color w:val="000000" w:themeColor="text1"/>
        </w:rPr>
        <w:t>In March 2023, the SBE approved the CDE’s recommended Cohort 2 planning grant proposed list of grantees. (</w:t>
      </w:r>
      <w:hyperlink r:id="rId28" w:tooltip="March 2023 Community Schools Agenda Item" w:history="1">
        <w:r>
          <w:rPr>
            <w:rStyle w:val="Hyperlink"/>
            <w:rFonts w:eastAsia="Arial" w:cs="Arial"/>
          </w:rPr>
          <w:t>https://www.cde.ca.gov/be/ag/ag/yr23/documents/mar23item09rev.docx</w:t>
        </w:r>
      </w:hyperlink>
      <w:r w:rsidRPr="0007629E">
        <w:rPr>
          <w:rFonts w:eastAsia="Arial" w:cs="Arial"/>
          <w:color w:val="000000" w:themeColor="text1"/>
        </w:rPr>
        <w:t>)</w:t>
      </w:r>
    </w:p>
    <w:p w14:paraId="212DEF15" w14:textId="77777777" w:rsidR="000E7975" w:rsidRDefault="000E7975" w:rsidP="000E7975">
      <w:pPr>
        <w:spacing w:after="240"/>
        <w:rPr>
          <w:rFonts w:eastAsia="Arial" w:cs="Arial"/>
          <w:color w:val="000000" w:themeColor="text1"/>
        </w:rPr>
      </w:pPr>
      <w:r>
        <w:rPr>
          <w:rFonts w:eastAsia="Arial" w:cs="Arial"/>
          <w:color w:val="000000" w:themeColor="text1"/>
        </w:rPr>
        <w:t xml:space="preserve">In May 2023, the SBE approved the </w:t>
      </w:r>
      <w:r>
        <w:rPr>
          <w:rFonts w:ascii="Helvetica" w:hAnsi="Helvetica" w:cs="Helvetica"/>
          <w:color w:val="000000"/>
          <w:shd w:val="clear" w:color="auto" w:fill="FFFFFF"/>
        </w:rPr>
        <w:t>Cohort 2 Implementation Grantees. (</w:t>
      </w:r>
      <w:hyperlink r:id="rId29" w:history="1">
        <w:r w:rsidRPr="00976B1B">
          <w:rPr>
            <w:rStyle w:val="Hyperlink"/>
          </w:rPr>
          <w:t>https://www.cde.ca.gov/be/ag/ag/yr23/documents/may23item09.docx</w:t>
        </w:r>
      </w:hyperlink>
      <w:r>
        <w:rPr>
          <w:rFonts w:ascii="Helvetica" w:hAnsi="Helvetica" w:cs="Helvetica"/>
          <w:color w:val="000000"/>
          <w:shd w:val="clear" w:color="auto" w:fill="FFFFFF"/>
        </w:rPr>
        <w:t xml:space="preserve">) </w:t>
      </w:r>
    </w:p>
    <w:bookmarkEnd w:id="1"/>
    <w:p w14:paraId="7A39CBDF" w14:textId="03B2608F" w:rsidR="003E4DF7" w:rsidRPr="00924644" w:rsidRDefault="003E4DF7" w:rsidP="00582C51">
      <w:pPr>
        <w:pStyle w:val="Heading2"/>
        <w:spacing w:before="240" w:after="240"/>
        <w:rPr>
          <w:sz w:val="36"/>
          <w:szCs w:val="36"/>
        </w:rPr>
      </w:pPr>
      <w:r w:rsidRPr="00924644">
        <w:rPr>
          <w:sz w:val="36"/>
          <w:szCs w:val="36"/>
        </w:rPr>
        <w:t xml:space="preserve">Fiscal Analysis </w:t>
      </w:r>
    </w:p>
    <w:p w14:paraId="164F22A6" w14:textId="33171BAC" w:rsidR="00B85FB4" w:rsidRDefault="00B85FB4" w:rsidP="00582C51">
      <w:pPr>
        <w:spacing w:after="240"/>
        <w:rPr>
          <w:rFonts w:eastAsia="Arial" w:cs="Arial"/>
        </w:rPr>
      </w:pPr>
      <w:r w:rsidRPr="00924644">
        <w:rPr>
          <w:rFonts w:eastAsia="Arial" w:cs="Arial"/>
        </w:rPr>
        <w:t xml:space="preserve">The 2021–22 </w:t>
      </w:r>
      <w:r w:rsidR="00C9380A">
        <w:rPr>
          <w:rFonts w:eastAsia="Arial" w:cs="Arial"/>
        </w:rPr>
        <w:t>and 2022</w:t>
      </w:r>
      <w:r w:rsidR="000E7975">
        <w:rPr>
          <w:rFonts w:eastAsia="Arial" w:cs="Arial"/>
        </w:rPr>
        <w:t>–</w:t>
      </w:r>
      <w:r w:rsidR="00C9380A">
        <w:rPr>
          <w:rFonts w:eastAsia="Arial" w:cs="Arial"/>
        </w:rPr>
        <w:t xml:space="preserve">23 </w:t>
      </w:r>
      <w:r w:rsidRPr="00924644">
        <w:rPr>
          <w:rFonts w:eastAsia="Arial" w:cs="Arial"/>
        </w:rPr>
        <w:t>Budget Act</w:t>
      </w:r>
      <w:r w:rsidR="00C9380A">
        <w:rPr>
          <w:rFonts w:eastAsia="Arial" w:cs="Arial"/>
        </w:rPr>
        <w:t>s</w:t>
      </w:r>
      <w:r w:rsidRPr="00924644">
        <w:rPr>
          <w:rFonts w:eastAsia="Arial" w:cs="Arial"/>
        </w:rPr>
        <w:t xml:space="preserve"> provide a total of </w:t>
      </w:r>
      <w:r w:rsidR="00C9380A">
        <w:rPr>
          <w:rFonts w:cs="Arial"/>
        </w:rPr>
        <w:t xml:space="preserve">$4,146,551,000 </w:t>
      </w:r>
      <w:r w:rsidRPr="00924644">
        <w:rPr>
          <w:rFonts w:eastAsia="Arial" w:cs="Arial"/>
        </w:rPr>
        <w:t xml:space="preserve">for the CCSPP, to be distributed as explained in </w:t>
      </w:r>
      <w:r w:rsidR="00C33599">
        <w:rPr>
          <w:rFonts w:eastAsia="Arial" w:cs="Arial"/>
        </w:rPr>
        <w:t>CCSPP Grantmaking to LEAs, above</w:t>
      </w:r>
      <w:r w:rsidR="00871ABB">
        <w:rPr>
          <w:rFonts w:eastAsia="Arial" w:cs="Arial"/>
        </w:rPr>
        <w:t>.</w:t>
      </w:r>
      <w:r w:rsidR="00A51A27" w:rsidRPr="00924644">
        <w:rPr>
          <w:rFonts w:eastAsia="Arial" w:cs="Arial"/>
        </w:rPr>
        <w:t xml:space="preserve"> </w:t>
      </w:r>
      <w:r w:rsidR="00604FC3">
        <w:rPr>
          <w:rFonts w:eastAsia="Arial" w:cs="Arial"/>
        </w:rPr>
        <w:t>To date</w:t>
      </w:r>
      <w:r w:rsidR="00C93C20">
        <w:rPr>
          <w:rFonts w:eastAsia="Arial" w:cs="Arial"/>
        </w:rPr>
        <w:t>,</w:t>
      </w:r>
      <w:r w:rsidR="00604FC3">
        <w:rPr>
          <w:rFonts w:eastAsia="Arial" w:cs="Arial"/>
        </w:rPr>
        <w:t xml:space="preserve"> </w:t>
      </w:r>
      <w:r w:rsidR="00472B4B">
        <w:rPr>
          <w:rFonts w:eastAsia="Arial" w:cs="Arial"/>
        </w:rPr>
        <w:t xml:space="preserve">CDE has </w:t>
      </w:r>
      <w:r w:rsidR="00472B4B" w:rsidRPr="00512EE1">
        <w:rPr>
          <w:rFonts w:cs="Arial"/>
          <w:color w:val="000000" w:themeColor="text1"/>
        </w:rPr>
        <w:t xml:space="preserve">distributed </w:t>
      </w:r>
      <w:r w:rsidR="00BA21AE" w:rsidRPr="00512EE1">
        <w:rPr>
          <w:rFonts w:cs="Arial"/>
          <w:color w:val="000000" w:themeColor="text1"/>
        </w:rPr>
        <w:t>$1,459,169,554 for planning and implementation grants</w:t>
      </w:r>
      <w:r w:rsidR="00472B4B" w:rsidRPr="00512EE1">
        <w:rPr>
          <w:rFonts w:cs="Arial"/>
          <w:color w:val="000000" w:themeColor="text1"/>
        </w:rPr>
        <w:t xml:space="preserve"> to LEAs through the</w:t>
      </w:r>
      <w:r w:rsidR="00C33599">
        <w:rPr>
          <w:rFonts w:cs="Arial"/>
          <w:color w:val="000000" w:themeColor="text1"/>
        </w:rPr>
        <w:t xml:space="preserve"> statutory</w:t>
      </w:r>
      <w:r w:rsidR="00472B4B" w:rsidRPr="00512EE1">
        <w:rPr>
          <w:rFonts w:cs="Arial"/>
          <w:color w:val="000000" w:themeColor="text1"/>
        </w:rPr>
        <w:t xml:space="preserve"> distribution guidelines. There is currently </w:t>
      </w:r>
      <w:r w:rsidR="00663C27" w:rsidRPr="00512EE1">
        <w:rPr>
          <w:rFonts w:cs="Arial"/>
          <w:color w:val="000000" w:themeColor="text1"/>
        </w:rPr>
        <w:t xml:space="preserve">$1,832,715,646 </w:t>
      </w:r>
      <w:r w:rsidR="00472B4B" w:rsidRPr="00512EE1">
        <w:rPr>
          <w:rFonts w:cs="Arial"/>
          <w:color w:val="000000" w:themeColor="text1"/>
        </w:rPr>
        <w:t xml:space="preserve">remaining to be distributed primarily through Cohort 3 and Cohort 4 </w:t>
      </w:r>
      <w:r w:rsidR="00C93C20">
        <w:rPr>
          <w:rFonts w:cs="Arial"/>
          <w:color w:val="000000" w:themeColor="text1"/>
        </w:rPr>
        <w:t>i</w:t>
      </w:r>
      <w:r w:rsidR="00472B4B" w:rsidRPr="00512EE1">
        <w:rPr>
          <w:rFonts w:cs="Arial"/>
          <w:color w:val="000000" w:themeColor="text1"/>
        </w:rPr>
        <w:t xml:space="preserve">mplementation </w:t>
      </w:r>
      <w:r w:rsidR="00C93C20">
        <w:rPr>
          <w:rFonts w:cs="Arial"/>
          <w:color w:val="000000" w:themeColor="text1"/>
        </w:rPr>
        <w:t>g</w:t>
      </w:r>
      <w:r w:rsidR="00472B4B" w:rsidRPr="00512EE1">
        <w:rPr>
          <w:rFonts w:cs="Arial"/>
          <w:color w:val="000000" w:themeColor="text1"/>
        </w:rPr>
        <w:t xml:space="preserve">rants. In addition, per statute there is </w:t>
      </w:r>
      <w:r w:rsidR="00BA21AE" w:rsidRPr="00512EE1">
        <w:rPr>
          <w:rFonts w:cs="Arial"/>
          <w:color w:val="000000" w:themeColor="text1"/>
        </w:rPr>
        <w:t xml:space="preserve">$574,832,800 </w:t>
      </w:r>
      <w:r w:rsidR="00472B4B" w:rsidRPr="00512EE1">
        <w:rPr>
          <w:rFonts w:cs="Arial"/>
          <w:color w:val="000000" w:themeColor="text1"/>
        </w:rPr>
        <w:t xml:space="preserve">in extension grant funding that is reserved for </w:t>
      </w:r>
      <w:r w:rsidR="00663C27" w:rsidRPr="00512EE1">
        <w:rPr>
          <w:rFonts w:cs="Arial"/>
          <w:color w:val="000000" w:themeColor="text1"/>
        </w:rPr>
        <w:t>implementation</w:t>
      </w:r>
      <w:r w:rsidR="00472B4B" w:rsidRPr="00512EE1">
        <w:rPr>
          <w:rFonts w:cs="Arial"/>
          <w:color w:val="000000" w:themeColor="text1"/>
        </w:rPr>
        <w:t xml:space="preserve"> grantees to extend programming </w:t>
      </w:r>
      <w:r w:rsidR="00663C27" w:rsidRPr="00512EE1">
        <w:rPr>
          <w:rFonts w:cs="Arial"/>
          <w:color w:val="000000" w:themeColor="text1"/>
        </w:rPr>
        <w:t>for an additional two years</w:t>
      </w:r>
      <w:r w:rsidR="00472B4B" w:rsidRPr="00512EE1">
        <w:rPr>
          <w:rFonts w:cs="Arial"/>
          <w:color w:val="000000" w:themeColor="text1"/>
        </w:rPr>
        <w:t xml:space="preserve">. Distribution of </w:t>
      </w:r>
      <w:r w:rsidR="00BA21AE" w:rsidRPr="00512EE1">
        <w:rPr>
          <w:rFonts w:cs="Arial"/>
          <w:color w:val="000000" w:themeColor="text1"/>
        </w:rPr>
        <w:t>e</w:t>
      </w:r>
      <w:r w:rsidR="00472B4B" w:rsidRPr="00512EE1">
        <w:rPr>
          <w:rFonts w:cs="Arial"/>
          <w:color w:val="000000" w:themeColor="text1"/>
        </w:rPr>
        <w:t xml:space="preserve">xtension grant funds will begin in </w:t>
      </w:r>
      <w:r w:rsidR="00BA21AE" w:rsidRPr="00512EE1">
        <w:rPr>
          <w:rFonts w:cs="Arial"/>
          <w:color w:val="000000" w:themeColor="text1"/>
        </w:rPr>
        <w:t xml:space="preserve">2027 </w:t>
      </w:r>
      <w:r w:rsidR="00472B4B" w:rsidRPr="00512EE1">
        <w:rPr>
          <w:rFonts w:cs="Arial"/>
          <w:color w:val="000000" w:themeColor="text1"/>
        </w:rPr>
        <w:t>for</w:t>
      </w:r>
      <w:r w:rsidR="00472B4B">
        <w:rPr>
          <w:rFonts w:eastAsia="Arial" w:cs="Arial"/>
        </w:rPr>
        <w:t xml:space="preserve"> Cohort </w:t>
      </w:r>
      <w:r w:rsidR="00C93C20">
        <w:rPr>
          <w:rFonts w:eastAsia="Arial" w:cs="Arial"/>
        </w:rPr>
        <w:t>1</w:t>
      </w:r>
      <w:r w:rsidR="00472B4B">
        <w:rPr>
          <w:rFonts w:eastAsia="Arial" w:cs="Arial"/>
        </w:rPr>
        <w:t xml:space="preserve"> </w:t>
      </w:r>
      <w:r w:rsidR="00C93C20">
        <w:rPr>
          <w:rFonts w:eastAsia="Arial" w:cs="Arial"/>
        </w:rPr>
        <w:t>i</w:t>
      </w:r>
      <w:r w:rsidR="00472B4B">
        <w:rPr>
          <w:rFonts w:eastAsia="Arial" w:cs="Arial"/>
        </w:rPr>
        <w:t xml:space="preserve">mplementation grantees. </w:t>
      </w:r>
    </w:p>
    <w:p w14:paraId="74F0FEDC" w14:textId="38CDA9CF" w:rsidR="00472B4B" w:rsidRPr="00472B4B" w:rsidRDefault="00472B4B" w:rsidP="00582C51">
      <w:pPr>
        <w:spacing w:after="240"/>
        <w:rPr>
          <w:rFonts w:cs="Arial"/>
          <w:color w:val="000000" w:themeColor="text1"/>
        </w:rPr>
      </w:pPr>
      <w:r>
        <w:rPr>
          <w:rFonts w:cs="Arial"/>
          <w:color w:val="000000" w:themeColor="text1"/>
        </w:rPr>
        <w:t>The remaining CCSPP</w:t>
      </w:r>
      <w:r w:rsidR="00064740">
        <w:rPr>
          <w:rFonts w:cs="Arial"/>
          <w:color w:val="000000" w:themeColor="text1"/>
        </w:rPr>
        <w:t xml:space="preserve"> budget is less than what is needed</w:t>
      </w:r>
      <w:r>
        <w:rPr>
          <w:rFonts w:cs="Arial"/>
          <w:color w:val="000000" w:themeColor="text1"/>
        </w:rPr>
        <w:t xml:space="preserve"> to fund implementation grants for every potential qualifying </w:t>
      </w:r>
      <w:r w:rsidR="00C93C20">
        <w:rPr>
          <w:rFonts w:cs="Arial"/>
          <w:color w:val="000000" w:themeColor="text1"/>
        </w:rPr>
        <w:t xml:space="preserve">LEA </w:t>
      </w:r>
      <w:r>
        <w:rPr>
          <w:rFonts w:cs="Arial"/>
          <w:color w:val="000000" w:themeColor="text1"/>
        </w:rPr>
        <w:t xml:space="preserve">applicant. </w:t>
      </w:r>
      <w:r w:rsidR="00064740">
        <w:rPr>
          <w:rFonts w:cs="Arial"/>
          <w:color w:val="000000" w:themeColor="text1"/>
        </w:rPr>
        <w:t>While it is impossible to predict the precise number of applications, the CDE anticipates the</w:t>
      </w:r>
      <w:r w:rsidR="00C33599">
        <w:rPr>
          <w:rFonts w:cs="Arial"/>
          <w:color w:val="000000" w:themeColor="text1"/>
        </w:rPr>
        <w:t xml:space="preserve"> unduplicated pupil percentage</w:t>
      </w:r>
      <w:r w:rsidR="00BF43B0">
        <w:rPr>
          <w:rFonts w:cs="Arial"/>
          <w:color w:val="000000" w:themeColor="text1"/>
        </w:rPr>
        <w:t xml:space="preserve"> </w:t>
      </w:r>
      <w:r w:rsidR="00C33599">
        <w:rPr>
          <w:rFonts w:cs="Arial"/>
          <w:color w:val="000000" w:themeColor="text1"/>
        </w:rPr>
        <w:t>(</w:t>
      </w:r>
      <w:r w:rsidR="00064740">
        <w:rPr>
          <w:rFonts w:cs="Arial"/>
          <w:color w:val="000000" w:themeColor="text1"/>
        </w:rPr>
        <w:t>UP</w:t>
      </w:r>
      <w:r w:rsidR="00C33599">
        <w:rPr>
          <w:rFonts w:cs="Arial"/>
          <w:color w:val="000000" w:themeColor="text1"/>
        </w:rPr>
        <w:t>P)</w:t>
      </w:r>
      <w:r w:rsidR="00064740">
        <w:rPr>
          <w:rFonts w:cs="Arial"/>
          <w:color w:val="000000" w:themeColor="text1"/>
        </w:rPr>
        <w:t xml:space="preserve"> cut off range </w:t>
      </w:r>
      <w:r w:rsidR="00C93C20">
        <w:rPr>
          <w:rFonts w:cs="Arial"/>
          <w:color w:val="000000" w:themeColor="text1"/>
        </w:rPr>
        <w:t xml:space="preserve">for future cohorts </w:t>
      </w:r>
      <w:r w:rsidR="00064740">
        <w:rPr>
          <w:rFonts w:cs="Arial"/>
          <w:color w:val="000000" w:themeColor="text1"/>
        </w:rPr>
        <w:t xml:space="preserve">will be </w:t>
      </w:r>
      <w:r w:rsidR="00BF43B0">
        <w:rPr>
          <w:rFonts w:cs="Arial"/>
          <w:color w:val="000000" w:themeColor="text1"/>
        </w:rPr>
        <w:t xml:space="preserve">for school sites serving </w:t>
      </w:r>
      <w:r w:rsidR="00064740">
        <w:rPr>
          <w:rFonts w:cs="Arial"/>
          <w:color w:val="000000" w:themeColor="text1"/>
        </w:rPr>
        <w:t xml:space="preserve">between </w:t>
      </w:r>
      <w:r w:rsidR="00644C4A">
        <w:rPr>
          <w:rFonts w:cs="Arial"/>
          <w:color w:val="000000" w:themeColor="text1"/>
        </w:rPr>
        <w:t xml:space="preserve">70% and 75% </w:t>
      </w:r>
      <w:r w:rsidR="00C33599">
        <w:rPr>
          <w:rFonts w:cs="Arial"/>
          <w:color w:val="000000" w:themeColor="text1"/>
        </w:rPr>
        <w:t>unduplicated students</w:t>
      </w:r>
      <w:r w:rsidR="00644C4A">
        <w:rPr>
          <w:rFonts w:cs="Arial"/>
          <w:color w:val="000000" w:themeColor="text1"/>
        </w:rPr>
        <w:t>.</w:t>
      </w:r>
      <w:r w:rsidR="00064740">
        <w:rPr>
          <w:rFonts w:cs="Arial"/>
          <w:color w:val="000000" w:themeColor="text1"/>
        </w:rPr>
        <w:t xml:space="preserve"> </w:t>
      </w:r>
      <w:r>
        <w:rPr>
          <w:rFonts w:cs="Arial"/>
          <w:color w:val="000000" w:themeColor="text1"/>
        </w:rPr>
        <w:t xml:space="preserve">The CDE </w:t>
      </w:r>
      <w:r w:rsidR="00C93C20">
        <w:rPr>
          <w:rFonts w:cs="Arial"/>
          <w:color w:val="000000" w:themeColor="text1"/>
        </w:rPr>
        <w:t>will</w:t>
      </w:r>
      <w:r>
        <w:rPr>
          <w:rFonts w:cs="Arial"/>
          <w:color w:val="000000" w:themeColor="text1"/>
        </w:rPr>
        <w:t xml:space="preserve"> follow statutory prioritization guidance to ensure that the equity provisions of the CCSPP are fulfilled as funding becomes limited in the final two rounds of </w:t>
      </w:r>
      <w:r w:rsidR="00274452">
        <w:rPr>
          <w:rFonts w:cs="Arial"/>
          <w:color w:val="000000" w:themeColor="text1"/>
        </w:rPr>
        <w:t>implementation grant</w:t>
      </w:r>
      <w:r>
        <w:rPr>
          <w:rFonts w:cs="Arial"/>
          <w:color w:val="000000" w:themeColor="text1"/>
        </w:rPr>
        <w:t>s.</w:t>
      </w:r>
      <w:r w:rsidR="00274452">
        <w:rPr>
          <w:rFonts w:cs="Arial"/>
          <w:color w:val="000000" w:themeColor="text1"/>
        </w:rPr>
        <w:t xml:space="preserve"> Further, as the qualitative elements of the implementation grant RFA increase in importance, the CDE believes our process will find the right balance of funding the strongest applications for CCSPP programs in areas of the greatest need throughout the </w:t>
      </w:r>
      <w:r w:rsidR="00C33599">
        <w:rPr>
          <w:rFonts w:cs="Arial"/>
          <w:color w:val="000000" w:themeColor="text1"/>
        </w:rPr>
        <w:t>s</w:t>
      </w:r>
      <w:r w:rsidR="00274452">
        <w:rPr>
          <w:rFonts w:cs="Arial"/>
          <w:color w:val="000000" w:themeColor="text1"/>
        </w:rPr>
        <w:t xml:space="preserve">tate. </w:t>
      </w:r>
    </w:p>
    <w:p w14:paraId="5C6E45D7" w14:textId="77777777" w:rsidR="00406F50" w:rsidRPr="00924644" w:rsidRDefault="00406F50" w:rsidP="00582C51">
      <w:pPr>
        <w:pStyle w:val="Heading2"/>
        <w:spacing w:before="240" w:after="240"/>
        <w:rPr>
          <w:sz w:val="36"/>
          <w:szCs w:val="36"/>
        </w:rPr>
      </w:pPr>
      <w:r w:rsidRPr="00924644">
        <w:rPr>
          <w:sz w:val="36"/>
          <w:szCs w:val="36"/>
        </w:rPr>
        <w:lastRenderedPageBreak/>
        <w:t>Attachment(s)</w:t>
      </w:r>
    </w:p>
    <w:p w14:paraId="0D7A3621" w14:textId="5FF39F63" w:rsidR="001933B4" w:rsidRPr="003E6159" w:rsidRDefault="00000051" w:rsidP="00C93C20">
      <w:pPr>
        <w:pStyle w:val="ListParagraph"/>
        <w:numPr>
          <w:ilvl w:val="0"/>
          <w:numId w:val="17"/>
        </w:numPr>
        <w:spacing w:after="240"/>
      </w:pPr>
      <w:r>
        <w:t xml:space="preserve">Attachment 1: </w:t>
      </w:r>
      <w:r w:rsidR="00F434D7">
        <w:t xml:space="preserve">CCSPP Timeline </w:t>
      </w:r>
      <w:r w:rsidR="00456121">
        <w:t>(1 page)</w:t>
      </w:r>
    </w:p>
    <w:sectPr w:rsidR="001933B4" w:rsidRPr="003E6159" w:rsidSect="000E5B90">
      <w:headerReference w:type="default" r:id="rId30"/>
      <w:type w:val="continuous"/>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0E94" w14:textId="77777777" w:rsidR="004E2F5B" w:rsidRDefault="004E2F5B" w:rsidP="000E09DC">
      <w:r>
        <w:separator/>
      </w:r>
    </w:p>
  </w:endnote>
  <w:endnote w:type="continuationSeparator" w:id="0">
    <w:p w14:paraId="0F35B923" w14:textId="77777777" w:rsidR="004E2F5B" w:rsidRDefault="004E2F5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1BB9" w14:textId="77777777" w:rsidR="004E2F5B" w:rsidRDefault="004E2F5B" w:rsidP="000E09DC">
      <w:r>
        <w:separator/>
      </w:r>
    </w:p>
  </w:footnote>
  <w:footnote w:type="continuationSeparator" w:id="0">
    <w:p w14:paraId="01B6097A" w14:textId="77777777" w:rsidR="004E2F5B" w:rsidRDefault="004E2F5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BF09" w14:textId="77777777" w:rsidR="00B03F18" w:rsidRPr="000E09DC" w:rsidRDefault="00B03F18"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D09A09A" w14:textId="77777777" w:rsidR="00B03F18" w:rsidRDefault="00B03F18"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6562EFBC" w14:textId="77777777" w:rsidR="00B03F18" w:rsidRPr="00527B0E" w:rsidRDefault="00B03F18"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0B72E68A" w14:textId="6633E2B7" w:rsidR="00B03F18" w:rsidRDefault="00B03F18" w:rsidP="00364036">
        <w:pPr>
          <w:jc w:val="right"/>
        </w:pPr>
        <w:r w:rsidRPr="000E5B90">
          <w:t>sssb-cctd-</w:t>
        </w:r>
        <w:r>
          <w:t>nov</w:t>
        </w:r>
        <w:r w:rsidRPr="000E5B90">
          <w:t>2</w:t>
        </w:r>
        <w:r w:rsidR="007A213E">
          <w:t>3</w:t>
        </w:r>
        <w:r w:rsidRPr="000E5B90">
          <w:t>item</w:t>
        </w:r>
        <w:r>
          <w:t>01</w:t>
        </w:r>
      </w:p>
      <w:p w14:paraId="5202E737" w14:textId="77777777" w:rsidR="00B03F18" w:rsidRPr="00364036" w:rsidRDefault="00B03F18">
        <w:pPr>
          <w:pStyle w:val="Header"/>
          <w:jc w:val="right"/>
        </w:pPr>
        <w:r w:rsidRPr="00364036">
          <w:t xml:space="preserve">Page </w:t>
        </w:r>
        <w:r w:rsidRPr="00364036">
          <w:rPr>
            <w:bCs/>
          </w:rPr>
          <w:fldChar w:fldCharType="begin"/>
        </w:r>
        <w:r w:rsidRPr="00364036">
          <w:rPr>
            <w:bCs/>
          </w:rPr>
          <w:instrText xml:space="preserve"> PAGE </w:instrText>
        </w:r>
        <w:r w:rsidRPr="00364036">
          <w:rPr>
            <w:bCs/>
          </w:rPr>
          <w:fldChar w:fldCharType="separate"/>
        </w:r>
        <w:r>
          <w:rPr>
            <w:bCs/>
            <w:noProof/>
          </w:rPr>
          <w:t>10</w:t>
        </w:r>
        <w:r w:rsidRPr="00364036">
          <w:rPr>
            <w:bCs/>
          </w:rPr>
          <w:fldChar w:fldCharType="end"/>
        </w:r>
        <w:r w:rsidRPr="00364036">
          <w:t xml:space="preserve"> of </w:t>
        </w:r>
        <w:r w:rsidRPr="00364036">
          <w:rPr>
            <w:bCs/>
          </w:rPr>
          <w:fldChar w:fldCharType="begin"/>
        </w:r>
        <w:r w:rsidRPr="00364036">
          <w:rPr>
            <w:bCs/>
          </w:rPr>
          <w:instrText xml:space="preserve"> NUMPAGES  </w:instrText>
        </w:r>
        <w:r w:rsidRPr="00364036">
          <w:rPr>
            <w:bCs/>
          </w:rPr>
          <w:fldChar w:fldCharType="separate"/>
        </w:r>
        <w:r>
          <w:rPr>
            <w:bCs/>
            <w:noProof/>
          </w:rPr>
          <w:t>10</w:t>
        </w:r>
        <w:r w:rsidRPr="00364036">
          <w:rPr>
            <w:bCs/>
          </w:rPr>
          <w:fldChar w:fldCharType="end"/>
        </w:r>
      </w:p>
    </w:sdtContent>
  </w:sdt>
  <w:p w14:paraId="546D13D4" w14:textId="77777777" w:rsidR="00B03F18" w:rsidRPr="00527B0E" w:rsidRDefault="00B03F18"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311"/>
    <w:multiLevelType w:val="hybridMultilevel"/>
    <w:tmpl w:val="7EC2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49A7"/>
    <w:multiLevelType w:val="hybridMultilevel"/>
    <w:tmpl w:val="22E64276"/>
    <w:lvl w:ilvl="0" w:tplc="F6967CFA">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76F7E"/>
    <w:multiLevelType w:val="hybridMultilevel"/>
    <w:tmpl w:val="9BD6EC5A"/>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E30D8"/>
    <w:multiLevelType w:val="hybridMultilevel"/>
    <w:tmpl w:val="30B6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9055A"/>
    <w:multiLevelType w:val="hybridMultilevel"/>
    <w:tmpl w:val="EE4A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759"/>
    <w:multiLevelType w:val="multilevel"/>
    <w:tmpl w:val="7D8E4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354A7"/>
    <w:multiLevelType w:val="hybridMultilevel"/>
    <w:tmpl w:val="99B0A4CE"/>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A1E28"/>
    <w:multiLevelType w:val="hybridMultilevel"/>
    <w:tmpl w:val="40AA408C"/>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3" w15:restartNumberingAfterBreak="0">
    <w:nsid w:val="3B975887"/>
    <w:multiLevelType w:val="hybridMultilevel"/>
    <w:tmpl w:val="944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86382"/>
    <w:multiLevelType w:val="hybridMultilevel"/>
    <w:tmpl w:val="A2040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C6C21"/>
    <w:multiLevelType w:val="hybridMultilevel"/>
    <w:tmpl w:val="EA60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B318F"/>
    <w:multiLevelType w:val="multilevel"/>
    <w:tmpl w:val="EC54F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834935"/>
    <w:multiLevelType w:val="hybridMultilevel"/>
    <w:tmpl w:val="9788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B500D"/>
    <w:multiLevelType w:val="hybridMultilevel"/>
    <w:tmpl w:val="830E2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582A18"/>
    <w:multiLevelType w:val="hybridMultilevel"/>
    <w:tmpl w:val="0A20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B4E39"/>
    <w:multiLevelType w:val="hybridMultilevel"/>
    <w:tmpl w:val="671E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F4B8C"/>
    <w:multiLevelType w:val="hybridMultilevel"/>
    <w:tmpl w:val="1AAA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531E6"/>
    <w:multiLevelType w:val="hybridMultilevel"/>
    <w:tmpl w:val="DD6ABC8C"/>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6" w15:restartNumberingAfterBreak="0">
    <w:nsid w:val="76AE3C91"/>
    <w:multiLevelType w:val="hybridMultilevel"/>
    <w:tmpl w:val="7CC8998E"/>
    <w:lvl w:ilvl="0" w:tplc="61EC0BA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AA65A5"/>
    <w:multiLevelType w:val="hybridMultilevel"/>
    <w:tmpl w:val="0DD8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61882335">
    <w:abstractNumId w:val="10"/>
  </w:num>
  <w:num w:numId="2" w16cid:durableId="2083987856">
    <w:abstractNumId w:val="21"/>
  </w:num>
  <w:num w:numId="3" w16cid:durableId="1301574683">
    <w:abstractNumId w:val="7"/>
  </w:num>
  <w:num w:numId="4" w16cid:durableId="118571820">
    <w:abstractNumId w:val="15"/>
  </w:num>
  <w:num w:numId="5" w16cid:durableId="258372474">
    <w:abstractNumId w:val="19"/>
  </w:num>
  <w:num w:numId="6" w16cid:durableId="1425229116">
    <w:abstractNumId w:val="3"/>
  </w:num>
  <w:num w:numId="7" w16cid:durableId="186872140">
    <w:abstractNumId w:val="9"/>
  </w:num>
  <w:num w:numId="8" w16cid:durableId="1984038973">
    <w:abstractNumId w:val="14"/>
  </w:num>
  <w:num w:numId="9" w16cid:durableId="285084715">
    <w:abstractNumId w:val="20"/>
  </w:num>
  <w:num w:numId="10" w16cid:durableId="1874075819">
    <w:abstractNumId w:val="17"/>
  </w:num>
  <w:num w:numId="11" w16cid:durableId="357899700">
    <w:abstractNumId w:val="17"/>
  </w:num>
  <w:num w:numId="12" w16cid:durableId="1129545148">
    <w:abstractNumId w:val="27"/>
  </w:num>
  <w:num w:numId="13" w16cid:durableId="167523647">
    <w:abstractNumId w:val="27"/>
  </w:num>
  <w:num w:numId="14" w16cid:durableId="2045210942">
    <w:abstractNumId w:val="13"/>
  </w:num>
  <w:num w:numId="15" w16cid:durableId="1145197592">
    <w:abstractNumId w:val="11"/>
  </w:num>
  <w:num w:numId="16" w16cid:durableId="1473674437">
    <w:abstractNumId w:val="18"/>
  </w:num>
  <w:num w:numId="17" w16cid:durableId="1045102739">
    <w:abstractNumId w:val="22"/>
  </w:num>
  <w:num w:numId="18" w16cid:durableId="852106393">
    <w:abstractNumId w:val="2"/>
  </w:num>
  <w:num w:numId="19" w16cid:durableId="234125162">
    <w:abstractNumId w:val="12"/>
  </w:num>
  <w:num w:numId="20" w16cid:durableId="1003048839">
    <w:abstractNumId w:val="25"/>
  </w:num>
  <w:num w:numId="21" w16cid:durableId="366873938">
    <w:abstractNumId w:val="16"/>
  </w:num>
  <w:num w:numId="22" w16cid:durableId="1460224683">
    <w:abstractNumId w:val="24"/>
  </w:num>
  <w:num w:numId="23" w16cid:durableId="163983805">
    <w:abstractNumId w:val="5"/>
  </w:num>
  <w:num w:numId="24" w16cid:durableId="191960668">
    <w:abstractNumId w:val="1"/>
  </w:num>
  <w:num w:numId="25" w16cid:durableId="138767671">
    <w:abstractNumId w:val="0"/>
  </w:num>
  <w:num w:numId="26" w16cid:durableId="1457870741">
    <w:abstractNumId w:val="5"/>
  </w:num>
  <w:num w:numId="27" w16cid:durableId="758260903">
    <w:abstractNumId w:val="6"/>
  </w:num>
  <w:num w:numId="28" w16cid:durableId="429474913">
    <w:abstractNumId w:val="8"/>
  </w:num>
  <w:num w:numId="29" w16cid:durableId="1207059766">
    <w:abstractNumId w:val="4"/>
  </w:num>
  <w:num w:numId="30" w16cid:durableId="122118512">
    <w:abstractNumId w:val="26"/>
  </w:num>
  <w:num w:numId="31" w16cid:durableId="2428367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051"/>
    <w:rsid w:val="000024D1"/>
    <w:rsid w:val="00003DE6"/>
    <w:rsid w:val="000040D5"/>
    <w:rsid w:val="00013637"/>
    <w:rsid w:val="000324AD"/>
    <w:rsid w:val="00040EFF"/>
    <w:rsid w:val="00045528"/>
    <w:rsid w:val="000510F3"/>
    <w:rsid w:val="00051CC7"/>
    <w:rsid w:val="0005751A"/>
    <w:rsid w:val="00064740"/>
    <w:rsid w:val="00072384"/>
    <w:rsid w:val="000724A7"/>
    <w:rsid w:val="000854C2"/>
    <w:rsid w:val="00094E60"/>
    <w:rsid w:val="000968B1"/>
    <w:rsid w:val="000A3FF1"/>
    <w:rsid w:val="000B0E71"/>
    <w:rsid w:val="000B21CE"/>
    <w:rsid w:val="000B38C2"/>
    <w:rsid w:val="000D1EB1"/>
    <w:rsid w:val="000D2979"/>
    <w:rsid w:val="000D54CD"/>
    <w:rsid w:val="000D761B"/>
    <w:rsid w:val="000E09DC"/>
    <w:rsid w:val="000E2666"/>
    <w:rsid w:val="000E2CF4"/>
    <w:rsid w:val="000E5B90"/>
    <w:rsid w:val="000E7975"/>
    <w:rsid w:val="00101D54"/>
    <w:rsid w:val="00103F5E"/>
    <w:rsid w:val="001048F3"/>
    <w:rsid w:val="00106D05"/>
    <w:rsid w:val="00107FED"/>
    <w:rsid w:val="00114A26"/>
    <w:rsid w:val="00125734"/>
    <w:rsid w:val="00127866"/>
    <w:rsid w:val="00130059"/>
    <w:rsid w:val="00131DF7"/>
    <w:rsid w:val="0014097F"/>
    <w:rsid w:val="00140999"/>
    <w:rsid w:val="001439B5"/>
    <w:rsid w:val="00143EF4"/>
    <w:rsid w:val="00147DE6"/>
    <w:rsid w:val="0016256C"/>
    <w:rsid w:val="001658C5"/>
    <w:rsid w:val="001700CA"/>
    <w:rsid w:val="00172366"/>
    <w:rsid w:val="0018148D"/>
    <w:rsid w:val="00187F83"/>
    <w:rsid w:val="00191FF8"/>
    <w:rsid w:val="001933B4"/>
    <w:rsid w:val="001A0CA5"/>
    <w:rsid w:val="001A0E93"/>
    <w:rsid w:val="001A1131"/>
    <w:rsid w:val="001A26DB"/>
    <w:rsid w:val="001A7DFF"/>
    <w:rsid w:val="001B04E7"/>
    <w:rsid w:val="001B3958"/>
    <w:rsid w:val="001B5076"/>
    <w:rsid w:val="001D1A28"/>
    <w:rsid w:val="001D6A1A"/>
    <w:rsid w:val="001D770A"/>
    <w:rsid w:val="001E1929"/>
    <w:rsid w:val="001E1FA7"/>
    <w:rsid w:val="001F0ECF"/>
    <w:rsid w:val="001F3BB1"/>
    <w:rsid w:val="00202240"/>
    <w:rsid w:val="00207C8F"/>
    <w:rsid w:val="0021333F"/>
    <w:rsid w:val="00223112"/>
    <w:rsid w:val="00224251"/>
    <w:rsid w:val="00226094"/>
    <w:rsid w:val="002373A8"/>
    <w:rsid w:val="00240B26"/>
    <w:rsid w:val="00242350"/>
    <w:rsid w:val="00256E92"/>
    <w:rsid w:val="00260A5A"/>
    <w:rsid w:val="00266206"/>
    <w:rsid w:val="00267F88"/>
    <w:rsid w:val="00274452"/>
    <w:rsid w:val="00281FA5"/>
    <w:rsid w:val="002832C4"/>
    <w:rsid w:val="00285CA2"/>
    <w:rsid w:val="002865CA"/>
    <w:rsid w:val="00287A12"/>
    <w:rsid w:val="00295D68"/>
    <w:rsid w:val="002969A4"/>
    <w:rsid w:val="00296B86"/>
    <w:rsid w:val="002A1CEA"/>
    <w:rsid w:val="002A3CE0"/>
    <w:rsid w:val="002A4F3C"/>
    <w:rsid w:val="002A6A8B"/>
    <w:rsid w:val="002B3439"/>
    <w:rsid w:val="002B4B14"/>
    <w:rsid w:val="002C50E8"/>
    <w:rsid w:val="002D014B"/>
    <w:rsid w:val="002D1A82"/>
    <w:rsid w:val="002E07D4"/>
    <w:rsid w:val="002E3CA2"/>
    <w:rsid w:val="002E4CB5"/>
    <w:rsid w:val="002E6FCA"/>
    <w:rsid w:val="002F071E"/>
    <w:rsid w:val="002F279B"/>
    <w:rsid w:val="002F326E"/>
    <w:rsid w:val="002F42D7"/>
    <w:rsid w:val="002F599E"/>
    <w:rsid w:val="00300E21"/>
    <w:rsid w:val="00310BD3"/>
    <w:rsid w:val="003145A1"/>
    <w:rsid w:val="00315131"/>
    <w:rsid w:val="003152D2"/>
    <w:rsid w:val="0031665B"/>
    <w:rsid w:val="00317124"/>
    <w:rsid w:val="0032578B"/>
    <w:rsid w:val="00330970"/>
    <w:rsid w:val="00330E19"/>
    <w:rsid w:val="00342514"/>
    <w:rsid w:val="0034516E"/>
    <w:rsid w:val="0034552A"/>
    <w:rsid w:val="00346650"/>
    <w:rsid w:val="00355B57"/>
    <w:rsid w:val="00362C9B"/>
    <w:rsid w:val="00363520"/>
    <w:rsid w:val="00363D23"/>
    <w:rsid w:val="00364036"/>
    <w:rsid w:val="00364BFF"/>
    <w:rsid w:val="00367916"/>
    <w:rsid w:val="00367FCD"/>
    <w:rsid w:val="003705FC"/>
    <w:rsid w:val="00375DC8"/>
    <w:rsid w:val="00376682"/>
    <w:rsid w:val="00381965"/>
    <w:rsid w:val="00384ACF"/>
    <w:rsid w:val="00387B20"/>
    <w:rsid w:val="003A1E86"/>
    <w:rsid w:val="003A57C7"/>
    <w:rsid w:val="003A6CE2"/>
    <w:rsid w:val="003B3083"/>
    <w:rsid w:val="003C4AA1"/>
    <w:rsid w:val="003C70F9"/>
    <w:rsid w:val="003D09CB"/>
    <w:rsid w:val="003D1ECD"/>
    <w:rsid w:val="003D2740"/>
    <w:rsid w:val="003D3279"/>
    <w:rsid w:val="003D5B16"/>
    <w:rsid w:val="003D68CD"/>
    <w:rsid w:val="003E0B2D"/>
    <w:rsid w:val="003E1E8D"/>
    <w:rsid w:val="003E38A8"/>
    <w:rsid w:val="003E4DF7"/>
    <w:rsid w:val="003E6159"/>
    <w:rsid w:val="003F5497"/>
    <w:rsid w:val="004022B3"/>
    <w:rsid w:val="00406F50"/>
    <w:rsid w:val="00407E9B"/>
    <w:rsid w:val="00407FAD"/>
    <w:rsid w:val="004107A9"/>
    <w:rsid w:val="004203BC"/>
    <w:rsid w:val="0044670C"/>
    <w:rsid w:val="004468A7"/>
    <w:rsid w:val="0045130B"/>
    <w:rsid w:val="00455F1F"/>
    <w:rsid w:val="00456121"/>
    <w:rsid w:val="00456730"/>
    <w:rsid w:val="00472B4B"/>
    <w:rsid w:val="0047534A"/>
    <w:rsid w:val="00476E5A"/>
    <w:rsid w:val="00482311"/>
    <w:rsid w:val="00484080"/>
    <w:rsid w:val="004A1398"/>
    <w:rsid w:val="004A3FAD"/>
    <w:rsid w:val="004A552B"/>
    <w:rsid w:val="004A7C1D"/>
    <w:rsid w:val="004B56E6"/>
    <w:rsid w:val="004B7849"/>
    <w:rsid w:val="004B78B5"/>
    <w:rsid w:val="004C1666"/>
    <w:rsid w:val="004C3358"/>
    <w:rsid w:val="004C7994"/>
    <w:rsid w:val="004D2F52"/>
    <w:rsid w:val="004D67E6"/>
    <w:rsid w:val="004E029B"/>
    <w:rsid w:val="004E2BB6"/>
    <w:rsid w:val="004E2F5B"/>
    <w:rsid w:val="004F6E26"/>
    <w:rsid w:val="00501264"/>
    <w:rsid w:val="00501CDD"/>
    <w:rsid w:val="00503081"/>
    <w:rsid w:val="0050500A"/>
    <w:rsid w:val="00507D19"/>
    <w:rsid w:val="00512EE1"/>
    <w:rsid w:val="0051322D"/>
    <w:rsid w:val="0051644E"/>
    <w:rsid w:val="00517C00"/>
    <w:rsid w:val="0052290B"/>
    <w:rsid w:val="00527514"/>
    <w:rsid w:val="00527B0E"/>
    <w:rsid w:val="005341C9"/>
    <w:rsid w:val="00536B6E"/>
    <w:rsid w:val="00537094"/>
    <w:rsid w:val="005402A7"/>
    <w:rsid w:val="00540EB6"/>
    <w:rsid w:val="00547973"/>
    <w:rsid w:val="00551761"/>
    <w:rsid w:val="005522EA"/>
    <w:rsid w:val="00560888"/>
    <w:rsid w:val="00564582"/>
    <w:rsid w:val="0057098A"/>
    <w:rsid w:val="0057646E"/>
    <w:rsid w:val="0058023C"/>
    <w:rsid w:val="00582C51"/>
    <w:rsid w:val="00591DFE"/>
    <w:rsid w:val="00594AF0"/>
    <w:rsid w:val="005976F5"/>
    <w:rsid w:val="005A014B"/>
    <w:rsid w:val="005B4346"/>
    <w:rsid w:val="005D1FF7"/>
    <w:rsid w:val="005D295F"/>
    <w:rsid w:val="005D36E9"/>
    <w:rsid w:val="005D4687"/>
    <w:rsid w:val="005D4C34"/>
    <w:rsid w:val="005D7BEE"/>
    <w:rsid w:val="005E0A64"/>
    <w:rsid w:val="005E65A9"/>
    <w:rsid w:val="005E6DFA"/>
    <w:rsid w:val="005F205A"/>
    <w:rsid w:val="00603A74"/>
    <w:rsid w:val="00604FC3"/>
    <w:rsid w:val="00614ED8"/>
    <w:rsid w:val="00621402"/>
    <w:rsid w:val="0063434F"/>
    <w:rsid w:val="00644C4A"/>
    <w:rsid w:val="006451E9"/>
    <w:rsid w:val="00646C52"/>
    <w:rsid w:val="0065306A"/>
    <w:rsid w:val="00655DF1"/>
    <w:rsid w:val="00660EC8"/>
    <w:rsid w:val="00662331"/>
    <w:rsid w:val="00663C27"/>
    <w:rsid w:val="006735CC"/>
    <w:rsid w:val="006762C4"/>
    <w:rsid w:val="00677464"/>
    <w:rsid w:val="006866B5"/>
    <w:rsid w:val="00692300"/>
    <w:rsid w:val="00693951"/>
    <w:rsid w:val="0069732E"/>
    <w:rsid w:val="006A31A5"/>
    <w:rsid w:val="006B05F9"/>
    <w:rsid w:val="006B087C"/>
    <w:rsid w:val="006B2111"/>
    <w:rsid w:val="006B2AD5"/>
    <w:rsid w:val="006B3644"/>
    <w:rsid w:val="006B5674"/>
    <w:rsid w:val="006B5A6E"/>
    <w:rsid w:val="006C5940"/>
    <w:rsid w:val="006D0223"/>
    <w:rsid w:val="006D249B"/>
    <w:rsid w:val="006D4925"/>
    <w:rsid w:val="006D65B6"/>
    <w:rsid w:val="006E06C6"/>
    <w:rsid w:val="006E3E83"/>
    <w:rsid w:val="006E78FA"/>
    <w:rsid w:val="00701BF3"/>
    <w:rsid w:val="00704BD6"/>
    <w:rsid w:val="00710EFC"/>
    <w:rsid w:val="00717B82"/>
    <w:rsid w:val="00721522"/>
    <w:rsid w:val="00726EDA"/>
    <w:rsid w:val="007271F4"/>
    <w:rsid w:val="007313A3"/>
    <w:rsid w:val="007313BB"/>
    <w:rsid w:val="00731B7F"/>
    <w:rsid w:val="00740901"/>
    <w:rsid w:val="007428B8"/>
    <w:rsid w:val="00746164"/>
    <w:rsid w:val="00746C61"/>
    <w:rsid w:val="007473EA"/>
    <w:rsid w:val="00757C14"/>
    <w:rsid w:val="007609C1"/>
    <w:rsid w:val="00760EDA"/>
    <w:rsid w:val="0076189E"/>
    <w:rsid w:val="00761F82"/>
    <w:rsid w:val="00762219"/>
    <w:rsid w:val="00763231"/>
    <w:rsid w:val="00766E9E"/>
    <w:rsid w:val="00766EA2"/>
    <w:rsid w:val="00770674"/>
    <w:rsid w:val="00774E6C"/>
    <w:rsid w:val="007766AE"/>
    <w:rsid w:val="00780BB6"/>
    <w:rsid w:val="0078627D"/>
    <w:rsid w:val="00793CD0"/>
    <w:rsid w:val="00794DF2"/>
    <w:rsid w:val="00795906"/>
    <w:rsid w:val="007A1325"/>
    <w:rsid w:val="007A213E"/>
    <w:rsid w:val="007A35B8"/>
    <w:rsid w:val="007A6AFE"/>
    <w:rsid w:val="007A6C46"/>
    <w:rsid w:val="007B3317"/>
    <w:rsid w:val="007C4F77"/>
    <w:rsid w:val="007C5697"/>
    <w:rsid w:val="007C7826"/>
    <w:rsid w:val="007D4435"/>
    <w:rsid w:val="007D6A8F"/>
    <w:rsid w:val="007D7CA2"/>
    <w:rsid w:val="007F1742"/>
    <w:rsid w:val="007F3DF1"/>
    <w:rsid w:val="007F5193"/>
    <w:rsid w:val="007F581D"/>
    <w:rsid w:val="007F5D0C"/>
    <w:rsid w:val="00800583"/>
    <w:rsid w:val="00803806"/>
    <w:rsid w:val="00816008"/>
    <w:rsid w:val="008230AC"/>
    <w:rsid w:val="008325F4"/>
    <w:rsid w:val="00836E31"/>
    <w:rsid w:val="00847E20"/>
    <w:rsid w:val="00850CCC"/>
    <w:rsid w:val="008522E8"/>
    <w:rsid w:val="008576B8"/>
    <w:rsid w:val="00861715"/>
    <w:rsid w:val="00865DAE"/>
    <w:rsid w:val="00871ABB"/>
    <w:rsid w:val="00874E58"/>
    <w:rsid w:val="00875E13"/>
    <w:rsid w:val="008831B6"/>
    <w:rsid w:val="00886427"/>
    <w:rsid w:val="008908AE"/>
    <w:rsid w:val="008909EE"/>
    <w:rsid w:val="008A6695"/>
    <w:rsid w:val="008B1D84"/>
    <w:rsid w:val="008B2618"/>
    <w:rsid w:val="008C2754"/>
    <w:rsid w:val="008C6EB8"/>
    <w:rsid w:val="008D0427"/>
    <w:rsid w:val="008D2869"/>
    <w:rsid w:val="008E3379"/>
    <w:rsid w:val="008E653E"/>
    <w:rsid w:val="008F3743"/>
    <w:rsid w:val="00904B18"/>
    <w:rsid w:val="00904E4A"/>
    <w:rsid w:val="0091117B"/>
    <w:rsid w:val="00911878"/>
    <w:rsid w:val="00923DAE"/>
    <w:rsid w:val="00924644"/>
    <w:rsid w:val="009339A2"/>
    <w:rsid w:val="00947B51"/>
    <w:rsid w:val="0095099F"/>
    <w:rsid w:val="00955BD7"/>
    <w:rsid w:val="00964D7C"/>
    <w:rsid w:val="00974238"/>
    <w:rsid w:val="009758D1"/>
    <w:rsid w:val="009A0CF0"/>
    <w:rsid w:val="009A4CDB"/>
    <w:rsid w:val="009A59EB"/>
    <w:rsid w:val="009A6FF3"/>
    <w:rsid w:val="009B04E1"/>
    <w:rsid w:val="009B26AB"/>
    <w:rsid w:val="009B2B15"/>
    <w:rsid w:val="009B55A5"/>
    <w:rsid w:val="009B6478"/>
    <w:rsid w:val="009B7767"/>
    <w:rsid w:val="009C6BEA"/>
    <w:rsid w:val="009C7BE1"/>
    <w:rsid w:val="009D5028"/>
    <w:rsid w:val="009D6EF8"/>
    <w:rsid w:val="009E13FE"/>
    <w:rsid w:val="009E3B71"/>
    <w:rsid w:val="009F2AAB"/>
    <w:rsid w:val="00A01B2C"/>
    <w:rsid w:val="00A067BF"/>
    <w:rsid w:val="00A07F42"/>
    <w:rsid w:val="00A16315"/>
    <w:rsid w:val="00A23201"/>
    <w:rsid w:val="00A30B3C"/>
    <w:rsid w:val="00A3288B"/>
    <w:rsid w:val="00A37992"/>
    <w:rsid w:val="00A45C5E"/>
    <w:rsid w:val="00A5027E"/>
    <w:rsid w:val="00A51A27"/>
    <w:rsid w:val="00A569FE"/>
    <w:rsid w:val="00A57C10"/>
    <w:rsid w:val="00A60FA6"/>
    <w:rsid w:val="00A67329"/>
    <w:rsid w:val="00A70BA8"/>
    <w:rsid w:val="00A7745C"/>
    <w:rsid w:val="00A91FB2"/>
    <w:rsid w:val="00A94DF4"/>
    <w:rsid w:val="00AA0991"/>
    <w:rsid w:val="00AA1D8D"/>
    <w:rsid w:val="00AB0DFA"/>
    <w:rsid w:val="00AB636F"/>
    <w:rsid w:val="00AB6929"/>
    <w:rsid w:val="00AC099A"/>
    <w:rsid w:val="00AC2C2D"/>
    <w:rsid w:val="00AC30BC"/>
    <w:rsid w:val="00AC6EB2"/>
    <w:rsid w:val="00AD77B8"/>
    <w:rsid w:val="00AE34DD"/>
    <w:rsid w:val="00AE50AC"/>
    <w:rsid w:val="00AF3624"/>
    <w:rsid w:val="00AF4796"/>
    <w:rsid w:val="00AF544A"/>
    <w:rsid w:val="00AF5F6F"/>
    <w:rsid w:val="00B019DA"/>
    <w:rsid w:val="00B03F18"/>
    <w:rsid w:val="00B1533D"/>
    <w:rsid w:val="00B1544C"/>
    <w:rsid w:val="00B21678"/>
    <w:rsid w:val="00B23604"/>
    <w:rsid w:val="00B26B76"/>
    <w:rsid w:val="00B270A9"/>
    <w:rsid w:val="00B459C7"/>
    <w:rsid w:val="00B5035E"/>
    <w:rsid w:val="00B648A1"/>
    <w:rsid w:val="00B66E9E"/>
    <w:rsid w:val="00B723BE"/>
    <w:rsid w:val="00B769C6"/>
    <w:rsid w:val="00B77BBC"/>
    <w:rsid w:val="00B82705"/>
    <w:rsid w:val="00B85954"/>
    <w:rsid w:val="00B85FB4"/>
    <w:rsid w:val="00B90F09"/>
    <w:rsid w:val="00B930AC"/>
    <w:rsid w:val="00B96C33"/>
    <w:rsid w:val="00BA21AE"/>
    <w:rsid w:val="00BB0D54"/>
    <w:rsid w:val="00BC0F15"/>
    <w:rsid w:val="00BC3312"/>
    <w:rsid w:val="00BC5891"/>
    <w:rsid w:val="00BC5EE9"/>
    <w:rsid w:val="00BC6E7A"/>
    <w:rsid w:val="00BD7559"/>
    <w:rsid w:val="00BE5B13"/>
    <w:rsid w:val="00BF43B0"/>
    <w:rsid w:val="00BF6A12"/>
    <w:rsid w:val="00BF75B0"/>
    <w:rsid w:val="00BF7D5D"/>
    <w:rsid w:val="00C032D2"/>
    <w:rsid w:val="00C05346"/>
    <w:rsid w:val="00C12ACA"/>
    <w:rsid w:val="00C14DDD"/>
    <w:rsid w:val="00C16577"/>
    <w:rsid w:val="00C2044D"/>
    <w:rsid w:val="00C27D57"/>
    <w:rsid w:val="00C33599"/>
    <w:rsid w:val="00C33AC3"/>
    <w:rsid w:val="00C445C7"/>
    <w:rsid w:val="00C5481A"/>
    <w:rsid w:val="00C667C4"/>
    <w:rsid w:val="00C66E43"/>
    <w:rsid w:val="00C76FF0"/>
    <w:rsid w:val="00C81318"/>
    <w:rsid w:val="00C81E43"/>
    <w:rsid w:val="00C82CBA"/>
    <w:rsid w:val="00C9380A"/>
    <w:rsid w:val="00C93C20"/>
    <w:rsid w:val="00C961EB"/>
    <w:rsid w:val="00CA0A59"/>
    <w:rsid w:val="00CA57CB"/>
    <w:rsid w:val="00CA5A76"/>
    <w:rsid w:val="00CB1959"/>
    <w:rsid w:val="00CB2D84"/>
    <w:rsid w:val="00CB4769"/>
    <w:rsid w:val="00CD63F4"/>
    <w:rsid w:val="00CE1C84"/>
    <w:rsid w:val="00CE4E5C"/>
    <w:rsid w:val="00CF4FEF"/>
    <w:rsid w:val="00CF72E1"/>
    <w:rsid w:val="00CF755A"/>
    <w:rsid w:val="00D01D42"/>
    <w:rsid w:val="00D0404E"/>
    <w:rsid w:val="00D128F8"/>
    <w:rsid w:val="00D41523"/>
    <w:rsid w:val="00D43418"/>
    <w:rsid w:val="00D45B03"/>
    <w:rsid w:val="00D47DAB"/>
    <w:rsid w:val="00D5115F"/>
    <w:rsid w:val="00D67FBF"/>
    <w:rsid w:val="00D74319"/>
    <w:rsid w:val="00D75FFA"/>
    <w:rsid w:val="00D7776F"/>
    <w:rsid w:val="00D802DD"/>
    <w:rsid w:val="00D817AC"/>
    <w:rsid w:val="00D82C00"/>
    <w:rsid w:val="00D846DB"/>
    <w:rsid w:val="00D84E16"/>
    <w:rsid w:val="00D8667C"/>
    <w:rsid w:val="00D86AB9"/>
    <w:rsid w:val="00D929D9"/>
    <w:rsid w:val="00D93CA7"/>
    <w:rsid w:val="00DA30FE"/>
    <w:rsid w:val="00DA4E17"/>
    <w:rsid w:val="00DA5870"/>
    <w:rsid w:val="00DA5D62"/>
    <w:rsid w:val="00DC2C3C"/>
    <w:rsid w:val="00DC4391"/>
    <w:rsid w:val="00DC4E33"/>
    <w:rsid w:val="00DD0B19"/>
    <w:rsid w:val="00DD6B49"/>
    <w:rsid w:val="00DE0E28"/>
    <w:rsid w:val="00DE106D"/>
    <w:rsid w:val="00DF5869"/>
    <w:rsid w:val="00E02A02"/>
    <w:rsid w:val="00E20857"/>
    <w:rsid w:val="00E23919"/>
    <w:rsid w:val="00E25F5B"/>
    <w:rsid w:val="00E364D1"/>
    <w:rsid w:val="00E36C7F"/>
    <w:rsid w:val="00E37C5D"/>
    <w:rsid w:val="00E42669"/>
    <w:rsid w:val="00E47AAF"/>
    <w:rsid w:val="00E509CC"/>
    <w:rsid w:val="00E52692"/>
    <w:rsid w:val="00E528A0"/>
    <w:rsid w:val="00E54BAB"/>
    <w:rsid w:val="00E57AE4"/>
    <w:rsid w:val="00E72CF6"/>
    <w:rsid w:val="00E752EB"/>
    <w:rsid w:val="00E777DB"/>
    <w:rsid w:val="00E82A73"/>
    <w:rsid w:val="00E906B8"/>
    <w:rsid w:val="00E92C21"/>
    <w:rsid w:val="00E92EB3"/>
    <w:rsid w:val="00EA0864"/>
    <w:rsid w:val="00EA1F48"/>
    <w:rsid w:val="00EA52F5"/>
    <w:rsid w:val="00EA7D4F"/>
    <w:rsid w:val="00EB16F7"/>
    <w:rsid w:val="00EB1917"/>
    <w:rsid w:val="00EC4865"/>
    <w:rsid w:val="00EC504C"/>
    <w:rsid w:val="00EC5257"/>
    <w:rsid w:val="00ED3B03"/>
    <w:rsid w:val="00EE05FD"/>
    <w:rsid w:val="00EE57FC"/>
    <w:rsid w:val="00EF190F"/>
    <w:rsid w:val="00F074E0"/>
    <w:rsid w:val="00F249BD"/>
    <w:rsid w:val="00F256B4"/>
    <w:rsid w:val="00F300B2"/>
    <w:rsid w:val="00F340A6"/>
    <w:rsid w:val="00F3657F"/>
    <w:rsid w:val="00F40510"/>
    <w:rsid w:val="00F434D7"/>
    <w:rsid w:val="00F475DA"/>
    <w:rsid w:val="00F50968"/>
    <w:rsid w:val="00F55BFB"/>
    <w:rsid w:val="00F56AD0"/>
    <w:rsid w:val="00F57F4F"/>
    <w:rsid w:val="00F7162A"/>
    <w:rsid w:val="00F75069"/>
    <w:rsid w:val="00F77065"/>
    <w:rsid w:val="00F870B9"/>
    <w:rsid w:val="00F87DD6"/>
    <w:rsid w:val="00FA561D"/>
    <w:rsid w:val="00FB54E8"/>
    <w:rsid w:val="00FC15A1"/>
    <w:rsid w:val="00FC1FCE"/>
    <w:rsid w:val="00FC2B71"/>
    <w:rsid w:val="00FD4805"/>
    <w:rsid w:val="00FE3007"/>
    <w:rsid w:val="00FE4BD6"/>
    <w:rsid w:val="00FE668F"/>
    <w:rsid w:val="00FE7B95"/>
    <w:rsid w:val="00FF277C"/>
    <w:rsid w:val="00FF3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512E8"/>
  <w15:docId w15:val="{22009696-EA90-4DF9-8CD6-7D44A1C4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Numbered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A6C46"/>
    <w:pPr>
      <w:spacing w:after="240" w:line="256" w:lineRule="auto"/>
    </w:pPr>
    <w:rPr>
      <w:sz w:val="20"/>
      <w:szCs w:val="20"/>
    </w:rPr>
  </w:style>
  <w:style w:type="character" w:customStyle="1" w:styleId="FootnoteTextChar">
    <w:name w:val="Footnote Text Char"/>
    <w:basedOn w:val="DefaultParagraphFont"/>
    <w:link w:val="FootnoteText"/>
    <w:uiPriority w:val="99"/>
    <w:semiHidden/>
    <w:rsid w:val="007A6C46"/>
    <w:rPr>
      <w:rFonts w:ascii="Arial" w:eastAsia="Times New Roman" w:hAnsi="Arial" w:cs="Times New Roman"/>
      <w:sz w:val="20"/>
      <w:szCs w:val="20"/>
    </w:rPr>
  </w:style>
  <w:style w:type="character" w:customStyle="1" w:styleId="ListParagraphChar">
    <w:name w:val="List Paragraph Char"/>
    <w:aliases w:val="list Char,List1 Char,List11 Char,Step Paragraph Char,Numbered Paragraph Char"/>
    <w:link w:val="ListParagraph"/>
    <w:uiPriority w:val="34"/>
    <w:locked/>
    <w:rsid w:val="007A6C46"/>
    <w:rPr>
      <w:rFonts w:ascii="Arial" w:eastAsia="Times New Roman" w:hAnsi="Arial" w:cs="Times New Roman"/>
      <w:sz w:val="24"/>
      <w:szCs w:val="24"/>
    </w:rPr>
  </w:style>
  <w:style w:type="character" w:styleId="FootnoteReference">
    <w:name w:val="footnote reference"/>
    <w:basedOn w:val="DefaultParagraphFont"/>
    <w:uiPriority w:val="99"/>
    <w:semiHidden/>
    <w:unhideWhenUsed/>
    <w:rsid w:val="007A6C46"/>
    <w:rPr>
      <w:vertAlign w:val="superscript"/>
    </w:rPr>
  </w:style>
  <w:style w:type="character" w:customStyle="1" w:styleId="UnresolvedMention1">
    <w:name w:val="Unresolved Mention1"/>
    <w:basedOn w:val="DefaultParagraphFont"/>
    <w:uiPriority w:val="99"/>
    <w:semiHidden/>
    <w:unhideWhenUsed/>
    <w:rsid w:val="001B04E7"/>
    <w:rPr>
      <w:color w:val="605E5C"/>
      <w:shd w:val="clear" w:color="auto" w:fill="E1DFDD"/>
    </w:rPr>
  </w:style>
  <w:style w:type="table" w:styleId="GridTable4">
    <w:name w:val="Grid Table 4"/>
    <w:basedOn w:val="TableNormal"/>
    <w:uiPriority w:val="49"/>
    <w:rsid w:val="00507D1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A51A27"/>
    <w:rPr>
      <w:sz w:val="16"/>
      <w:szCs w:val="16"/>
    </w:rPr>
  </w:style>
  <w:style w:type="paragraph" w:styleId="CommentText">
    <w:name w:val="annotation text"/>
    <w:basedOn w:val="Normal"/>
    <w:link w:val="CommentTextChar"/>
    <w:uiPriority w:val="99"/>
    <w:unhideWhenUsed/>
    <w:rsid w:val="00A51A27"/>
    <w:rPr>
      <w:sz w:val="20"/>
      <w:szCs w:val="20"/>
    </w:rPr>
  </w:style>
  <w:style w:type="character" w:customStyle="1" w:styleId="CommentTextChar">
    <w:name w:val="Comment Text Char"/>
    <w:basedOn w:val="DefaultParagraphFont"/>
    <w:link w:val="CommentText"/>
    <w:uiPriority w:val="99"/>
    <w:rsid w:val="00A51A2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51A27"/>
    <w:rPr>
      <w:b/>
      <w:bCs/>
    </w:rPr>
  </w:style>
  <w:style w:type="character" w:customStyle="1" w:styleId="CommentSubjectChar">
    <w:name w:val="Comment Subject Char"/>
    <w:basedOn w:val="CommentTextChar"/>
    <w:link w:val="CommentSubject"/>
    <w:uiPriority w:val="99"/>
    <w:semiHidden/>
    <w:rsid w:val="00A51A27"/>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C81E43"/>
    <w:rPr>
      <w:color w:val="605E5C"/>
      <w:shd w:val="clear" w:color="auto" w:fill="E1DFDD"/>
    </w:rPr>
  </w:style>
  <w:style w:type="paragraph" w:styleId="BodyText">
    <w:name w:val="Body Text"/>
    <w:basedOn w:val="Normal"/>
    <w:link w:val="BodyTextChar"/>
    <w:unhideWhenUsed/>
    <w:rsid w:val="00C81E43"/>
    <w:pPr>
      <w:spacing w:after="120" w:line="259" w:lineRule="auto"/>
    </w:pPr>
    <w:rPr>
      <w:rFonts w:eastAsia="Calibri"/>
    </w:rPr>
  </w:style>
  <w:style w:type="character" w:customStyle="1" w:styleId="BodyTextChar">
    <w:name w:val="Body Text Char"/>
    <w:basedOn w:val="DefaultParagraphFont"/>
    <w:link w:val="BodyText"/>
    <w:rsid w:val="00C81E43"/>
    <w:rPr>
      <w:rFonts w:ascii="Arial" w:eastAsia="Calibri" w:hAnsi="Arial" w:cs="Times New Roman"/>
      <w:sz w:val="24"/>
      <w:szCs w:val="24"/>
    </w:rPr>
  </w:style>
  <w:style w:type="paragraph" w:styleId="Revision">
    <w:name w:val="Revision"/>
    <w:hidden/>
    <w:uiPriority w:val="99"/>
    <w:semiHidden/>
    <w:rsid w:val="00387B20"/>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5F205A"/>
    <w:rPr>
      <w:color w:val="954F72" w:themeColor="followedHyperlink"/>
      <w:u w:val="single"/>
    </w:rPr>
  </w:style>
  <w:style w:type="table" w:styleId="TableGrid">
    <w:name w:val="Table Grid"/>
    <w:basedOn w:val="TableNormal"/>
    <w:uiPriority w:val="39"/>
    <w:rsid w:val="0051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70B9"/>
    <w:rPr>
      <w:color w:val="605E5C"/>
      <w:shd w:val="clear" w:color="auto" w:fill="E1DFDD"/>
    </w:rPr>
  </w:style>
  <w:style w:type="table" w:styleId="ListTable3">
    <w:name w:val="List Table 3"/>
    <w:basedOn w:val="TableNormal"/>
    <w:uiPriority w:val="48"/>
    <w:rsid w:val="001F3BB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unhideWhenUsed/>
    <w:rsid w:val="00EA0864"/>
    <w:pPr>
      <w:spacing w:before="100" w:beforeAutospacing="1" w:after="100" w:afterAutospacing="1"/>
    </w:pPr>
    <w:rPr>
      <w:rFonts w:ascii="Calibri" w:eastAsiaTheme="minorHAnsi" w:hAnsi="Calibri" w:cs="Calibri"/>
      <w:sz w:val="22"/>
      <w:szCs w:val="22"/>
    </w:rPr>
  </w:style>
  <w:style w:type="character" w:customStyle="1" w:styleId="ui-provider">
    <w:name w:val="ui-provider"/>
    <w:basedOn w:val="DefaultParagraphFont"/>
    <w:rsid w:val="00EA0864"/>
  </w:style>
  <w:style w:type="table" w:styleId="GridTable3">
    <w:name w:val="Grid Table 3"/>
    <w:basedOn w:val="TableNormal"/>
    <w:uiPriority w:val="48"/>
    <w:rsid w:val="003A1E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3A1E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147D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19468">
      <w:bodyDiv w:val="1"/>
      <w:marLeft w:val="0"/>
      <w:marRight w:val="0"/>
      <w:marTop w:val="0"/>
      <w:marBottom w:val="0"/>
      <w:divBdr>
        <w:top w:val="none" w:sz="0" w:space="0" w:color="auto"/>
        <w:left w:val="none" w:sz="0" w:space="0" w:color="auto"/>
        <w:bottom w:val="none" w:sz="0" w:space="0" w:color="auto"/>
        <w:right w:val="none" w:sz="0" w:space="0" w:color="auto"/>
      </w:divBdr>
    </w:div>
    <w:div w:id="235408767">
      <w:bodyDiv w:val="1"/>
      <w:marLeft w:val="0"/>
      <w:marRight w:val="0"/>
      <w:marTop w:val="0"/>
      <w:marBottom w:val="0"/>
      <w:divBdr>
        <w:top w:val="none" w:sz="0" w:space="0" w:color="auto"/>
        <w:left w:val="none" w:sz="0" w:space="0" w:color="auto"/>
        <w:bottom w:val="none" w:sz="0" w:space="0" w:color="auto"/>
        <w:right w:val="none" w:sz="0" w:space="0" w:color="auto"/>
      </w:divBdr>
    </w:div>
    <w:div w:id="243492170">
      <w:bodyDiv w:val="1"/>
      <w:marLeft w:val="0"/>
      <w:marRight w:val="0"/>
      <w:marTop w:val="0"/>
      <w:marBottom w:val="0"/>
      <w:divBdr>
        <w:top w:val="none" w:sz="0" w:space="0" w:color="auto"/>
        <w:left w:val="none" w:sz="0" w:space="0" w:color="auto"/>
        <w:bottom w:val="none" w:sz="0" w:space="0" w:color="auto"/>
        <w:right w:val="none" w:sz="0" w:space="0" w:color="auto"/>
      </w:divBdr>
    </w:div>
    <w:div w:id="824324845">
      <w:bodyDiv w:val="1"/>
      <w:marLeft w:val="0"/>
      <w:marRight w:val="0"/>
      <w:marTop w:val="0"/>
      <w:marBottom w:val="0"/>
      <w:divBdr>
        <w:top w:val="none" w:sz="0" w:space="0" w:color="auto"/>
        <w:left w:val="none" w:sz="0" w:space="0" w:color="auto"/>
        <w:bottom w:val="none" w:sz="0" w:space="0" w:color="auto"/>
        <w:right w:val="none" w:sz="0" w:space="0" w:color="auto"/>
      </w:divBdr>
    </w:div>
    <w:div w:id="886183962">
      <w:bodyDiv w:val="1"/>
      <w:marLeft w:val="0"/>
      <w:marRight w:val="0"/>
      <w:marTop w:val="0"/>
      <w:marBottom w:val="0"/>
      <w:divBdr>
        <w:top w:val="none" w:sz="0" w:space="0" w:color="auto"/>
        <w:left w:val="none" w:sz="0" w:space="0" w:color="auto"/>
        <w:bottom w:val="none" w:sz="0" w:space="0" w:color="auto"/>
        <w:right w:val="none" w:sz="0" w:space="0" w:color="auto"/>
      </w:divBdr>
    </w:div>
    <w:div w:id="899903402">
      <w:bodyDiv w:val="1"/>
      <w:marLeft w:val="0"/>
      <w:marRight w:val="0"/>
      <w:marTop w:val="0"/>
      <w:marBottom w:val="0"/>
      <w:divBdr>
        <w:top w:val="none" w:sz="0" w:space="0" w:color="auto"/>
        <w:left w:val="none" w:sz="0" w:space="0" w:color="auto"/>
        <w:bottom w:val="none" w:sz="0" w:space="0" w:color="auto"/>
        <w:right w:val="none" w:sz="0" w:space="0" w:color="auto"/>
      </w:divBdr>
    </w:div>
    <w:div w:id="1118186810">
      <w:bodyDiv w:val="1"/>
      <w:marLeft w:val="0"/>
      <w:marRight w:val="0"/>
      <w:marTop w:val="0"/>
      <w:marBottom w:val="0"/>
      <w:divBdr>
        <w:top w:val="none" w:sz="0" w:space="0" w:color="auto"/>
        <w:left w:val="none" w:sz="0" w:space="0" w:color="auto"/>
        <w:bottom w:val="none" w:sz="0" w:space="0" w:color="auto"/>
        <w:right w:val="none" w:sz="0" w:space="0" w:color="auto"/>
      </w:divBdr>
    </w:div>
    <w:div w:id="1129082603">
      <w:bodyDiv w:val="1"/>
      <w:marLeft w:val="0"/>
      <w:marRight w:val="0"/>
      <w:marTop w:val="0"/>
      <w:marBottom w:val="0"/>
      <w:divBdr>
        <w:top w:val="none" w:sz="0" w:space="0" w:color="auto"/>
        <w:left w:val="none" w:sz="0" w:space="0" w:color="auto"/>
        <w:bottom w:val="none" w:sz="0" w:space="0" w:color="auto"/>
        <w:right w:val="none" w:sz="0" w:space="0" w:color="auto"/>
      </w:divBdr>
    </w:div>
    <w:div w:id="1252543958">
      <w:bodyDiv w:val="1"/>
      <w:marLeft w:val="0"/>
      <w:marRight w:val="0"/>
      <w:marTop w:val="0"/>
      <w:marBottom w:val="0"/>
      <w:divBdr>
        <w:top w:val="none" w:sz="0" w:space="0" w:color="auto"/>
        <w:left w:val="none" w:sz="0" w:space="0" w:color="auto"/>
        <w:bottom w:val="none" w:sz="0" w:space="0" w:color="auto"/>
        <w:right w:val="none" w:sz="0" w:space="0" w:color="auto"/>
      </w:divBdr>
      <w:divsChild>
        <w:div w:id="260796556">
          <w:marLeft w:val="0"/>
          <w:marRight w:val="0"/>
          <w:marTop w:val="0"/>
          <w:marBottom w:val="240"/>
          <w:divBdr>
            <w:top w:val="none" w:sz="0" w:space="0" w:color="auto"/>
            <w:left w:val="none" w:sz="0" w:space="0" w:color="auto"/>
            <w:bottom w:val="none" w:sz="0" w:space="0" w:color="auto"/>
            <w:right w:val="none" w:sz="0" w:space="0" w:color="auto"/>
          </w:divBdr>
        </w:div>
        <w:div w:id="457648933">
          <w:marLeft w:val="0"/>
          <w:marRight w:val="0"/>
          <w:marTop w:val="0"/>
          <w:marBottom w:val="240"/>
          <w:divBdr>
            <w:top w:val="none" w:sz="0" w:space="0" w:color="auto"/>
            <w:left w:val="none" w:sz="0" w:space="0" w:color="auto"/>
            <w:bottom w:val="none" w:sz="0" w:space="0" w:color="auto"/>
            <w:right w:val="none" w:sz="0" w:space="0" w:color="auto"/>
          </w:divBdr>
        </w:div>
        <w:div w:id="510030340">
          <w:marLeft w:val="0"/>
          <w:marRight w:val="0"/>
          <w:marTop w:val="0"/>
          <w:marBottom w:val="240"/>
          <w:divBdr>
            <w:top w:val="none" w:sz="0" w:space="0" w:color="auto"/>
            <w:left w:val="none" w:sz="0" w:space="0" w:color="auto"/>
            <w:bottom w:val="none" w:sz="0" w:space="0" w:color="auto"/>
            <w:right w:val="none" w:sz="0" w:space="0" w:color="auto"/>
          </w:divBdr>
        </w:div>
        <w:div w:id="1225289783">
          <w:marLeft w:val="0"/>
          <w:marRight w:val="0"/>
          <w:marTop w:val="0"/>
          <w:marBottom w:val="240"/>
          <w:divBdr>
            <w:top w:val="none" w:sz="0" w:space="0" w:color="auto"/>
            <w:left w:val="none" w:sz="0" w:space="0" w:color="auto"/>
            <w:bottom w:val="none" w:sz="0" w:space="0" w:color="auto"/>
            <w:right w:val="none" w:sz="0" w:space="0" w:color="auto"/>
          </w:divBdr>
        </w:div>
      </w:divsChild>
    </w:div>
    <w:div w:id="1288125514">
      <w:bodyDiv w:val="1"/>
      <w:marLeft w:val="0"/>
      <w:marRight w:val="0"/>
      <w:marTop w:val="0"/>
      <w:marBottom w:val="0"/>
      <w:divBdr>
        <w:top w:val="none" w:sz="0" w:space="0" w:color="auto"/>
        <w:left w:val="none" w:sz="0" w:space="0" w:color="auto"/>
        <w:bottom w:val="none" w:sz="0" w:space="0" w:color="auto"/>
        <w:right w:val="none" w:sz="0" w:space="0" w:color="auto"/>
      </w:divBdr>
    </w:div>
    <w:div w:id="1514418286">
      <w:bodyDiv w:val="1"/>
      <w:marLeft w:val="0"/>
      <w:marRight w:val="0"/>
      <w:marTop w:val="0"/>
      <w:marBottom w:val="0"/>
      <w:divBdr>
        <w:top w:val="none" w:sz="0" w:space="0" w:color="auto"/>
        <w:left w:val="none" w:sz="0" w:space="0" w:color="auto"/>
        <w:bottom w:val="none" w:sz="0" w:space="0" w:color="auto"/>
        <w:right w:val="none" w:sz="0" w:space="0" w:color="auto"/>
      </w:divBdr>
    </w:div>
    <w:div w:id="1580745770">
      <w:bodyDiv w:val="1"/>
      <w:marLeft w:val="0"/>
      <w:marRight w:val="0"/>
      <w:marTop w:val="0"/>
      <w:marBottom w:val="0"/>
      <w:divBdr>
        <w:top w:val="none" w:sz="0" w:space="0" w:color="auto"/>
        <w:left w:val="none" w:sz="0" w:space="0" w:color="auto"/>
        <w:bottom w:val="none" w:sz="0" w:space="0" w:color="auto"/>
        <w:right w:val="none" w:sz="0" w:space="0" w:color="auto"/>
      </w:divBdr>
    </w:div>
    <w:div w:id="1671714565">
      <w:bodyDiv w:val="1"/>
      <w:marLeft w:val="0"/>
      <w:marRight w:val="0"/>
      <w:marTop w:val="0"/>
      <w:marBottom w:val="0"/>
      <w:divBdr>
        <w:top w:val="none" w:sz="0" w:space="0" w:color="auto"/>
        <w:left w:val="none" w:sz="0" w:space="0" w:color="auto"/>
        <w:bottom w:val="none" w:sz="0" w:space="0" w:color="auto"/>
        <w:right w:val="none" w:sz="0" w:space="0" w:color="auto"/>
      </w:divBdr>
    </w:div>
    <w:div w:id="1894197525">
      <w:bodyDiv w:val="1"/>
      <w:marLeft w:val="0"/>
      <w:marRight w:val="0"/>
      <w:marTop w:val="0"/>
      <w:marBottom w:val="0"/>
      <w:divBdr>
        <w:top w:val="none" w:sz="0" w:space="0" w:color="auto"/>
        <w:left w:val="none" w:sz="0" w:space="0" w:color="auto"/>
        <w:bottom w:val="none" w:sz="0" w:space="0" w:color="auto"/>
        <w:right w:val="none" w:sz="0" w:space="0" w:color="auto"/>
      </w:divBdr>
    </w:div>
    <w:div w:id="1966036231">
      <w:bodyDiv w:val="1"/>
      <w:marLeft w:val="0"/>
      <w:marRight w:val="0"/>
      <w:marTop w:val="0"/>
      <w:marBottom w:val="0"/>
      <w:divBdr>
        <w:top w:val="none" w:sz="0" w:space="0" w:color="auto"/>
        <w:left w:val="none" w:sz="0" w:space="0" w:color="auto"/>
        <w:bottom w:val="none" w:sz="0" w:space="0" w:color="auto"/>
        <w:right w:val="none" w:sz="0" w:space="0" w:color="auto"/>
      </w:divBdr>
    </w:div>
    <w:div w:id="2063165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oe.org/stac" TargetMode="External"/><Relationship Id="rId18" Type="http://schemas.openxmlformats.org/officeDocument/2006/relationships/hyperlink" Target="https://www.cde.ca.gov/be/ag/ag/yr23/documents/may23item09a1.docx" TargetMode="External"/><Relationship Id="rId26" Type="http://schemas.openxmlformats.org/officeDocument/2006/relationships/hyperlink" Target="https://www.cde.ca.gov/be/pn/im/documents/aug22memocctd01.docx" TargetMode="External"/><Relationship Id="rId3" Type="http://schemas.openxmlformats.org/officeDocument/2006/relationships/styles" Target="styles.xml"/><Relationship Id="rId21" Type="http://schemas.openxmlformats.org/officeDocument/2006/relationships/hyperlink" Target="https://www.cde.ca.gov/ci/gs/hs/ccspp.asp" TargetMode="External"/><Relationship Id="rId7" Type="http://schemas.openxmlformats.org/officeDocument/2006/relationships/endnotes" Target="endnotes.xml"/><Relationship Id="rId12" Type="http://schemas.openxmlformats.org/officeDocument/2006/relationships/hyperlink" Target="https://www.cde.ca.gov/ci/gs/hs/ccspp.asp" TargetMode="External"/><Relationship Id="rId17" Type="http://schemas.openxmlformats.org/officeDocument/2006/relationships/hyperlink" Target="https://www.cde.ca.gov/be/ag/ag/yr22/documents/may22item02a2rev2.docx" TargetMode="External"/><Relationship Id="rId25" Type="http://schemas.openxmlformats.org/officeDocument/2006/relationships/hyperlink" Target="https://www.cde.ca.gov/be/ag/ag/yr22/documents/may22item02rev.docx" TargetMode="External"/><Relationship Id="rId2" Type="http://schemas.openxmlformats.org/officeDocument/2006/relationships/numbering" Target="numbering.xml"/><Relationship Id="rId16" Type="http://schemas.openxmlformats.org/officeDocument/2006/relationships/hyperlink" Target="https://www.cde.ca.gov/be/ag/ag/yr23/documents/mar23item09a1rev.docx" TargetMode="External"/><Relationship Id="rId20" Type="http://schemas.openxmlformats.org/officeDocument/2006/relationships/hyperlink" Target="https://www.cde.ca.gov/fg/fo/r17/ccsppcg23results.asp" TargetMode="External"/><Relationship Id="rId29" Type="http://schemas.openxmlformats.org/officeDocument/2006/relationships/hyperlink" Target="https://www.cde.ca.gov/be/ag/ag/yr23/documents/may23item0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gs/hs/documents/ccsppframework.docx" TargetMode="External"/><Relationship Id="rId24" Type="http://schemas.openxmlformats.org/officeDocument/2006/relationships/hyperlink" Target="https://www.cde.ca.gov/be/ag/ag/yr22/documents/jan22item02.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e.ca.gov/be/ag/ag/yr22/documents/may22item02a1rev.docx" TargetMode="External"/><Relationship Id="rId23" Type="http://schemas.openxmlformats.org/officeDocument/2006/relationships/hyperlink" Target="https://www.cde.ca.gov/be/ag/ag/yr21/documents/nov21item17.docx" TargetMode="External"/><Relationship Id="rId28" Type="http://schemas.openxmlformats.org/officeDocument/2006/relationships/hyperlink" Target="https://www.cde.ca.gov/be/ag/ag/yr23/documents/mar23item09rev.docx" TargetMode="External"/><Relationship Id="rId10" Type="http://schemas.openxmlformats.org/officeDocument/2006/relationships/hyperlink" Target="https://leginfo.legislature.ca.gov/faces/codes_displayText.xhtml?lawCode=EDC&amp;division=1.&amp;title=1.&amp;part=6.&amp;chapter=6.&amp;article=" TargetMode="External"/><Relationship Id="rId19" Type="http://schemas.openxmlformats.org/officeDocument/2006/relationships/hyperlink" Target="https://www.cde.ca.gov/fg/fo/r17/ccsppcg22results.as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coe.org/Page/2545" TargetMode="External"/><Relationship Id="rId22" Type="http://schemas.openxmlformats.org/officeDocument/2006/relationships/hyperlink" Target="https://www.cde.ca.gov/be/pn/im/index.asp" TargetMode="External"/><Relationship Id="rId27" Type="http://schemas.openxmlformats.org/officeDocument/2006/relationships/hyperlink" Target="https://www.cde.ca.gov/be/ag/ag/yr22/documents/nov22item04.docx"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9C40-1489-4DB5-AC18-E9A1F138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3945</Words>
  <Characters>22493</Characters>
  <DocSecurity>0</DocSecurity>
  <Lines>187</Lines>
  <Paragraphs>52</Paragraphs>
  <ScaleCrop>false</ScaleCrop>
  <HeadingPairs>
    <vt:vector size="2" baseType="variant">
      <vt:variant>
        <vt:lpstr>Title</vt:lpstr>
      </vt:variant>
      <vt:variant>
        <vt:i4>1</vt:i4>
      </vt:variant>
    </vt:vector>
  </HeadingPairs>
  <TitlesOfParts>
    <vt:vector size="1" baseType="lpstr">
      <vt:lpstr>November 2022 Agenda Item 04 - Meeting Agendas (CA State Board of Education)</vt:lpstr>
    </vt:vector>
  </TitlesOfParts>
  <Company>California State Board of Education</Company>
  <LinksUpToDate>false</LinksUpToDate>
  <CharactersWithSpaces>26386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Agenda Item 16 - Meeting Agendas (CA State Board of Education)</dc:title>
  <dc:subject>California Community Schools Partnership Program update. Presentations by the CCSPP State Transformational Assistance Center and the Southern Inland Regional Technical Assistance Center.</dc:subject>
  <cp:keywords/>
  <dc:description/>
  <cp:lastPrinted>2017-10-30T17:36:00Z</cp:lastPrinted>
  <dcterms:created xsi:type="dcterms:W3CDTF">2023-10-26T18:25:00Z</dcterms:created>
  <dcterms:modified xsi:type="dcterms:W3CDTF">2023-10-27T18:57:00Z</dcterms:modified>
  <cp:category/>
</cp:coreProperties>
</file>