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7364A" w14:textId="77777777" w:rsidR="006E06C6" w:rsidRPr="008C6AC4" w:rsidRDefault="00D5115F" w:rsidP="00B723BE">
      <w:r w:rsidRPr="008C6AC4">
        <w:rPr>
          <w:noProof/>
        </w:rPr>
        <w:drawing>
          <wp:inline distT="0" distB="0" distL="0" distR="0" wp14:anchorId="624BBD31" wp14:editId="0EA5DFE3">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695A9503" w14:textId="77777777" w:rsidR="00B723BE" w:rsidRPr="008C6AC4" w:rsidRDefault="00FC1FCE" w:rsidP="00B723BE">
      <w:pPr>
        <w:jc w:val="right"/>
      </w:pPr>
      <w:r w:rsidRPr="008C6AC4">
        <w:t>California Department of Education</w:t>
      </w:r>
    </w:p>
    <w:p w14:paraId="53139604" w14:textId="77777777" w:rsidR="00B723BE" w:rsidRPr="008C6AC4" w:rsidRDefault="00FC1FCE" w:rsidP="00B723BE">
      <w:pPr>
        <w:jc w:val="right"/>
      </w:pPr>
      <w:r w:rsidRPr="008C6AC4">
        <w:t>Executive Office</w:t>
      </w:r>
    </w:p>
    <w:p w14:paraId="316EEFF2" w14:textId="77777777" w:rsidR="002B4B14" w:rsidRPr="008C6AC4" w:rsidRDefault="00692300" w:rsidP="00B723BE">
      <w:pPr>
        <w:jc w:val="right"/>
      </w:pPr>
      <w:r w:rsidRPr="008C6AC4">
        <w:t>SBE-00</w:t>
      </w:r>
      <w:r w:rsidR="000324AD" w:rsidRPr="008C6AC4">
        <w:t>3</w:t>
      </w:r>
      <w:r w:rsidRPr="008C6AC4">
        <w:t xml:space="preserve"> (REV. 1</w:t>
      </w:r>
      <w:r w:rsidR="00C27D57" w:rsidRPr="008C6AC4">
        <w:t>1</w:t>
      </w:r>
      <w:r w:rsidRPr="008C6AC4">
        <w:t>/2017</w:t>
      </w:r>
      <w:r w:rsidR="00FC1FCE" w:rsidRPr="008C6AC4">
        <w:t>)</w:t>
      </w:r>
    </w:p>
    <w:p w14:paraId="07F7DE40" w14:textId="66BB1018" w:rsidR="00B723BE" w:rsidRPr="008C6AC4" w:rsidRDefault="00B65DF3" w:rsidP="005C2667">
      <w:pPr>
        <w:ind w:firstLine="720"/>
        <w:jc w:val="right"/>
      </w:pPr>
      <w:r w:rsidRPr="008C6AC4">
        <w:t>oa</w:t>
      </w:r>
      <w:r w:rsidR="00BD0443" w:rsidRPr="008C6AC4">
        <w:t>b-sf</w:t>
      </w:r>
      <w:r w:rsidR="0086154B" w:rsidRPr="008C6AC4">
        <w:t>t</w:t>
      </w:r>
      <w:r w:rsidR="00BD0443" w:rsidRPr="008C6AC4">
        <w:t>sd-</w:t>
      </w:r>
      <w:r w:rsidR="004477FE" w:rsidRPr="008C6AC4">
        <w:t>jan</w:t>
      </w:r>
      <w:r w:rsidRPr="008C6AC4">
        <w:t>2</w:t>
      </w:r>
      <w:r w:rsidR="004477FE" w:rsidRPr="008C6AC4">
        <w:t>4</w:t>
      </w:r>
      <w:r w:rsidR="00BD0443" w:rsidRPr="008C6AC4">
        <w:t>item</w:t>
      </w:r>
      <w:r w:rsidR="004935A2" w:rsidRPr="008C6AC4">
        <w:t>01</w:t>
      </w:r>
    </w:p>
    <w:p w14:paraId="4B15EDBA" w14:textId="77777777" w:rsidR="00B723BE" w:rsidRPr="008C6AC4" w:rsidRDefault="00B723BE" w:rsidP="00187BB1">
      <w:pPr>
        <w:pStyle w:val="Heading1"/>
        <w:sectPr w:rsidR="00B723BE" w:rsidRPr="008C6AC4" w:rsidSect="00C82CBA">
          <w:headerReference w:type="default" r:id="rId9"/>
          <w:footerReference w:type="default" r:id="rId10"/>
          <w:footnotePr>
            <w:numRestart w:val="eachSect"/>
          </w:footnotePr>
          <w:type w:val="continuous"/>
          <w:pgSz w:w="12240" w:h="15840"/>
          <w:pgMar w:top="720" w:right="1440" w:bottom="1440" w:left="1440" w:header="720" w:footer="720" w:gutter="0"/>
          <w:cols w:num="2" w:space="720"/>
          <w:titlePg/>
          <w:docGrid w:linePitch="360"/>
        </w:sectPr>
      </w:pPr>
    </w:p>
    <w:p w14:paraId="234DE66B" w14:textId="77777777" w:rsidR="006E06C6" w:rsidRPr="008C6AC4" w:rsidRDefault="006E06C6" w:rsidP="00187BB1">
      <w:pPr>
        <w:pStyle w:val="Heading1"/>
        <w:sectPr w:rsidR="006E06C6" w:rsidRPr="008C6AC4" w:rsidSect="0091117B">
          <w:footerReference w:type="default" r:id="rId11"/>
          <w:footnotePr>
            <w:numRestart w:val="eachSect"/>
          </w:footnotePr>
          <w:type w:val="continuous"/>
          <w:pgSz w:w="12240" w:h="15840"/>
          <w:pgMar w:top="720" w:right="1440" w:bottom="1440" w:left="1440" w:header="720" w:footer="720" w:gutter="0"/>
          <w:cols w:space="720"/>
          <w:docGrid w:linePitch="360"/>
        </w:sectPr>
      </w:pPr>
    </w:p>
    <w:p w14:paraId="7E8D5548" w14:textId="4AE7ECFA" w:rsidR="00FC1FCE" w:rsidRPr="008C6AC4" w:rsidRDefault="0091117B" w:rsidP="00187BB1">
      <w:pPr>
        <w:pStyle w:val="Heading1"/>
      </w:pPr>
      <w:r w:rsidRPr="008C6AC4">
        <w:t>Californ</w:t>
      </w:r>
      <w:r w:rsidR="00693951" w:rsidRPr="008C6AC4">
        <w:t>ia State Board of Education</w:t>
      </w:r>
      <w:r w:rsidR="00693951" w:rsidRPr="008C6AC4">
        <w:br/>
      </w:r>
      <w:r w:rsidR="004477FE" w:rsidRPr="008C6AC4">
        <w:t>January</w:t>
      </w:r>
      <w:r w:rsidR="004A6B70" w:rsidRPr="008C6AC4">
        <w:t xml:space="preserve"> </w:t>
      </w:r>
      <w:r w:rsidR="000C261D" w:rsidRPr="008C6AC4">
        <w:t>20</w:t>
      </w:r>
      <w:r w:rsidR="00B65DF3" w:rsidRPr="008C6AC4">
        <w:t>2</w:t>
      </w:r>
      <w:r w:rsidR="004477FE" w:rsidRPr="008C6AC4">
        <w:t>4</w:t>
      </w:r>
      <w:r w:rsidR="000C261D" w:rsidRPr="008C6AC4">
        <w:t xml:space="preserve"> </w:t>
      </w:r>
      <w:r w:rsidRPr="008C6AC4">
        <w:t>Agenda</w:t>
      </w:r>
      <w:r w:rsidR="00FC1FCE" w:rsidRPr="008C6AC4">
        <w:br/>
        <w:t>Item</w:t>
      </w:r>
      <w:r w:rsidR="00692300" w:rsidRPr="008C6AC4">
        <w:t xml:space="preserve"> #</w:t>
      </w:r>
      <w:r w:rsidR="008A7B47" w:rsidRPr="008C6AC4">
        <w:t>19</w:t>
      </w:r>
    </w:p>
    <w:p w14:paraId="0F0DB720" w14:textId="77777777" w:rsidR="00BD0443" w:rsidRPr="008C6AC4" w:rsidRDefault="00BD0443" w:rsidP="00187BB1">
      <w:pPr>
        <w:pStyle w:val="Heading2"/>
      </w:pPr>
      <w:r w:rsidRPr="008C6AC4">
        <w:t>Subject</w:t>
      </w:r>
    </w:p>
    <w:p w14:paraId="1C3705CB" w14:textId="517DF06A" w:rsidR="00BD0443" w:rsidRPr="008C6AC4" w:rsidRDefault="00BD0443" w:rsidP="00187BB1">
      <w:pPr>
        <w:spacing w:after="240"/>
      </w:pPr>
      <w:bookmarkStart w:id="0" w:name="_Hlk117087468"/>
      <w:r w:rsidRPr="008C6AC4">
        <w:t xml:space="preserve">Appeal </w:t>
      </w:r>
      <w:r w:rsidR="005C2667" w:rsidRPr="008C6AC4">
        <w:t>of</w:t>
      </w:r>
      <w:r w:rsidRPr="008C6AC4">
        <w:t xml:space="preserve"> an Action of the </w:t>
      </w:r>
      <w:r w:rsidR="0053605F" w:rsidRPr="008C6AC4">
        <w:t>Los Angeles</w:t>
      </w:r>
      <w:r w:rsidRPr="008C6AC4">
        <w:t xml:space="preserve"> County Committee on Scho</w:t>
      </w:r>
      <w:r w:rsidR="004F638C" w:rsidRPr="008C6AC4">
        <w:t xml:space="preserve">ol District Organization to </w:t>
      </w:r>
      <w:r w:rsidR="0053605F" w:rsidRPr="008C6AC4">
        <w:t>Approve</w:t>
      </w:r>
      <w:r w:rsidRPr="008C6AC4">
        <w:t xml:space="preserve"> a Petition to </w:t>
      </w:r>
      <w:bookmarkStart w:id="1" w:name="_Hlk146787376"/>
      <w:r w:rsidRPr="008C6AC4">
        <w:t xml:space="preserve">Transfer Territory from the </w:t>
      </w:r>
      <w:r w:rsidR="0053605F" w:rsidRPr="008C6AC4">
        <w:t xml:space="preserve">Glendale </w:t>
      </w:r>
      <w:r w:rsidR="00FA4CAE" w:rsidRPr="008C6AC4">
        <w:t>Unified School District</w:t>
      </w:r>
      <w:r w:rsidR="004F638C" w:rsidRPr="008C6AC4">
        <w:t xml:space="preserve"> </w:t>
      </w:r>
      <w:r w:rsidRPr="008C6AC4">
        <w:t xml:space="preserve">to the </w:t>
      </w:r>
      <w:r w:rsidR="0053605F" w:rsidRPr="008C6AC4">
        <w:t xml:space="preserve">La Cañada Unified </w:t>
      </w:r>
      <w:r w:rsidR="00B01109" w:rsidRPr="008C6AC4">
        <w:t>School District</w:t>
      </w:r>
      <w:bookmarkEnd w:id="1"/>
      <w:r w:rsidR="006E037E" w:rsidRPr="008C6AC4">
        <w:t>.</w:t>
      </w:r>
    </w:p>
    <w:bookmarkEnd w:id="0"/>
    <w:p w14:paraId="05E5F4F2" w14:textId="77777777" w:rsidR="00BD0443" w:rsidRPr="008C6AC4" w:rsidRDefault="00BD0443" w:rsidP="00187BB1">
      <w:pPr>
        <w:pStyle w:val="Heading2"/>
      </w:pPr>
      <w:r w:rsidRPr="008C6AC4">
        <w:t>Type of Action</w:t>
      </w:r>
    </w:p>
    <w:p w14:paraId="61F2A43B" w14:textId="77777777" w:rsidR="00BD0443" w:rsidRPr="008C6AC4" w:rsidRDefault="00BD0443" w:rsidP="00187BB1">
      <w:pPr>
        <w:spacing w:after="240"/>
      </w:pPr>
      <w:r w:rsidRPr="008C6AC4">
        <w:t>Action, Information, Public Hearing</w:t>
      </w:r>
    </w:p>
    <w:p w14:paraId="34934DBE" w14:textId="77777777" w:rsidR="00BD0443" w:rsidRPr="008C6AC4" w:rsidRDefault="00BD0443" w:rsidP="00187BB1">
      <w:pPr>
        <w:pStyle w:val="Heading2"/>
      </w:pPr>
      <w:r w:rsidRPr="008C6AC4">
        <w:t>Summary of the Issue(s)</w:t>
      </w:r>
    </w:p>
    <w:p w14:paraId="121A317E" w14:textId="2851E963" w:rsidR="00BD0443" w:rsidRPr="008C6AC4" w:rsidRDefault="5A59D0AA" w:rsidP="00187BB1">
      <w:pPr>
        <w:spacing w:after="240"/>
      </w:pPr>
      <w:r w:rsidRPr="008C6AC4">
        <w:t xml:space="preserve">The </w:t>
      </w:r>
      <w:r w:rsidR="0A529FBC" w:rsidRPr="008C6AC4">
        <w:t>Los Angeles</w:t>
      </w:r>
      <w:r w:rsidR="74866E52" w:rsidRPr="008C6AC4">
        <w:t xml:space="preserve"> </w:t>
      </w:r>
      <w:r w:rsidRPr="008C6AC4">
        <w:t>County Committee on School District Org</w:t>
      </w:r>
      <w:r w:rsidR="16F18186" w:rsidRPr="008C6AC4">
        <w:t xml:space="preserve">anization (County Committee) </w:t>
      </w:r>
      <w:r w:rsidRPr="008C6AC4">
        <w:t xml:space="preserve">approved a </w:t>
      </w:r>
      <w:r w:rsidR="0CF02E74" w:rsidRPr="008C6AC4">
        <w:t>Petition for Tran</w:t>
      </w:r>
      <w:r w:rsidR="7BDD6709" w:rsidRPr="008C6AC4">
        <w:t>s</w:t>
      </w:r>
      <w:r w:rsidR="0CF02E74" w:rsidRPr="008C6AC4">
        <w:t xml:space="preserve">fer of </w:t>
      </w:r>
      <w:r w:rsidR="0ADF0DB4" w:rsidRPr="008C6AC4">
        <w:t>T</w:t>
      </w:r>
      <w:r w:rsidRPr="008C6AC4">
        <w:t xml:space="preserve">erritory </w:t>
      </w:r>
      <w:r w:rsidR="74866E52" w:rsidRPr="008C6AC4">
        <w:t xml:space="preserve">from the </w:t>
      </w:r>
      <w:r w:rsidR="0A529FBC" w:rsidRPr="008C6AC4">
        <w:t>Glendale</w:t>
      </w:r>
      <w:r w:rsidR="7D84ECDB" w:rsidRPr="008C6AC4">
        <w:t xml:space="preserve"> </w:t>
      </w:r>
      <w:r w:rsidR="74866E52" w:rsidRPr="008C6AC4">
        <w:t>Unified School District (</w:t>
      </w:r>
      <w:r w:rsidR="0A529FBC" w:rsidRPr="008C6AC4">
        <w:t>G</w:t>
      </w:r>
      <w:r w:rsidR="1A55E97B" w:rsidRPr="008C6AC4">
        <w:t xml:space="preserve">lendale </w:t>
      </w:r>
      <w:r w:rsidR="74866E52" w:rsidRPr="008C6AC4">
        <w:t>USD) to the</w:t>
      </w:r>
      <w:r w:rsidR="0A529FBC" w:rsidRPr="008C6AC4">
        <w:t xml:space="preserve"> La Cañada</w:t>
      </w:r>
      <w:r w:rsidR="0066998E" w:rsidRPr="008C6AC4">
        <w:t xml:space="preserve"> School </w:t>
      </w:r>
      <w:r w:rsidR="0A529FBC" w:rsidRPr="008C6AC4">
        <w:t xml:space="preserve">Unified </w:t>
      </w:r>
      <w:r w:rsidR="0066998E" w:rsidRPr="008C6AC4">
        <w:t>District (</w:t>
      </w:r>
      <w:r w:rsidR="0A529FBC" w:rsidRPr="008C6AC4">
        <w:t>L</w:t>
      </w:r>
      <w:r w:rsidR="1A55E97B" w:rsidRPr="008C6AC4">
        <w:t xml:space="preserve">a </w:t>
      </w:r>
      <w:r w:rsidR="1EFF9613" w:rsidRPr="008C6AC4">
        <w:t>Cañada</w:t>
      </w:r>
      <w:r w:rsidR="1A55E97B" w:rsidRPr="008C6AC4">
        <w:t xml:space="preserve"> </w:t>
      </w:r>
      <w:r w:rsidR="0A529FBC" w:rsidRPr="008C6AC4">
        <w:t>U</w:t>
      </w:r>
      <w:r w:rsidR="0066998E" w:rsidRPr="008C6AC4">
        <w:t>SD)</w:t>
      </w:r>
      <w:r w:rsidR="594AF389" w:rsidRPr="008C6AC4">
        <w:t xml:space="preserve">, </w:t>
      </w:r>
      <w:r w:rsidR="6719BAC8" w:rsidRPr="008C6AC4">
        <w:t>subsequently</w:t>
      </w:r>
      <w:r w:rsidR="594AF389" w:rsidRPr="008C6AC4">
        <w:t xml:space="preserve"> referred to as “the </w:t>
      </w:r>
      <w:r w:rsidR="722E6061" w:rsidRPr="008C6AC4">
        <w:t>P</w:t>
      </w:r>
      <w:r w:rsidR="594AF389" w:rsidRPr="008C6AC4">
        <w:t>etition</w:t>
      </w:r>
      <w:r w:rsidR="16F18186" w:rsidRPr="008C6AC4">
        <w:t>.</w:t>
      </w:r>
      <w:r w:rsidR="047233C8" w:rsidRPr="008C6AC4">
        <w:t>”</w:t>
      </w:r>
      <w:r w:rsidR="16F18186" w:rsidRPr="008C6AC4">
        <w:t xml:space="preserve"> </w:t>
      </w:r>
      <w:r w:rsidR="2130379F" w:rsidRPr="008C6AC4">
        <w:t>T</w:t>
      </w:r>
      <w:r w:rsidR="63AA1314" w:rsidRPr="008C6AC4">
        <w:t xml:space="preserve">he </w:t>
      </w:r>
      <w:r w:rsidR="0A529FBC" w:rsidRPr="008C6AC4">
        <w:t>G</w:t>
      </w:r>
      <w:r w:rsidR="7D88132F" w:rsidRPr="008C6AC4">
        <w:t xml:space="preserve">lendale </w:t>
      </w:r>
      <w:r w:rsidR="0A529FBC" w:rsidRPr="008C6AC4">
        <w:t xml:space="preserve">USD </w:t>
      </w:r>
      <w:r w:rsidR="019D0CD9" w:rsidRPr="008C6AC4">
        <w:t>submi</w:t>
      </w:r>
      <w:r w:rsidR="68ABB2FD" w:rsidRPr="008C6AC4">
        <w:t>t</w:t>
      </w:r>
      <w:r w:rsidR="019D0CD9" w:rsidRPr="008C6AC4">
        <w:t>t</w:t>
      </w:r>
      <w:r w:rsidR="68ABB2FD" w:rsidRPr="008C6AC4">
        <w:t>ed</w:t>
      </w:r>
      <w:r w:rsidR="019D0CD9" w:rsidRPr="008C6AC4">
        <w:t xml:space="preserve"> an </w:t>
      </w:r>
      <w:r w:rsidR="63AA1314" w:rsidRPr="008C6AC4">
        <w:t xml:space="preserve">appeal </w:t>
      </w:r>
      <w:r w:rsidR="630E5017" w:rsidRPr="008C6AC4">
        <w:t xml:space="preserve">to the California State Board of Education (SBE) </w:t>
      </w:r>
      <w:r w:rsidR="0A529FBC" w:rsidRPr="008C6AC4">
        <w:t>of the</w:t>
      </w:r>
      <w:r w:rsidR="63AA1314" w:rsidRPr="008C6AC4">
        <w:t xml:space="preserve"> </w:t>
      </w:r>
      <w:r w:rsidR="4925E4A2" w:rsidRPr="008C6AC4">
        <w:t>County Committee</w:t>
      </w:r>
      <w:r w:rsidR="630E5017" w:rsidRPr="008C6AC4">
        <w:t xml:space="preserve"> </w:t>
      </w:r>
      <w:r w:rsidR="63AA1314" w:rsidRPr="008C6AC4">
        <w:t>action</w:t>
      </w:r>
      <w:r w:rsidR="2130379F" w:rsidRPr="008C6AC4">
        <w:t xml:space="preserve"> pursuant to California </w:t>
      </w:r>
      <w:r w:rsidR="2130379F" w:rsidRPr="008C6AC4">
        <w:rPr>
          <w:i/>
          <w:iCs/>
        </w:rPr>
        <w:t>Education Code</w:t>
      </w:r>
      <w:r w:rsidR="2130379F" w:rsidRPr="008C6AC4">
        <w:t xml:space="preserve"> (</w:t>
      </w:r>
      <w:r w:rsidR="2130379F" w:rsidRPr="008C6AC4">
        <w:rPr>
          <w:i/>
          <w:iCs/>
        </w:rPr>
        <w:t>EC</w:t>
      </w:r>
      <w:r w:rsidR="2130379F" w:rsidRPr="008C6AC4">
        <w:t>) Section 35710.5</w:t>
      </w:r>
      <w:r w:rsidRPr="008C6AC4">
        <w:t>.</w:t>
      </w:r>
    </w:p>
    <w:p w14:paraId="11E95C7C" w14:textId="1C5C0CBD" w:rsidR="00BD0443" w:rsidRPr="008C6AC4" w:rsidRDefault="5A59D0AA" w:rsidP="00187BB1">
      <w:pPr>
        <w:spacing w:after="240"/>
      </w:pPr>
      <w:r w:rsidRPr="008C6AC4">
        <w:t>The SBE may affirm or reverse the County Committee</w:t>
      </w:r>
      <w:r w:rsidR="63AA1314" w:rsidRPr="008C6AC4">
        <w:t xml:space="preserve">’s </w:t>
      </w:r>
      <w:r w:rsidR="51A9B262" w:rsidRPr="008C6AC4">
        <w:t>decision</w:t>
      </w:r>
      <w:r w:rsidR="16F18186" w:rsidRPr="008C6AC4">
        <w:t xml:space="preserve"> to </w:t>
      </w:r>
      <w:r w:rsidR="019D0CD9" w:rsidRPr="008C6AC4">
        <w:t xml:space="preserve">approve the </w:t>
      </w:r>
      <w:r w:rsidR="4100C46E" w:rsidRPr="008C6AC4">
        <w:t>P</w:t>
      </w:r>
      <w:r w:rsidR="77D308D0" w:rsidRPr="008C6AC4">
        <w:t>etition</w:t>
      </w:r>
      <w:r w:rsidRPr="008C6AC4">
        <w:t xml:space="preserve">. If the SBE </w:t>
      </w:r>
      <w:r w:rsidR="0A529FBC" w:rsidRPr="008C6AC4">
        <w:t>denies this appeal, thereby sustaining</w:t>
      </w:r>
      <w:r w:rsidRPr="008C6AC4">
        <w:t xml:space="preserve"> the County Committee’s action</w:t>
      </w:r>
      <w:r w:rsidR="63AA1314" w:rsidRPr="008C6AC4">
        <w:t xml:space="preserve"> approving </w:t>
      </w:r>
      <w:r w:rsidR="33E1946C" w:rsidRPr="008C6AC4">
        <w:t xml:space="preserve">the </w:t>
      </w:r>
      <w:r w:rsidR="74038473" w:rsidRPr="008C6AC4">
        <w:t>P</w:t>
      </w:r>
      <w:r w:rsidR="5EEAB73B" w:rsidRPr="008C6AC4">
        <w:t>etition</w:t>
      </w:r>
      <w:r w:rsidRPr="008C6AC4">
        <w:t xml:space="preserve">, it must establish </w:t>
      </w:r>
      <w:r w:rsidR="51F56387" w:rsidRPr="008C6AC4">
        <w:t>the</w:t>
      </w:r>
      <w:r w:rsidRPr="008C6AC4">
        <w:t xml:space="preserve"> election area for </w:t>
      </w:r>
      <w:r w:rsidR="2EFEA68D" w:rsidRPr="008C6AC4">
        <w:t xml:space="preserve">final voter approval of </w:t>
      </w:r>
      <w:r w:rsidRPr="008C6AC4">
        <w:t xml:space="preserve">the </w:t>
      </w:r>
      <w:r w:rsidR="3EC0DE01" w:rsidRPr="008C6AC4">
        <w:t>Petition (</w:t>
      </w:r>
      <w:r w:rsidR="76E38422" w:rsidRPr="008C6AC4">
        <w:rPr>
          <w:i/>
          <w:iCs/>
        </w:rPr>
        <w:t>EC</w:t>
      </w:r>
      <w:r w:rsidR="76E38422" w:rsidRPr="008C6AC4">
        <w:t xml:space="preserve"> Section 35756)</w:t>
      </w:r>
      <w:r w:rsidRPr="008C6AC4">
        <w:t>.</w:t>
      </w:r>
    </w:p>
    <w:p w14:paraId="408DACE1" w14:textId="77777777" w:rsidR="00BD0443" w:rsidRPr="008C6AC4" w:rsidRDefault="00BD0443" w:rsidP="00187BB1">
      <w:pPr>
        <w:pStyle w:val="Heading2"/>
      </w:pPr>
      <w:r w:rsidRPr="008C6AC4">
        <w:t>Recommendation</w:t>
      </w:r>
    </w:p>
    <w:p w14:paraId="5DDA6E7B" w14:textId="3128099A" w:rsidR="004B64D4" w:rsidRPr="008C6AC4" w:rsidRDefault="2F289091" w:rsidP="004B64D4">
      <w:pPr>
        <w:spacing w:after="240"/>
      </w:pPr>
      <w:r w:rsidRPr="008C6AC4">
        <w:rPr>
          <w:rFonts w:cs="Arial"/>
        </w:rPr>
        <w:t xml:space="preserve">The </w:t>
      </w:r>
      <w:r w:rsidR="5A9489E8" w:rsidRPr="008C6AC4">
        <w:rPr>
          <w:rFonts w:cs="Arial"/>
        </w:rPr>
        <w:t>California Department of Education (</w:t>
      </w:r>
      <w:r w:rsidRPr="008C6AC4">
        <w:rPr>
          <w:rFonts w:cs="Arial"/>
        </w:rPr>
        <w:t>CDE</w:t>
      </w:r>
      <w:r w:rsidR="5A9489E8" w:rsidRPr="008C6AC4">
        <w:rPr>
          <w:rFonts w:cs="Arial"/>
        </w:rPr>
        <w:t>)</w:t>
      </w:r>
      <w:r w:rsidR="400A11F6" w:rsidRPr="008C6AC4">
        <w:rPr>
          <w:rFonts w:cs="Arial"/>
        </w:rPr>
        <w:t xml:space="preserve"> </w:t>
      </w:r>
      <w:r w:rsidR="400A11F6" w:rsidRPr="008C6AC4">
        <w:t xml:space="preserve">recommends that the SBE </w:t>
      </w:r>
      <w:r w:rsidR="11DA7A6B" w:rsidRPr="008C6AC4">
        <w:t>deny</w:t>
      </w:r>
      <w:r w:rsidR="79E250D8" w:rsidRPr="008C6AC4">
        <w:t xml:space="preserve"> the appeal, thereby </w:t>
      </w:r>
      <w:r w:rsidR="19E2B04B" w:rsidRPr="008C6AC4">
        <w:t>affirm</w:t>
      </w:r>
      <w:r w:rsidR="79E250D8" w:rsidRPr="008C6AC4">
        <w:t>ing</w:t>
      </w:r>
      <w:r w:rsidR="400A11F6" w:rsidRPr="008C6AC4">
        <w:t xml:space="preserve"> the decision of the County Committee to approve the </w:t>
      </w:r>
      <w:r w:rsidR="003C05D2" w:rsidRPr="008C6AC4">
        <w:t>P</w:t>
      </w:r>
      <w:r w:rsidR="6423FA14" w:rsidRPr="008C6AC4">
        <w:t>etition</w:t>
      </w:r>
      <w:r w:rsidR="6884BE5C" w:rsidRPr="008C6AC4">
        <w:t xml:space="preserve"> and </w:t>
      </w:r>
      <w:r w:rsidR="6423FA14" w:rsidRPr="008C6AC4">
        <w:t>allowing the territory transfer</w:t>
      </w:r>
      <w:r w:rsidR="0C345C38" w:rsidRPr="008C6AC4">
        <w:t xml:space="preserve"> to </w:t>
      </w:r>
      <w:r w:rsidR="097A8C34" w:rsidRPr="008C6AC4">
        <w:t>proceed</w:t>
      </w:r>
      <w:r w:rsidR="0A529FBC" w:rsidRPr="008C6AC4">
        <w:t>.</w:t>
      </w:r>
    </w:p>
    <w:p w14:paraId="014A073E" w14:textId="77777777" w:rsidR="00BD0443" w:rsidRPr="008C6AC4" w:rsidRDefault="00BD0443" w:rsidP="00187BB1">
      <w:pPr>
        <w:pStyle w:val="Heading2"/>
      </w:pPr>
      <w:r w:rsidRPr="008C6AC4">
        <w:t>Brief History of Key Issues</w:t>
      </w:r>
    </w:p>
    <w:p w14:paraId="5B22F0EB" w14:textId="7FE911B6" w:rsidR="007B063C" w:rsidRPr="008C6AC4" w:rsidRDefault="79E250D8" w:rsidP="007B063C">
      <w:pPr>
        <w:spacing w:after="240"/>
      </w:pPr>
      <w:r w:rsidRPr="008C6AC4">
        <w:t>The proposed transfer territory is located entirely within the</w:t>
      </w:r>
      <w:r w:rsidR="554A3B22" w:rsidRPr="008C6AC4">
        <w:t xml:space="preserve"> boundaries of the</w:t>
      </w:r>
      <w:r w:rsidRPr="008C6AC4">
        <w:t xml:space="preserve"> City of La Cañada Flintridge. It is</w:t>
      </w:r>
      <w:r w:rsidR="554A3B22" w:rsidRPr="008C6AC4">
        <w:t xml:space="preserve"> on the northwestern edge of the city,</w:t>
      </w:r>
      <w:r w:rsidRPr="008C6AC4">
        <w:t xml:space="preserve"> bounded by the La Cañada </w:t>
      </w:r>
      <w:r w:rsidRPr="008C6AC4">
        <w:lastRenderedPageBreak/>
        <w:t>Flintridge city boundary to the west, north and south; and by the La Cañada Flintridge city boundary and Rosebank Drive to the east. The westerly boundary generally follows</w:t>
      </w:r>
      <w:r w:rsidR="1229AEA1" w:rsidRPr="008C6AC4">
        <w:t xml:space="preserve"> </w:t>
      </w:r>
      <w:r w:rsidRPr="008C6AC4">
        <w:t xml:space="preserve">Pickens Canyon and the Pickens Canyon flood control channel. </w:t>
      </w:r>
      <w:r w:rsidR="554A3B22" w:rsidRPr="008C6AC4">
        <w:t>Attachment 1</w:t>
      </w:r>
      <w:r w:rsidRPr="008C6AC4">
        <w:t xml:space="preserve"> shows the location of the </w:t>
      </w:r>
      <w:r w:rsidR="554A3B22" w:rsidRPr="008C6AC4">
        <w:t>territory</w:t>
      </w:r>
      <w:r w:rsidRPr="008C6AC4">
        <w:t xml:space="preserve">. The </w:t>
      </w:r>
      <w:r w:rsidR="554A3B22" w:rsidRPr="008C6AC4">
        <w:t>territory</w:t>
      </w:r>
      <w:r w:rsidRPr="008C6AC4">
        <w:t xml:space="preserve"> is </w:t>
      </w:r>
      <w:r w:rsidR="554A3B22" w:rsidRPr="008C6AC4">
        <w:t>colloquially</w:t>
      </w:r>
      <w:r w:rsidRPr="008C6AC4">
        <w:t xml:space="preserve"> referred to as the </w:t>
      </w:r>
      <w:r w:rsidR="554A3B22" w:rsidRPr="008C6AC4">
        <w:t>“</w:t>
      </w:r>
      <w:r w:rsidRPr="008C6AC4">
        <w:t>Sagebrush</w:t>
      </w:r>
      <w:r w:rsidR="554A3B22" w:rsidRPr="008C6AC4">
        <w:t>”</w:t>
      </w:r>
      <w:r w:rsidRPr="008C6AC4">
        <w:t xml:space="preserve"> section of the City of La Cañada Flintridge.</w:t>
      </w:r>
    </w:p>
    <w:p w14:paraId="09B7DA59" w14:textId="04288FEF" w:rsidR="007B063C" w:rsidRPr="008C6AC4" w:rsidRDefault="79E250D8" w:rsidP="007B063C">
      <w:pPr>
        <w:spacing w:after="240"/>
      </w:pPr>
      <w:r w:rsidRPr="008C6AC4">
        <w:t xml:space="preserve">Although the </w:t>
      </w:r>
      <w:r w:rsidR="554A3B22" w:rsidRPr="008C6AC4">
        <w:t>territory</w:t>
      </w:r>
      <w:r w:rsidRPr="008C6AC4">
        <w:t xml:space="preserve"> was incorporated </w:t>
      </w:r>
      <w:r w:rsidR="554A3B22" w:rsidRPr="008C6AC4">
        <w:t xml:space="preserve">into the City of La Cañada Flintridge </w:t>
      </w:r>
      <w:r w:rsidRPr="008C6AC4">
        <w:t xml:space="preserve">in 1976, </w:t>
      </w:r>
      <w:r w:rsidR="554A3B22" w:rsidRPr="008C6AC4">
        <w:t xml:space="preserve">it </w:t>
      </w:r>
      <w:r w:rsidRPr="008C6AC4">
        <w:t>is within the boundaries of G</w:t>
      </w:r>
      <w:r w:rsidR="1A55E97B" w:rsidRPr="008C6AC4">
        <w:t xml:space="preserve">lendale </w:t>
      </w:r>
      <w:r w:rsidRPr="008C6AC4">
        <w:t xml:space="preserve">USD. The </w:t>
      </w:r>
      <w:r w:rsidR="554A3B22" w:rsidRPr="008C6AC4">
        <w:t xml:space="preserve">territory </w:t>
      </w:r>
      <w:r w:rsidRPr="008C6AC4">
        <w:t>is approximately 38</w:t>
      </w:r>
      <w:r w:rsidR="0D22227E" w:rsidRPr="008C6AC4">
        <w:t>6</w:t>
      </w:r>
      <w:r w:rsidRPr="008C6AC4">
        <w:t xml:space="preserve"> acres in size and contains 8</w:t>
      </w:r>
      <w:r w:rsidR="0D22227E" w:rsidRPr="008C6AC4">
        <w:t>7</w:t>
      </w:r>
      <w:r w:rsidRPr="008C6AC4">
        <w:t>9 parcels</w:t>
      </w:r>
      <w:r w:rsidR="554A3B22" w:rsidRPr="008C6AC4">
        <w:t xml:space="preserve"> consisting of </w:t>
      </w:r>
      <w:r w:rsidRPr="008C6AC4">
        <w:t>single-family residential properties,</w:t>
      </w:r>
      <w:r w:rsidR="554A3B22" w:rsidRPr="008C6AC4">
        <w:t xml:space="preserve"> </w:t>
      </w:r>
      <w:r w:rsidRPr="008C6AC4">
        <w:t xml:space="preserve">townhomes, and multi-family residential units. Although the </w:t>
      </w:r>
      <w:r w:rsidR="554A3B22" w:rsidRPr="008C6AC4">
        <w:t>territory</w:t>
      </w:r>
      <w:r w:rsidRPr="008C6AC4">
        <w:t xml:space="preserve"> is nearly fully developed, some undeveloped hillside areas are located at the north and south sides of the </w:t>
      </w:r>
      <w:r w:rsidR="554A3B22" w:rsidRPr="008C6AC4">
        <w:t>territory.</w:t>
      </w:r>
      <w:r w:rsidRPr="008C6AC4">
        <w:t xml:space="preserve"> </w:t>
      </w:r>
    </w:p>
    <w:p w14:paraId="52D85941" w14:textId="2E569B29" w:rsidR="008C50D5" w:rsidRPr="008C6AC4" w:rsidRDefault="00302E1A" w:rsidP="007B063C">
      <w:pPr>
        <w:spacing w:after="240"/>
      </w:pPr>
      <w:r w:rsidRPr="008C6AC4">
        <w:t xml:space="preserve">Between the </w:t>
      </w:r>
      <w:r w:rsidR="79E250D8" w:rsidRPr="008C6AC4">
        <w:t>1960s</w:t>
      </w:r>
      <w:r w:rsidRPr="008C6AC4">
        <w:t xml:space="preserve"> and 1990’s</w:t>
      </w:r>
      <w:r w:rsidR="79E250D8" w:rsidRPr="008C6AC4">
        <w:t xml:space="preserve">, </w:t>
      </w:r>
      <w:r w:rsidRPr="008C6AC4">
        <w:t xml:space="preserve">three </w:t>
      </w:r>
      <w:r w:rsidR="79E250D8" w:rsidRPr="008C6AC4">
        <w:t>petitions</w:t>
      </w:r>
      <w:r w:rsidR="001128CC" w:rsidRPr="008C6AC4">
        <w:t xml:space="preserve"> </w:t>
      </w:r>
      <w:r w:rsidRPr="008C6AC4">
        <w:t>were</w:t>
      </w:r>
      <w:r w:rsidR="79E250D8" w:rsidRPr="008C6AC4">
        <w:t xml:space="preserve"> submitted to request the transfer of </w:t>
      </w:r>
      <w:r w:rsidR="554A3B22" w:rsidRPr="008C6AC4">
        <w:t xml:space="preserve">this </w:t>
      </w:r>
      <w:r w:rsidR="79E250D8" w:rsidRPr="008C6AC4">
        <w:t>territory</w:t>
      </w:r>
      <w:r w:rsidR="554A3B22" w:rsidRPr="008C6AC4">
        <w:t xml:space="preserve"> or portions </w:t>
      </w:r>
      <w:r w:rsidR="1F538D5E" w:rsidRPr="008C6AC4">
        <w:t xml:space="preserve">of </w:t>
      </w:r>
      <w:r w:rsidR="058507E0" w:rsidRPr="008C6AC4">
        <w:t>it</w:t>
      </w:r>
      <w:r w:rsidR="554A3B22" w:rsidRPr="008C6AC4">
        <w:t xml:space="preserve"> </w:t>
      </w:r>
      <w:r w:rsidR="79E250D8" w:rsidRPr="008C6AC4">
        <w:t>from Glendale USD to La Cañada USD. Two legislati</w:t>
      </w:r>
      <w:r w:rsidR="554A3B22" w:rsidRPr="008C6AC4">
        <w:t>ve attempts to transfer the territory</w:t>
      </w:r>
      <w:r w:rsidR="79E250D8" w:rsidRPr="008C6AC4">
        <w:t xml:space="preserve"> have also been proposed</w:t>
      </w:r>
      <w:r w:rsidR="00D1394C" w:rsidRPr="008C6AC4">
        <w:t>, AB 3240 (Lanterman, 1978) and SB 2121 (Russell, 1996)</w:t>
      </w:r>
      <w:r w:rsidR="79E250D8" w:rsidRPr="008C6AC4">
        <w:t>. N</w:t>
      </w:r>
      <w:r w:rsidR="554A3B22" w:rsidRPr="008C6AC4">
        <w:t>either</w:t>
      </w:r>
      <w:r w:rsidR="79E250D8" w:rsidRPr="008C6AC4">
        <w:t xml:space="preserve"> the petitions nor the legislati</w:t>
      </w:r>
      <w:r w:rsidR="709DD626" w:rsidRPr="008C6AC4">
        <w:t>ve attempts</w:t>
      </w:r>
      <w:r w:rsidR="79E250D8" w:rsidRPr="008C6AC4">
        <w:t xml:space="preserve"> were successful. </w:t>
      </w:r>
      <w:r w:rsidR="509EA4BC" w:rsidRPr="008C6AC4">
        <w:t xml:space="preserve">The last unsuccessful attempt was approved by the Los Angeles County Committee in </w:t>
      </w:r>
      <w:r w:rsidR="001128CC" w:rsidRPr="008C6AC4">
        <w:t>1992 and</w:t>
      </w:r>
      <w:r w:rsidR="509EA4BC" w:rsidRPr="008C6AC4">
        <w:t xml:space="preserve"> </w:t>
      </w:r>
      <w:r w:rsidR="001128CC" w:rsidRPr="008C6AC4">
        <w:t>appealed to the SBE by Glendale USD. The SBE approved the appeal, denying the transfer in</w:t>
      </w:r>
      <w:r w:rsidR="509EA4BC" w:rsidRPr="008C6AC4">
        <w:t xml:space="preserve"> 1993.</w:t>
      </w:r>
    </w:p>
    <w:p w14:paraId="2A6A2250" w14:textId="45C18FC0" w:rsidR="007B063C" w:rsidRPr="008C6AC4" w:rsidRDefault="79E250D8" w:rsidP="007B063C">
      <w:pPr>
        <w:spacing w:after="240"/>
      </w:pPr>
      <w:r w:rsidRPr="008C6AC4">
        <w:t xml:space="preserve">The </w:t>
      </w:r>
      <w:r w:rsidR="21457A26" w:rsidRPr="008C6AC4">
        <w:t>current</w:t>
      </w:r>
      <w:r w:rsidRPr="008C6AC4">
        <w:t xml:space="preserve"> (f</w:t>
      </w:r>
      <w:r w:rsidR="554A3B22" w:rsidRPr="008C6AC4">
        <w:t>ourth</w:t>
      </w:r>
      <w:r w:rsidR="00E64FEC" w:rsidRPr="008C6AC4">
        <w:t>)</w:t>
      </w:r>
      <w:r w:rsidRPr="008C6AC4">
        <w:t xml:space="preserve"> petition was received by the L</w:t>
      </w:r>
      <w:r w:rsidR="1A55E97B" w:rsidRPr="008C6AC4">
        <w:t>os Angeles County Office of Education (L</w:t>
      </w:r>
      <w:r w:rsidRPr="008C6AC4">
        <w:t>ACOE</w:t>
      </w:r>
      <w:r w:rsidR="1A55E97B" w:rsidRPr="008C6AC4">
        <w:t>)</w:t>
      </w:r>
      <w:r w:rsidRPr="008C6AC4">
        <w:t xml:space="preserve"> on June 29, 2016. LACOE forwarded the petition to the Los Angeles County Registrar-Recorder/County Clerk (Registrar-Recorder) for signature verification on June 20, 2016. On July 18, 2016, the Registrar-Recorder notified LACOE staff and certified that the petitioners had sufficient signatures to move forward. On September 7, 2016, the petition was presented to the County Committee.</w:t>
      </w:r>
      <w:r w:rsidR="509EA4BC" w:rsidRPr="008C6AC4">
        <w:t xml:space="preserve"> </w:t>
      </w:r>
    </w:p>
    <w:p w14:paraId="5982AEFE" w14:textId="7EFB8A5D" w:rsidR="008C50D5" w:rsidRPr="008C6AC4" w:rsidRDefault="79E250D8" w:rsidP="00187BB1">
      <w:pPr>
        <w:spacing w:after="240"/>
      </w:pPr>
      <w:r w:rsidRPr="008C6AC4">
        <w:t xml:space="preserve">Pursuant to </w:t>
      </w:r>
      <w:r w:rsidR="1A55E97B" w:rsidRPr="008C6AC4">
        <w:rPr>
          <w:i/>
          <w:iCs/>
        </w:rPr>
        <w:t>EC</w:t>
      </w:r>
      <w:r w:rsidR="1A55E97B" w:rsidRPr="008C6AC4">
        <w:t xml:space="preserve"> Section </w:t>
      </w:r>
      <w:r w:rsidRPr="008C6AC4">
        <w:t xml:space="preserve">35705, two public hearings were conducted. One public hearing was conducted at the La Cañada USD District Office on October 26, 2016, and the second one was conducted at the Glendale USD Crescenta Valley High School in La Crescenta on November 2, 2016. In addition to the public hearings, the County Committee received numerous mail and email messages from community members and </w:t>
      </w:r>
      <w:r w:rsidR="00E64FEC" w:rsidRPr="008C6AC4">
        <w:t>interest</w:t>
      </w:r>
      <w:r w:rsidR="003573B1" w:rsidRPr="008C6AC4">
        <w:t xml:space="preserve"> </w:t>
      </w:r>
      <w:r w:rsidR="00E64FEC" w:rsidRPr="008C6AC4">
        <w:t>holders</w:t>
      </w:r>
      <w:r w:rsidRPr="008C6AC4">
        <w:t>, all of which were forwarded to members for review.</w:t>
      </w:r>
      <w:r w:rsidR="0D22227E" w:rsidRPr="008C6AC4">
        <w:t xml:space="preserve"> An initial hearing at which </w:t>
      </w:r>
      <w:proofErr w:type="gramStart"/>
      <w:r w:rsidR="0D22227E" w:rsidRPr="008C6AC4">
        <w:t>a number of</w:t>
      </w:r>
      <w:proofErr w:type="gramEnd"/>
      <w:r w:rsidR="0D22227E" w:rsidRPr="008C6AC4">
        <w:t xml:space="preserve"> votes were taken, was held on May 3, 2017. There was some confusion as to the nature of these votes, which will be discussed in more detail later in this analysis. A final vote occurred on October 22, 2019, with the County Committee determining that </w:t>
      </w:r>
      <w:proofErr w:type="gramStart"/>
      <w:r w:rsidR="0D22227E" w:rsidRPr="008C6AC4">
        <w:t>all of</w:t>
      </w:r>
      <w:proofErr w:type="gramEnd"/>
      <w:r w:rsidR="0D22227E" w:rsidRPr="008C6AC4">
        <w:t xml:space="preserve"> the nine minimum threshold conditions of </w:t>
      </w:r>
      <w:r w:rsidR="0D22227E" w:rsidRPr="008C6AC4">
        <w:rPr>
          <w:i/>
          <w:iCs/>
        </w:rPr>
        <w:t>EC</w:t>
      </w:r>
      <w:r w:rsidR="0D22227E" w:rsidRPr="008C6AC4">
        <w:t> Section 35753(a) were substantially met,</w:t>
      </w:r>
      <w:r w:rsidR="003C316B" w:rsidRPr="008C6AC4">
        <w:rPr>
          <w:rStyle w:val="FootnoteReference"/>
          <w:rFonts w:eastAsiaTheme="majorEastAsia" w:cs="Arial"/>
        </w:rPr>
        <w:footnoteReference w:id="1"/>
      </w:r>
      <w:r w:rsidR="0D22227E" w:rsidRPr="008C6AC4">
        <w:t xml:space="preserve"> </w:t>
      </w:r>
      <w:r w:rsidR="0E7E1925" w:rsidRPr="008C6AC4">
        <w:t>and subsequently voting to approve the Petition.</w:t>
      </w:r>
      <w:r w:rsidR="0D22227E" w:rsidRPr="008C6AC4">
        <w:t xml:space="preserve"> </w:t>
      </w:r>
    </w:p>
    <w:p w14:paraId="5AD76E85" w14:textId="77777777" w:rsidR="00D47B3F" w:rsidRPr="008C6AC4" w:rsidRDefault="0D22227E" w:rsidP="00187BB1">
      <w:pPr>
        <w:spacing w:after="240"/>
      </w:pPr>
      <w:r w:rsidRPr="008C6AC4">
        <w:lastRenderedPageBreak/>
        <w:t>G</w:t>
      </w:r>
      <w:r w:rsidR="1A55E97B" w:rsidRPr="008C6AC4">
        <w:t xml:space="preserve">lendale </w:t>
      </w:r>
      <w:r w:rsidRPr="008C6AC4">
        <w:t xml:space="preserve">USD filed an appeal pursuant to </w:t>
      </w:r>
      <w:r w:rsidRPr="008C6AC4">
        <w:rPr>
          <w:i/>
          <w:iCs/>
        </w:rPr>
        <w:t>EC</w:t>
      </w:r>
      <w:r w:rsidRPr="008C6AC4">
        <w:t xml:space="preserve"> Section 35710.5 on May 14, 2020. </w:t>
      </w:r>
      <w:r w:rsidR="403AC855" w:rsidRPr="008C6AC4">
        <w:t>The</w:t>
      </w:r>
      <w:r w:rsidR="78137B12" w:rsidRPr="008C6AC4">
        <w:t xml:space="preserve">y </w:t>
      </w:r>
      <w:r w:rsidR="403AC855" w:rsidRPr="008C6AC4">
        <w:t>identified the following reasons for the appeal:</w:t>
      </w:r>
    </w:p>
    <w:p w14:paraId="51876444" w14:textId="1D616728" w:rsidR="00A3266C" w:rsidRPr="008C6AC4" w:rsidRDefault="003C316B" w:rsidP="00D15C3F">
      <w:pPr>
        <w:pStyle w:val="ListParagraph"/>
        <w:numPr>
          <w:ilvl w:val="0"/>
          <w:numId w:val="1"/>
        </w:numPr>
        <w:spacing w:after="240"/>
        <w:contextualSpacing w:val="0"/>
      </w:pPr>
      <w:r w:rsidRPr="008C6AC4">
        <w:t>G</w:t>
      </w:r>
      <w:r w:rsidR="00575652" w:rsidRPr="008C6AC4">
        <w:t xml:space="preserve">lendale </w:t>
      </w:r>
      <w:r w:rsidRPr="008C6AC4">
        <w:t xml:space="preserve">USD claims that they will lose a substantial number of their minority students at Mountain </w:t>
      </w:r>
      <w:r w:rsidR="00E160B9" w:rsidRPr="008C6AC4">
        <w:t>Avenue</w:t>
      </w:r>
      <w:r w:rsidRPr="008C6AC4">
        <w:t xml:space="preserve"> Elementary School</w:t>
      </w:r>
      <w:r w:rsidR="00E160B9" w:rsidRPr="008C6AC4">
        <w:t xml:space="preserve"> (Mountain Avenue ES)</w:t>
      </w:r>
      <w:r w:rsidR="00F644BF" w:rsidRPr="008C6AC4">
        <w:t>.</w:t>
      </w:r>
    </w:p>
    <w:p w14:paraId="168B56FE" w14:textId="690F54ED" w:rsidR="00B22ACC" w:rsidRPr="008C6AC4" w:rsidRDefault="0D22227E" w:rsidP="00D1394C">
      <w:pPr>
        <w:pStyle w:val="ListParagraph"/>
        <w:spacing w:after="240"/>
      </w:pPr>
      <w:r w:rsidRPr="008C6AC4">
        <w:t>G</w:t>
      </w:r>
      <w:r w:rsidR="1A55E97B" w:rsidRPr="008C6AC4">
        <w:t xml:space="preserve">lendale </w:t>
      </w:r>
      <w:r w:rsidRPr="008C6AC4">
        <w:t>USD</w:t>
      </w:r>
      <w:r w:rsidR="1A55E97B" w:rsidRPr="008C6AC4">
        <w:t>’</w:t>
      </w:r>
      <w:r w:rsidRPr="008C6AC4">
        <w:t>s board policies regarding racial discrimination and ethnic segregation are more robust than LCUSD</w:t>
      </w:r>
      <w:r w:rsidR="1A55E97B" w:rsidRPr="008C6AC4">
        <w:t>’</w:t>
      </w:r>
      <w:r w:rsidRPr="008C6AC4">
        <w:t>s</w:t>
      </w:r>
      <w:r w:rsidR="1B950332" w:rsidRPr="008C6AC4">
        <w:t>.</w:t>
      </w:r>
    </w:p>
    <w:p w14:paraId="750FD9CD" w14:textId="77777777" w:rsidR="00B22ACC" w:rsidRPr="008C6AC4" w:rsidRDefault="00B22ACC" w:rsidP="00D1394C">
      <w:pPr>
        <w:pStyle w:val="ListParagraph"/>
        <w:spacing w:after="240"/>
      </w:pPr>
    </w:p>
    <w:p w14:paraId="08F5540B" w14:textId="07759783" w:rsidR="00E64FEC" w:rsidRPr="008C6AC4" w:rsidRDefault="1241AE33" w:rsidP="00D1394C">
      <w:pPr>
        <w:pStyle w:val="ListParagraph"/>
        <w:numPr>
          <w:ilvl w:val="0"/>
          <w:numId w:val="1"/>
        </w:numPr>
        <w:spacing w:after="240"/>
      </w:pPr>
      <w:r w:rsidRPr="008C6AC4">
        <w:t xml:space="preserve">The transfer will negatively </w:t>
      </w:r>
      <w:proofErr w:type="gramStart"/>
      <w:r w:rsidRPr="008C6AC4">
        <w:t>impact</w:t>
      </w:r>
      <w:proofErr w:type="gramEnd"/>
      <w:r w:rsidRPr="008C6AC4">
        <w:t xml:space="preserve"> the integrated educational experience at Mountain Avenue ES.</w:t>
      </w:r>
    </w:p>
    <w:p w14:paraId="721B4C77" w14:textId="77777777" w:rsidR="00E64FEC" w:rsidRPr="008C6AC4" w:rsidRDefault="00E64FEC" w:rsidP="001128CC">
      <w:pPr>
        <w:pStyle w:val="ListParagraph"/>
        <w:spacing w:after="240"/>
      </w:pPr>
    </w:p>
    <w:p w14:paraId="2EBCFE9F" w14:textId="202CCF59" w:rsidR="00E160B9" w:rsidRPr="008C6AC4" w:rsidRDefault="00E160B9" w:rsidP="00D15C3F">
      <w:pPr>
        <w:pStyle w:val="ListParagraph"/>
        <w:numPr>
          <w:ilvl w:val="0"/>
          <w:numId w:val="1"/>
        </w:numPr>
        <w:spacing w:after="240"/>
        <w:contextualSpacing w:val="0"/>
      </w:pPr>
      <w:r w:rsidRPr="008C6AC4">
        <w:t>The transfer will negatively impact the academic trajectories of English learners at L</w:t>
      </w:r>
      <w:r w:rsidR="00575652" w:rsidRPr="008C6AC4">
        <w:t xml:space="preserve">a </w:t>
      </w:r>
      <w:r w:rsidR="00F8016E" w:rsidRPr="008C6AC4">
        <w:t>Cañada</w:t>
      </w:r>
      <w:r w:rsidR="00575652" w:rsidRPr="008C6AC4">
        <w:t xml:space="preserve"> </w:t>
      </w:r>
      <w:r w:rsidRPr="008C6AC4">
        <w:t>USD.</w:t>
      </w:r>
    </w:p>
    <w:p w14:paraId="4F18ABE7" w14:textId="4C4937ED" w:rsidR="00E160B9" w:rsidRPr="008C6AC4" w:rsidRDefault="00E160B9" w:rsidP="00D15C3F">
      <w:pPr>
        <w:pStyle w:val="ListParagraph"/>
        <w:numPr>
          <w:ilvl w:val="0"/>
          <w:numId w:val="1"/>
        </w:numPr>
        <w:spacing w:after="240"/>
        <w:contextualSpacing w:val="0"/>
      </w:pPr>
      <w:r w:rsidRPr="008C6AC4">
        <w:t>L</w:t>
      </w:r>
      <w:r w:rsidR="00575652" w:rsidRPr="008C6AC4">
        <w:t xml:space="preserve">a </w:t>
      </w:r>
      <w:r w:rsidR="00F8016E" w:rsidRPr="008C6AC4">
        <w:t>Cañada</w:t>
      </w:r>
      <w:r w:rsidR="00575652" w:rsidRPr="008C6AC4">
        <w:t xml:space="preserve"> </w:t>
      </w:r>
      <w:r w:rsidRPr="008C6AC4">
        <w:t>USD does not promote diversity to the extent G</w:t>
      </w:r>
      <w:r w:rsidR="00575652" w:rsidRPr="008C6AC4">
        <w:t xml:space="preserve">lendale </w:t>
      </w:r>
      <w:r w:rsidRPr="008C6AC4">
        <w:t>USD does, as exemplified by the breadth and success of G</w:t>
      </w:r>
      <w:r w:rsidR="00575652" w:rsidRPr="008C6AC4">
        <w:t xml:space="preserve">lendale </w:t>
      </w:r>
      <w:r w:rsidRPr="008C6AC4">
        <w:t>USD</w:t>
      </w:r>
      <w:r w:rsidR="00575652" w:rsidRPr="008C6AC4">
        <w:t>’</w:t>
      </w:r>
      <w:r w:rsidRPr="008C6AC4">
        <w:t>s English learner program.</w:t>
      </w:r>
    </w:p>
    <w:p w14:paraId="2B0F4933" w14:textId="61648625" w:rsidR="00E160B9" w:rsidRPr="008C6AC4" w:rsidRDefault="00E160B9" w:rsidP="00D15C3F">
      <w:pPr>
        <w:pStyle w:val="ListParagraph"/>
        <w:numPr>
          <w:ilvl w:val="0"/>
          <w:numId w:val="1"/>
        </w:numPr>
        <w:spacing w:after="240"/>
        <w:contextualSpacing w:val="0"/>
      </w:pPr>
      <w:r w:rsidRPr="008C6AC4">
        <w:t>Backfilling of G</w:t>
      </w:r>
      <w:r w:rsidR="00575652" w:rsidRPr="008C6AC4">
        <w:t xml:space="preserve">lendale </w:t>
      </w:r>
      <w:r w:rsidRPr="008C6AC4">
        <w:t>USD</w:t>
      </w:r>
      <w:r w:rsidR="00575652" w:rsidRPr="008C6AC4">
        <w:t>’</w:t>
      </w:r>
      <w:r w:rsidRPr="008C6AC4">
        <w:t>s Mountain Avenue ES is speculative.</w:t>
      </w:r>
    </w:p>
    <w:p w14:paraId="69DC73BD" w14:textId="3576485E" w:rsidR="00393FA5" w:rsidRPr="008C6AC4" w:rsidRDefault="63BF4E27" w:rsidP="1399E1F1">
      <w:pPr>
        <w:pStyle w:val="Heading2"/>
      </w:pPr>
      <w:r w:rsidRPr="008C6AC4">
        <w:t xml:space="preserve">CDE </w:t>
      </w:r>
      <w:r w:rsidR="2A491E1B" w:rsidRPr="008C6AC4">
        <w:t xml:space="preserve">Findings and </w:t>
      </w:r>
      <w:r w:rsidRPr="008C6AC4">
        <w:t>Recommendations</w:t>
      </w:r>
    </w:p>
    <w:p w14:paraId="27F8055D" w14:textId="0561B50A" w:rsidR="00D71A17" w:rsidRPr="008C6AC4" w:rsidRDefault="04856F4F" w:rsidP="00784320">
      <w:pPr>
        <w:spacing w:after="240"/>
      </w:pPr>
      <w:r w:rsidRPr="008C6AC4">
        <w:t xml:space="preserve">The CDE reviewed the entire administrative record provided by the County Superintendent, including minutes and audio recordings of public hearings and meetings, as well as new information requested and received from the County Superintendent and the affected school districts (pursuant to </w:t>
      </w:r>
      <w:r w:rsidRPr="008C6AC4">
        <w:rPr>
          <w:i/>
          <w:iCs/>
        </w:rPr>
        <w:t>EC</w:t>
      </w:r>
      <w:r w:rsidRPr="008C6AC4">
        <w:t xml:space="preserve"> Section 35751). After this review, the CDE completed an analysis of the proposed territory transfer and the subsequent appeal. The State Board is not limited to </w:t>
      </w:r>
      <w:proofErr w:type="gramStart"/>
      <w:r w:rsidRPr="008C6AC4">
        <w:t>review of</w:t>
      </w:r>
      <w:proofErr w:type="gramEnd"/>
      <w:r w:rsidRPr="008C6AC4">
        <w:t xml:space="preserve"> only the issues considered by the County Committee, but rather has the authority to conduct a de novo review of the territory transfer. Therefore, the issues considered by CDE are not limited to those raised by Glendale USD in their appeal. The complete analysis and resultant recommendations are contained in attachment 2.</w:t>
      </w:r>
      <w:r w:rsidR="00784320" w:rsidRPr="008C6AC4">
        <w:br/>
      </w:r>
      <w:r w:rsidR="00784320" w:rsidRPr="008C6AC4">
        <w:br/>
      </w:r>
      <w:r w:rsidR="1AF35C3D" w:rsidRPr="008C6AC4">
        <w:t xml:space="preserve">The CDE finds that the </w:t>
      </w:r>
      <w:r w:rsidR="1133EC08" w:rsidRPr="008C6AC4">
        <w:t>Petition</w:t>
      </w:r>
      <w:r w:rsidR="1AF35C3D" w:rsidRPr="008C6AC4">
        <w:t xml:space="preserve"> substantially meet</w:t>
      </w:r>
      <w:r w:rsidR="42ABD5CD" w:rsidRPr="008C6AC4">
        <w:t>s</w:t>
      </w:r>
      <w:r w:rsidR="1AF35C3D" w:rsidRPr="008C6AC4">
        <w:t xml:space="preserve"> </w:t>
      </w:r>
      <w:r w:rsidR="08DAAA51" w:rsidRPr="008C6AC4">
        <w:t>all</w:t>
      </w:r>
      <w:r w:rsidR="1AF35C3D" w:rsidRPr="008C6AC4">
        <w:t xml:space="preserve"> nine conditions of subdivision (a) of </w:t>
      </w:r>
      <w:r w:rsidR="1AF35C3D" w:rsidRPr="008C6AC4">
        <w:rPr>
          <w:i/>
          <w:iCs/>
        </w:rPr>
        <w:t>EC</w:t>
      </w:r>
      <w:r w:rsidR="1AF35C3D" w:rsidRPr="008C6AC4">
        <w:t xml:space="preserve"> Section 35753</w:t>
      </w:r>
      <w:r w:rsidR="008147EC" w:rsidRPr="008C6AC4">
        <w:t>.</w:t>
      </w:r>
      <w:r w:rsidR="001128CC" w:rsidRPr="008C6AC4">
        <w:t xml:space="preserve"> </w:t>
      </w:r>
      <w:r w:rsidR="1AF35C3D" w:rsidRPr="008C6AC4">
        <w:t xml:space="preserve">In addition, the CDE did not find </w:t>
      </w:r>
      <w:r w:rsidR="00784320" w:rsidRPr="008C6AC4">
        <w:t xml:space="preserve">sufficiently </w:t>
      </w:r>
      <w:r w:rsidR="1AF35C3D" w:rsidRPr="008C6AC4">
        <w:t>compelling local educational needs or concerns</w:t>
      </w:r>
      <w:r w:rsidR="1ED219C1" w:rsidRPr="008C6AC4">
        <w:t xml:space="preserve"> identified by the appeal</w:t>
      </w:r>
      <w:r w:rsidR="1AF35C3D" w:rsidRPr="008C6AC4">
        <w:t xml:space="preserve"> that would justify </w:t>
      </w:r>
      <w:r w:rsidR="16B84CB0" w:rsidRPr="008C6AC4">
        <w:t>deni</w:t>
      </w:r>
      <w:r w:rsidR="1AF35C3D" w:rsidRPr="008C6AC4">
        <w:t>al of the transfer</w:t>
      </w:r>
      <w:r w:rsidR="22DCBBF0" w:rsidRPr="008C6AC4">
        <w:t>.</w:t>
      </w:r>
      <w:r w:rsidR="1AF35C3D" w:rsidRPr="008C6AC4">
        <w:t xml:space="preserve"> </w:t>
      </w:r>
      <w:r w:rsidR="00784320" w:rsidRPr="008C6AC4">
        <w:br/>
      </w:r>
      <w:r w:rsidR="008147EC" w:rsidRPr="008C6AC4">
        <w:br/>
      </w:r>
      <w:r w:rsidR="2A491E1B" w:rsidRPr="008C6AC4">
        <w:t>Based on these findings, t</w:t>
      </w:r>
      <w:r w:rsidR="63BF4E27" w:rsidRPr="008C6AC4">
        <w:t xml:space="preserve">he CDE recommends that the SBE </w:t>
      </w:r>
      <w:r w:rsidR="24B47E03" w:rsidRPr="008C6AC4">
        <w:t>deny</w:t>
      </w:r>
      <w:r w:rsidR="63BF4E27" w:rsidRPr="008C6AC4">
        <w:t xml:space="preserve"> the </w:t>
      </w:r>
      <w:r w:rsidR="590E9A07" w:rsidRPr="008C6AC4">
        <w:t xml:space="preserve">appeal, </w:t>
      </w:r>
      <w:r w:rsidR="1BA5EB1C" w:rsidRPr="008C6AC4">
        <w:t>thereby affirming the decision of the County Committee to approve the Petition and allowing the territory transfer to proceed.</w:t>
      </w:r>
      <w:r w:rsidR="1AF35C3D" w:rsidRPr="008C6AC4">
        <w:t xml:space="preserve"> </w:t>
      </w:r>
      <w:r w:rsidR="00784320" w:rsidRPr="008C6AC4">
        <w:t xml:space="preserve">Staff further recommends an election </w:t>
      </w:r>
      <w:bookmarkStart w:id="2" w:name="_Hlk154749194"/>
      <w:r w:rsidR="00784320" w:rsidRPr="008C6AC4">
        <w:t>area encompassing the territory to be transferred, along with the attendance areas of Crescenta Valley High School and La Cañada High School.</w:t>
      </w:r>
      <w:bookmarkEnd w:id="2"/>
      <w:r w:rsidR="00784320" w:rsidRPr="008C6AC4">
        <w:t xml:space="preserve"> </w:t>
      </w:r>
      <w:r w:rsidR="1AF35C3D" w:rsidRPr="008C6AC4">
        <w:t xml:space="preserve">The analyses upon which the CDE bases this recommendation are contained in attachments </w:t>
      </w:r>
      <w:r w:rsidR="6B5742ED" w:rsidRPr="008C6AC4">
        <w:t>1</w:t>
      </w:r>
      <w:r w:rsidR="1AF35C3D" w:rsidRPr="008C6AC4">
        <w:t>-</w:t>
      </w:r>
      <w:r w:rsidR="41A5BB8C" w:rsidRPr="008C6AC4">
        <w:t>3</w:t>
      </w:r>
      <w:r w:rsidR="1AF35C3D" w:rsidRPr="008C6AC4">
        <w:t>.</w:t>
      </w:r>
    </w:p>
    <w:p w14:paraId="088C3E57" w14:textId="77777777" w:rsidR="00BD0443" w:rsidRPr="008C6AC4" w:rsidRDefault="00BD0443" w:rsidP="00187BB1">
      <w:pPr>
        <w:pStyle w:val="Heading2"/>
      </w:pPr>
      <w:r w:rsidRPr="008C6AC4">
        <w:lastRenderedPageBreak/>
        <w:t>Summary of Previous State Board of Education Discussion and Action</w:t>
      </w:r>
    </w:p>
    <w:p w14:paraId="0E43E15F" w14:textId="3C325F16" w:rsidR="004D4CE4" w:rsidRPr="008C6AC4" w:rsidRDefault="004D4CE4" w:rsidP="004D4CE4">
      <w:pPr>
        <w:spacing w:after="240"/>
        <w:rPr>
          <w:rFonts w:ascii="Calibri" w:hAnsi="Calibri"/>
          <w:sz w:val="22"/>
          <w:szCs w:val="22"/>
        </w:rPr>
      </w:pPr>
      <w:r w:rsidRPr="008C6AC4">
        <w:t xml:space="preserve">SBE has considered 46 transfers of territory (that did </w:t>
      </w:r>
      <w:r w:rsidRPr="008C6AC4">
        <w:rPr>
          <w:i/>
          <w:iCs/>
        </w:rPr>
        <w:t>not</w:t>
      </w:r>
      <w:r w:rsidRPr="008C6AC4">
        <w:t xml:space="preserve"> lead to unification or the creation of new district) statewide since 2000. There were 15 territory transfer appeals in the last 10 years. In four of these, the SBE took action to </w:t>
      </w:r>
      <w:r w:rsidRPr="008C6AC4">
        <w:rPr>
          <w:i/>
          <w:iCs/>
        </w:rPr>
        <w:t>allow the territory transfer to proceed.</w:t>
      </w:r>
    </w:p>
    <w:p w14:paraId="5D29A3B2" w14:textId="77777777" w:rsidR="004D4CE4" w:rsidRPr="008C6AC4" w:rsidRDefault="004D4CE4" w:rsidP="004D4CE4">
      <w:pPr>
        <w:pStyle w:val="ListParagraph"/>
        <w:numPr>
          <w:ilvl w:val="0"/>
          <w:numId w:val="39"/>
        </w:numPr>
        <w:spacing w:after="160" w:line="252" w:lineRule="auto"/>
        <w:rPr>
          <w:b/>
          <w:bCs/>
        </w:rPr>
      </w:pPr>
      <w:r w:rsidRPr="008C6AC4">
        <w:rPr>
          <w:b/>
          <w:bCs/>
        </w:rPr>
        <w:t>Los Angeles County, Sep 2020.</w:t>
      </w:r>
      <w:r w:rsidRPr="008C6AC4">
        <w:t xml:space="preserve"> Transfer </w:t>
      </w:r>
      <w:r w:rsidRPr="008C6AC4">
        <w:rPr>
          <w:i/>
          <w:iCs/>
        </w:rPr>
        <w:t>406 parcels</w:t>
      </w:r>
      <w:r w:rsidRPr="008C6AC4">
        <w:t xml:space="preserve"> primarily located in the unincorporated community of Del Aire from the Lawndale Elementary School District (ESD) and the Centinela Valley Union High School District (UHSD) to the </w:t>
      </w:r>
      <w:proofErr w:type="spellStart"/>
      <w:r w:rsidRPr="008C6AC4">
        <w:t>Wiseburn</w:t>
      </w:r>
      <w:proofErr w:type="spellEnd"/>
      <w:r w:rsidRPr="008C6AC4">
        <w:t xml:space="preserve"> Unified School District (USD).</w:t>
      </w:r>
      <w:r w:rsidRPr="008C6AC4">
        <w:rPr>
          <w:b/>
          <w:bCs/>
        </w:rPr>
        <w:t xml:space="preserve"> </w:t>
      </w:r>
    </w:p>
    <w:p w14:paraId="2179C79F" w14:textId="77777777" w:rsidR="004D4CE4" w:rsidRPr="008C6AC4" w:rsidRDefault="004D4CE4" w:rsidP="004D4CE4">
      <w:pPr>
        <w:pStyle w:val="ListParagraph"/>
        <w:numPr>
          <w:ilvl w:val="0"/>
          <w:numId w:val="39"/>
        </w:numPr>
        <w:spacing w:after="160" w:line="252" w:lineRule="auto"/>
      </w:pPr>
      <w:r w:rsidRPr="008C6AC4">
        <w:rPr>
          <w:b/>
          <w:bCs/>
        </w:rPr>
        <w:t>San Mateo County, Mar 2015.</w:t>
      </w:r>
      <w:r w:rsidRPr="008C6AC4">
        <w:t xml:space="preserve"> Transfer of two homes of </w:t>
      </w:r>
      <w:r w:rsidRPr="008C6AC4">
        <w:rPr>
          <w:i/>
          <w:iCs/>
        </w:rPr>
        <w:t xml:space="preserve">70 parcels </w:t>
      </w:r>
      <w:r w:rsidRPr="008C6AC4">
        <w:t xml:space="preserve">from South San Francisco USD to San Bruno ESD/San Mateo UHSD. </w:t>
      </w:r>
    </w:p>
    <w:p w14:paraId="185DCF94" w14:textId="6A366156" w:rsidR="004D4CE4" w:rsidRPr="008C6AC4" w:rsidRDefault="004D4CE4" w:rsidP="004D4CE4">
      <w:pPr>
        <w:pStyle w:val="ListParagraph"/>
        <w:numPr>
          <w:ilvl w:val="0"/>
          <w:numId w:val="39"/>
        </w:numPr>
        <w:spacing w:after="240" w:line="252" w:lineRule="auto"/>
      </w:pPr>
      <w:r w:rsidRPr="008C6AC4">
        <w:rPr>
          <w:b/>
          <w:bCs/>
        </w:rPr>
        <w:t xml:space="preserve">San Mateo County, Sep 2018. </w:t>
      </w:r>
      <w:r w:rsidRPr="008C6AC4">
        <w:t xml:space="preserve">Transfer of 10 homes and </w:t>
      </w:r>
      <w:proofErr w:type="gramStart"/>
      <w:r w:rsidRPr="008C6AC4">
        <w:t>a number of</w:t>
      </w:r>
      <w:proofErr w:type="gramEnd"/>
      <w:r w:rsidRPr="008C6AC4">
        <w:t xml:space="preserve"> undevelopable parcels form </w:t>
      </w:r>
      <w:proofErr w:type="gramStart"/>
      <w:r w:rsidRPr="008C6AC4">
        <w:t>to</w:t>
      </w:r>
      <w:proofErr w:type="gramEnd"/>
      <w:r w:rsidRPr="008C6AC4">
        <w:t xml:space="preserve"> La Honda-</w:t>
      </w:r>
      <w:proofErr w:type="spellStart"/>
      <w:r w:rsidRPr="008C6AC4">
        <w:t>Pescadero</w:t>
      </w:r>
      <w:proofErr w:type="spellEnd"/>
      <w:r w:rsidRPr="008C6AC4">
        <w:t xml:space="preserve"> Unified School District to the Portola Valley Elementary School District and the Sequoia Union High School District.</w:t>
      </w:r>
    </w:p>
    <w:p w14:paraId="61F1136A" w14:textId="77777777" w:rsidR="004D4CE4" w:rsidRPr="008C6AC4" w:rsidRDefault="004D4CE4" w:rsidP="004D4CE4">
      <w:pPr>
        <w:pStyle w:val="ListParagraph"/>
        <w:numPr>
          <w:ilvl w:val="0"/>
          <w:numId w:val="39"/>
        </w:numPr>
        <w:spacing w:after="240" w:line="252" w:lineRule="auto"/>
      </w:pPr>
      <w:r w:rsidRPr="008C6AC4">
        <w:rPr>
          <w:b/>
          <w:bCs/>
        </w:rPr>
        <w:t xml:space="preserve">Santa Clara County, May 2016. </w:t>
      </w:r>
      <w:r w:rsidRPr="008C6AC4">
        <w:t>Transfer of two homes of a 45-parcel development from the Campbell U(E)SD/Campbell UHSD to Santa Clara USD, (joining the other 43 parcels).</w:t>
      </w:r>
    </w:p>
    <w:p w14:paraId="142C027F" w14:textId="3E40AC63" w:rsidR="004D4CE4" w:rsidRPr="008C6AC4" w:rsidRDefault="00112B55" w:rsidP="004D4CE4">
      <w:pPr>
        <w:spacing w:after="240"/>
        <w:rPr>
          <w:rFonts w:eastAsiaTheme="minorHAnsi"/>
        </w:rPr>
      </w:pPr>
      <w:r w:rsidRPr="008C6AC4">
        <w:t xml:space="preserve">The SBE has denied transfer petitions in over two-thirds of the cases presented to it in the last decade. However, the SBE has been careful to examine each of these petitions individually, rather than relying </w:t>
      </w:r>
      <w:r w:rsidR="003573B1" w:rsidRPr="008C6AC4">
        <w:t>o</w:t>
      </w:r>
      <w:r w:rsidRPr="008C6AC4">
        <w:t xml:space="preserve">n general precedent. </w:t>
      </w:r>
      <w:r w:rsidR="004D4CE4" w:rsidRPr="008C6AC4">
        <w:t>CDE finds that Sep 2020 appeal bears the greatest resemblance to the current petition. 1) It involves several hundred parcels. 2) All the 9 conditions are substantially met. 3) While there are no compelling reason</w:t>
      </w:r>
      <w:r w:rsidR="00B22ACC" w:rsidRPr="008C6AC4">
        <w:t>s</w:t>
      </w:r>
      <w:r w:rsidR="004D4CE4" w:rsidRPr="008C6AC4">
        <w:t xml:space="preserve"> to transfer the Sagebrush territory, 4) there are also no compelling local educational reasons to justify overturning the County Committee decision to approve the petition.</w:t>
      </w:r>
    </w:p>
    <w:p w14:paraId="482944FD" w14:textId="1F17B547" w:rsidR="00BD0443" w:rsidRPr="008C6AC4" w:rsidRDefault="00BD0443" w:rsidP="00187BB1">
      <w:pPr>
        <w:pStyle w:val="Heading2"/>
      </w:pPr>
      <w:r w:rsidRPr="008C6AC4">
        <w:t>Fiscal Analysis</w:t>
      </w:r>
    </w:p>
    <w:p w14:paraId="190E98A7" w14:textId="18BCEB21" w:rsidR="41A7FAF2" w:rsidRPr="008C6AC4" w:rsidRDefault="003573B1" w:rsidP="3ADBC2A1">
      <w:r w:rsidRPr="008C6AC4">
        <w:t>T</w:t>
      </w:r>
      <w:r w:rsidR="41A7FAF2" w:rsidRPr="008C6AC4">
        <w:t>he SBE has two options regarding the appeal to the Los Angeles County Committee’s approval of the proposal to transfer the Sagebrush territory from Glendale USD to La Cañada USD. It may either:</w:t>
      </w:r>
    </w:p>
    <w:p w14:paraId="70D40DD1" w14:textId="68B1AC04" w:rsidR="41A7FAF2" w:rsidRPr="008C6AC4" w:rsidRDefault="41A7FAF2" w:rsidP="3ADBC2A1">
      <w:r w:rsidRPr="008C6AC4">
        <w:t>a.</w:t>
      </w:r>
      <w:r w:rsidR="6BEF7DC0" w:rsidRPr="008C6AC4">
        <w:t xml:space="preserve"> </w:t>
      </w:r>
      <w:r w:rsidRPr="008C6AC4">
        <w:t>Approve the appeal, thereby reversing the County Committee’s approval of the transfer.</w:t>
      </w:r>
    </w:p>
    <w:p w14:paraId="0C7A75BF" w14:textId="3CF39978" w:rsidR="41A7FAF2" w:rsidRPr="008C6AC4" w:rsidRDefault="41A7FAF2" w:rsidP="3ADBC2A1">
      <w:pPr>
        <w:spacing w:after="240"/>
      </w:pPr>
      <w:r w:rsidRPr="008C6AC4">
        <w:t>b.</w:t>
      </w:r>
      <w:r w:rsidR="58E897FE" w:rsidRPr="008C6AC4">
        <w:t xml:space="preserve"> </w:t>
      </w:r>
      <w:r w:rsidRPr="008C6AC4">
        <w:t xml:space="preserve">Deny the appeal, thereby affirming the County Committee’s approval of the </w:t>
      </w:r>
      <w:proofErr w:type="gramStart"/>
      <w:r w:rsidRPr="008C6AC4">
        <w:t>transfer</w:t>
      </w:r>
      <w:proofErr w:type="gramEnd"/>
    </w:p>
    <w:p w14:paraId="5384F0A9" w14:textId="7A34DEF2" w:rsidR="00E94174" w:rsidRPr="00016FF0" w:rsidRDefault="00E94174" w:rsidP="00016FF0">
      <w:pPr>
        <w:pStyle w:val="Heading3"/>
        <w:rPr>
          <w:sz w:val="24"/>
          <w:szCs w:val="24"/>
        </w:rPr>
      </w:pPr>
      <w:r w:rsidRPr="00016FF0">
        <w:rPr>
          <w:sz w:val="24"/>
          <w:szCs w:val="24"/>
        </w:rPr>
        <w:t>Approval costs</w:t>
      </w:r>
    </w:p>
    <w:p w14:paraId="234831FB" w14:textId="113B473C" w:rsidR="038E7841" w:rsidRPr="008C6AC4" w:rsidRDefault="038E7841" w:rsidP="3ADBC2A1">
      <w:pPr>
        <w:spacing w:after="240"/>
      </w:pPr>
      <w:r w:rsidRPr="008C6AC4">
        <w:t>Approving the appeal, thereby reversing the action of the County Committee results in no fiscal effects on any local or state agency.</w:t>
      </w:r>
    </w:p>
    <w:p w14:paraId="4617B8A4" w14:textId="1D170E98" w:rsidR="00E94174" w:rsidRPr="00016FF0" w:rsidRDefault="00E94174" w:rsidP="00016FF0">
      <w:pPr>
        <w:pStyle w:val="Heading3"/>
        <w:rPr>
          <w:sz w:val="24"/>
          <w:szCs w:val="24"/>
        </w:rPr>
      </w:pPr>
      <w:r w:rsidRPr="00016FF0">
        <w:rPr>
          <w:sz w:val="24"/>
          <w:szCs w:val="24"/>
        </w:rPr>
        <w:lastRenderedPageBreak/>
        <w:t>Denial costs</w:t>
      </w:r>
    </w:p>
    <w:p w14:paraId="6FA2B3BE" w14:textId="52A00578" w:rsidR="00BD0443" w:rsidRPr="008C6AC4" w:rsidRDefault="2F83CC68" w:rsidP="3ADBC2A1">
      <w:pPr>
        <w:spacing w:after="240"/>
      </w:pPr>
      <w:r w:rsidRPr="008C6AC4">
        <w:t>Denying the appeal, thereby affirming</w:t>
      </w:r>
      <w:r w:rsidR="7D27E1DC" w:rsidRPr="008C6AC4">
        <w:t xml:space="preserve"> the County Committee’s action would result in an election. Costs for this election would depend upon the timing of the election, the type of election, and the size of the election area established by the SBE—election costs would be borne by the county.</w:t>
      </w:r>
    </w:p>
    <w:p w14:paraId="660A6D67" w14:textId="03EE9567" w:rsidR="00BD0443" w:rsidRPr="008C6AC4" w:rsidRDefault="7D27E1DC" w:rsidP="3ADBC2A1">
      <w:pPr>
        <w:spacing w:after="240"/>
      </w:pPr>
      <w:r w:rsidRPr="008C6AC4">
        <w:t xml:space="preserve">In addition, the parties are engaged in litigation regarding the (California Environmental Quality Act) CEQA review that was conducted for this territory transfer. The initial CEQA review resulted in a Mitigated Negative Declaration. The Glendale USD filed a lawsuit on October 31, 2019, in Los Angeles Superior Court. The lawsuit contends that the County Committee committed violations of CEQA, including failing to properly analyze the project’s potential to create significant environmental impacts. The court has decided to delay hearing the case until after the SBE has ruled on the appeal, noting that SBE action to affirm the appeal would render the lawsuit moot. Should the appeal be denied, allowing the transfer to proceed, there would be additional, unknown legal costs associated with this litigation. </w:t>
      </w:r>
    </w:p>
    <w:p w14:paraId="629C819C" w14:textId="31C80B07" w:rsidR="00BD0443" w:rsidRPr="00016FF0" w:rsidRDefault="00BD0443" w:rsidP="00016FF0">
      <w:pPr>
        <w:pStyle w:val="Heading2"/>
      </w:pPr>
      <w:r w:rsidRPr="00016FF0">
        <w:t>Attachments</w:t>
      </w:r>
    </w:p>
    <w:p w14:paraId="29251869" w14:textId="1C251C08" w:rsidR="00C13222" w:rsidRPr="008C6AC4" w:rsidRDefault="00C13222" w:rsidP="00D560BD">
      <w:pPr>
        <w:spacing w:after="240"/>
      </w:pPr>
      <w:r w:rsidRPr="008C6AC4">
        <w:rPr>
          <w:b/>
        </w:rPr>
        <w:t>Attachment 1</w:t>
      </w:r>
      <w:r w:rsidRPr="008C6AC4">
        <w:t>:</w:t>
      </w:r>
      <w:r w:rsidR="008147EC" w:rsidRPr="008C6AC4">
        <w:t xml:space="preserve"> Report of Required Conditions for Reorganization</w:t>
      </w:r>
      <w:r w:rsidRPr="008C6AC4">
        <w:t xml:space="preserve"> </w:t>
      </w:r>
      <w:r w:rsidR="00DA17B9" w:rsidRPr="008C6AC4">
        <w:t>(22 pages)</w:t>
      </w:r>
      <w:r w:rsidR="008147EC" w:rsidRPr="008C6AC4">
        <w:br/>
      </w:r>
      <w:r w:rsidR="008147EC" w:rsidRPr="008C6AC4">
        <w:br/>
      </w:r>
      <w:r w:rsidR="008147EC" w:rsidRPr="008C6AC4">
        <w:rPr>
          <w:b/>
        </w:rPr>
        <w:t>Attachment 2:</w:t>
      </w:r>
      <w:r w:rsidR="008147EC" w:rsidRPr="008C6AC4">
        <w:t xml:space="preserve"> </w:t>
      </w:r>
      <w:r w:rsidR="005E3F00" w:rsidRPr="008C6AC4">
        <w:rPr>
          <w:rFonts w:cs="Arial"/>
        </w:rPr>
        <w:t xml:space="preserve">School Facilities Analysis for Sagebrush Territory Transfer </w:t>
      </w:r>
      <w:r w:rsidR="00BD0443" w:rsidRPr="008C6AC4">
        <w:t>(</w:t>
      </w:r>
      <w:r w:rsidR="00DA17B9" w:rsidRPr="008C6AC4">
        <w:t>8</w:t>
      </w:r>
      <w:r w:rsidR="00BD0443" w:rsidRPr="008C6AC4">
        <w:t xml:space="preserve"> pag</w:t>
      </w:r>
      <w:r w:rsidR="0083091D" w:rsidRPr="008C6AC4">
        <w:t>e</w:t>
      </w:r>
      <w:r w:rsidR="00DA17B9" w:rsidRPr="008C6AC4">
        <w:t>s</w:t>
      </w:r>
      <w:r w:rsidR="00BD0443" w:rsidRPr="008C6AC4">
        <w:t>)</w:t>
      </w:r>
    </w:p>
    <w:p w14:paraId="03CE90EA" w14:textId="6A2AB2B9" w:rsidR="003827DB" w:rsidRPr="008C6AC4" w:rsidRDefault="43BAC2B9" w:rsidP="005138B7">
      <w:pPr>
        <w:spacing w:after="240"/>
      </w:pPr>
      <w:bookmarkStart w:id="3" w:name="_Hlk152168106"/>
      <w:r w:rsidRPr="008C6AC4">
        <w:rPr>
          <w:b/>
          <w:bCs/>
        </w:rPr>
        <w:t xml:space="preserve">Attachment </w:t>
      </w:r>
      <w:r w:rsidR="6B5742ED" w:rsidRPr="008C6AC4">
        <w:rPr>
          <w:b/>
          <w:bCs/>
        </w:rPr>
        <w:t>3</w:t>
      </w:r>
      <w:r w:rsidRPr="008C6AC4">
        <w:t xml:space="preserve">: </w:t>
      </w:r>
      <w:r w:rsidR="6B5742ED" w:rsidRPr="008C6AC4">
        <w:rPr>
          <w:rFonts w:cs="Arial"/>
        </w:rPr>
        <w:t xml:space="preserve">Fiscal Analysis of the Sagebrush Territory Transfer </w:t>
      </w:r>
      <w:r w:rsidRPr="008C6AC4">
        <w:t>(</w:t>
      </w:r>
      <w:r w:rsidR="43A0DCC2" w:rsidRPr="008C6AC4">
        <w:t>1</w:t>
      </w:r>
      <w:r w:rsidR="0059122D" w:rsidRPr="008C6AC4">
        <w:t xml:space="preserve">4 </w:t>
      </w:r>
      <w:r w:rsidRPr="008C6AC4">
        <w:t>pages)</w:t>
      </w:r>
    </w:p>
    <w:p w14:paraId="655A2DEB" w14:textId="3D3801C1" w:rsidR="005E3F00" w:rsidRPr="008C6AC4" w:rsidRDefault="6B5742ED" w:rsidP="002B3682">
      <w:pPr>
        <w:autoSpaceDE w:val="0"/>
        <w:autoSpaceDN w:val="0"/>
        <w:adjustRightInd w:val="0"/>
      </w:pPr>
      <w:bookmarkStart w:id="4" w:name="_Hlk152182063"/>
      <w:bookmarkEnd w:id="3"/>
      <w:r w:rsidRPr="008C6AC4">
        <w:rPr>
          <w:b/>
          <w:bCs/>
        </w:rPr>
        <w:t>Attachment 4</w:t>
      </w:r>
      <w:r w:rsidRPr="008C6AC4">
        <w:t xml:space="preserve">: Report </w:t>
      </w:r>
      <w:bookmarkEnd w:id="4"/>
      <w:r w:rsidRPr="008C6AC4">
        <w:t xml:space="preserve">to the Los Angeles County Committee on School District Organization Concerning the Proposed Transfer of Certain Territory </w:t>
      </w:r>
      <w:proofErr w:type="gramStart"/>
      <w:r w:rsidRPr="008C6AC4">
        <w:t>From</w:t>
      </w:r>
      <w:proofErr w:type="gramEnd"/>
      <w:r w:rsidRPr="008C6AC4">
        <w:t xml:space="preserve"> the Glendale Unified School District to the La </w:t>
      </w:r>
      <w:r w:rsidR="1EFF9613" w:rsidRPr="008C6AC4">
        <w:t>Cañada</w:t>
      </w:r>
      <w:r w:rsidRPr="008C6AC4">
        <w:t xml:space="preserve"> Unified School District.</w:t>
      </w:r>
      <w:r w:rsidRPr="008C6AC4">
        <w:rPr>
          <w:rFonts w:ascii="Times New Roman" w:eastAsiaTheme="minorEastAsia" w:hAnsi="Times New Roman"/>
          <w:color w:val="1F1D1F"/>
          <w:sz w:val="30"/>
          <w:szCs w:val="30"/>
        </w:rPr>
        <w:t xml:space="preserve"> </w:t>
      </w:r>
      <w:r w:rsidRPr="008C6AC4">
        <w:t>(</w:t>
      </w:r>
      <w:r w:rsidR="0059122D" w:rsidRPr="008C6AC4">
        <w:t>34</w:t>
      </w:r>
      <w:r w:rsidRPr="008C6AC4">
        <w:t xml:space="preserve"> pages)</w:t>
      </w:r>
      <w:r w:rsidR="005E3F00" w:rsidRPr="008C6AC4">
        <w:br/>
      </w:r>
    </w:p>
    <w:p w14:paraId="4AD1CB97" w14:textId="2697A4AF" w:rsidR="002B3682" w:rsidRPr="008C6AC4" w:rsidRDefault="002B3682" w:rsidP="00BD0443">
      <w:pPr>
        <w:sectPr w:rsidR="002B3682" w:rsidRPr="008C6AC4" w:rsidSect="00407E9B">
          <w:headerReference w:type="default" r:id="rId12"/>
          <w:footerReference w:type="default" r:id="rId13"/>
          <w:footnotePr>
            <w:numRestart w:val="eachSect"/>
          </w:footnotePr>
          <w:type w:val="continuous"/>
          <w:pgSz w:w="12240" w:h="15840"/>
          <w:pgMar w:top="720" w:right="1440" w:bottom="1440" w:left="1440" w:header="720" w:footer="720" w:gutter="0"/>
          <w:cols w:space="720"/>
          <w:docGrid w:linePitch="360"/>
        </w:sectPr>
      </w:pPr>
      <w:r w:rsidRPr="008C6AC4">
        <w:rPr>
          <w:b/>
        </w:rPr>
        <w:t>Attachment 5</w:t>
      </w:r>
      <w:r w:rsidRPr="008C6AC4">
        <w:t>: Glendale USD appeal letter dated October 31, 2019 (11 pages)</w:t>
      </w:r>
    </w:p>
    <w:p w14:paraId="0CB1EE28" w14:textId="78A05D80" w:rsidR="007F5AD1" w:rsidRPr="008C6AC4" w:rsidRDefault="00076DB8" w:rsidP="007F5AD1">
      <w:pPr>
        <w:pStyle w:val="Heading1"/>
      </w:pPr>
      <w:r w:rsidRPr="008C6AC4">
        <w:lastRenderedPageBreak/>
        <w:t>A</w:t>
      </w:r>
      <w:r w:rsidR="007F5AD1" w:rsidRPr="008C6AC4">
        <w:t>ttachment 1</w:t>
      </w:r>
      <w:r w:rsidR="007F5AD1" w:rsidRPr="008C6AC4">
        <w:br/>
        <w:t>Report of Required Conditions for Reorganization</w:t>
      </w:r>
    </w:p>
    <w:p w14:paraId="210A3233" w14:textId="5BC0142B" w:rsidR="007F5AD1" w:rsidRPr="008C6AC4" w:rsidRDefault="007F5AD1" w:rsidP="007F5AD1">
      <w:pPr>
        <w:jc w:val="center"/>
        <w:rPr>
          <w:b/>
          <w:sz w:val="28"/>
          <w:szCs w:val="28"/>
        </w:rPr>
      </w:pPr>
      <w:r w:rsidRPr="008C6AC4">
        <w:rPr>
          <w:b/>
          <w:sz w:val="28"/>
          <w:szCs w:val="28"/>
        </w:rPr>
        <w:t>Proposed Transfer of Territory from the Glendale Unified School District to the La Cañada Unified School District</w:t>
      </w:r>
    </w:p>
    <w:p w14:paraId="72D299DF" w14:textId="77777777" w:rsidR="00B14AD9" w:rsidRPr="008C6AC4" w:rsidRDefault="00B14AD9" w:rsidP="007F5AD1">
      <w:pPr>
        <w:jc w:val="center"/>
        <w:rPr>
          <w:b/>
          <w:sz w:val="28"/>
          <w:szCs w:val="28"/>
        </w:rPr>
      </w:pPr>
    </w:p>
    <w:p w14:paraId="1F3494D0" w14:textId="77777777" w:rsidR="007F5AD1" w:rsidRPr="008C6AC4" w:rsidRDefault="007F5AD1" w:rsidP="00D15C3F">
      <w:pPr>
        <w:pStyle w:val="Heading2"/>
        <w:keepLines w:val="0"/>
        <w:numPr>
          <w:ilvl w:val="0"/>
          <w:numId w:val="12"/>
        </w:numPr>
        <w:spacing w:before="0"/>
        <w:ind w:hanging="720"/>
      </w:pPr>
      <w:r w:rsidRPr="008C6AC4">
        <w:t>Recommendation</w:t>
      </w:r>
    </w:p>
    <w:p w14:paraId="3F3DB193" w14:textId="00E34BEF" w:rsidR="007F5AD1" w:rsidRPr="008C6AC4" w:rsidRDefault="010B0DA6" w:rsidP="1399E1F1">
      <w:pPr>
        <w:ind w:left="720"/>
      </w:pPr>
      <w:r w:rsidRPr="008C6AC4">
        <w:t>The California Department of Education (CDE) recommends the California State Board of Education (SBE</w:t>
      </w:r>
      <w:r w:rsidR="568D8EAA" w:rsidRPr="008C6AC4">
        <w:t xml:space="preserve">) </w:t>
      </w:r>
      <w:r w:rsidR="00E94174" w:rsidRPr="008C6AC4">
        <w:t>deny</w:t>
      </w:r>
      <w:r w:rsidR="568D8EAA" w:rsidRPr="008C6AC4">
        <w:t xml:space="preserve"> this appeal, thereby </w:t>
      </w:r>
      <w:r w:rsidR="00E94174" w:rsidRPr="008C6AC4">
        <w:t>affirming</w:t>
      </w:r>
      <w:r w:rsidR="568D8EAA" w:rsidRPr="008C6AC4">
        <w:t xml:space="preserve"> the decision of the Los Angeles County Committee on School District Organization (County Committee) to </w:t>
      </w:r>
      <w:r w:rsidR="33C8BC1E" w:rsidRPr="008C6AC4">
        <w:t>approve a Petition for Transfer of Territory from the Glendale Unified School District (Glendale USD) to the La Cañada School Unified District (La Cañada USD), subsequently referred to as “the Petition.”</w:t>
      </w:r>
    </w:p>
    <w:p w14:paraId="21FB9B3B" w14:textId="5B640736" w:rsidR="1399E1F1" w:rsidRPr="008C6AC4" w:rsidRDefault="1399E1F1" w:rsidP="1399E1F1">
      <w:pPr>
        <w:ind w:left="720"/>
      </w:pPr>
    </w:p>
    <w:p w14:paraId="3CD22F37" w14:textId="1F6CC3F8" w:rsidR="007F5AD1" w:rsidRPr="008C6AC4" w:rsidRDefault="007F5AD1" w:rsidP="00D15C3F">
      <w:pPr>
        <w:pStyle w:val="Heading2"/>
        <w:keepLines w:val="0"/>
        <w:numPr>
          <w:ilvl w:val="0"/>
          <w:numId w:val="13"/>
        </w:numPr>
        <w:spacing w:before="0"/>
      </w:pPr>
      <w:r w:rsidRPr="008C6AC4">
        <w:t>Background</w:t>
      </w:r>
    </w:p>
    <w:p w14:paraId="2AA6B0F9" w14:textId="4A9EC0EF" w:rsidR="00B14AD9" w:rsidRPr="008C6AC4" w:rsidRDefault="00B14AD9" w:rsidP="00B14AD9">
      <w:pPr>
        <w:ind w:left="720"/>
        <w:rPr>
          <w:rFonts w:cs="Arial"/>
        </w:rPr>
      </w:pPr>
      <w:r w:rsidRPr="008C6AC4">
        <w:rPr>
          <w:rFonts w:cs="Arial"/>
        </w:rPr>
        <w:t xml:space="preserve">2.1 Structure of Glendale and La </w:t>
      </w:r>
      <w:r w:rsidR="006B6463" w:rsidRPr="008C6AC4">
        <w:rPr>
          <w:rFonts w:cs="Arial"/>
        </w:rPr>
        <w:t>Cañada</w:t>
      </w:r>
      <w:r w:rsidRPr="008C6AC4">
        <w:rPr>
          <w:rFonts w:cs="Arial"/>
        </w:rPr>
        <w:t xml:space="preserve"> Unified School Districts</w:t>
      </w:r>
    </w:p>
    <w:p w14:paraId="291E69B9" w14:textId="77777777" w:rsidR="00B14AD9" w:rsidRPr="008C6AC4" w:rsidRDefault="00B14AD9" w:rsidP="00B14AD9">
      <w:pPr>
        <w:ind w:left="720"/>
      </w:pPr>
    </w:p>
    <w:p w14:paraId="352D249E" w14:textId="03958186" w:rsidR="00FF296E" w:rsidRPr="008C6AC4" w:rsidRDefault="00B14AD9" w:rsidP="00FF296E">
      <w:pPr>
        <w:ind w:left="720"/>
      </w:pPr>
      <w:r w:rsidRPr="008C6AC4">
        <w:t>Glendale Unified School District was formed in 1936 and its governing board is elected by trustee area. The district serves the city of Glendale, portions of</w:t>
      </w:r>
      <w:r w:rsidR="009854B4" w:rsidRPr="008C6AC4">
        <w:t xml:space="preserve"> La</w:t>
      </w:r>
      <w:r w:rsidRPr="008C6AC4">
        <w:t xml:space="preserve"> </w:t>
      </w:r>
      <w:r w:rsidR="006B6463" w:rsidRPr="008C6AC4">
        <w:t>Cañada</w:t>
      </w:r>
      <w:r w:rsidRPr="008C6AC4">
        <w:t xml:space="preserve"> </w:t>
      </w:r>
      <w:r w:rsidR="006B6463" w:rsidRPr="008C6AC4">
        <w:t>Flintridge</w:t>
      </w:r>
      <w:r w:rsidRPr="008C6AC4">
        <w:t xml:space="preserve"> and other unincorporated communities. It has ten preschools, twenty elementary schools, four middle schools and four high schools serving approximately 24,000 students</w:t>
      </w:r>
      <w:proofErr w:type="gramStart"/>
      <w:r w:rsidRPr="008C6AC4">
        <w:t xml:space="preserve"> it</w:t>
      </w:r>
      <w:proofErr w:type="gramEnd"/>
      <w:r w:rsidRPr="008C6AC4">
        <w:t xml:space="preserve"> is the third largest district in Los Angeles County. By comparison, La Ca</w:t>
      </w:r>
      <w:r w:rsidR="009854B4" w:rsidRPr="008C6AC4">
        <w:t>ña</w:t>
      </w:r>
      <w:r w:rsidRPr="008C6AC4">
        <w:t xml:space="preserve">da Flintridge USD is a much smaller district. </w:t>
      </w:r>
      <w:r w:rsidR="00D1394C" w:rsidRPr="008C6AC4">
        <w:t>Initially f</w:t>
      </w:r>
      <w:r w:rsidRPr="008C6AC4">
        <w:t xml:space="preserve">ormed </w:t>
      </w:r>
      <w:r w:rsidR="00D1394C" w:rsidRPr="008C6AC4">
        <w:t xml:space="preserve">as an elementary school district </w:t>
      </w:r>
      <w:r w:rsidRPr="008C6AC4">
        <w:t>in 1885</w:t>
      </w:r>
      <w:r w:rsidR="00684906" w:rsidRPr="008C6AC4">
        <w:t>, and unified in 1961,</w:t>
      </w:r>
      <w:r w:rsidRPr="008C6AC4">
        <w:t xml:space="preserve"> with a governing board elected at large, it serves approximately 4,000 students with three elementary schools and one combined middle slash high school serving grades seven through twelve. See Table 2.1</w:t>
      </w:r>
      <w:r w:rsidR="00846743" w:rsidRPr="008C6AC4">
        <w:t xml:space="preserve"> below.</w:t>
      </w:r>
    </w:p>
    <w:p w14:paraId="61F4C439" w14:textId="77777777" w:rsidR="007A68FC" w:rsidRPr="008C6AC4" w:rsidRDefault="007A68FC" w:rsidP="00FF296E">
      <w:pPr>
        <w:ind w:left="720"/>
      </w:pPr>
    </w:p>
    <w:p w14:paraId="74D5585D" w14:textId="77777777" w:rsidR="007A68FC" w:rsidRPr="008C6AC4" w:rsidRDefault="007A68FC" w:rsidP="007A68FC">
      <w:pPr>
        <w:ind w:firstLine="720"/>
      </w:pPr>
      <w:r w:rsidRPr="008C6AC4">
        <w:t>2.2 Student Characteristics</w:t>
      </w:r>
    </w:p>
    <w:p w14:paraId="37ABE2E5" w14:textId="77777777" w:rsidR="007A68FC" w:rsidRPr="008C6AC4" w:rsidRDefault="007A68FC" w:rsidP="007A68FC"/>
    <w:p w14:paraId="00BA2EDE" w14:textId="21110CBD" w:rsidR="007A68FC" w:rsidRPr="008C6AC4" w:rsidRDefault="007A68FC" w:rsidP="007A68FC">
      <w:pPr>
        <w:ind w:left="720"/>
      </w:pPr>
      <w:r w:rsidRPr="008C6AC4">
        <w:t xml:space="preserve">In terms of racial / ethnic distribution, white students constitute the largest percentage of enrollment in both districts, but the composition of the other racial groups differ. For example, Glendale has 20% Hispanic or Latino students compared to just under 12% in La </w:t>
      </w:r>
      <w:r w:rsidR="006B6463" w:rsidRPr="008C6AC4">
        <w:t>Cañada</w:t>
      </w:r>
      <w:r w:rsidRPr="008C6AC4">
        <w:t xml:space="preserve">, while La </w:t>
      </w:r>
      <w:r w:rsidR="006B6463" w:rsidRPr="008C6AC4">
        <w:t>Cañada</w:t>
      </w:r>
      <w:r w:rsidRPr="008C6AC4">
        <w:t xml:space="preserve"> has 30% Asian students compared to Glendale’s 11.1%. The differences in the other ethnic categories </w:t>
      </w:r>
      <w:r w:rsidR="00E45740" w:rsidRPr="008C6AC4">
        <w:t>are</w:t>
      </w:r>
      <w:r w:rsidRPr="008C6AC4">
        <w:t xml:space="preserve"> not significant. See Table 2.2 below.</w:t>
      </w:r>
    </w:p>
    <w:p w14:paraId="2FC457F0" w14:textId="77777777" w:rsidR="007A68FC" w:rsidRPr="008C6AC4" w:rsidRDefault="007A68FC" w:rsidP="007A68FC">
      <w:pPr>
        <w:ind w:left="720"/>
      </w:pPr>
    </w:p>
    <w:p w14:paraId="4A864DFA" w14:textId="073CA16E" w:rsidR="007A68FC" w:rsidRPr="008C6AC4" w:rsidRDefault="007A68FC" w:rsidP="007A68FC">
      <w:pPr>
        <w:ind w:left="720"/>
      </w:pPr>
      <w:r w:rsidRPr="008C6AC4">
        <w:lastRenderedPageBreak/>
        <w:t xml:space="preserve">The percentage of foster youth and students with disabilities is consistent between the districts. It is notable that 2.3% of La </w:t>
      </w:r>
      <w:r w:rsidR="006B6463" w:rsidRPr="008C6AC4">
        <w:t>Cañada</w:t>
      </w:r>
      <w:r w:rsidRPr="008C6AC4">
        <w:t xml:space="preserve"> USD students are classified as English Language Learners (EL), while the number of EL students in Glendale USD is ten times higher. Similarly, Glendale USD reports 42.1% of Glendale USD students are socioeconomically disadvantaged while this same category of students is just 5.3% of La </w:t>
      </w:r>
      <w:r w:rsidR="006B6463" w:rsidRPr="008C6AC4">
        <w:t>Cañada</w:t>
      </w:r>
      <w:r w:rsidRPr="008C6AC4">
        <w:t>’s enrollment. See Table 2.3 below.</w:t>
      </w:r>
    </w:p>
    <w:p w14:paraId="6E938166" w14:textId="78186D05" w:rsidR="00B14AD9" w:rsidRPr="008C6AC4" w:rsidRDefault="00B14AD9" w:rsidP="00B14AD9"/>
    <w:p w14:paraId="00D84414" w14:textId="690B4E0A" w:rsidR="00B14AD9" w:rsidRPr="008C6AC4" w:rsidRDefault="00B14AD9" w:rsidP="00267ADE">
      <w:pPr>
        <w:pStyle w:val="ListParagraph"/>
        <w:ind w:left="0"/>
      </w:pPr>
      <w:r w:rsidRPr="008C6AC4">
        <w:t xml:space="preserve">Table 2.1 Structure of Glendale and La </w:t>
      </w:r>
      <w:r w:rsidR="006B6463" w:rsidRPr="008C6AC4">
        <w:t>Cañada</w:t>
      </w:r>
      <w:r w:rsidRPr="008C6AC4">
        <w:t xml:space="preserve"> Unified School Districts</w:t>
      </w:r>
    </w:p>
    <w:tbl>
      <w:tblPr>
        <w:tblStyle w:val="GridTable1Light"/>
        <w:tblW w:w="9900" w:type="dxa"/>
        <w:tblInd w:w="85" w:type="dxa"/>
        <w:tblLayout w:type="fixed"/>
        <w:tblLook w:val="04A0" w:firstRow="1" w:lastRow="0" w:firstColumn="1" w:lastColumn="0" w:noHBand="0" w:noVBand="1"/>
        <w:tblDescription w:val="Table 2.1 describes this general structure of Glendale Unified School District and la Canada Unified School District. Glendale USD was founded in 1936; board members are elected by trustee area. It serves the City of Glendale, a portion of  La Cañada Flintridge, and unincorporated communities of Montrose and La Crescenta. the district has 10 preschools, 20 elementary schools, 4 middle schools and four high schools. &#10;&#10;La Canada USD was formed in 1885; board members are elected At-Large. It serves the incorporated portions of the city of La Canada Flintridge. It has three elementary schools and one combined middle / high school serving grades 7 through 12. &#10;"/>
      </w:tblPr>
      <w:tblGrid>
        <w:gridCol w:w="1440"/>
        <w:gridCol w:w="1260"/>
        <w:gridCol w:w="2970"/>
        <w:gridCol w:w="1080"/>
        <w:gridCol w:w="1080"/>
        <w:gridCol w:w="990"/>
        <w:gridCol w:w="1080"/>
      </w:tblGrid>
      <w:tr w:rsidR="00FF296E" w:rsidRPr="008C6AC4" w14:paraId="1D05D925" w14:textId="77777777" w:rsidTr="00267ADE">
        <w:trPr>
          <w:cnfStyle w:val="100000000000" w:firstRow="1" w:lastRow="0" w:firstColumn="0" w:lastColumn="0" w:oddVBand="0" w:evenVBand="0" w:oddHBand="0" w:evenHBand="0" w:firstRowFirstColumn="0" w:firstRowLastColumn="0" w:lastRowFirstColumn="0" w:lastRowLastColumn="0"/>
          <w:cantSplit/>
          <w:trHeight w:val="305"/>
          <w:tblHeader/>
        </w:trPr>
        <w:tc>
          <w:tcPr>
            <w:cnfStyle w:val="001000000000" w:firstRow="0" w:lastRow="0" w:firstColumn="1" w:lastColumn="0" w:oddVBand="0" w:evenVBand="0" w:oddHBand="0" w:evenHBand="0" w:firstRowFirstColumn="0" w:firstRowLastColumn="0" w:lastRowFirstColumn="0" w:lastRowLastColumn="0"/>
            <w:tcW w:w="1440" w:type="dxa"/>
            <w:shd w:val="clear" w:color="auto" w:fill="E7E6E6" w:themeFill="background2"/>
            <w:vAlign w:val="center"/>
          </w:tcPr>
          <w:p w14:paraId="11AFFEA4" w14:textId="3E2654B7" w:rsidR="00B14AD9" w:rsidRPr="008C6AC4" w:rsidRDefault="00B14AD9" w:rsidP="00583249">
            <w:pPr>
              <w:spacing w:before="120" w:after="120"/>
              <w:ind w:right="-81"/>
              <w:jc w:val="center"/>
              <w:rPr>
                <w:b w:val="0"/>
                <w:bCs w:val="0"/>
              </w:rPr>
            </w:pPr>
            <w:r w:rsidRPr="008C6AC4">
              <w:rPr>
                <w:b w:val="0"/>
                <w:bCs w:val="0"/>
              </w:rPr>
              <w:t>District</w:t>
            </w:r>
            <w:r w:rsidR="00FF296E" w:rsidRPr="008C6AC4">
              <w:rPr>
                <w:b w:val="0"/>
                <w:bCs w:val="0"/>
              </w:rPr>
              <w:t>,</w:t>
            </w:r>
            <w:r w:rsidRPr="008C6AC4">
              <w:rPr>
                <w:b w:val="0"/>
                <w:bCs w:val="0"/>
              </w:rPr>
              <w:t xml:space="preserve"> Year Formed</w:t>
            </w:r>
          </w:p>
        </w:tc>
        <w:tc>
          <w:tcPr>
            <w:tcW w:w="1260" w:type="dxa"/>
            <w:shd w:val="clear" w:color="auto" w:fill="E7E6E6" w:themeFill="background2"/>
            <w:vAlign w:val="center"/>
          </w:tcPr>
          <w:p w14:paraId="27C882A4" w14:textId="77777777" w:rsidR="00B14AD9" w:rsidRPr="008C6AC4" w:rsidRDefault="00B14AD9" w:rsidP="00583249">
            <w:pPr>
              <w:spacing w:before="120" w:after="120"/>
              <w:jc w:val="center"/>
              <w:cnfStyle w:val="100000000000" w:firstRow="1" w:lastRow="0" w:firstColumn="0" w:lastColumn="0" w:oddVBand="0" w:evenVBand="0" w:oddHBand="0" w:evenHBand="0" w:firstRowFirstColumn="0" w:firstRowLastColumn="0" w:lastRowFirstColumn="0" w:lastRowLastColumn="0"/>
              <w:rPr>
                <w:b w:val="0"/>
                <w:bCs w:val="0"/>
              </w:rPr>
            </w:pPr>
            <w:r w:rsidRPr="008C6AC4">
              <w:rPr>
                <w:b w:val="0"/>
                <w:bCs w:val="0"/>
              </w:rPr>
              <w:t>Board Elected</w:t>
            </w:r>
          </w:p>
        </w:tc>
        <w:tc>
          <w:tcPr>
            <w:tcW w:w="2970" w:type="dxa"/>
            <w:shd w:val="clear" w:color="auto" w:fill="E7E6E6" w:themeFill="background2"/>
            <w:vAlign w:val="center"/>
          </w:tcPr>
          <w:p w14:paraId="524895BC" w14:textId="77777777" w:rsidR="00B14AD9" w:rsidRPr="008C6AC4" w:rsidRDefault="00B14AD9" w:rsidP="00583249">
            <w:pPr>
              <w:spacing w:before="120" w:after="120"/>
              <w:jc w:val="center"/>
              <w:cnfStyle w:val="100000000000" w:firstRow="1" w:lastRow="0" w:firstColumn="0" w:lastColumn="0" w:oddVBand="0" w:evenVBand="0" w:oddHBand="0" w:evenHBand="0" w:firstRowFirstColumn="0" w:firstRowLastColumn="0" w:lastRowFirstColumn="0" w:lastRowLastColumn="0"/>
              <w:rPr>
                <w:b w:val="0"/>
                <w:bCs w:val="0"/>
              </w:rPr>
            </w:pPr>
            <w:r w:rsidRPr="008C6AC4">
              <w:rPr>
                <w:b w:val="0"/>
                <w:bCs w:val="0"/>
              </w:rPr>
              <w:t>Areas served</w:t>
            </w:r>
          </w:p>
        </w:tc>
        <w:tc>
          <w:tcPr>
            <w:tcW w:w="1080" w:type="dxa"/>
            <w:shd w:val="clear" w:color="auto" w:fill="E7E6E6" w:themeFill="background2"/>
            <w:vAlign w:val="center"/>
          </w:tcPr>
          <w:p w14:paraId="45A52410" w14:textId="77777777" w:rsidR="00B14AD9" w:rsidRPr="008C6AC4" w:rsidRDefault="00B14AD9" w:rsidP="00583249">
            <w:pPr>
              <w:spacing w:before="120" w:after="120"/>
              <w:ind w:right="-201"/>
              <w:cnfStyle w:val="100000000000" w:firstRow="1" w:lastRow="0" w:firstColumn="0" w:lastColumn="0" w:oddVBand="0" w:evenVBand="0" w:oddHBand="0" w:evenHBand="0" w:firstRowFirstColumn="0" w:firstRowLastColumn="0" w:lastRowFirstColumn="0" w:lastRowLastColumn="0"/>
              <w:rPr>
                <w:b w:val="0"/>
                <w:bCs w:val="0"/>
              </w:rPr>
            </w:pPr>
            <w:r w:rsidRPr="008C6AC4">
              <w:rPr>
                <w:b w:val="0"/>
                <w:bCs w:val="0"/>
              </w:rPr>
              <w:t>Pre-schools</w:t>
            </w:r>
          </w:p>
        </w:tc>
        <w:tc>
          <w:tcPr>
            <w:tcW w:w="1080" w:type="dxa"/>
            <w:shd w:val="clear" w:color="auto" w:fill="E7E6E6" w:themeFill="background2"/>
            <w:vAlign w:val="center"/>
          </w:tcPr>
          <w:p w14:paraId="6B6560B0" w14:textId="77777777" w:rsidR="00B14AD9" w:rsidRPr="008C6AC4" w:rsidRDefault="00B14AD9" w:rsidP="00583249">
            <w:pPr>
              <w:spacing w:before="120" w:after="120"/>
              <w:jc w:val="center"/>
              <w:cnfStyle w:val="100000000000" w:firstRow="1" w:lastRow="0" w:firstColumn="0" w:lastColumn="0" w:oddVBand="0" w:evenVBand="0" w:oddHBand="0" w:evenHBand="0" w:firstRowFirstColumn="0" w:firstRowLastColumn="0" w:lastRowFirstColumn="0" w:lastRowLastColumn="0"/>
              <w:rPr>
                <w:b w:val="0"/>
                <w:bCs w:val="0"/>
              </w:rPr>
            </w:pPr>
            <w:r w:rsidRPr="008C6AC4">
              <w:rPr>
                <w:b w:val="0"/>
                <w:bCs w:val="0"/>
              </w:rPr>
              <w:t>Elem. Schools</w:t>
            </w:r>
          </w:p>
        </w:tc>
        <w:tc>
          <w:tcPr>
            <w:tcW w:w="990" w:type="dxa"/>
            <w:shd w:val="clear" w:color="auto" w:fill="E7E6E6" w:themeFill="background2"/>
            <w:vAlign w:val="center"/>
          </w:tcPr>
          <w:p w14:paraId="2B3B28D7" w14:textId="77777777" w:rsidR="00B14AD9" w:rsidRPr="008C6AC4" w:rsidRDefault="00B14AD9" w:rsidP="00583249">
            <w:pPr>
              <w:spacing w:before="120" w:after="120"/>
              <w:jc w:val="center"/>
              <w:cnfStyle w:val="100000000000" w:firstRow="1" w:lastRow="0" w:firstColumn="0" w:lastColumn="0" w:oddVBand="0" w:evenVBand="0" w:oddHBand="0" w:evenHBand="0" w:firstRowFirstColumn="0" w:firstRowLastColumn="0" w:lastRowFirstColumn="0" w:lastRowLastColumn="0"/>
              <w:rPr>
                <w:b w:val="0"/>
                <w:bCs w:val="0"/>
              </w:rPr>
            </w:pPr>
            <w:r w:rsidRPr="008C6AC4">
              <w:rPr>
                <w:b w:val="0"/>
                <w:bCs w:val="0"/>
              </w:rPr>
              <w:t>Middle School</w:t>
            </w:r>
          </w:p>
        </w:tc>
        <w:tc>
          <w:tcPr>
            <w:tcW w:w="1080" w:type="dxa"/>
            <w:shd w:val="clear" w:color="auto" w:fill="E7E6E6" w:themeFill="background2"/>
            <w:vAlign w:val="center"/>
          </w:tcPr>
          <w:p w14:paraId="179A7EF9" w14:textId="77777777" w:rsidR="00B14AD9" w:rsidRPr="008C6AC4" w:rsidRDefault="00B14AD9" w:rsidP="00583249">
            <w:pPr>
              <w:spacing w:before="120" w:after="120"/>
              <w:jc w:val="center"/>
              <w:cnfStyle w:val="100000000000" w:firstRow="1" w:lastRow="0" w:firstColumn="0" w:lastColumn="0" w:oddVBand="0" w:evenVBand="0" w:oddHBand="0" w:evenHBand="0" w:firstRowFirstColumn="0" w:firstRowLastColumn="0" w:lastRowFirstColumn="0" w:lastRowLastColumn="0"/>
              <w:rPr>
                <w:b w:val="0"/>
                <w:bCs w:val="0"/>
              </w:rPr>
            </w:pPr>
            <w:r w:rsidRPr="008C6AC4">
              <w:rPr>
                <w:b w:val="0"/>
                <w:bCs w:val="0"/>
              </w:rPr>
              <w:t>High Schools</w:t>
            </w:r>
          </w:p>
        </w:tc>
      </w:tr>
      <w:tr w:rsidR="00B14AD9" w:rsidRPr="008C6AC4" w14:paraId="0E998D89" w14:textId="77777777" w:rsidTr="00267ADE">
        <w:trPr>
          <w:cantSplit/>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04682D3F" w14:textId="77777777" w:rsidR="00B14AD9" w:rsidRPr="008C6AC4" w:rsidRDefault="00B14AD9" w:rsidP="00583249">
            <w:pPr>
              <w:spacing w:before="120"/>
            </w:pPr>
          </w:p>
          <w:p w14:paraId="2B9C8455" w14:textId="77777777" w:rsidR="00B14AD9" w:rsidRPr="008C6AC4" w:rsidRDefault="00B14AD9" w:rsidP="00583249">
            <w:pPr>
              <w:spacing w:before="120"/>
              <w:rPr>
                <w:b w:val="0"/>
                <w:bCs w:val="0"/>
              </w:rPr>
            </w:pPr>
            <w:r w:rsidRPr="008C6AC4">
              <w:rPr>
                <w:b w:val="0"/>
                <w:bCs w:val="0"/>
              </w:rPr>
              <w:t>Glendale USD, 1936</w:t>
            </w:r>
          </w:p>
        </w:tc>
        <w:tc>
          <w:tcPr>
            <w:tcW w:w="1260" w:type="dxa"/>
            <w:vAlign w:val="center"/>
          </w:tcPr>
          <w:p w14:paraId="2E8D7E6E" w14:textId="77777777" w:rsidR="00B14AD9" w:rsidRPr="008C6AC4" w:rsidRDefault="00B14AD9" w:rsidP="00583249">
            <w:pPr>
              <w:jc w:val="center"/>
              <w:cnfStyle w:val="000000000000" w:firstRow="0" w:lastRow="0" w:firstColumn="0" w:lastColumn="0" w:oddVBand="0" w:evenVBand="0" w:oddHBand="0" w:evenHBand="0" w:firstRowFirstColumn="0" w:firstRowLastColumn="0" w:lastRowFirstColumn="0" w:lastRowLastColumn="0"/>
            </w:pPr>
          </w:p>
          <w:p w14:paraId="05381BBB" w14:textId="77777777" w:rsidR="00B14AD9" w:rsidRPr="008C6AC4" w:rsidRDefault="00B14AD9" w:rsidP="00583249">
            <w:pPr>
              <w:jc w:val="center"/>
              <w:cnfStyle w:val="000000000000" w:firstRow="0" w:lastRow="0" w:firstColumn="0" w:lastColumn="0" w:oddVBand="0" w:evenVBand="0" w:oddHBand="0" w:evenHBand="0" w:firstRowFirstColumn="0" w:firstRowLastColumn="0" w:lastRowFirstColumn="0" w:lastRowLastColumn="0"/>
            </w:pPr>
          </w:p>
          <w:p w14:paraId="548C7946" w14:textId="77777777" w:rsidR="00B14AD9" w:rsidRPr="008C6AC4" w:rsidRDefault="00B14AD9" w:rsidP="00583249">
            <w:pPr>
              <w:jc w:val="center"/>
              <w:cnfStyle w:val="000000000000" w:firstRow="0" w:lastRow="0" w:firstColumn="0" w:lastColumn="0" w:oddVBand="0" w:evenVBand="0" w:oddHBand="0" w:evenHBand="0" w:firstRowFirstColumn="0" w:firstRowLastColumn="0" w:lastRowFirstColumn="0" w:lastRowLastColumn="0"/>
            </w:pPr>
            <w:r w:rsidRPr="008C6AC4">
              <w:t>By Trustee Area</w:t>
            </w:r>
          </w:p>
        </w:tc>
        <w:tc>
          <w:tcPr>
            <w:tcW w:w="2970" w:type="dxa"/>
            <w:vAlign w:val="center"/>
          </w:tcPr>
          <w:p w14:paraId="2C154FF1" w14:textId="77777777" w:rsidR="00B14AD9" w:rsidRPr="008C6AC4" w:rsidRDefault="00B14AD9" w:rsidP="00583249">
            <w:pPr>
              <w:jc w:val="center"/>
              <w:cnfStyle w:val="000000000000" w:firstRow="0" w:lastRow="0" w:firstColumn="0" w:lastColumn="0" w:oddVBand="0" w:evenVBand="0" w:oddHBand="0" w:evenHBand="0" w:firstRowFirstColumn="0" w:firstRowLastColumn="0" w:lastRowFirstColumn="0" w:lastRowLastColumn="0"/>
            </w:pPr>
            <w:r w:rsidRPr="008C6AC4">
              <w:t>City of Glendale, a portion of La Cañada Flintridge, and unincorporated communities of Montrose and La Crescenta.</w:t>
            </w:r>
          </w:p>
        </w:tc>
        <w:tc>
          <w:tcPr>
            <w:tcW w:w="1080" w:type="dxa"/>
            <w:vAlign w:val="center"/>
          </w:tcPr>
          <w:p w14:paraId="48A89E67" w14:textId="77777777" w:rsidR="00B14AD9" w:rsidRPr="008C6AC4" w:rsidRDefault="00B14AD9" w:rsidP="00583249">
            <w:pPr>
              <w:jc w:val="center"/>
              <w:cnfStyle w:val="000000000000" w:firstRow="0" w:lastRow="0" w:firstColumn="0" w:lastColumn="0" w:oddVBand="0" w:evenVBand="0" w:oddHBand="0" w:evenHBand="0" w:firstRowFirstColumn="0" w:firstRowLastColumn="0" w:lastRowFirstColumn="0" w:lastRowLastColumn="0"/>
            </w:pPr>
          </w:p>
          <w:p w14:paraId="07D1A4B2" w14:textId="77777777" w:rsidR="00B14AD9" w:rsidRPr="008C6AC4" w:rsidRDefault="00B14AD9" w:rsidP="00583249">
            <w:pPr>
              <w:jc w:val="center"/>
              <w:cnfStyle w:val="000000000000" w:firstRow="0" w:lastRow="0" w:firstColumn="0" w:lastColumn="0" w:oddVBand="0" w:evenVBand="0" w:oddHBand="0" w:evenHBand="0" w:firstRowFirstColumn="0" w:firstRowLastColumn="0" w:lastRowFirstColumn="0" w:lastRowLastColumn="0"/>
            </w:pPr>
            <w:r w:rsidRPr="008C6AC4">
              <w:t>10</w:t>
            </w:r>
          </w:p>
        </w:tc>
        <w:tc>
          <w:tcPr>
            <w:tcW w:w="1080" w:type="dxa"/>
            <w:vAlign w:val="center"/>
          </w:tcPr>
          <w:p w14:paraId="10A7FAE3" w14:textId="77777777" w:rsidR="00B14AD9" w:rsidRPr="008C6AC4" w:rsidRDefault="00B14AD9" w:rsidP="00583249">
            <w:pPr>
              <w:jc w:val="center"/>
              <w:cnfStyle w:val="000000000000" w:firstRow="0" w:lastRow="0" w:firstColumn="0" w:lastColumn="0" w:oddVBand="0" w:evenVBand="0" w:oddHBand="0" w:evenHBand="0" w:firstRowFirstColumn="0" w:firstRowLastColumn="0" w:lastRowFirstColumn="0" w:lastRowLastColumn="0"/>
            </w:pPr>
          </w:p>
          <w:p w14:paraId="17508F1D" w14:textId="77777777" w:rsidR="00B14AD9" w:rsidRPr="008C6AC4" w:rsidRDefault="00B14AD9" w:rsidP="00583249">
            <w:pPr>
              <w:jc w:val="center"/>
              <w:cnfStyle w:val="000000000000" w:firstRow="0" w:lastRow="0" w:firstColumn="0" w:lastColumn="0" w:oddVBand="0" w:evenVBand="0" w:oddHBand="0" w:evenHBand="0" w:firstRowFirstColumn="0" w:firstRowLastColumn="0" w:lastRowFirstColumn="0" w:lastRowLastColumn="0"/>
            </w:pPr>
            <w:r w:rsidRPr="008C6AC4">
              <w:t>20</w:t>
            </w:r>
          </w:p>
        </w:tc>
        <w:tc>
          <w:tcPr>
            <w:tcW w:w="990" w:type="dxa"/>
            <w:vAlign w:val="center"/>
          </w:tcPr>
          <w:p w14:paraId="088F0B4E" w14:textId="77777777" w:rsidR="00B14AD9" w:rsidRPr="008C6AC4" w:rsidRDefault="00B14AD9" w:rsidP="00583249">
            <w:pPr>
              <w:jc w:val="center"/>
              <w:cnfStyle w:val="000000000000" w:firstRow="0" w:lastRow="0" w:firstColumn="0" w:lastColumn="0" w:oddVBand="0" w:evenVBand="0" w:oddHBand="0" w:evenHBand="0" w:firstRowFirstColumn="0" w:firstRowLastColumn="0" w:lastRowFirstColumn="0" w:lastRowLastColumn="0"/>
            </w:pPr>
          </w:p>
          <w:p w14:paraId="72B1528D" w14:textId="77777777" w:rsidR="00B14AD9" w:rsidRPr="008C6AC4" w:rsidRDefault="00B14AD9" w:rsidP="00583249">
            <w:pPr>
              <w:jc w:val="center"/>
              <w:cnfStyle w:val="000000000000" w:firstRow="0" w:lastRow="0" w:firstColumn="0" w:lastColumn="0" w:oddVBand="0" w:evenVBand="0" w:oddHBand="0" w:evenHBand="0" w:firstRowFirstColumn="0" w:firstRowLastColumn="0" w:lastRowFirstColumn="0" w:lastRowLastColumn="0"/>
            </w:pPr>
            <w:r w:rsidRPr="008C6AC4">
              <w:t>4</w:t>
            </w:r>
          </w:p>
        </w:tc>
        <w:tc>
          <w:tcPr>
            <w:tcW w:w="1080" w:type="dxa"/>
            <w:vAlign w:val="center"/>
          </w:tcPr>
          <w:p w14:paraId="17B8D34D" w14:textId="77777777" w:rsidR="00B14AD9" w:rsidRPr="008C6AC4" w:rsidRDefault="00B14AD9" w:rsidP="00583249">
            <w:pPr>
              <w:jc w:val="center"/>
              <w:cnfStyle w:val="000000000000" w:firstRow="0" w:lastRow="0" w:firstColumn="0" w:lastColumn="0" w:oddVBand="0" w:evenVBand="0" w:oddHBand="0" w:evenHBand="0" w:firstRowFirstColumn="0" w:firstRowLastColumn="0" w:lastRowFirstColumn="0" w:lastRowLastColumn="0"/>
            </w:pPr>
          </w:p>
          <w:p w14:paraId="288EEFFD" w14:textId="77777777" w:rsidR="00B14AD9" w:rsidRPr="008C6AC4" w:rsidRDefault="00B14AD9" w:rsidP="00583249">
            <w:pPr>
              <w:jc w:val="center"/>
              <w:cnfStyle w:val="000000000000" w:firstRow="0" w:lastRow="0" w:firstColumn="0" w:lastColumn="0" w:oddVBand="0" w:evenVBand="0" w:oddHBand="0" w:evenHBand="0" w:firstRowFirstColumn="0" w:firstRowLastColumn="0" w:lastRowFirstColumn="0" w:lastRowLastColumn="0"/>
            </w:pPr>
            <w:r w:rsidRPr="008C6AC4">
              <w:t>4</w:t>
            </w:r>
          </w:p>
        </w:tc>
      </w:tr>
      <w:tr w:rsidR="001F0E9E" w:rsidRPr="008C6AC4" w14:paraId="58AA033A" w14:textId="77777777" w:rsidTr="001F0E9E">
        <w:trPr>
          <w:cantSplit/>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33D78554" w14:textId="18B05C36" w:rsidR="001F0E9E" w:rsidRPr="008C6AC4" w:rsidRDefault="001F0E9E" w:rsidP="00FF296E">
            <w:pPr>
              <w:spacing w:before="120"/>
              <w:jc w:val="center"/>
              <w:rPr>
                <w:b w:val="0"/>
                <w:bCs w:val="0"/>
              </w:rPr>
            </w:pPr>
            <w:r w:rsidRPr="008C6AC4">
              <w:rPr>
                <w:b w:val="0"/>
                <w:bCs w:val="0"/>
              </w:rPr>
              <w:t>La Cañada USD, 1885</w:t>
            </w:r>
          </w:p>
        </w:tc>
        <w:tc>
          <w:tcPr>
            <w:tcW w:w="1260" w:type="dxa"/>
            <w:vAlign w:val="center"/>
          </w:tcPr>
          <w:p w14:paraId="4788A469" w14:textId="77777777" w:rsidR="001F0E9E" w:rsidRPr="008C6AC4" w:rsidRDefault="001F0E9E" w:rsidP="00FF296E">
            <w:pPr>
              <w:jc w:val="center"/>
              <w:cnfStyle w:val="000000000000" w:firstRow="0" w:lastRow="0" w:firstColumn="0" w:lastColumn="0" w:oddVBand="0" w:evenVBand="0" w:oddHBand="0" w:evenHBand="0" w:firstRowFirstColumn="0" w:firstRowLastColumn="0" w:lastRowFirstColumn="0" w:lastRowLastColumn="0"/>
            </w:pPr>
            <w:r w:rsidRPr="008C6AC4">
              <w:t>At-Large</w:t>
            </w:r>
          </w:p>
        </w:tc>
        <w:tc>
          <w:tcPr>
            <w:tcW w:w="2970" w:type="dxa"/>
            <w:vAlign w:val="center"/>
          </w:tcPr>
          <w:p w14:paraId="19A23F23" w14:textId="77777777" w:rsidR="001F0E9E" w:rsidRPr="008C6AC4" w:rsidRDefault="001F0E9E" w:rsidP="00FF296E">
            <w:pPr>
              <w:jc w:val="center"/>
              <w:cnfStyle w:val="000000000000" w:firstRow="0" w:lastRow="0" w:firstColumn="0" w:lastColumn="0" w:oddVBand="0" w:evenVBand="0" w:oddHBand="0" w:evenHBand="0" w:firstRowFirstColumn="0" w:firstRowLastColumn="0" w:lastRowFirstColumn="0" w:lastRowLastColumn="0"/>
            </w:pPr>
            <w:r w:rsidRPr="008C6AC4">
              <w:t>Incorporated portions of La Cañada Flintridge</w:t>
            </w:r>
          </w:p>
        </w:tc>
        <w:tc>
          <w:tcPr>
            <w:tcW w:w="1080" w:type="dxa"/>
            <w:vAlign w:val="center"/>
          </w:tcPr>
          <w:p w14:paraId="005CD7E4" w14:textId="77777777" w:rsidR="001F0E9E" w:rsidRPr="008C6AC4" w:rsidRDefault="001F0E9E" w:rsidP="00583249">
            <w:pPr>
              <w:jc w:val="center"/>
              <w:cnfStyle w:val="000000000000" w:firstRow="0" w:lastRow="0" w:firstColumn="0" w:lastColumn="0" w:oddVBand="0" w:evenVBand="0" w:oddHBand="0" w:evenHBand="0" w:firstRowFirstColumn="0" w:firstRowLastColumn="0" w:lastRowFirstColumn="0" w:lastRowLastColumn="0"/>
            </w:pPr>
            <w:r w:rsidRPr="008C6AC4">
              <w:t>0</w:t>
            </w:r>
          </w:p>
        </w:tc>
        <w:tc>
          <w:tcPr>
            <w:tcW w:w="1080" w:type="dxa"/>
            <w:vAlign w:val="center"/>
          </w:tcPr>
          <w:p w14:paraId="04D305D2" w14:textId="77777777" w:rsidR="001F0E9E" w:rsidRPr="008C6AC4" w:rsidRDefault="001F0E9E" w:rsidP="00583249">
            <w:pPr>
              <w:jc w:val="center"/>
              <w:cnfStyle w:val="000000000000" w:firstRow="0" w:lastRow="0" w:firstColumn="0" w:lastColumn="0" w:oddVBand="0" w:evenVBand="0" w:oddHBand="0" w:evenHBand="0" w:firstRowFirstColumn="0" w:firstRowLastColumn="0" w:lastRowFirstColumn="0" w:lastRowLastColumn="0"/>
            </w:pPr>
            <w:r w:rsidRPr="008C6AC4">
              <w:t>3</w:t>
            </w:r>
          </w:p>
        </w:tc>
        <w:tc>
          <w:tcPr>
            <w:tcW w:w="990" w:type="dxa"/>
            <w:vAlign w:val="center"/>
          </w:tcPr>
          <w:p w14:paraId="26F597BC" w14:textId="0D67EA12" w:rsidR="001F0E9E" w:rsidRPr="008C6AC4" w:rsidRDefault="001F0E9E" w:rsidP="00583249">
            <w:pPr>
              <w:jc w:val="center"/>
              <w:cnfStyle w:val="000000000000" w:firstRow="0" w:lastRow="0" w:firstColumn="0" w:lastColumn="0" w:oddVBand="0" w:evenVBand="0" w:oddHBand="0" w:evenHBand="0" w:firstRowFirstColumn="0" w:firstRowLastColumn="0" w:lastRowFirstColumn="0" w:lastRowLastColumn="0"/>
            </w:pPr>
            <w:r w:rsidRPr="008C6AC4">
              <w:t>1*</w:t>
            </w:r>
          </w:p>
        </w:tc>
        <w:tc>
          <w:tcPr>
            <w:tcW w:w="1080" w:type="dxa"/>
            <w:vAlign w:val="center"/>
          </w:tcPr>
          <w:p w14:paraId="2E93016A" w14:textId="0D4061C5" w:rsidR="001F0E9E" w:rsidRPr="008C6AC4" w:rsidRDefault="001F0E9E" w:rsidP="00583249">
            <w:pPr>
              <w:jc w:val="center"/>
              <w:cnfStyle w:val="000000000000" w:firstRow="0" w:lastRow="0" w:firstColumn="0" w:lastColumn="0" w:oddVBand="0" w:evenVBand="0" w:oddHBand="0" w:evenHBand="0" w:firstRowFirstColumn="0" w:firstRowLastColumn="0" w:lastRowFirstColumn="0" w:lastRowLastColumn="0"/>
            </w:pPr>
            <w:r w:rsidRPr="008C6AC4">
              <w:t>1*</w:t>
            </w:r>
          </w:p>
        </w:tc>
      </w:tr>
    </w:tbl>
    <w:p w14:paraId="79F383E7" w14:textId="77777777" w:rsidR="001F0E9E" w:rsidRPr="008C6AC4" w:rsidRDefault="001F0E9E" w:rsidP="001F0E9E">
      <w:r w:rsidRPr="008C6AC4">
        <w:t>* La Canada Junior and Senior High Schools are a combined campus.</w:t>
      </w:r>
    </w:p>
    <w:p w14:paraId="626DAFF8" w14:textId="77777777" w:rsidR="00B14AD9" w:rsidRPr="008C6AC4" w:rsidRDefault="00B14AD9" w:rsidP="00B14AD9"/>
    <w:p w14:paraId="08763C6F" w14:textId="58D7D7F4" w:rsidR="00B14AD9" w:rsidRPr="008C6AC4" w:rsidRDefault="00B14AD9" w:rsidP="00B14AD9"/>
    <w:p w14:paraId="2183F042" w14:textId="467FB336" w:rsidR="00B14AD9" w:rsidRPr="008C6AC4" w:rsidRDefault="00B14AD9" w:rsidP="00267ADE">
      <w:r w:rsidRPr="008C6AC4">
        <w:t xml:space="preserve">Table 2.2 Enrollment of Glendale USD and La </w:t>
      </w:r>
      <w:r w:rsidR="006B6463" w:rsidRPr="008C6AC4">
        <w:t>Cañada</w:t>
      </w:r>
      <w:r w:rsidRPr="008C6AC4">
        <w:t xml:space="preserve"> USD by ethnicity / race</w:t>
      </w:r>
    </w:p>
    <w:tbl>
      <w:tblPr>
        <w:tblStyle w:val="GridTable1Light"/>
        <w:tblW w:w="9270" w:type="dxa"/>
        <w:tblInd w:w="85" w:type="dxa"/>
        <w:tblLayout w:type="fixed"/>
        <w:tblLook w:val="04A0" w:firstRow="1" w:lastRow="0" w:firstColumn="1" w:lastColumn="0" w:noHBand="0" w:noVBand="1"/>
        <w:tblDescription w:val="Table 2.2 illusrates the ethnic compositon of the two distrcits. Glendale USD's student enrollment is 59.3 percent white, 20.1 percent Hispanic or Latino, 11.1 percent Asian, 1.1 percent Black or African American, 4.6 percent American Indian/Alaska Native, Pacific Islander or Filipino, and 3.8 percent students of two or more races. La Canda USD's student enrollment is 43.4 percent White, 11.9 percent Hispanic or Latino, 30.6 percent Asian, .7 percent Black or African American, 2 percent American Indian/Alaska Native, Pacific Islander or Filipino, and 10.8 percent students of two or more races."/>
      </w:tblPr>
      <w:tblGrid>
        <w:gridCol w:w="1798"/>
        <w:gridCol w:w="989"/>
        <w:gridCol w:w="1259"/>
        <w:gridCol w:w="900"/>
        <w:gridCol w:w="1261"/>
        <w:gridCol w:w="1893"/>
        <w:gridCol w:w="1170"/>
      </w:tblGrid>
      <w:tr w:rsidR="00B14AD9" w:rsidRPr="008C6AC4" w14:paraId="4D308F28" w14:textId="77777777" w:rsidTr="00267ADE">
        <w:trPr>
          <w:cnfStyle w:val="100000000000" w:firstRow="1" w:lastRow="0" w:firstColumn="0" w:lastColumn="0" w:oddVBand="0" w:evenVBand="0" w:oddHBand="0" w:evenHBand="0" w:firstRowFirstColumn="0" w:firstRowLastColumn="0" w:lastRowFirstColumn="0" w:lastRowLastColumn="0"/>
          <w:cantSplit/>
          <w:trHeight w:val="1070"/>
          <w:tblHeader/>
        </w:trPr>
        <w:tc>
          <w:tcPr>
            <w:cnfStyle w:val="001000000000" w:firstRow="0" w:lastRow="0" w:firstColumn="1" w:lastColumn="0" w:oddVBand="0" w:evenVBand="0" w:oddHBand="0" w:evenHBand="0" w:firstRowFirstColumn="0" w:firstRowLastColumn="0" w:lastRowFirstColumn="0" w:lastRowLastColumn="0"/>
            <w:tcW w:w="1798" w:type="dxa"/>
            <w:shd w:val="clear" w:color="auto" w:fill="E7E6E6" w:themeFill="background2"/>
            <w:vAlign w:val="center"/>
          </w:tcPr>
          <w:p w14:paraId="5DA4CF05" w14:textId="77777777" w:rsidR="00B14AD9" w:rsidRPr="008C6AC4" w:rsidRDefault="00B14AD9" w:rsidP="00583249">
            <w:pPr>
              <w:spacing w:before="120" w:after="120"/>
              <w:jc w:val="center"/>
            </w:pPr>
            <w:r w:rsidRPr="008C6AC4">
              <w:rPr>
                <w:b w:val="0"/>
                <w:bCs w:val="0"/>
              </w:rPr>
              <w:t>District</w:t>
            </w:r>
          </w:p>
        </w:tc>
        <w:tc>
          <w:tcPr>
            <w:tcW w:w="989" w:type="dxa"/>
            <w:shd w:val="clear" w:color="auto" w:fill="E7E6E6" w:themeFill="background2"/>
            <w:vAlign w:val="center"/>
          </w:tcPr>
          <w:p w14:paraId="16A6D1C1" w14:textId="77777777" w:rsidR="00B14AD9" w:rsidRPr="008C6AC4" w:rsidRDefault="00B14AD9" w:rsidP="00583249">
            <w:pPr>
              <w:spacing w:before="120" w:after="120"/>
              <w:jc w:val="center"/>
              <w:cnfStyle w:val="100000000000" w:firstRow="1" w:lastRow="0" w:firstColumn="0" w:lastColumn="0" w:oddVBand="0" w:evenVBand="0" w:oddHBand="0" w:evenHBand="0" w:firstRowFirstColumn="0" w:firstRowLastColumn="0" w:lastRowFirstColumn="0" w:lastRowLastColumn="0"/>
              <w:rPr>
                <w:b w:val="0"/>
                <w:bCs w:val="0"/>
              </w:rPr>
            </w:pPr>
            <w:r w:rsidRPr="008C6AC4">
              <w:rPr>
                <w:b w:val="0"/>
                <w:bCs w:val="0"/>
              </w:rPr>
              <w:t>White</w:t>
            </w:r>
          </w:p>
        </w:tc>
        <w:tc>
          <w:tcPr>
            <w:tcW w:w="1259" w:type="dxa"/>
            <w:shd w:val="clear" w:color="auto" w:fill="E7E6E6" w:themeFill="background2"/>
            <w:vAlign w:val="center"/>
          </w:tcPr>
          <w:p w14:paraId="18C991E9" w14:textId="77777777" w:rsidR="00B14AD9" w:rsidRPr="008C6AC4" w:rsidRDefault="00B14AD9" w:rsidP="00583249">
            <w:pPr>
              <w:spacing w:before="120" w:after="120"/>
              <w:jc w:val="center"/>
              <w:cnfStyle w:val="100000000000" w:firstRow="1" w:lastRow="0" w:firstColumn="0" w:lastColumn="0" w:oddVBand="0" w:evenVBand="0" w:oddHBand="0" w:evenHBand="0" w:firstRowFirstColumn="0" w:firstRowLastColumn="0" w:lastRowFirstColumn="0" w:lastRowLastColumn="0"/>
              <w:rPr>
                <w:b w:val="0"/>
                <w:bCs w:val="0"/>
              </w:rPr>
            </w:pPr>
            <w:r w:rsidRPr="008C6AC4">
              <w:rPr>
                <w:b w:val="0"/>
                <w:bCs w:val="0"/>
              </w:rPr>
              <w:t>Hispanic or Latino</w:t>
            </w:r>
          </w:p>
        </w:tc>
        <w:tc>
          <w:tcPr>
            <w:tcW w:w="900" w:type="dxa"/>
            <w:shd w:val="clear" w:color="auto" w:fill="E7E6E6" w:themeFill="background2"/>
            <w:vAlign w:val="center"/>
          </w:tcPr>
          <w:p w14:paraId="07EF6559" w14:textId="77777777" w:rsidR="00B14AD9" w:rsidRPr="008C6AC4" w:rsidRDefault="00B14AD9" w:rsidP="00583249">
            <w:pPr>
              <w:spacing w:before="120" w:after="120"/>
              <w:jc w:val="center"/>
              <w:cnfStyle w:val="100000000000" w:firstRow="1" w:lastRow="0" w:firstColumn="0" w:lastColumn="0" w:oddVBand="0" w:evenVBand="0" w:oddHBand="0" w:evenHBand="0" w:firstRowFirstColumn="0" w:firstRowLastColumn="0" w:lastRowFirstColumn="0" w:lastRowLastColumn="0"/>
              <w:rPr>
                <w:b w:val="0"/>
                <w:bCs w:val="0"/>
              </w:rPr>
            </w:pPr>
            <w:r w:rsidRPr="008C6AC4">
              <w:rPr>
                <w:b w:val="0"/>
                <w:bCs w:val="0"/>
              </w:rPr>
              <w:t>Asian</w:t>
            </w:r>
          </w:p>
        </w:tc>
        <w:tc>
          <w:tcPr>
            <w:tcW w:w="1261" w:type="dxa"/>
            <w:shd w:val="clear" w:color="auto" w:fill="E7E6E6" w:themeFill="background2"/>
            <w:vAlign w:val="center"/>
          </w:tcPr>
          <w:p w14:paraId="060FC8AC" w14:textId="77777777" w:rsidR="00B14AD9" w:rsidRPr="008C6AC4" w:rsidRDefault="00B14AD9" w:rsidP="00583249">
            <w:pPr>
              <w:spacing w:before="120" w:after="120"/>
              <w:jc w:val="center"/>
              <w:cnfStyle w:val="100000000000" w:firstRow="1" w:lastRow="0" w:firstColumn="0" w:lastColumn="0" w:oddVBand="0" w:evenVBand="0" w:oddHBand="0" w:evenHBand="0" w:firstRowFirstColumn="0" w:firstRowLastColumn="0" w:lastRowFirstColumn="0" w:lastRowLastColumn="0"/>
              <w:rPr>
                <w:b w:val="0"/>
                <w:bCs w:val="0"/>
              </w:rPr>
            </w:pPr>
            <w:r w:rsidRPr="008C6AC4">
              <w:rPr>
                <w:b w:val="0"/>
                <w:bCs w:val="0"/>
              </w:rPr>
              <w:t>Black or African American</w:t>
            </w:r>
          </w:p>
        </w:tc>
        <w:tc>
          <w:tcPr>
            <w:tcW w:w="1893" w:type="dxa"/>
            <w:shd w:val="clear" w:color="auto" w:fill="E7E6E6" w:themeFill="background2"/>
          </w:tcPr>
          <w:p w14:paraId="269230F3" w14:textId="77777777" w:rsidR="00B14AD9" w:rsidRPr="008C6AC4" w:rsidRDefault="00B14AD9" w:rsidP="00583249">
            <w:pPr>
              <w:spacing w:before="120" w:after="120"/>
              <w:jc w:val="center"/>
              <w:cnfStyle w:val="100000000000" w:firstRow="1" w:lastRow="0" w:firstColumn="0" w:lastColumn="0" w:oddVBand="0" w:evenVBand="0" w:oddHBand="0" w:evenHBand="0" w:firstRowFirstColumn="0" w:firstRowLastColumn="0" w:lastRowFirstColumn="0" w:lastRowLastColumn="0"/>
              <w:rPr>
                <w:b w:val="0"/>
                <w:bCs w:val="0"/>
              </w:rPr>
            </w:pPr>
            <w:r w:rsidRPr="008C6AC4">
              <w:rPr>
                <w:b w:val="0"/>
                <w:bCs w:val="0"/>
              </w:rPr>
              <w:t>Am. Indian, Pacific Islander and Filipino</w:t>
            </w:r>
          </w:p>
        </w:tc>
        <w:tc>
          <w:tcPr>
            <w:tcW w:w="1170" w:type="dxa"/>
            <w:shd w:val="clear" w:color="auto" w:fill="E7E6E6" w:themeFill="background2"/>
            <w:vAlign w:val="center"/>
          </w:tcPr>
          <w:p w14:paraId="516C922C" w14:textId="77777777" w:rsidR="00B14AD9" w:rsidRPr="008C6AC4" w:rsidRDefault="00B14AD9" w:rsidP="00583249">
            <w:pPr>
              <w:spacing w:before="120" w:after="120"/>
              <w:jc w:val="center"/>
              <w:cnfStyle w:val="100000000000" w:firstRow="1" w:lastRow="0" w:firstColumn="0" w:lastColumn="0" w:oddVBand="0" w:evenVBand="0" w:oddHBand="0" w:evenHBand="0" w:firstRowFirstColumn="0" w:firstRowLastColumn="0" w:lastRowFirstColumn="0" w:lastRowLastColumn="0"/>
              <w:rPr>
                <w:b w:val="0"/>
                <w:bCs w:val="0"/>
              </w:rPr>
            </w:pPr>
            <w:r w:rsidRPr="008C6AC4">
              <w:rPr>
                <w:b w:val="0"/>
                <w:bCs w:val="0"/>
              </w:rPr>
              <w:t>Two or more races</w:t>
            </w:r>
          </w:p>
        </w:tc>
      </w:tr>
      <w:tr w:rsidR="00B14AD9" w:rsidRPr="008C6AC4" w14:paraId="0E02D051" w14:textId="77777777" w:rsidTr="00267ADE">
        <w:trPr>
          <w:cantSplit/>
        </w:trPr>
        <w:tc>
          <w:tcPr>
            <w:cnfStyle w:val="001000000000" w:firstRow="0" w:lastRow="0" w:firstColumn="1" w:lastColumn="0" w:oddVBand="0" w:evenVBand="0" w:oddHBand="0" w:evenHBand="0" w:firstRowFirstColumn="0" w:firstRowLastColumn="0" w:lastRowFirstColumn="0" w:lastRowLastColumn="0"/>
            <w:tcW w:w="1798" w:type="dxa"/>
          </w:tcPr>
          <w:p w14:paraId="5AF0BDF5" w14:textId="77777777" w:rsidR="00B14AD9" w:rsidRPr="008C6AC4" w:rsidRDefault="00B14AD9" w:rsidP="00583249">
            <w:pPr>
              <w:spacing w:before="120"/>
              <w:rPr>
                <w:b w:val="0"/>
                <w:bCs w:val="0"/>
              </w:rPr>
            </w:pPr>
            <w:r w:rsidRPr="008C6AC4">
              <w:rPr>
                <w:b w:val="0"/>
                <w:bCs w:val="0"/>
              </w:rPr>
              <w:t>Glendale USD</w:t>
            </w:r>
          </w:p>
        </w:tc>
        <w:tc>
          <w:tcPr>
            <w:tcW w:w="989" w:type="dxa"/>
            <w:vAlign w:val="center"/>
          </w:tcPr>
          <w:p w14:paraId="60B44455" w14:textId="77777777" w:rsidR="00B14AD9" w:rsidRPr="008C6AC4" w:rsidRDefault="00B14AD9" w:rsidP="00583249">
            <w:pPr>
              <w:jc w:val="center"/>
              <w:cnfStyle w:val="000000000000" w:firstRow="0" w:lastRow="0" w:firstColumn="0" w:lastColumn="0" w:oddVBand="0" w:evenVBand="0" w:oddHBand="0" w:evenHBand="0" w:firstRowFirstColumn="0" w:firstRowLastColumn="0" w:lastRowFirstColumn="0" w:lastRowLastColumn="0"/>
            </w:pPr>
            <w:r w:rsidRPr="008C6AC4">
              <w:t>59.3%</w:t>
            </w:r>
          </w:p>
        </w:tc>
        <w:tc>
          <w:tcPr>
            <w:tcW w:w="1259" w:type="dxa"/>
            <w:vAlign w:val="center"/>
          </w:tcPr>
          <w:p w14:paraId="7EAE5308" w14:textId="77777777" w:rsidR="00B14AD9" w:rsidRPr="008C6AC4" w:rsidRDefault="00B14AD9" w:rsidP="00583249">
            <w:pPr>
              <w:jc w:val="center"/>
              <w:cnfStyle w:val="000000000000" w:firstRow="0" w:lastRow="0" w:firstColumn="0" w:lastColumn="0" w:oddVBand="0" w:evenVBand="0" w:oddHBand="0" w:evenHBand="0" w:firstRowFirstColumn="0" w:firstRowLastColumn="0" w:lastRowFirstColumn="0" w:lastRowLastColumn="0"/>
            </w:pPr>
            <w:r w:rsidRPr="008C6AC4">
              <w:t>20.1%</w:t>
            </w:r>
          </w:p>
        </w:tc>
        <w:tc>
          <w:tcPr>
            <w:tcW w:w="900" w:type="dxa"/>
            <w:vAlign w:val="center"/>
          </w:tcPr>
          <w:p w14:paraId="00B4582A" w14:textId="77777777" w:rsidR="00B14AD9" w:rsidRPr="008C6AC4" w:rsidRDefault="00B14AD9" w:rsidP="00583249">
            <w:pPr>
              <w:jc w:val="center"/>
              <w:cnfStyle w:val="000000000000" w:firstRow="0" w:lastRow="0" w:firstColumn="0" w:lastColumn="0" w:oddVBand="0" w:evenVBand="0" w:oddHBand="0" w:evenHBand="0" w:firstRowFirstColumn="0" w:firstRowLastColumn="0" w:lastRowFirstColumn="0" w:lastRowLastColumn="0"/>
            </w:pPr>
            <w:r w:rsidRPr="008C6AC4">
              <w:t>11.1%</w:t>
            </w:r>
          </w:p>
        </w:tc>
        <w:tc>
          <w:tcPr>
            <w:tcW w:w="1261" w:type="dxa"/>
            <w:vAlign w:val="center"/>
          </w:tcPr>
          <w:p w14:paraId="21A6F949" w14:textId="77777777" w:rsidR="00B14AD9" w:rsidRPr="008C6AC4" w:rsidRDefault="00B14AD9" w:rsidP="00583249">
            <w:pPr>
              <w:jc w:val="center"/>
              <w:cnfStyle w:val="000000000000" w:firstRow="0" w:lastRow="0" w:firstColumn="0" w:lastColumn="0" w:oddVBand="0" w:evenVBand="0" w:oddHBand="0" w:evenHBand="0" w:firstRowFirstColumn="0" w:firstRowLastColumn="0" w:lastRowFirstColumn="0" w:lastRowLastColumn="0"/>
            </w:pPr>
            <w:r w:rsidRPr="008C6AC4">
              <w:t>1.1%</w:t>
            </w:r>
          </w:p>
        </w:tc>
        <w:tc>
          <w:tcPr>
            <w:tcW w:w="1893" w:type="dxa"/>
            <w:vAlign w:val="center"/>
          </w:tcPr>
          <w:p w14:paraId="1DB61793" w14:textId="77777777" w:rsidR="00B14AD9" w:rsidRPr="008C6AC4" w:rsidRDefault="00B14AD9" w:rsidP="00583249">
            <w:pPr>
              <w:jc w:val="center"/>
              <w:cnfStyle w:val="000000000000" w:firstRow="0" w:lastRow="0" w:firstColumn="0" w:lastColumn="0" w:oddVBand="0" w:evenVBand="0" w:oddHBand="0" w:evenHBand="0" w:firstRowFirstColumn="0" w:firstRowLastColumn="0" w:lastRowFirstColumn="0" w:lastRowLastColumn="0"/>
            </w:pPr>
            <w:r w:rsidRPr="008C6AC4">
              <w:t>4.6%</w:t>
            </w:r>
          </w:p>
        </w:tc>
        <w:tc>
          <w:tcPr>
            <w:tcW w:w="1170" w:type="dxa"/>
            <w:vAlign w:val="center"/>
          </w:tcPr>
          <w:p w14:paraId="6DB32E44" w14:textId="77777777" w:rsidR="00B14AD9" w:rsidRPr="008C6AC4" w:rsidRDefault="00B14AD9" w:rsidP="00583249">
            <w:pPr>
              <w:jc w:val="center"/>
              <w:cnfStyle w:val="000000000000" w:firstRow="0" w:lastRow="0" w:firstColumn="0" w:lastColumn="0" w:oddVBand="0" w:evenVBand="0" w:oddHBand="0" w:evenHBand="0" w:firstRowFirstColumn="0" w:firstRowLastColumn="0" w:lastRowFirstColumn="0" w:lastRowLastColumn="0"/>
            </w:pPr>
            <w:r w:rsidRPr="008C6AC4">
              <w:t>3.8%</w:t>
            </w:r>
          </w:p>
        </w:tc>
      </w:tr>
      <w:tr w:rsidR="00B14AD9" w:rsidRPr="008C6AC4" w14:paraId="4378EED2" w14:textId="77777777" w:rsidTr="00267ADE">
        <w:trPr>
          <w:cantSplit/>
        </w:trPr>
        <w:tc>
          <w:tcPr>
            <w:cnfStyle w:val="001000000000" w:firstRow="0" w:lastRow="0" w:firstColumn="1" w:lastColumn="0" w:oddVBand="0" w:evenVBand="0" w:oddHBand="0" w:evenHBand="0" w:firstRowFirstColumn="0" w:firstRowLastColumn="0" w:lastRowFirstColumn="0" w:lastRowLastColumn="0"/>
            <w:tcW w:w="1798" w:type="dxa"/>
          </w:tcPr>
          <w:p w14:paraId="1CFE7AFC" w14:textId="3DB09DBE" w:rsidR="00B14AD9" w:rsidRPr="008C6AC4" w:rsidRDefault="00B14AD9" w:rsidP="00583249">
            <w:pPr>
              <w:spacing w:before="120"/>
              <w:rPr>
                <w:b w:val="0"/>
                <w:bCs w:val="0"/>
              </w:rPr>
            </w:pPr>
            <w:r w:rsidRPr="008C6AC4">
              <w:rPr>
                <w:b w:val="0"/>
                <w:bCs w:val="0"/>
              </w:rPr>
              <w:t xml:space="preserve">La </w:t>
            </w:r>
            <w:r w:rsidR="006B6463" w:rsidRPr="008C6AC4">
              <w:rPr>
                <w:b w:val="0"/>
                <w:bCs w:val="0"/>
              </w:rPr>
              <w:t>Cañada</w:t>
            </w:r>
            <w:r w:rsidRPr="008C6AC4">
              <w:rPr>
                <w:b w:val="0"/>
                <w:bCs w:val="0"/>
              </w:rPr>
              <w:t xml:space="preserve"> USD</w:t>
            </w:r>
          </w:p>
        </w:tc>
        <w:tc>
          <w:tcPr>
            <w:tcW w:w="989" w:type="dxa"/>
            <w:vAlign w:val="center"/>
          </w:tcPr>
          <w:p w14:paraId="69C0DAEE" w14:textId="77777777" w:rsidR="00B14AD9" w:rsidRPr="008C6AC4" w:rsidRDefault="00B14AD9" w:rsidP="00583249">
            <w:pPr>
              <w:jc w:val="center"/>
              <w:cnfStyle w:val="000000000000" w:firstRow="0" w:lastRow="0" w:firstColumn="0" w:lastColumn="0" w:oddVBand="0" w:evenVBand="0" w:oddHBand="0" w:evenHBand="0" w:firstRowFirstColumn="0" w:firstRowLastColumn="0" w:lastRowFirstColumn="0" w:lastRowLastColumn="0"/>
            </w:pPr>
            <w:r w:rsidRPr="008C6AC4">
              <w:t>43.4%</w:t>
            </w:r>
          </w:p>
        </w:tc>
        <w:tc>
          <w:tcPr>
            <w:tcW w:w="1259" w:type="dxa"/>
            <w:vAlign w:val="center"/>
          </w:tcPr>
          <w:p w14:paraId="269BBDF2" w14:textId="77777777" w:rsidR="00B14AD9" w:rsidRPr="008C6AC4" w:rsidRDefault="00B14AD9" w:rsidP="00583249">
            <w:pPr>
              <w:jc w:val="center"/>
              <w:cnfStyle w:val="000000000000" w:firstRow="0" w:lastRow="0" w:firstColumn="0" w:lastColumn="0" w:oddVBand="0" w:evenVBand="0" w:oddHBand="0" w:evenHBand="0" w:firstRowFirstColumn="0" w:firstRowLastColumn="0" w:lastRowFirstColumn="0" w:lastRowLastColumn="0"/>
            </w:pPr>
            <w:r w:rsidRPr="008C6AC4">
              <w:t>11.9%</w:t>
            </w:r>
          </w:p>
        </w:tc>
        <w:tc>
          <w:tcPr>
            <w:tcW w:w="900" w:type="dxa"/>
            <w:vAlign w:val="center"/>
          </w:tcPr>
          <w:p w14:paraId="3FD2AC74" w14:textId="77777777" w:rsidR="00B14AD9" w:rsidRPr="008C6AC4" w:rsidRDefault="00B14AD9" w:rsidP="00583249">
            <w:pPr>
              <w:jc w:val="center"/>
              <w:cnfStyle w:val="000000000000" w:firstRow="0" w:lastRow="0" w:firstColumn="0" w:lastColumn="0" w:oddVBand="0" w:evenVBand="0" w:oddHBand="0" w:evenHBand="0" w:firstRowFirstColumn="0" w:firstRowLastColumn="0" w:lastRowFirstColumn="0" w:lastRowLastColumn="0"/>
            </w:pPr>
            <w:r w:rsidRPr="008C6AC4">
              <w:t>30.6%</w:t>
            </w:r>
          </w:p>
        </w:tc>
        <w:tc>
          <w:tcPr>
            <w:tcW w:w="1261" w:type="dxa"/>
            <w:vAlign w:val="center"/>
          </w:tcPr>
          <w:p w14:paraId="102EB92F" w14:textId="77777777" w:rsidR="00B14AD9" w:rsidRPr="008C6AC4" w:rsidRDefault="00B14AD9" w:rsidP="00583249">
            <w:pPr>
              <w:jc w:val="center"/>
              <w:cnfStyle w:val="000000000000" w:firstRow="0" w:lastRow="0" w:firstColumn="0" w:lastColumn="0" w:oddVBand="0" w:evenVBand="0" w:oddHBand="0" w:evenHBand="0" w:firstRowFirstColumn="0" w:firstRowLastColumn="0" w:lastRowFirstColumn="0" w:lastRowLastColumn="0"/>
            </w:pPr>
            <w:r w:rsidRPr="008C6AC4">
              <w:t>0.7%</w:t>
            </w:r>
          </w:p>
        </w:tc>
        <w:tc>
          <w:tcPr>
            <w:tcW w:w="1893" w:type="dxa"/>
            <w:vAlign w:val="center"/>
          </w:tcPr>
          <w:p w14:paraId="6B82E7C9" w14:textId="77777777" w:rsidR="00B14AD9" w:rsidRPr="008C6AC4" w:rsidRDefault="00B14AD9" w:rsidP="00583249">
            <w:pPr>
              <w:jc w:val="center"/>
              <w:cnfStyle w:val="000000000000" w:firstRow="0" w:lastRow="0" w:firstColumn="0" w:lastColumn="0" w:oddVBand="0" w:evenVBand="0" w:oddHBand="0" w:evenHBand="0" w:firstRowFirstColumn="0" w:firstRowLastColumn="0" w:lastRowFirstColumn="0" w:lastRowLastColumn="0"/>
            </w:pPr>
            <w:r w:rsidRPr="008C6AC4">
              <w:t>2.0%</w:t>
            </w:r>
          </w:p>
        </w:tc>
        <w:tc>
          <w:tcPr>
            <w:tcW w:w="1170" w:type="dxa"/>
            <w:vAlign w:val="center"/>
          </w:tcPr>
          <w:p w14:paraId="1802EE34" w14:textId="77777777" w:rsidR="00B14AD9" w:rsidRPr="008C6AC4" w:rsidRDefault="00B14AD9" w:rsidP="00583249">
            <w:pPr>
              <w:jc w:val="center"/>
              <w:cnfStyle w:val="000000000000" w:firstRow="0" w:lastRow="0" w:firstColumn="0" w:lastColumn="0" w:oddVBand="0" w:evenVBand="0" w:oddHBand="0" w:evenHBand="0" w:firstRowFirstColumn="0" w:firstRowLastColumn="0" w:lastRowFirstColumn="0" w:lastRowLastColumn="0"/>
            </w:pPr>
            <w:r w:rsidRPr="008C6AC4">
              <w:t>10.8%</w:t>
            </w:r>
          </w:p>
        </w:tc>
      </w:tr>
    </w:tbl>
    <w:p w14:paraId="116ED565" w14:textId="77777777" w:rsidR="00B14AD9" w:rsidRPr="008C6AC4" w:rsidRDefault="00B14AD9" w:rsidP="00267ADE">
      <w:pPr>
        <w:rPr>
          <w:i/>
        </w:rPr>
      </w:pPr>
      <w:r w:rsidRPr="008C6AC4">
        <w:t xml:space="preserve">* </w:t>
      </w:r>
      <w:r w:rsidRPr="008C6AC4">
        <w:rPr>
          <w:i/>
        </w:rPr>
        <w:t>Data is from CALPADS 2021-22 Enrollment data</w:t>
      </w:r>
    </w:p>
    <w:p w14:paraId="5205B9FF" w14:textId="52B0360A" w:rsidR="00B14AD9" w:rsidRPr="008C6AC4" w:rsidRDefault="00B14AD9" w:rsidP="00B14AD9"/>
    <w:p w14:paraId="4D160662" w14:textId="77777777" w:rsidR="000875EA" w:rsidRPr="008C6AC4" w:rsidRDefault="000875EA" w:rsidP="00B14AD9"/>
    <w:p w14:paraId="38D8929D" w14:textId="1207FDED" w:rsidR="00B14AD9" w:rsidRPr="008C6AC4" w:rsidRDefault="00B14AD9" w:rsidP="00267ADE">
      <w:r w:rsidRPr="008C6AC4">
        <w:t xml:space="preserve">Table 2.3 Unduplicated Count of Glendale and La </w:t>
      </w:r>
      <w:r w:rsidR="006B6463" w:rsidRPr="008C6AC4">
        <w:t>Cañada</w:t>
      </w:r>
      <w:r w:rsidRPr="008C6AC4">
        <w:t xml:space="preserve"> Unified School Districts</w:t>
      </w:r>
    </w:p>
    <w:tbl>
      <w:tblPr>
        <w:tblStyle w:val="GridTable1Light"/>
        <w:tblW w:w="9720" w:type="dxa"/>
        <w:tblInd w:w="85" w:type="dxa"/>
        <w:tblLayout w:type="fixed"/>
        <w:tblLook w:val="04A0" w:firstRow="1" w:lastRow="0" w:firstColumn="1" w:lastColumn="0" w:noHBand="0" w:noVBand="1"/>
        <w:tblDescription w:val="Tabel 2.3 reports the enrollment undupicaed count and number of student wiht disabilities. Glenda USD has 20.4 percent English learners, 42.1 percent socio-economically disadvantaged students, .2 percent foster youth, and 9 percent students with disabilities. La Canada USD has 2.3 percent English learners, 5.3 percent socio-economically disadvantaged students, a statistically insignificant number of foster youth,  and 8.5 percent students with disabilities. "/>
      </w:tblPr>
      <w:tblGrid>
        <w:gridCol w:w="1800"/>
        <w:gridCol w:w="2430"/>
        <w:gridCol w:w="2430"/>
        <w:gridCol w:w="1170"/>
        <w:gridCol w:w="1890"/>
      </w:tblGrid>
      <w:tr w:rsidR="00B14AD9" w:rsidRPr="008C6AC4" w14:paraId="44D037E0" w14:textId="77777777" w:rsidTr="00267ADE">
        <w:trPr>
          <w:cnfStyle w:val="100000000000" w:firstRow="1" w:lastRow="0" w:firstColumn="0" w:lastColumn="0" w:oddVBand="0" w:evenVBand="0" w:oddHBand="0" w:evenHBand="0" w:firstRowFirstColumn="0" w:firstRowLastColumn="0" w:lastRowFirstColumn="0" w:lastRowLastColumn="0"/>
          <w:cantSplit/>
          <w:trHeight w:val="305"/>
          <w:tblHeader/>
        </w:trPr>
        <w:tc>
          <w:tcPr>
            <w:cnfStyle w:val="001000000000" w:firstRow="0" w:lastRow="0" w:firstColumn="1" w:lastColumn="0" w:oddVBand="0" w:evenVBand="0" w:oddHBand="0" w:evenHBand="0" w:firstRowFirstColumn="0" w:firstRowLastColumn="0" w:lastRowFirstColumn="0" w:lastRowLastColumn="0"/>
            <w:tcW w:w="1800" w:type="dxa"/>
            <w:shd w:val="clear" w:color="auto" w:fill="E7E6E6" w:themeFill="background2"/>
            <w:vAlign w:val="center"/>
          </w:tcPr>
          <w:p w14:paraId="677D69AC" w14:textId="77777777" w:rsidR="00B14AD9" w:rsidRPr="008C6AC4" w:rsidRDefault="00B14AD9" w:rsidP="00583249">
            <w:pPr>
              <w:spacing w:before="120" w:after="120"/>
              <w:jc w:val="center"/>
              <w:rPr>
                <w:b w:val="0"/>
                <w:bCs w:val="0"/>
              </w:rPr>
            </w:pPr>
            <w:r w:rsidRPr="008C6AC4">
              <w:rPr>
                <w:b w:val="0"/>
                <w:bCs w:val="0"/>
              </w:rPr>
              <w:t>District</w:t>
            </w:r>
          </w:p>
        </w:tc>
        <w:tc>
          <w:tcPr>
            <w:tcW w:w="2430" w:type="dxa"/>
            <w:shd w:val="clear" w:color="auto" w:fill="E7E6E6" w:themeFill="background2"/>
            <w:vAlign w:val="center"/>
          </w:tcPr>
          <w:p w14:paraId="514BE71E" w14:textId="77777777" w:rsidR="00B14AD9" w:rsidRPr="008C6AC4" w:rsidRDefault="00B14AD9" w:rsidP="00583249">
            <w:pPr>
              <w:spacing w:before="120" w:after="120"/>
              <w:jc w:val="center"/>
              <w:cnfStyle w:val="100000000000" w:firstRow="1" w:lastRow="0" w:firstColumn="0" w:lastColumn="0" w:oddVBand="0" w:evenVBand="0" w:oddHBand="0" w:evenHBand="0" w:firstRowFirstColumn="0" w:firstRowLastColumn="0" w:lastRowFirstColumn="0" w:lastRowLastColumn="0"/>
              <w:rPr>
                <w:b w:val="0"/>
                <w:bCs w:val="0"/>
              </w:rPr>
            </w:pPr>
            <w:r w:rsidRPr="008C6AC4">
              <w:rPr>
                <w:b w:val="0"/>
                <w:bCs w:val="0"/>
              </w:rPr>
              <w:t>English Language Learners</w:t>
            </w:r>
          </w:p>
        </w:tc>
        <w:tc>
          <w:tcPr>
            <w:tcW w:w="2430" w:type="dxa"/>
            <w:shd w:val="clear" w:color="auto" w:fill="E7E6E6" w:themeFill="background2"/>
            <w:vAlign w:val="center"/>
          </w:tcPr>
          <w:p w14:paraId="67EE387F" w14:textId="77777777" w:rsidR="00B14AD9" w:rsidRPr="008C6AC4" w:rsidRDefault="00B14AD9" w:rsidP="00583249">
            <w:pPr>
              <w:spacing w:before="120" w:after="120"/>
              <w:jc w:val="center"/>
              <w:cnfStyle w:val="100000000000" w:firstRow="1" w:lastRow="0" w:firstColumn="0" w:lastColumn="0" w:oddVBand="0" w:evenVBand="0" w:oddHBand="0" w:evenHBand="0" w:firstRowFirstColumn="0" w:firstRowLastColumn="0" w:lastRowFirstColumn="0" w:lastRowLastColumn="0"/>
              <w:rPr>
                <w:b w:val="0"/>
                <w:bCs w:val="0"/>
              </w:rPr>
            </w:pPr>
            <w:r w:rsidRPr="008C6AC4">
              <w:rPr>
                <w:b w:val="0"/>
                <w:bCs w:val="0"/>
              </w:rPr>
              <w:t>Socio-economically disadvantaged</w:t>
            </w:r>
          </w:p>
        </w:tc>
        <w:tc>
          <w:tcPr>
            <w:tcW w:w="1170" w:type="dxa"/>
            <w:shd w:val="clear" w:color="auto" w:fill="E7E6E6" w:themeFill="background2"/>
            <w:vAlign w:val="center"/>
          </w:tcPr>
          <w:p w14:paraId="38FA4EBB" w14:textId="77777777" w:rsidR="00B14AD9" w:rsidRPr="008C6AC4" w:rsidRDefault="00B14AD9" w:rsidP="00583249">
            <w:pPr>
              <w:spacing w:before="120" w:after="120"/>
              <w:jc w:val="center"/>
              <w:cnfStyle w:val="100000000000" w:firstRow="1" w:lastRow="0" w:firstColumn="0" w:lastColumn="0" w:oddVBand="0" w:evenVBand="0" w:oddHBand="0" w:evenHBand="0" w:firstRowFirstColumn="0" w:firstRowLastColumn="0" w:lastRowFirstColumn="0" w:lastRowLastColumn="0"/>
              <w:rPr>
                <w:b w:val="0"/>
                <w:bCs w:val="0"/>
              </w:rPr>
            </w:pPr>
            <w:r w:rsidRPr="008C6AC4">
              <w:rPr>
                <w:b w:val="0"/>
                <w:bCs w:val="0"/>
              </w:rPr>
              <w:t>Foster Youth</w:t>
            </w:r>
          </w:p>
        </w:tc>
        <w:tc>
          <w:tcPr>
            <w:tcW w:w="1890" w:type="dxa"/>
            <w:shd w:val="clear" w:color="auto" w:fill="E7E6E6" w:themeFill="background2"/>
            <w:vAlign w:val="center"/>
          </w:tcPr>
          <w:p w14:paraId="75AB39AA" w14:textId="77777777" w:rsidR="00B14AD9" w:rsidRPr="008C6AC4" w:rsidRDefault="00B14AD9" w:rsidP="00583249">
            <w:pPr>
              <w:spacing w:before="120" w:after="120"/>
              <w:jc w:val="center"/>
              <w:cnfStyle w:val="100000000000" w:firstRow="1" w:lastRow="0" w:firstColumn="0" w:lastColumn="0" w:oddVBand="0" w:evenVBand="0" w:oddHBand="0" w:evenHBand="0" w:firstRowFirstColumn="0" w:firstRowLastColumn="0" w:lastRowFirstColumn="0" w:lastRowLastColumn="0"/>
              <w:rPr>
                <w:b w:val="0"/>
                <w:bCs w:val="0"/>
              </w:rPr>
            </w:pPr>
            <w:r w:rsidRPr="008C6AC4">
              <w:rPr>
                <w:b w:val="0"/>
                <w:bCs w:val="0"/>
              </w:rPr>
              <w:t>Students with Disabilities</w:t>
            </w:r>
          </w:p>
        </w:tc>
      </w:tr>
      <w:tr w:rsidR="00B14AD9" w:rsidRPr="008C6AC4" w14:paraId="7E0332C3" w14:textId="77777777" w:rsidTr="00267ADE">
        <w:trPr>
          <w:cantSplit/>
        </w:trPr>
        <w:tc>
          <w:tcPr>
            <w:cnfStyle w:val="001000000000" w:firstRow="0" w:lastRow="0" w:firstColumn="1" w:lastColumn="0" w:oddVBand="0" w:evenVBand="0" w:oddHBand="0" w:evenHBand="0" w:firstRowFirstColumn="0" w:firstRowLastColumn="0" w:lastRowFirstColumn="0" w:lastRowLastColumn="0"/>
            <w:tcW w:w="1800" w:type="dxa"/>
          </w:tcPr>
          <w:p w14:paraId="0177B14A" w14:textId="77777777" w:rsidR="00FF296E" w:rsidRPr="008C6AC4" w:rsidRDefault="00FF296E" w:rsidP="00583249">
            <w:pPr>
              <w:spacing w:before="120"/>
            </w:pPr>
          </w:p>
          <w:p w14:paraId="02FC75CE" w14:textId="4C5F5CCB" w:rsidR="00B14AD9" w:rsidRPr="008C6AC4" w:rsidRDefault="00B14AD9" w:rsidP="00583249">
            <w:pPr>
              <w:spacing w:before="120"/>
              <w:rPr>
                <w:b w:val="0"/>
                <w:bCs w:val="0"/>
              </w:rPr>
            </w:pPr>
            <w:r w:rsidRPr="008C6AC4">
              <w:rPr>
                <w:b w:val="0"/>
                <w:bCs w:val="0"/>
              </w:rPr>
              <w:t>Glendale USD</w:t>
            </w:r>
          </w:p>
        </w:tc>
        <w:tc>
          <w:tcPr>
            <w:tcW w:w="2430" w:type="dxa"/>
            <w:vAlign w:val="center"/>
          </w:tcPr>
          <w:p w14:paraId="2A4002C1" w14:textId="77777777" w:rsidR="00B14AD9" w:rsidRPr="008C6AC4" w:rsidRDefault="00B14AD9" w:rsidP="00583249">
            <w:pPr>
              <w:jc w:val="center"/>
              <w:cnfStyle w:val="000000000000" w:firstRow="0" w:lastRow="0" w:firstColumn="0" w:lastColumn="0" w:oddVBand="0" w:evenVBand="0" w:oddHBand="0" w:evenHBand="0" w:firstRowFirstColumn="0" w:firstRowLastColumn="0" w:lastRowFirstColumn="0" w:lastRowLastColumn="0"/>
            </w:pPr>
            <w:r w:rsidRPr="008C6AC4">
              <w:t>20.4%</w:t>
            </w:r>
          </w:p>
        </w:tc>
        <w:tc>
          <w:tcPr>
            <w:tcW w:w="2430" w:type="dxa"/>
            <w:vAlign w:val="center"/>
          </w:tcPr>
          <w:p w14:paraId="74B67251" w14:textId="77777777" w:rsidR="00B14AD9" w:rsidRPr="008C6AC4" w:rsidRDefault="00B14AD9" w:rsidP="00583249">
            <w:pPr>
              <w:jc w:val="center"/>
              <w:cnfStyle w:val="000000000000" w:firstRow="0" w:lastRow="0" w:firstColumn="0" w:lastColumn="0" w:oddVBand="0" w:evenVBand="0" w:oddHBand="0" w:evenHBand="0" w:firstRowFirstColumn="0" w:firstRowLastColumn="0" w:lastRowFirstColumn="0" w:lastRowLastColumn="0"/>
            </w:pPr>
            <w:r w:rsidRPr="008C6AC4">
              <w:t>42.1%</w:t>
            </w:r>
          </w:p>
        </w:tc>
        <w:tc>
          <w:tcPr>
            <w:tcW w:w="1170" w:type="dxa"/>
            <w:vAlign w:val="center"/>
          </w:tcPr>
          <w:p w14:paraId="164C73DB" w14:textId="77777777" w:rsidR="00B14AD9" w:rsidRPr="008C6AC4" w:rsidRDefault="00B14AD9" w:rsidP="00583249">
            <w:pPr>
              <w:jc w:val="center"/>
              <w:cnfStyle w:val="000000000000" w:firstRow="0" w:lastRow="0" w:firstColumn="0" w:lastColumn="0" w:oddVBand="0" w:evenVBand="0" w:oddHBand="0" w:evenHBand="0" w:firstRowFirstColumn="0" w:firstRowLastColumn="0" w:lastRowFirstColumn="0" w:lastRowLastColumn="0"/>
            </w:pPr>
            <w:r w:rsidRPr="008C6AC4">
              <w:t>0.2%</w:t>
            </w:r>
          </w:p>
        </w:tc>
        <w:tc>
          <w:tcPr>
            <w:tcW w:w="1890" w:type="dxa"/>
            <w:vAlign w:val="center"/>
          </w:tcPr>
          <w:p w14:paraId="0E0557BA" w14:textId="77777777" w:rsidR="00B14AD9" w:rsidRPr="008C6AC4" w:rsidRDefault="00B14AD9" w:rsidP="00583249">
            <w:pPr>
              <w:jc w:val="center"/>
              <w:cnfStyle w:val="000000000000" w:firstRow="0" w:lastRow="0" w:firstColumn="0" w:lastColumn="0" w:oddVBand="0" w:evenVBand="0" w:oddHBand="0" w:evenHBand="0" w:firstRowFirstColumn="0" w:firstRowLastColumn="0" w:lastRowFirstColumn="0" w:lastRowLastColumn="0"/>
            </w:pPr>
            <w:r w:rsidRPr="008C6AC4">
              <w:t>9.0%</w:t>
            </w:r>
          </w:p>
        </w:tc>
      </w:tr>
      <w:tr w:rsidR="00B14AD9" w:rsidRPr="008C6AC4" w14:paraId="5C846884" w14:textId="77777777" w:rsidTr="00267ADE">
        <w:trPr>
          <w:cantSplit/>
        </w:trPr>
        <w:tc>
          <w:tcPr>
            <w:cnfStyle w:val="001000000000" w:firstRow="0" w:lastRow="0" w:firstColumn="1" w:lastColumn="0" w:oddVBand="0" w:evenVBand="0" w:oddHBand="0" w:evenHBand="0" w:firstRowFirstColumn="0" w:firstRowLastColumn="0" w:lastRowFirstColumn="0" w:lastRowLastColumn="0"/>
            <w:tcW w:w="1800" w:type="dxa"/>
          </w:tcPr>
          <w:p w14:paraId="5BBF6BE2" w14:textId="759D3089" w:rsidR="00B14AD9" w:rsidRPr="008C6AC4" w:rsidRDefault="00B14AD9" w:rsidP="00583249">
            <w:pPr>
              <w:spacing w:before="120"/>
              <w:rPr>
                <w:b w:val="0"/>
                <w:bCs w:val="0"/>
              </w:rPr>
            </w:pPr>
            <w:r w:rsidRPr="008C6AC4">
              <w:rPr>
                <w:b w:val="0"/>
                <w:bCs w:val="0"/>
              </w:rPr>
              <w:lastRenderedPageBreak/>
              <w:t xml:space="preserve">La </w:t>
            </w:r>
            <w:r w:rsidR="006B6463" w:rsidRPr="008C6AC4">
              <w:rPr>
                <w:b w:val="0"/>
                <w:bCs w:val="0"/>
              </w:rPr>
              <w:t>Cañada</w:t>
            </w:r>
            <w:r w:rsidRPr="008C6AC4">
              <w:rPr>
                <w:b w:val="0"/>
                <w:bCs w:val="0"/>
              </w:rPr>
              <w:t xml:space="preserve"> USD</w:t>
            </w:r>
          </w:p>
        </w:tc>
        <w:tc>
          <w:tcPr>
            <w:tcW w:w="2430" w:type="dxa"/>
            <w:vAlign w:val="center"/>
          </w:tcPr>
          <w:p w14:paraId="599A9F7B" w14:textId="77777777" w:rsidR="00B14AD9" w:rsidRPr="008C6AC4" w:rsidRDefault="00B14AD9" w:rsidP="00583249">
            <w:pPr>
              <w:jc w:val="center"/>
              <w:cnfStyle w:val="000000000000" w:firstRow="0" w:lastRow="0" w:firstColumn="0" w:lastColumn="0" w:oddVBand="0" w:evenVBand="0" w:oddHBand="0" w:evenHBand="0" w:firstRowFirstColumn="0" w:firstRowLastColumn="0" w:lastRowFirstColumn="0" w:lastRowLastColumn="0"/>
            </w:pPr>
            <w:r w:rsidRPr="008C6AC4">
              <w:t>2.3%</w:t>
            </w:r>
          </w:p>
        </w:tc>
        <w:tc>
          <w:tcPr>
            <w:tcW w:w="2430" w:type="dxa"/>
            <w:vAlign w:val="center"/>
          </w:tcPr>
          <w:p w14:paraId="1BE51E7B" w14:textId="77777777" w:rsidR="00B14AD9" w:rsidRPr="008C6AC4" w:rsidRDefault="00B14AD9" w:rsidP="00583249">
            <w:pPr>
              <w:jc w:val="center"/>
              <w:cnfStyle w:val="000000000000" w:firstRow="0" w:lastRow="0" w:firstColumn="0" w:lastColumn="0" w:oddVBand="0" w:evenVBand="0" w:oddHBand="0" w:evenHBand="0" w:firstRowFirstColumn="0" w:firstRowLastColumn="0" w:lastRowFirstColumn="0" w:lastRowLastColumn="0"/>
            </w:pPr>
            <w:r w:rsidRPr="008C6AC4">
              <w:t>5.3%</w:t>
            </w:r>
          </w:p>
        </w:tc>
        <w:tc>
          <w:tcPr>
            <w:tcW w:w="1170" w:type="dxa"/>
            <w:vAlign w:val="center"/>
          </w:tcPr>
          <w:p w14:paraId="3FCF24A2" w14:textId="77777777" w:rsidR="00B14AD9" w:rsidRPr="008C6AC4" w:rsidRDefault="00B14AD9" w:rsidP="00583249">
            <w:pPr>
              <w:jc w:val="center"/>
              <w:cnfStyle w:val="000000000000" w:firstRow="0" w:lastRow="0" w:firstColumn="0" w:lastColumn="0" w:oddVBand="0" w:evenVBand="0" w:oddHBand="0" w:evenHBand="0" w:firstRowFirstColumn="0" w:firstRowLastColumn="0" w:lastRowFirstColumn="0" w:lastRowLastColumn="0"/>
            </w:pPr>
            <w:r w:rsidRPr="008C6AC4">
              <w:t>0.01%</w:t>
            </w:r>
          </w:p>
        </w:tc>
        <w:tc>
          <w:tcPr>
            <w:tcW w:w="1890" w:type="dxa"/>
            <w:vAlign w:val="center"/>
          </w:tcPr>
          <w:p w14:paraId="08BD2D6D" w14:textId="77777777" w:rsidR="00B14AD9" w:rsidRPr="008C6AC4" w:rsidRDefault="00B14AD9" w:rsidP="00583249">
            <w:pPr>
              <w:jc w:val="center"/>
              <w:cnfStyle w:val="000000000000" w:firstRow="0" w:lastRow="0" w:firstColumn="0" w:lastColumn="0" w:oddVBand="0" w:evenVBand="0" w:oddHBand="0" w:evenHBand="0" w:firstRowFirstColumn="0" w:firstRowLastColumn="0" w:lastRowFirstColumn="0" w:lastRowLastColumn="0"/>
            </w:pPr>
            <w:r w:rsidRPr="008C6AC4">
              <w:t>8.5%</w:t>
            </w:r>
          </w:p>
        </w:tc>
      </w:tr>
    </w:tbl>
    <w:p w14:paraId="5EAA7973" w14:textId="7F77F278" w:rsidR="00B14AD9" w:rsidRPr="008C6AC4" w:rsidRDefault="00B14AD9" w:rsidP="00267ADE">
      <w:r w:rsidRPr="008C6AC4">
        <w:t xml:space="preserve">* </w:t>
      </w:r>
      <w:r w:rsidRPr="008C6AC4">
        <w:rPr>
          <w:i/>
          <w:iCs/>
        </w:rPr>
        <w:t>Data is from CALPADS 2021-22 Enrollment data</w:t>
      </w:r>
    </w:p>
    <w:p w14:paraId="5F3BB22F" w14:textId="34B65E10" w:rsidR="007F5AD1" w:rsidRPr="008C6AC4" w:rsidRDefault="007F5AD1" w:rsidP="00134FED">
      <w:pPr>
        <w:pStyle w:val="Heading3"/>
        <w:numPr>
          <w:ilvl w:val="1"/>
          <w:numId w:val="29"/>
        </w:numPr>
        <w:ind w:left="1080" w:hanging="630"/>
      </w:pPr>
      <w:r w:rsidRPr="008C6AC4">
        <w:t>Initiation of the Proposal</w:t>
      </w:r>
    </w:p>
    <w:p w14:paraId="102FAE50" w14:textId="229ED9CB" w:rsidR="007F5AD1" w:rsidRPr="008C6AC4" w:rsidRDefault="00B14AD9" w:rsidP="3DE5E80C">
      <w:pPr>
        <w:ind w:left="1080"/>
      </w:pPr>
      <w:r w:rsidRPr="008C6AC4">
        <w:t>Residents</w:t>
      </w:r>
      <w:r w:rsidR="5B018FD9" w:rsidRPr="008C6AC4">
        <w:t xml:space="preserve"> of the territory proposed for transfer (known as the “</w:t>
      </w:r>
      <w:r w:rsidR="1CBCF85A" w:rsidRPr="008C6AC4">
        <w:t>Sagebrush</w:t>
      </w:r>
      <w:r w:rsidR="5B018FD9" w:rsidRPr="008C6AC4">
        <w:t xml:space="preserve"> territory”)</w:t>
      </w:r>
      <w:r w:rsidR="1CBCF85A" w:rsidRPr="008C6AC4">
        <w:t xml:space="preserve"> submitted </w:t>
      </w:r>
      <w:r w:rsidR="4C9A6607" w:rsidRPr="008C6AC4">
        <w:t xml:space="preserve">the signatures of </w:t>
      </w:r>
      <w:r w:rsidR="5B018FD9" w:rsidRPr="008C6AC4">
        <w:t>at least 25 percent of the registered voters in the community to transfer the territory from Glendale USD to La Cañada USD to the County Committee on November</w:t>
      </w:r>
      <w:r w:rsidR="1CBCF85A" w:rsidRPr="008C6AC4">
        <w:t xml:space="preserve"> 23, 2015.</w:t>
      </w:r>
      <w:r w:rsidR="5B018FD9" w:rsidRPr="008C6AC4">
        <w:t xml:space="preserve"> Public hearings were held in La Cañada USD on October 26, </w:t>
      </w:r>
      <w:r w:rsidR="2AA32142" w:rsidRPr="008C6AC4">
        <w:t>2016,</w:t>
      </w:r>
      <w:r w:rsidR="5B018FD9" w:rsidRPr="008C6AC4">
        <w:t xml:space="preserve"> and Glendale USD on November 2, 2016. La Cañada USD supported the Petition, while Glendale USD opposed the </w:t>
      </w:r>
      <w:r w:rsidR="3FA12DAB" w:rsidRPr="008C6AC4">
        <w:t>P</w:t>
      </w:r>
      <w:r w:rsidR="5B018FD9" w:rsidRPr="008C6AC4">
        <w:t>etition.</w:t>
      </w:r>
      <w:r w:rsidR="33617127" w:rsidRPr="008C6AC4">
        <w:t xml:space="preserve"> A resolution re-affirming the support of the La Cañada USD was approved on </w:t>
      </w:r>
      <w:r w:rsidR="1F771888" w:rsidRPr="008C6AC4">
        <w:t xml:space="preserve">January 17, </w:t>
      </w:r>
      <w:proofErr w:type="gramStart"/>
      <w:r w:rsidR="1F771888" w:rsidRPr="008C6AC4">
        <w:t>2023</w:t>
      </w:r>
      <w:proofErr w:type="gramEnd"/>
      <w:r w:rsidR="00684906" w:rsidRPr="008C6AC4">
        <w:t xml:space="preserve"> </w:t>
      </w:r>
      <w:bookmarkStart w:id="5" w:name="_Hlk154748095"/>
      <w:r w:rsidR="00684906" w:rsidRPr="008C6AC4">
        <w:t>and verbally reaffirmed at a joint city/school district meeting on December 5, 2023</w:t>
      </w:r>
      <w:bookmarkEnd w:id="5"/>
      <w:r w:rsidR="1F771888" w:rsidRPr="008C6AC4">
        <w:t>.</w:t>
      </w:r>
    </w:p>
    <w:p w14:paraId="103EE27F" w14:textId="77777777" w:rsidR="007F5AD1" w:rsidRPr="008C6AC4" w:rsidRDefault="007F5AD1" w:rsidP="00134FED">
      <w:pPr>
        <w:pStyle w:val="Heading3"/>
        <w:numPr>
          <w:ilvl w:val="1"/>
          <w:numId w:val="29"/>
        </w:numPr>
        <w:ind w:left="1080"/>
      </w:pPr>
      <w:r w:rsidRPr="008C6AC4">
        <w:t>County Superintendent Review of the Petition</w:t>
      </w:r>
    </w:p>
    <w:p w14:paraId="72AB0750" w14:textId="4D90EF3D" w:rsidR="00DC33A2" w:rsidRPr="008C6AC4" w:rsidRDefault="5B018FD9" w:rsidP="00DC33A2">
      <w:pPr>
        <w:pStyle w:val="ListParagraph"/>
        <w:ind w:left="1080"/>
      </w:pPr>
      <w:r w:rsidRPr="008C6AC4">
        <w:t xml:space="preserve">The County Superintendent determined the sufficiency of the petition as required by and pursuant to the authority granted under </w:t>
      </w:r>
      <w:r w:rsidRPr="008C6AC4">
        <w:rPr>
          <w:i/>
          <w:iCs/>
        </w:rPr>
        <w:t>EC</w:t>
      </w:r>
      <w:r w:rsidRPr="008C6AC4">
        <w:t xml:space="preserve"> Section 35704, including identification of the </w:t>
      </w:r>
      <w:r w:rsidR="2ED625EE" w:rsidRPr="008C6AC4">
        <w:t>territory to be transferred</w:t>
      </w:r>
      <w:r w:rsidRPr="008C6AC4">
        <w:t>. Th</w:t>
      </w:r>
      <w:r w:rsidR="417BA582" w:rsidRPr="008C6AC4">
        <w:t>is</w:t>
      </w:r>
      <w:r w:rsidRPr="008C6AC4">
        <w:t xml:space="preserve"> territory</w:t>
      </w:r>
      <w:r w:rsidR="5D5F49E1" w:rsidRPr="008C6AC4">
        <w:t xml:space="preserve"> </w:t>
      </w:r>
      <w:r w:rsidRPr="008C6AC4">
        <w:t>is located within the boundaries of G</w:t>
      </w:r>
      <w:r w:rsidR="4505815F" w:rsidRPr="008C6AC4">
        <w:t xml:space="preserve">lendale </w:t>
      </w:r>
      <w:r w:rsidRPr="008C6AC4">
        <w:t>USD and falls within the municipal boundaries of the city of La Cañada Flintridge. Averaging two miles long and 2,061 feet wide, the Sagebrush territory is approximately 386 acres and contains approximately 879 parcels. The Territory is generally bounded on the south by Foothill Boulevard, on the west and north by the Pickens Canyon Wash, and on the east by Rosebank Drive.</w:t>
      </w:r>
      <w:r w:rsidR="7C3BA11A" w:rsidRPr="008C6AC4">
        <w:t xml:space="preserve"> (See Figure 1 below)</w:t>
      </w:r>
      <w:r w:rsidRPr="008C6AC4">
        <w:t xml:space="preserve"> At the time of the petition</w:t>
      </w:r>
      <w:r w:rsidR="7C3BA11A" w:rsidRPr="008C6AC4">
        <w:t>’s submission, a</w:t>
      </w:r>
      <w:r w:rsidRPr="008C6AC4">
        <w:t xml:space="preserve">pproximately 360 students </w:t>
      </w:r>
      <w:r w:rsidR="7C3BA11A" w:rsidRPr="008C6AC4">
        <w:t>resided in the petition area and</w:t>
      </w:r>
      <w:r w:rsidRPr="008C6AC4">
        <w:t xml:space="preserve"> attend</w:t>
      </w:r>
      <w:r w:rsidR="7C3BA11A" w:rsidRPr="008C6AC4">
        <w:t>ed</w:t>
      </w:r>
      <w:r w:rsidRPr="008C6AC4">
        <w:t xml:space="preserve"> </w:t>
      </w:r>
      <w:r w:rsidR="0A4FCC0B" w:rsidRPr="008C6AC4">
        <w:t>G</w:t>
      </w:r>
      <w:r w:rsidR="612DCC05" w:rsidRPr="008C6AC4">
        <w:t>lendale</w:t>
      </w:r>
      <w:r w:rsidR="0A4FCC0B" w:rsidRPr="008C6AC4">
        <w:t xml:space="preserve"> USD</w:t>
      </w:r>
      <w:r w:rsidRPr="008C6AC4">
        <w:t xml:space="preserve"> schools</w:t>
      </w:r>
      <w:r w:rsidR="7C3BA11A" w:rsidRPr="008C6AC4">
        <w:t xml:space="preserve">. That number has subsequently declined, which will be addressed at greater length in Attachment </w:t>
      </w:r>
      <w:r w:rsidR="73C40409" w:rsidRPr="008C6AC4">
        <w:t>2</w:t>
      </w:r>
      <w:r w:rsidR="7C3BA11A" w:rsidRPr="008C6AC4">
        <w:t>.</w:t>
      </w:r>
      <w:r w:rsidR="00DC33A2" w:rsidRPr="008C6AC4">
        <w:br/>
      </w:r>
    </w:p>
    <w:p w14:paraId="5FDEBB34" w14:textId="6D675F51" w:rsidR="00DC33A2" w:rsidRPr="008C6AC4" w:rsidRDefault="5B018FD9" w:rsidP="1399E1F1">
      <w:pPr>
        <w:ind w:left="1080"/>
      </w:pPr>
      <w:r w:rsidRPr="008C6AC4">
        <w:t xml:space="preserve">County Committee </w:t>
      </w:r>
      <w:r w:rsidR="7C3BA11A" w:rsidRPr="008C6AC4">
        <w:t>s</w:t>
      </w:r>
      <w:r w:rsidRPr="008C6AC4">
        <w:t xml:space="preserve">taff recommended that the County Committee deny the </w:t>
      </w:r>
      <w:r w:rsidR="7C3BA11A" w:rsidRPr="008C6AC4">
        <w:t>p</w:t>
      </w:r>
      <w:r w:rsidRPr="008C6AC4">
        <w:t xml:space="preserve">etition. The County Committee </w:t>
      </w:r>
      <w:r w:rsidR="7C3BA11A" w:rsidRPr="008C6AC4">
        <w:t>s</w:t>
      </w:r>
      <w:r w:rsidRPr="008C6AC4">
        <w:t xml:space="preserve">taff </w:t>
      </w:r>
      <w:r w:rsidR="7C3BA11A" w:rsidRPr="008C6AC4">
        <w:t>r</w:t>
      </w:r>
      <w:r w:rsidRPr="008C6AC4">
        <w:t xml:space="preserve">eport specifically found that the </w:t>
      </w:r>
      <w:r w:rsidR="1A2DC4F2" w:rsidRPr="008C6AC4">
        <w:t>P</w:t>
      </w:r>
      <w:r w:rsidRPr="008C6AC4">
        <w:t xml:space="preserve">etition </w:t>
      </w:r>
      <w:r w:rsidR="2EF81A9A" w:rsidRPr="008C6AC4">
        <w:t xml:space="preserve">met Conditions </w:t>
      </w:r>
      <w:r w:rsidR="288292CC" w:rsidRPr="008C6AC4">
        <w:t>1, 4, 6, and 8, while not substantially meeting</w:t>
      </w:r>
      <w:r w:rsidRPr="008C6AC4">
        <w:t xml:space="preserve"> Conditions 2, 3, 5, 7, and 9. Because the </w:t>
      </w:r>
      <w:r w:rsidR="7723172D" w:rsidRPr="008C6AC4">
        <w:t>P</w:t>
      </w:r>
      <w:r w:rsidRPr="008C6AC4">
        <w:t xml:space="preserve">etition failed to substantially meet all nine </w:t>
      </w:r>
      <w:r w:rsidR="7C3BA11A" w:rsidRPr="008C6AC4">
        <w:t>c</w:t>
      </w:r>
      <w:r w:rsidRPr="008C6AC4">
        <w:t xml:space="preserve">onditions, County Committee </w:t>
      </w:r>
      <w:r w:rsidR="7C3BA11A" w:rsidRPr="008C6AC4">
        <w:t>s</w:t>
      </w:r>
      <w:r w:rsidRPr="008C6AC4">
        <w:t>taff recommend</w:t>
      </w:r>
      <w:r w:rsidR="7C3BA11A" w:rsidRPr="008C6AC4">
        <w:t>ed</w:t>
      </w:r>
      <w:r w:rsidRPr="008C6AC4">
        <w:t xml:space="preserve"> that the County Committee deny the </w:t>
      </w:r>
      <w:r w:rsidR="7C3BA11A" w:rsidRPr="008C6AC4">
        <w:t>p</w:t>
      </w:r>
      <w:r w:rsidRPr="008C6AC4">
        <w:t xml:space="preserve">etition. </w:t>
      </w:r>
      <w:r w:rsidR="01F8E845" w:rsidRPr="008C6AC4">
        <w:t xml:space="preserve">At an initial </w:t>
      </w:r>
      <w:r w:rsidR="288292CC" w:rsidRPr="008C6AC4">
        <w:t xml:space="preserve">hearing on May 3, 2017, the </w:t>
      </w:r>
      <w:r w:rsidR="01F8E845" w:rsidRPr="008C6AC4">
        <w:t>County Committee</w:t>
      </w:r>
      <w:r w:rsidR="288292CC" w:rsidRPr="008C6AC4">
        <w:t xml:space="preserve"> held a series of votes on each of the 9 conditions.</w:t>
      </w:r>
      <w:r w:rsidR="01F8E845" w:rsidRPr="008C6AC4">
        <w:t xml:space="preserve"> </w:t>
      </w:r>
      <w:r w:rsidR="0E1679EA" w:rsidRPr="008C6AC4">
        <w:t xml:space="preserve">They found that all conditions except for Condition </w:t>
      </w:r>
      <w:r w:rsidR="6D839823" w:rsidRPr="008C6AC4">
        <w:t>7</w:t>
      </w:r>
      <w:r w:rsidR="0E1679EA" w:rsidRPr="008C6AC4">
        <w:t xml:space="preserve"> were substantially met. After discussing </w:t>
      </w:r>
      <w:proofErr w:type="gramStart"/>
      <w:r w:rsidR="0E1679EA" w:rsidRPr="008C6AC4">
        <w:t>whether or not</w:t>
      </w:r>
      <w:proofErr w:type="gramEnd"/>
      <w:r w:rsidR="0E1679EA" w:rsidRPr="008C6AC4">
        <w:t xml:space="preserve"> the County Committee had the ability to approve the </w:t>
      </w:r>
      <w:r w:rsidR="7AA0D164" w:rsidRPr="008C6AC4">
        <w:t>P</w:t>
      </w:r>
      <w:r w:rsidR="0E1679EA" w:rsidRPr="008C6AC4">
        <w:t xml:space="preserve">etition if not all conditions were substantially met, an initial motion to approve the </w:t>
      </w:r>
      <w:r w:rsidR="0E1679EA" w:rsidRPr="008C6AC4">
        <w:lastRenderedPageBreak/>
        <w:t xml:space="preserve">petition was withdrawn. </w:t>
      </w:r>
      <w:r w:rsidR="00186966" w:rsidRPr="008C6AC4">
        <w:t>The committee staff report was updated in 2019</w:t>
      </w:r>
      <w:r w:rsidR="00B90CD7" w:rsidRPr="008C6AC4">
        <w:t xml:space="preserve"> with updated figures </w:t>
      </w:r>
      <w:r w:rsidR="00536B6D" w:rsidRPr="008C6AC4">
        <w:t>regarding the cost of portable classrooms and appendices submitted by the parties to the transfer petition</w:t>
      </w:r>
      <w:r w:rsidR="00186966" w:rsidRPr="008C6AC4">
        <w:t>. Despite staff still finding conditions not met,</w:t>
      </w:r>
      <w:r w:rsidR="7C3BA11A" w:rsidRPr="008C6AC4">
        <w:t xml:space="preserve"> </w:t>
      </w:r>
      <w:r w:rsidR="01F8E845" w:rsidRPr="008C6AC4">
        <w:t>on October 2, 2019, the County Committee</w:t>
      </w:r>
      <w:r w:rsidR="12BB9533" w:rsidRPr="008C6AC4">
        <w:t xml:space="preserve"> indicated that the previous votes had been initial and advisory in nature, and</w:t>
      </w:r>
      <w:r w:rsidR="01F8E845" w:rsidRPr="008C6AC4">
        <w:t xml:space="preserve"> found, on a vote of 6-3, that all 9 conditions were substantially met and approved the petition to transfer the territory.</w:t>
      </w:r>
    </w:p>
    <w:p w14:paraId="52C29D96" w14:textId="4169A475" w:rsidR="007F5AD1" w:rsidRPr="008C6AC4" w:rsidRDefault="007F5AD1" w:rsidP="007F5AD1">
      <w:pPr>
        <w:pStyle w:val="Heading4"/>
      </w:pPr>
      <w:r w:rsidRPr="008C6AC4">
        <w:t xml:space="preserve">Figure 1. </w:t>
      </w:r>
      <w:r w:rsidR="003F0CF2" w:rsidRPr="008C6AC4">
        <w:t xml:space="preserve">City of La </w:t>
      </w:r>
      <w:r w:rsidR="003F0CF2" w:rsidRPr="008C6AC4">
        <w:rPr>
          <w:sz w:val="32"/>
          <w:szCs w:val="32"/>
        </w:rPr>
        <w:t>Cañada Flintridge and Transfer Territory</w:t>
      </w:r>
    </w:p>
    <w:p w14:paraId="0F245D8F" w14:textId="77777777" w:rsidR="007F5AD1" w:rsidRPr="008C6AC4" w:rsidRDefault="007F5AD1" w:rsidP="007F5AD1">
      <w:pPr>
        <w:tabs>
          <w:tab w:val="left" w:pos="1980"/>
        </w:tabs>
      </w:pPr>
      <w:r w:rsidRPr="008C6AC4">
        <w:rPr>
          <w:noProof/>
        </w:rPr>
        <w:drawing>
          <wp:inline distT="0" distB="0" distL="0" distR="0" wp14:anchorId="4A8DBC05" wp14:editId="2CA18539">
            <wp:extent cx="3928712" cy="4648200"/>
            <wp:effectExtent l="0" t="0" r="0" b="0"/>
            <wp:docPr id="5" name="Picture 5" descr="Map showing the City of La Cañada Flintridge outlined in green, with transfer territory marked out in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8653F.DC0E014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3928712" cy="4648200"/>
                    </a:xfrm>
                    <a:prstGeom prst="rect">
                      <a:avLst/>
                    </a:prstGeom>
                    <a:noFill/>
                    <a:ln>
                      <a:noFill/>
                    </a:ln>
                  </pic:spPr>
                </pic:pic>
              </a:graphicData>
            </a:graphic>
          </wp:inline>
        </w:drawing>
      </w:r>
    </w:p>
    <w:p w14:paraId="0125F72B" w14:textId="1C69E49F" w:rsidR="007F5AD1" w:rsidRPr="008C6AC4" w:rsidRDefault="007F5AD1" w:rsidP="007F5AD1">
      <w:pPr>
        <w:spacing w:before="120"/>
        <w:rPr>
          <w:rStyle w:val="Emphasis"/>
        </w:rPr>
      </w:pPr>
      <w:r w:rsidRPr="008C6AC4">
        <w:rPr>
          <w:rStyle w:val="Emphasis"/>
        </w:rPr>
        <w:t xml:space="preserve">Source: </w:t>
      </w:r>
      <w:r w:rsidR="003F0CF2" w:rsidRPr="008C6AC4">
        <w:rPr>
          <w:rStyle w:val="Emphasis"/>
        </w:rPr>
        <w:t>La Ca</w:t>
      </w:r>
      <w:bookmarkStart w:id="6" w:name="_Hlk151041691"/>
      <w:r w:rsidR="003F0CF2" w:rsidRPr="008C6AC4">
        <w:rPr>
          <w:rStyle w:val="Emphasis"/>
        </w:rPr>
        <w:t>ñ</w:t>
      </w:r>
      <w:bookmarkEnd w:id="6"/>
      <w:r w:rsidR="003F0CF2" w:rsidRPr="008C6AC4">
        <w:rPr>
          <w:rStyle w:val="Emphasis"/>
        </w:rPr>
        <w:t>ada Flintridge Community Development Department</w:t>
      </w:r>
    </w:p>
    <w:p w14:paraId="2887D349" w14:textId="77777777" w:rsidR="007F5AD1" w:rsidRPr="008C6AC4" w:rsidRDefault="007F5AD1" w:rsidP="007F5AD1">
      <w:pPr>
        <w:spacing w:after="160"/>
        <w:rPr>
          <w:rFonts w:eastAsiaTheme="majorEastAsia" w:cstheme="majorBidi"/>
          <w:b/>
          <w:sz w:val="28"/>
          <w:szCs w:val="36"/>
        </w:rPr>
      </w:pPr>
      <w:r w:rsidRPr="008C6AC4">
        <w:br w:type="page"/>
      </w:r>
    </w:p>
    <w:p w14:paraId="7DC166DE" w14:textId="1146B931" w:rsidR="007F5AD1" w:rsidRPr="008C6AC4" w:rsidRDefault="007F5AD1" w:rsidP="00D15C3F">
      <w:pPr>
        <w:pStyle w:val="Heading2"/>
        <w:keepLines w:val="0"/>
        <w:numPr>
          <w:ilvl w:val="0"/>
          <w:numId w:val="14"/>
        </w:numPr>
        <w:spacing w:before="0"/>
        <w:ind w:left="360"/>
      </w:pPr>
      <w:r w:rsidRPr="008C6AC4">
        <w:lastRenderedPageBreak/>
        <w:t>R</w:t>
      </w:r>
      <w:r w:rsidR="4B41F059" w:rsidRPr="008C6AC4">
        <w:t>easons for the Transfer</w:t>
      </w:r>
    </w:p>
    <w:p w14:paraId="7F9445B3" w14:textId="7F8049E4" w:rsidR="007F5AD1" w:rsidRPr="008C6AC4" w:rsidRDefault="010B0DA6" w:rsidP="00284A8B">
      <w:pPr>
        <w:ind w:left="720"/>
      </w:pPr>
      <w:r w:rsidRPr="008C6AC4">
        <w:t xml:space="preserve">The </w:t>
      </w:r>
      <w:r w:rsidR="3B81761A" w:rsidRPr="008C6AC4">
        <w:t>P</w:t>
      </w:r>
      <w:r w:rsidRPr="008C6AC4">
        <w:t xml:space="preserve">etition </w:t>
      </w:r>
      <w:r w:rsidR="3AD5BFE3" w:rsidRPr="008C6AC4">
        <w:t xml:space="preserve">states </w:t>
      </w:r>
      <w:r w:rsidRPr="008C6AC4">
        <w:t xml:space="preserve">the following reasons for a proposed </w:t>
      </w:r>
      <w:r w:rsidR="6D839823" w:rsidRPr="008C6AC4">
        <w:t>transfer of the territory</w:t>
      </w:r>
      <w:r w:rsidRPr="008C6AC4">
        <w:t>:</w:t>
      </w:r>
    </w:p>
    <w:p w14:paraId="21F151CB" w14:textId="0A15CF82" w:rsidR="00284A8B" w:rsidRPr="008C6AC4" w:rsidRDefault="007F5AD1" w:rsidP="00284A8B">
      <w:pPr>
        <w:pStyle w:val="ListParagraph"/>
        <w:numPr>
          <w:ilvl w:val="0"/>
          <w:numId w:val="2"/>
        </w:numPr>
        <w:ind w:left="1440"/>
      </w:pPr>
      <w:r w:rsidRPr="008C6AC4">
        <w:t xml:space="preserve">To </w:t>
      </w:r>
      <w:r w:rsidR="008C57A2" w:rsidRPr="008C6AC4">
        <w:t>nurture and promote student achievement</w:t>
      </w:r>
      <w:r w:rsidR="00284A8B" w:rsidRPr="008C6AC4">
        <w:t xml:space="preserve">: La </w:t>
      </w:r>
      <w:r w:rsidR="00F8016E" w:rsidRPr="008C6AC4">
        <w:t>Cañada</w:t>
      </w:r>
      <w:r w:rsidR="00284A8B" w:rsidRPr="008C6AC4">
        <w:t xml:space="preserve"> USD has intentionally forged deep partnerships with the City of La </w:t>
      </w:r>
      <w:r w:rsidR="00F8016E" w:rsidRPr="008C6AC4">
        <w:t>Cañada</w:t>
      </w:r>
      <w:r w:rsidR="00284A8B" w:rsidRPr="008C6AC4">
        <w:t xml:space="preserve"> Flintridge, the local business community, its school families, and non-school families including seniors. The result of this </w:t>
      </w:r>
      <w:proofErr w:type="spellStart"/>
      <w:r w:rsidR="00284A8B" w:rsidRPr="008C6AC4">
        <w:t>long­term</w:t>
      </w:r>
      <w:proofErr w:type="spellEnd"/>
      <w:r w:rsidR="00284A8B" w:rsidRPr="008C6AC4">
        <w:t xml:space="preserve"> community outreach is a deeply vested civic interest in its children focused on student achievement. This "community of trust" has created a sense of family, inspired an immense amount of pride in its expansive civic and educational experience and engendered a passionate following in ways most communities rarely see. Sociologists refer to this phenomenon as "community and social capital", which has been shown by researchers to produce positive results for student achievement and </w:t>
      </w:r>
      <w:proofErr w:type="gramStart"/>
      <w:r w:rsidR="00284A8B" w:rsidRPr="008C6AC4">
        <w:t>helps</w:t>
      </w:r>
      <w:proofErr w:type="gramEnd"/>
      <w:r w:rsidR="00284A8B" w:rsidRPr="008C6AC4">
        <w:t xml:space="preserve"> children to excel in school. This environment and culture in which the "village", as well as the family, takes ownership of its children has resulted in unique dedicated resources, educational programs, partnerships, internships, and scholarships, which unfortunately are not currently available to all La </w:t>
      </w:r>
      <w:r w:rsidR="00F8016E" w:rsidRPr="008C6AC4">
        <w:t>Cañada</w:t>
      </w:r>
      <w:r w:rsidR="00284A8B" w:rsidRPr="008C6AC4">
        <w:t xml:space="preserve"> Flintridge residents. Also, compared to Glendale USD, La </w:t>
      </w:r>
      <w:r w:rsidR="00F8016E" w:rsidRPr="008C6AC4">
        <w:t>Cañada</w:t>
      </w:r>
      <w:r w:rsidR="00284A8B" w:rsidRPr="008C6AC4">
        <w:t xml:space="preserve"> USD offers students: </w:t>
      </w:r>
    </w:p>
    <w:p w14:paraId="78D9007F" w14:textId="321670C7" w:rsidR="00284A8B" w:rsidRPr="008C6AC4" w:rsidRDefault="28FBDECF" w:rsidP="1399E1F1">
      <w:pPr>
        <w:pStyle w:val="ListParagraph"/>
        <w:numPr>
          <w:ilvl w:val="0"/>
          <w:numId w:val="2"/>
        </w:numPr>
      </w:pPr>
      <w:r w:rsidRPr="008C6AC4">
        <w:t xml:space="preserve">Smaller middle and senior high school </w:t>
      </w:r>
      <w:proofErr w:type="gramStart"/>
      <w:r w:rsidRPr="008C6AC4">
        <w:t>campuses;</w:t>
      </w:r>
      <w:proofErr w:type="gramEnd"/>
    </w:p>
    <w:p w14:paraId="4DF7873B" w14:textId="77777777" w:rsidR="00284A8B" w:rsidRPr="008C6AC4" w:rsidRDefault="28FBDECF" w:rsidP="1399E1F1">
      <w:pPr>
        <w:pStyle w:val="ListParagraph"/>
        <w:numPr>
          <w:ilvl w:val="0"/>
          <w:numId w:val="2"/>
        </w:numPr>
      </w:pPr>
      <w:r w:rsidRPr="008C6AC4">
        <w:t xml:space="preserve">Lower class </w:t>
      </w:r>
      <w:proofErr w:type="gramStart"/>
      <w:r w:rsidRPr="008C6AC4">
        <w:t>sizes;</w:t>
      </w:r>
      <w:proofErr w:type="gramEnd"/>
      <w:r w:rsidRPr="008C6AC4">
        <w:t xml:space="preserve"> </w:t>
      </w:r>
    </w:p>
    <w:p w14:paraId="5B84611B" w14:textId="77777777" w:rsidR="00284A8B" w:rsidRPr="008C6AC4" w:rsidRDefault="28FBDECF" w:rsidP="1399E1F1">
      <w:pPr>
        <w:pStyle w:val="ListParagraph"/>
        <w:numPr>
          <w:ilvl w:val="0"/>
          <w:numId w:val="2"/>
        </w:numPr>
      </w:pPr>
      <w:r w:rsidRPr="008C6AC4">
        <w:t xml:space="preserve">No split classes; and </w:t>
      </w:r>
    </w:p>
    <w:p w14:paraId="7642CD99" w14:textId="2C0BCB56" w:rsidR="007F5AD1" w:rsidRPr="008C6AC4" w:rsidRDefault="28FBDECF" w:rsidP="1399E1F1">
      <w:pPr>
        <w:pStyle w:val="ListParagraph"/>
        <w:numPr>
          <w:ilvl w:val="0"/>
          <w:numId w:val="2"/>
        </w:numPr>
      </w:pPr>
      <w:r w:rsidRPr="008C6AC4">
        <w:t>Significantly more counselors per student.</w:t>
      </w:r>
    </w:p>
    <w:p w14:paraId="7BD6643C" w14:textId="3F11BDD0" w:rsidR="007F5AD1" w:rsidRPr="008C6AC4" w:rsidRDefault="010B0DA6" w:rsidP="00284A8B">
      <w:pPr>
        <w:pStyle w:val="ListParagraph"/>
        <w:numPr>
          <w:ilvl w:val="0"/>
          <w:numId w:val="2"/>
        </w:numPr>
        <w:ind w:left="1440"/>
        <w:contextualSpacing w:val="0"/>
      </w:pPr>
      <w:r w:rsidRPr="008C6AC4">
        <w:t xml:space="preserve">To </w:t>
      </w:r>
      <w:r w:rsidR="6D839823" w:rsidRPr="008C6AC4">
        <w:t>eliminate educational disparity and inequality: Territory residents, a 10</w:t>
      </w:r>
      <w:r w:rsidR="28FBDECF" w:rsidRPr="008C6AC4">
        <w:t xml:space="preserve"> percent </w:t>
      </w:r>
      <w:r w:rsidR="6D839823" w:rsidRPr="008C6AC4">
        <w:t>minority of L</w:t>
      </w:r>
      <w:r w:rsidR="28FBDECF" w:rsidRPr="008C6AC4">
        <w:t xml:space="preserve">a </w:t>
      </w:r>
      <w:r w:rsidR="1EFF9613" w:rsidRPr="008C6AC4">
        <w:t>Cañada</w:t>
      </w:r>
      <w:r w:rsidR="28FBDECF" w:rsidRPr="008C6AC4">
        <w:t xml:space="preserve"> </w:t>
      </w:r>
      <w:r w:rsidR="6D839823" w:rsidRPr="008C6AC4">
        <w:t>F</w:t>
      </w:r>
      <w:r w:rsidR="28FBDECF" w:rsidRPr="008C6AC4">
        <w:t>lintridge</w:t>
      </w:r>
      <w:r w:rsidR="6D839823" w:rsidRPr="008C6AC4">
        <w:t xml:space="preserve"> families, are consigned to a neighboring school district due to an 1880s survey that ignored prominent well-defined natural land features. This arbitrary invisible boundary had little relevance until the mid-1950s when ample water supply was </w:t>
      </w:r>
      <w:proofErr w:type="gramStart"/>
      <w:r w:rsidR="6D839823" w:rsidRPr="008C6AC4">
        <w:t>attained</w:t>
      </w:r>
      <w:proofErr w:type="gramEnd"/>
      <w:r w:rsidR="6D839823" w:rsidRPr="008C6AC4">
        <w:t xml:space="preserve"> and housing development followed. Since the formation of L</w:t>
      </w:r>
      <w:r w:rsidR="28FBDECF" w:rsidRPr="008C6AC4">
        <w:t xml:space="preserve">a </w:t>
      </w:r>
      <w:r w:rsidR="1EFF9613" w:rsidRPr="008C6AC4">
        <w:t>Cañada</w:t>
      </w:r>
      <w:r w:rsidR="28FBDECF" w:rsidRPr="008C6AC4">
        <w:t xml:space="preserve"> </w:t>
      </w:r>
      <w:r w:rsidR="6D839823" w:rsidRPr="008C6AC4">
        <w:t xml:space="preserve">USD in 1961, </w:t>
      </w:r>
      <w:r w:rsidR="28FBDECF" w:rsidRPr="008C6AC4">
        <w:t>Sagebrush t</w:t>
      </w:r>
      <w:r w:rsidR="6D839823" w:rsidRPr="008C6AC4">
        <w:t>erritory residents have fought for equal rights, duties and privileges enjoyed by the 90</w:t>
      </w:r>
      <w:r w:rsidR="28FBDECF" w:rsidRPr="008C6AC4">
        <w:t xml:space="preserve"> percent</w:t>
      </w:r>
      <w:r w:rsidR="6D839823" w:rsidRPr="008C6AC4">
        <w:t xml:space="preserve"> majority of La </w:t>
      </w:r>
      <w:proofErr w:type="spellStart"/>
      <w:r w:rsidR="6D839823" w:rsidRPr="008C6AC4">
        <w:t>Ca</w:t>
      </w:r>
      <w:r w:rsidR="28FBDECF" w:rsidRPr="008C6AC4">
        <w:t>ñ</w:t>
      </w:r>
      <w:r w:rsidR="6D839823" w:rsidRPr="008C6AC4">
        <w:t>adans</w:t>
      </w:r>
      <w:proofErr w:type="spellEnd"/>
      <w:r w:rsidR="6D839823" w:rsidRPr="008C6AC4">
        <w:t>.</w:t>
      </w:r>
    </w:p>
    <w:p w14:paraId="6AD04329" w14:textId="3A5FFA79" w:rsidR="007F5AD1" w:rsidRPr="008C6AC4" w:rsidRDefault="010B0DA6" w:rsidP="00284A8B">
      <w:pPr>
        <w:pStyle w:val="ListParagraph"/>
        <w:numPr>
          <w:ilvl w:val="0"/>
          <w:numId w:val="2"/>
        </w:numPr>
        <w:ind w:left="1440"/>
        <w:contextualSpacing w:val="0"/>
      </w:pPr>
      <w:r w:rsidRPr="008C6AC4">
        <w:t xml:space="preserve">To </w:t>
      </w:r>
      <w:r w:rsidR="6D839823" w:rsidRPr="008C6AC4">
        <w:t>upgrade school and public safety</w:t>
      </w:r>
      <w:r w:rsidR="28FBDECF" w:rsidRPr="008C6AC4">
        <w:t xml:space="preserve">: Local law enforcement, emergency and operational planning would be simplified, unified, streamlined and better coordinated between the City of La </w:t>
      </w:r>
      <w:r w:rsidR="1EFF9613" w:rsidRPr="008C6AC4">
        <w:t>Cañada</w:t>
      </w:r>
      <w:r w:rsidR="28FBDECF" w:rsidRPr="008C6AC4">
        <w:t xml:space="preserve"> Flintridge and La </w:t>
      </w:r>
      <w:r w:rsidR="1EFF9613" w:rsidRPr="008C6AC4">
        <w:t>Cañada</w:t>
      </w:r>
      <w:r w:rsidR="28FBDECF" w:rsidRPr="008C6AC4">
        <w:t xml:space="preserve"> USD by removing a layer of bureaucracy. This is especially true since the Territory is located fully within the boundaries of the City of La </w:t>
      </w:r>
      <w:r w:rsidR="1EFF9613" w:rsidRPr="008C6AC4">
        <w:t>Cañada</w:t>
      </w:r>
      <w:r w:rsidR="28FBDECF" w:rsidRPr="008C6AC4">
        <w:t xml:space="preserve"> Flintridge and within the administrative "sphere of influence" [as determined by the Local Agency Formation Commission for the County of Los Angeles] of the City of La </w:t>
      </w:r>
      <w:r w:rsidR="1EFF9613" w:rsidRPr="008C6AC4">
        <w:t>Cañada</w:t>
      </w:r>
      <w:r w:rsidR="28FBDECF" w:rsidRPr="008C6AC4">
        <w:t xml:space="preserve"> Flintridge.</w:t>
      </w:r>
    </w:p>
    <w:p w14:paraId="47AFFBAD" w14:textId="6449788C" w:rsidR="008C57A2" w:rsidRPr="008C6AC4" w:rsidRDefault="6D839823" w:rsidP="00284A8B">
      <w:pPr>
        <w:pStyle w:val="ListParagraph"/>
        <w:numPr>
          <w:ilvl w:val="0"/>
          <w:numId w:val="2"/>
        </w:numPr>
        <w:ind w:left="1440"/>
        <w:contextualSpacing w:val="0"/>
      </w:pPr>
      <w:r w:rsidRPr="008C6AC4">
        <w:t>To strengthen local control, civic participation, and self-governance</w:t>
      </w:r>
      <w:r w:rsidR="28FBDECF" w:rsidRPr="008C6AC4">
        <w:t xml:space="preserve">: Territory residents would join the 90% of our fellow La </w:t>
      </w:r>
      <w:r w:rsidR="1EFF9613" w:rsidRPr="008C6AC4">
        <w:t>Cañada</w:t>
      </w:r>
      <w:r w:rsidR="28FBDECF" w:rsidRPr="008C6AC4">
        <w:t xml:space="preserve"> Flintridge residents as fully participating members of our hometown La </w:t>
      </w:r>
      <w:r w:rsidR="1EFF9613" w:rsidRPr="008C6AC4">
        <w:t>Cañada</w:t>
      </w:r>
      <w:r w:rsidR="28FBDECF" w:rsidRPr="008C6AC4">
        <w:t xml:space="preserve"> USD schools including all related opportunities and privileges that are currently </w:t>
      </w:r>
      <w:r w:rsidR="28FBDECF" w:rsidRPr="008C6AC4">
        <w:lastRenderedPageBreak/>
        <w:t xml:space="preserve">denied. Most notable of these is the ability to fully and directly participate in the governance of La </w:t>
      </w:r>
      <w:r w:rsidR="1EFF9613" w:rsidRPr="008C6AC4">
        <w:t>Cañada</w:t>
      </w:r>
      <w:r w:rsidR="28FBDECF" w:rsidRPr="008C6AC4">
        <w:t xml:space="preserve"> USD schools, which is so integral to the greater La </w:t>
      </w:r>
      <w:r w:rsidR="1EFF9613" w:rsidRPr="008C6AC4">
        <w:t>Cañada</w:t>
      </w:r>
      <w:r w:rsidR="28FBDECF" w:rsidRPr="008C6AC4">
        <w:t xml:space="preserve"> Flintridge community.</w:t>
      </w:r>
    </w:p>
    <w:p w14:paraId="4D94AB81" w14:textId="1D729C1F" w:rsidR="008C57A2" w:rsidRPr="008C6AC4" w:rsidRDefault="6D839823" w:rsidP="00284A8B">
      <w:pPr>
        <w:pStyle w:val="ListParagraph"/>
        <w:numPr>
          <w:ilvl w:val="0"/>
          <w:numId w:val="2"/>
        </w:numPr>
        <w:ind w:left="1440"/>
        <w:contextualSpacing w:val="0"/>
      </w:pPr>
      <w:r w:rsidRPr="008C6AC4">
        <w:t>To improve local government responsiveness, efficiency and transparency</w:t>
      </w:r>
      <w:r w:rsidR="28FBDECF" w:rsidRPr="008C6AC4">
        <w:t xml:space="preserve">: Uniting all </w:t>
      </w:r>
      <w:r w:rsidR="57389983" w:rsidRPr="008C6AC4">
        <w:t xml:space="preserve">La </w:t>
      </w:r>
      <w:r w:rsidR="1EFF9613" w:rsidRPr="008C6AC4">
        <w:t>Cañada</w:t>
      </w:r>
      <w:r w:rsidR="57389983" w:rsidRPr="008C6AC4">
        <w:t xml:space="preserve"> Flintridge</w:t>
      </w:r>
      <w:r w:rsidR="28FBDECF" w:rsidRPr="008C6AC4">
        <w:t xml:space="preserve"> residents with our hometown school district would enhance communication, coordination and procedures between the City of </w:t>
      </w:r>
      <w:r w:rsidR="57389983" w:rsidRPr="008C6AC4">
        <w:t xml:space="preserve">La </w:t>
      </w:r>
      <w:r w:rsidR="1EFF9613" w:rsidRPr="008C6AC4">
        <w:t>Cañada</w:t>
      </w:r>
      <w:r w:rsidR="57389983" w:rsidRPr="008C6AC4">
        <w:t xml:space="preserve"> Flintridge</w:t>
      </w:r>
      <w:r w:rsidR="28FBDECF" w:rsidRPr="008C6AC4">
        <w:t xml:space="preserve"> and L</w:t>
      </w:r>
      <w:r w:rsidR="57389983" w:rsidRPr="008C6AC4">
        <w:t xml:space="preserve">a </w:t>
      </w:r>
      <w:r w:rsidR="1EFF9613" w:rsidRPr="008C6AC4">
        <w:t>Cañada</w:t>
      </w:r>
      <w:r w:rsidR="57389983" w:rsidRPr="008C6AC4">
        <w:t xml:space="preserve"> </w:t>
      </w:r>
      <w:r w:rsidR="28FBDECF" w:rsidRPr="008C6AC4">
        <w:t xml:space="preserve">USD, thereby increasing public involvement and active participation in local government decision-making for all </w:t>
      </w:r>
      <w:r w:rsidR="57389983" w:rsidRPr="008C6AC4">
        <w:t xml:space="preserve">La </w:t>
      </w:r>
      <w:r w:rsidR="1EFF9613" w:rsidRPr="008C6AC4">
        <w:t>Cañada</w:t>
      </w:r>
      <w:r w:rsidR="57389983" w:rsidRPr="008C6AC4">
        <w:t xml:space="preserve"> Flintridge</w:t>
      </w:r>
      <w:r w:rsidR="28FBDECF" w:rsidRPr="008C6AC4">
        <w:t xml:space="preserve"> residents.</w:t>
      </w:r>
    </w:p>
    <w:p w14:paraId="51A279F8" w14:textId="420105DB" w:rsidR="00284A8B" w:rsidRPr="008C6AC4" w:rsidRDefault="28FBDECF" w:rsidP="00284A8B">
      <w:pPr>
        <w:pStyle w:val="ListParagraph"/>
        <w:numPr>
          <w:ilvl w:val="0"/>
          <w:numId w:val="2"/>
        </w:numPr>
        <w:ind w:left="1440"/>
      </w:pPr>
      <w:r w:rsidRPr="008C6AC4">
        <w:t xml:space="preserve">To respect and honor the voice of </w:t>
      </w:r>
      <w:r w:rsidR="57389983" w:rsidRPr="008C6AC4">
        <w:t xml:space="preserve">La </w:t>
      </w:r>
      <w:r w:rsidR="1EFF9613" w:rsidRPr="008C6AC4">
        <w:t>Cañada</w:t>
      </w:r>
      <w:r w:rsidR="57389983" w:rsidRPr="008C6AC4">
        <w:t xml:space="preserve"> Flintridge</w:t>
      </w:r>
      <w:r w:rsidRPr="008C6AC4">
        <w:t xml:space="preserve"> residents. </w:t>
      </w:r>
      <w:r w:rsidR="57389983" w:rsidRPr="008C6AC4">
        <w:t xml:space="preserve">La </w:t>
      </w:r>
      <w:r w:rsidR="1EFF9613" w:rsidRPr="008C6AC4">
        <w:t>Cañada</w:t>
      </w:r>
      <w:r w:rsidR="57389983" w:rsidRPr="008C6AC4">
        <w:t xml:space="preserve"> Flintridge</w:t>
      </w:r>
      <w:r w:rsidRPr="008C6AC4">
        <w:t xml:space="preserve"> residents have demonstrated overwhelming support to unify the city with its local school district for decades: </w:t>
      </w:r>
    </w:p>
    <w:p w14:paraId="73B81A6B" w14:textId="490964D6" w:rsidR="00284A8B" w:rsidRPr="008C6AC4" w:rsidRDefault="00284A8B" w:rsidP="00E95B22">
      <w:pPr>
        <w:pStyle w:val="ListParagraph"/>
        <w:numPr>
          <w:ilvl w:val="1"/>
          <w:numId w:val="2"/>
        </w:numPr>
        <w:ind w:left="1800"/>
      </w:pPr>
      <w:r w:rsidRPr="008C6AC4">
        <w:t xml:space="preserve">In May 2014, 90% of </w:t>
      </w:r>
      <w:r w:rsidR="00F87E65" w:rsidRPr="008C6AC4">
        <w:t>Sagebrush t</w:t>
      </w:r>
      <w:r w:rsidRPr="008C6AC4">
        <w:t>erritory respondents to a G</w:t>
      </w:r>
      <w:r w:rsidR="00F87E65" w:rsidRPr="008C6AC4">
        <w:t xml:space="preserve">lendale </w:t>
      </w:r>
      <w:r w:rsidRPr="008C6AC4">
        <w:t xml:space="preserve">USD-sponsored survey said they definitely (85%) or probably (5%) supported the transfer proposal being discussed by the two school </w:t>
      </w:r>
      <w:proofErr w:type="gramStart"/>
      <w:r w:rsidRPr="008C6AC4">
        <w:t>districts;</w:t>
      </w:r>
      <w:proofErr w:type="gramEnd"/>
    </w:p>
    <w:p w14:paraId="6BBCA62A" w14:textId="63F3698F" w:rsidR="00284A8B" w:rsidRPr="008C6AC4" w:rsidRDefault="00284A8B" w:rsidP="00E95B22">
      <w:pPr>
        <w:pStyle w:val="ListParagraph"/>
        <w:numPr>
          <w:ilvl w:val="1"/>
          <w:numId w:val="2"/>
        </w:numPr>
        <w:ind w:left="1800"/>
        <w:contextualSpacing w:val="0"/>
      </w:pPr>
      <w:r w:rsidRPr="008C6AC4">
        <w:t xml:space="preserve">In the same survey, </w:t>
      </w:r>
      <w:r w:rsidR="00F87E65" w:rsidRPr="008C6AC4">
        <w:t>Sagebrush t</w:t>
      </w:r>
      <w:r w:rsidRPr="008C6AC4">
        <w:t>erritory residents supported a territory transfer over open enrollment by a margin of five to one, confirming their feelings of being marginalized and disenfranchised by G</w:t>
      </w:r>
      <w:r w:rsidR="00F87E65" w:rsidRPr="008C6AC4">
        <w:t xml:space="preserve">lendale </w:t>
      </w:r>
      <w:proofErr w:type="gramStart"/>
      <w:r w:rsidRPr="008C6AC4">
        <w:t>USD;</w:t>
      </w:r>
      <w:proofErr w:type="gramEnd"/>
      <w:r w:rsidRPr="008C6AC4">
        <w:t xml:space="preserve"> </w:t>
      </w:r>
    </w:p>
    <w:p w14:paraId="577BE62A" w14:textId="6DF860D5" w:rsidR="00284A8B" w:rsidRPr="008C6AC4" w:rsidRDefault="00284A8B" w:rsidP="00E95B22">
      <w:pPr>
        <w:pStyle w:val="ListParagraph"/>
        <w:numPr>
          <w:ilvl w:val="1"/>
          <w:numId w:val="2"/>
        </w:numPr>
        <w:ind w:left="1800"/>
        <w:contextualSpacing w:val="0"/>
      </w:pPr>
      <w:r w:rsidRPr="008C6AC4">
        <w:t xml:space="preserve">In April 1997, 84% of </w:t>
      </w:r>
      <w:r w:rsidR="00F87E65" w:rsidRPr="008C6AC4">
        <w:t>Sagebrush t</w:t>
      </w:r>
      <w:r w:rsidRPr="008C6AC4">
        <w:t xml:space="preserve">erritory respondents to a survey commissioned by the City of </w:t>
      </w:r>
      <w:r w:rsidR="00F87E65" w:rsidRPr="008C6AC4">
        <w:t xml:space="preserve">La </w:t>
      </w:r>
      <w:r w:rsidR="00F8016E" w:rsidRPr="008C6AC4">
        <w:t>Cañada</w:t>
      </w:r>
      <w:r w:rsidR="00F87E65" w:rsidRPr="008C6AC4">
        <w:t xml:space="preserve"> Flintridge</w:t>
      </w:r>
      <w:r w:rsidRPr="008C6AC4">
        <w:t xml:space="preserve"> supported making the Territory part of L</w:t>
      </w:r>
      <w:r w:rsidR="00F87E65" w:rsidRPr="008C6AC4">
        <w:t xml:space="preserve">a </w:t>
      </w:r>
      <w:r w:rsidR="00F8016E" w:rsidRPr="008C6AC4">
        <w:t>Cañada</w:t>
      </w:r>
      <w:r w:rsidR="00F87E65" w:rsidRPr="008C6AC4">
        <w:t xml:space="preserve"> </w:t>
      </w:r>
      <w:r w:rsidRPr="008C6AC4">
        <w:t xml:space="preserve">USD </w:t>
      </w:r>
    </w:p>
    <w:p w14:paraId="7209351F" w14:textId="3EB0C9F5" w:rsidR="00284A8B" w:rsidRPr="008C6AC4" w:rsidRDefault="00284A8B" w:rsidP="00E95B22">
      <w:pPr>
        <w:pStyle w:val="ListParagraph"/>
        <w:numPr>
          <w:ilvl w:val="1"/>
          <w:numId w:val="2"/>
        </w:numPr>
        <w:ind w:left="1800"/>
        <w:contextualSpacing w:val="0"/>
      </w:pPr>
      <w:r w:rsidRPr="008C6AC4">
        <w:t xml:space="preserve">In November 2013, the City Council of </w:t>
      </w:r>
      <w:r w:rsidR="00F87E65" w:rsidRPr="008C6AC4">
        <w:t xml:space="preserve">La </w:t>
      </w:r>
      <w:r w:rsidR="00F8016E" w:rsidRPr="008C6AC4">
        <w:t>Cañada</w:t>
      </w:r>
      <w:r w:rsidR="00F87E65" w:rsidRPr="008C6AC4">
        <w:t xml:space="preserve"> Flintridge</w:t>
      </w:r>
      <w:r w:rsidRPr="008C6AC4">
        <w:t xml:space="preserve"> unanimously approved a resolution "to petition ... that the Los Angeles County Committee on School District Organization commence the process" to transfer the </w:t>
      </w:r>
      <w:r w:rsidR="00F87E65" w:rsidRPr="008C6AC4">
        <w:t>Sagebrush t</w:t>
      </w:r>
      <w:r w:rsidRPr="008C6AC4">
        <w:t>erritory into L</w:t>
      </w:r>
      <w:r w:rsidR="00F87E65" w:rsidRPr="008C6AC4">
        <w:t xml:space="preserve">a </w:t>
      </w:r>
      <w:r w:rsidR="00F8016E" w:rsidRPr="008C6AC4">
        <w:t>Cañada</w:t>
      </w:r>
      <w:r w:rsidR="00F87E65" w:rsidRPr="008C6AC4">
        <w:t xml:space="preserve"> </w:t>
      </w:r>
      <w:r w:rsidRPr="008C6AC4">
        <w:t xml:space="preserve">USD jurisdictional boundaries; and </w:t>
      </w:r>
    </w:p>
    <w:p w14:paraId="07FD939D" w14:textId="0A7C7FC2" w:rsidR="008C57A2" w:rsidRPr="008C6AC4" w:rsidRDefault="00284A8B" w:rsidP="00E95B22">
      <w:pPr>
        <w:pStyle w:val="ListParagraph"/>
        <w:numPr>
          <w:ilvl w:val="1"/>
          <w:numId w:val="2"/>
        </w:numPr>
        <w:ind w:left="1800"/>
        <w:contextualSpacing w:val="0"/>
      </w:pPr>
      <w:r w:rsidRPr="008C6AC4">
        <w:t>In January 2014, L</w:t>
      </w:r>
      <w:r w:rsidR="00F87E65" w:rsidRPr="008C6AC4">
        <w:t xml:space="preserve">a </w:t>
      </w:r>
      <w:r w:rsidR="00F8016E" w:rsidRPr="008C6AC4">
        <w:t>Cañada</w:t>
      </w:r>
      <w:r w:rsidR="00F87E65" w:rsidRPr="008C6AC4">
        <w:t xml:space="preserve"> </w:t>
      </w:r>
      <w:r w:rsidRPr="008C6AC4">
        <w:t xml:space="preserve">USD unanimously reaffirmed its support of the </w:t>
      </w:r>
      <w:r w:rsidR="00F87E65" w:rsidRPr="008C6AC4">
        <w:t>Sagebrush t</w:t>
      </w:r>
      <w:r w:rsidRPr="008C6AC4">
        <w:t>erritory transfer following the election of three new board members.</w:t>
      </w:r>
      <w:r w:rsidR="00F87E65" w:rsidRPr="008C6AC4">
        <w:br/>
      </w:r>
    </w:p>
    <w:p w14:paraId="115F96A5" w14:textId="689E5D49" w:rsidR="00057D76" w:rsidRPr="008C6AC4" w:rsidRDefault="007F5AD1" w:rsidP="00057D76">
      <w:pPr>
        <w:pStyle w:val="Heading2"/>
        <w:keepLines w:val="0"/>
        <w:numPr>
          <w:ilvl w:val="1"/>
          <w:numId w:val="30"/>
        </w:numPr>
        <w:spacing w:before="0"/>
        <w:ind w:left="720"/>
      </w:pPr>
      <w:r w:rsidRPr="008C6AC4">
        <w:t>P</w:t>
      </w:r>
      <w:r w:rsidR="667BE228" w:rsidRPr="008C6AC4">
        <w:t>osition of Glendale</w:t>
      </w:r>
      <w:r w:rsidRPr="008C6AC4">
        <w:t xml:space="preserve"> USD</w:t>
      </w:r>
    </w:p>
    <w:p w14:paraId="6C913E23" w14:textId="480435B2" w:rsidR="007F5AD1" w:rsidRPr="008C6AC4" w:rsidRDefault="00057D76" w:rsidP="00057D76">
      <w:pPr>
        <w:ind w:left="720"/>
      </w:pPr>
      <w:r w:rsidRPr="008C6AC4">
        <w:t xml:space="preserve">At its regular meeting on November 1, 2016, the Glendale USD Governing Board adopted Resolution No. 15 opposing the petition to transfer territory from the Glendale USD to the La </w:t>
      </w:r>
      <w:r w:rsidR="00F8016E" w:rsidRPr="008C6AC4">
        <w:t>Cañada</w:t>
      </w:r>
      <w:r w:rsidRPr="008C6AC4">
        <w:t xml:space="preserve"> USD. At the public hearings held by the County Committee, </w:t>
      </w:r>
      <w:r w:rsidR="007C2580" w:rsidRPr="008C6AC4">
        <w:t>then-</w:t>
      </w:r>
      <w:r w:rsidRPr="008C6AC4">
        <w:t>Glendale USD Superintendent Winfred Roberson expressed the Governing Board's opposition to the proposed transfer.</w:t>
      </w:r>
    </w:p>
    <w:p w14:paraId="3F1FD94E" w14:textId="22DC875F" w:rsidR="00057D76" w:rsidRPr="008C6AC4" w:rsidRDefault="00057D76" w:rsidP="00057D76">
      <w:pPr>
        <w:ind w:left="720"/>
      </w:pPr>
    </w:p>
    <w:p w14:paraId="0141FC6A" w14:textId="6FC55524" w:rsidR="00057D76" w:rsidRPr="008C6AC4" w:rsidRDefault="00057D76" w:rsidP="3ADBC2A1">
      <w:pPr>
        <w:pStyle w:val="ListParagraph"/>
        <w:numPr>
          <w:ilvl w:val="1"/>
          <w:numId w:val="30"/>
        </w:numPr>
        <w:ind w:left="720"/>
        <w:rPr>
          <w:b/>
          <w:bCs/>
        </w:rPr>
      </w:pPr>
      <w:r w:rsidRPr="008C6AC4">
        <w:rPr>
          <w:b/>
          <w:bCs/>
          <w:sz w:val="36"/>
          <w:szCs w:val="36"/>
        </w:rPr>
        <w:t>P</w:t>
      </w:r>
      <w:r w:rsidR="7AD9C4B9" w:rsidRPr="008C6AC4">
        <w:rPr>
          <w:b/>
          <w:bCs/>
          <w:sz w:val="36"/>
          <w:szCs w:val="36"/>
        </w:rPr>
        <w:t>osition of La Cañada</w:t>
      </w:r>
      <w:r w:rsidRPr="008C6AC4">
        <w:rPr>
          <w:b/>
          <w:bCs/>
          <w:sz w:val="36"/>
          <w:szCs w:val="36"/>
        </w:rPr>
        <w:t xml:space="preserve"> USD</w:t>
      </w:r>
    </w:p>
    <w:p w14:paraId="3B9EB243" w14:textId="5CC6942F" w:rsidR="00057D76" w:rsidRPr="008C6AC4" w:rsidRDefault="00057D76" w:rsidP="0FBAEEDD">
      <w:pPr>
        <w:ind w:left="720"/>
      </w:pPr>
      <w:r w:rsidRPr="008C6AC4">
        <w:br/>
        <w:t xml:space="preserve">At its regular meeting on October 24, 2016, the La </w:t>
      </w:r>
      <w:r w:rsidR="00F8016E" w:rsidRPr="008C6AC4">
        <w:t>Cañada</w:t>
      </w:r>
      <w:r w:rsidRPr="008C6AC4">
        <w:t xml:space="preserve"> USD Governing Board adopted Resolution No. 5-16-17 supporting the petition to transfer territory </w:t>
      </w:r>
      <w:r w:rsidRPr="008C6AC4">
        <w:lastRenderedPageBreak/>
        <w:t xml:space="preserve">from the Glendale USD to the La </w:t>
      </w:r>
      <w:r w:rsidR="00F8016E" w:rsidRPr="008C6AC4">
        <w:t>Cañada</w:t>
      </w:r>
      <w:r w:rsidRPr="008C6AC4">
        <w:t xml:space="preserve"> USD. </w:t>
      </w:r>
      <w:r w:rsidR="1577A117" w:rsidRPr="008C6AC4">
        <w:t xml:space="preserve">This Resolution has been re-affirmed by the board on multiple occasions since, most recently at a joint meeting the of the La Cañada USD </w:t>
      </w:r>
      <w:r w:rsidR="56D2BBE5" w:rsidRPr="008C6AC4">
        <w:t>B</w:t>
      </w:r>
      <w:r w:rsidR="1577A117" w:rsidRPr="008C6AC4">
        <w:t xml:space="preserve">oard of </w:t>
      </w:r>
      <w:r w:rsidR="40C417C0" w:rsidRPr="008C6AC4">
        <w:t>T</w:t>
      </w:r>
      <w:r w:rsidR="1577A117" w:rsidRPr="008C6AC4">
        <w:t>ru</w:t>
      </w:r>
      <w:r w:rsidR="5F728622" w:rsidRPr="008C6AC4">
        <w:t xml:space="preserve">stees and the La Cañada Flintridge City Council on December 5, 2023. </w:t>
      </w:r>
      <w:r w:rsidRPr="008C6AC4">
        <w:t xml:space="preserve">At the public hearings held by the County Committee, La </w:t>
      </w:r>
      <w:r w:rsidR="00F8016E" w:rsidRPr="008C6AC4">
        <w:t>Cañada</w:t>
      </w:r>
      <w:r w:rsidRPr="008C6AC4">
        <w:t xml:space="preserve"> USD Superintendent Wendy Sinnette expressed the Governing Board's support for the proposed transfer.</w:t>
      </w:r>
      <w:r w:rsidRPr="008C6AC4">
        <w:br/>
      </w:r>
    </w:p>
    <w:p w14:paraId="07396BC1" w14:textId="47523475" w:rsidR="007079AA" w:rsidRPr="008C6AC4" w:rsidRDefault="007F5AD1" w:rsidP="007079AA">
      <w:pPr>
        <w:pStyle w:val="Heading2"/>
        <w:keepLines w:val="0"/>
        <w:numPr>
          <w:ilvl w:val="0"/>
          <w:numId w:val="16"/>
        </w:numPr>
        <w:spacing w:before="0"/>
        <w:ind w:left="360"/>
      </w:pPr>
      <w:r w:rsidRPr="008C6AC4">
        <w:rPr>
          <w:i/>
          <w:iCs/>
        </w:rPr>
        <w:t>EC</w:t>
      </w:r>
      <w:r w:rsidRPr="008C6AC4">
        <w:t xml:space="preserve"> S</w:t>
      </w:r>
      <w:r w:rsidR="4807889A" w:rsidRPr="008C6AC4">
        <w:t>ection</w:t>
      </w:r>
      <w:r w:rsidRPr="008C6AC4">
        <w:t xml:space="preserve"> 35753 C</w:t>
      </w:r>
      <w:r w:rsidR="2514DA92" w:rsidRPr="008C6AC4">
        <w:t>onditions</w:t>
      </w:r>
      <w:r w:rsidRPr="008C6AC4">
        <w:t xml:space="preserve"> </w:t>
      </w:r>
    </w:p>
    <w:p w14:paraId="5ECBF499" w14:textId="77777777" w:rsidR="007F5AD1" w:rsidRPr="008C6AC4" w:rsidRDefault="007F5AD1" w:rsidP="007F5AD1">
      <w:pPr>
        <w:ind w:left="720"/>
      </w:pPr>
      <w:r w:rsidRPr="008C6AC4">
        <w:t xml:space="preserve">The SBE may approve a proposal for the reorganization of school districts if it has determined that the proposal substantially meets the nine minimum threshold conditions in </w:t>
      </w:r>
      <w:r w:rsidRPr="008C6AC4">
        <w:rPr>
          <w:i/>
        </w:rPr>
        <w:t>EC</w:t>
      </w:r>
      <w:r w:rsidRPr="008C6AC4">
        <w:t xml:space="preserve"> Section 35753. These conditions are further clarified by </w:t>
      </w:r>
      <w:r w:rsidRPr="008C6AC4">
        <w:rPr>
          <w:i/>
        </w:rPr>
        <w:t xml:space="preserve">California Code of Regulations, </w:t>
      </w:r>
      <w:r w:rsidRPr="008C6AC4">
        <w:t xml:space="preserve">Title 5 (5 </w:t>
      </w:r>
      <w:r w:rsidRPr="008C6AC4">
        <w:rPr>
          <w:i/>
        </w:rPr>
        <w:t>CCR</w:t>
      </w:r>
      <w:r w:rsidRPr="008C6AC4">
        <w:t>) Section 18573.</w:t>
      </w:r>
    </w:p>
    <w:p w14:paraId="517389EB" w14:textId="7258CEAF" w:rsidR="007F5AD1" w:rsidRPr="008C6AC4" w:rsidRDefault="007F5AD1" w:rsidP="007F5AD1">
      <w:pPr>
        <w:ind w:left="720"/>
      </w:pPr>
      <w:r w:rsidRPr="008C6AC4">
        <w:t xml:space="preserve">The SBE also may approve proposals if it finds that all </w:t>
      </w:r>
      <w:r w:rsidRPr="008C6AC4">
        <w:rPr>
          <w:i/>
        </w:rPr>
        <w:t>EC</w:t>
      </w:r>
      <w:r w:rsidRPr="008C6AC4">
        <w:t xml:space="preserve"> Section 35753 conditions are not substantially met, but subsequently “determines that it is not practical or possible to apply the criteria of this section literally, and that the circumstances with respect to the proposals provide an exceptional situation sufficient to justify approval …” (</w:t>
      </w:r>
      <w:r w:rsidRPr="008C6AC4">
        <w:rPr>
          <w:i/>
        </w:rPr>
        <w:t>EC</w:t>
      </w:r>
      <w:r w:rsidRPr="008C6AC4">
        <w:t xml:space="preserve"> 35753[b])</w:t>
      </w:r>
      <w:r w:rsidR="00057D76" w:rsidRPr="008C6AC4">
        <w:br/>
      </w:r>
    </w:p>
    <w:p w14:paraId="587ECB45" w14:textId="5C4BDD19" w:rsidR="007F5AD1" w:rsidRPr="008C6AC4" w:rsidRDefault="010B0DA6" w:rsidP="007F5AD1">
      <w:pPr>
        <w:ind w:left="720"/>
      </w:pPr>
      <w:r w:rsidRPr="008C6AC4">
        <w:t xml:space="preserve">For its analysis of the proposal, the CDE conducted its own studies of the issues </w:t>
      </w:r>
      <w:r w:rsidR="12BB9533" w:rsidRPr="008C6AC4">
        <w:t>presented by</w:t>
      </w:r>
      <w:r w:rsidRPr="008C6AC4">
        <w:t xml:space="preserve"> the </w:t>
      </w:r>
      <w:r w:rsidRPr="008C6AC4">
        <w:rPr>
          <w:i/>
          <w:iCs/>
        </w:rPr>
        <w:t>EC</w:t>
      </w:r>
      <w:r w:rsidRPr="008C6AC4">
        <w:t xml:space="preserve"> Section 35753 conditions; and reviewed information provided by the County Superintendent, the </w:t>
      </w:r>
      <w:r w:rsidR="4D930F45" w:rsidRPr="008C6AC4">
        <w:t>districts</w:t>
      </w:r>
      <w:r w:rsidRPr="008C6AC4">
        <w:t xml:space="preserve">, and the chief petitioners. Staff findings and conclusions regarding the </w:t>
      </w:r>
      <w:r w:rsidRPr="008C6AC4">
        <w:rPr>
          <w:i/>
          <w:iCs/>
        </w:rPr>
        <w:t>EC</w:t>
      </w:r>
      <w:r w:rsidRPr="008C6AC4">
        <w:t xml:space="preserve"> Section 35753 and 5 </w:t>
      </w:r>
      <w:r w:rsidRPr="008C6AC4">
        <w:rPr>
          <w:i/>
          <w:iCs/>
        </w:rPr>
        <w:t>CCR</w:t>
      </w:r>
      <w:r w:rsidRPr="008C6AC4">
        <w:t xml:space="preserve"> Section 18573 requirements follow.</w:t>
      </w:r>
    </w:p>
    <w:p w14:paraId="1348FA2C" w14:textId="77777777" w:rsidR="007F5AD1" w:rsidRPr="008C6AC4" w:rsidRDefault="007F5AD1" w:rsidP="00D15C3F">
      <w:pPr>
        <w:pStyle w:val="Heading3"/>
        <w:numPr>
          <w:ilvl w:val="1"/>
          <w:numId w:val="17"/>
        </w:numPr>
        <w:ind w:left="1080"/>
      </w:pPr>
      <w:r w:rsidRPr="008C6AC4">
        <w:t>The reorganized districts will be adequate in terms of number of pupils enrolled.</w:t>
      </w:r>
    </w:p>
    <w:p w14:paraId="71B2373C" w14:textId="77777777" w:rsidR="007F5AD1" w:rsidRPr="008C6AC4" w:rsidRDefault="007F5AD1" w:rsidP="007F5AD1">
      <w:pPr>
        <w:pStyle w:val="Heading4"/>
        <w:ind w:left="1080"/>
      </w:pPr>
      <w:r w:rsidRPr="008C6AC4">
        <w:t>Standard of Review</w:t>
      </w:r>
    </w:p>
    <w:p w14:paraId="5CFDDD0D" w14:textId="77777777" w:rsidR="007F5AD1" w:rsidRPr="008C6AC4" w:rsidRDefault="007F5AD1" w:rsidP="007F5AD1">
      <w:pPr>
        <w:ind w:left="1080"/>
      </w:pPr>
      <w:r w:rsidRPr="008C6AC4">
        <w:t xml:space="preserve">It is the intent of the SBE that direct service districts </w:t>
      </w:r>
      <w:proofErr w:type="gramStart"/>
      <w:r w:rsidRPr="008C6AC4">
        <w:t>not be</w:t>
      </w:r>
      <w:proofErr w:type="gramEnd"/>
      <w:r w:rsidRPr="008C6AC4">
        <w:t xml:space="preserve"> created that will become more dependent upon county offices of education and state support unless unusual circumstances exist. Therefore, each district affected must be adequate in terms of numbers of pupils, in that each such district should have the following projected enrollment on the date any new district becomes effective for all purposes: elementary district, 901; high school district, 301; unified district, 1,501 (5 </w:t>
      </w:r>
      <w:r w:rsidRPr="008C6AC4">
        <w:rPr>
          <w:i/>
        </w:rPr>
        <w:t>CCR</w:t>
      </w:r>
      <w:r w:rsidRPr="008C6AC4">
        <w:t xml:space="preserve"> 18573[a][1][A]).</w:t>
      </w:r>
    </w:p>
    <w:p w14:paraId="12161710" w14:textId="77777777" w:rsidR="007F5AD1" w:rsidRPr="008C6AC4" w:rsidRDefault="007F5AD1" w:rsidP="007F5AD1">
      <w:pPr>
        <w:pStyle w:val="Heading4"/>
        <w:ind w:left="1080"/>
      </w:pPr>
      <w:r w:rsidRPr="008C6AC4">
        <w:t>County Committee Review and Evaluation</w:t>
      </w:r>
    </w:p>
    <w:p w14:paraId="747F8465" w14:textId="43E306D8" w:rsidR="007F5AD1" w:rsidRPr="008C6AC4" w:rsidRDefault="010B0DA6" w:rsidP="007F5AD1">
      <w:pPr>
        <w:ind w:left="1080"/>
      </w:pPr>
      <w:r w:rsidRPr="008C6AC4">
        <w:t xml:space="preserve">In the </w:t>
      </w:r>
      <w:r w:rsidR="57188D17" w:rsidRPr="008C6AC4">
        <w:t>County Committee’s staff analysis</w:t>
      </w:r>
      <w:r w:rsidR="73C40409" w:rsidRPr="008C6AC4">
        <w:t xml:space="preserve"> (Attachment 4)</w:t>
      </w:r>
      <w:r w:rsidRPr="008C6AC4">
        <w:t>, the 201</w:t>
      </w:r>
      <w:r w:rsidR="57188D17" w:rsidRPr="008C6AC4">
        <w:t>5</w:t>
      </w:r>
      <w:r w:rsidRPr="008C6AC4">
        <w:t>–1</w:t>
      </w:r>
      <w:r w:rsidR="57188D17" w:rsidRPr="008C6AC4">
        <w:t>6</w:t>
      </w:r>
      <w:r w:rsidRPr="008C6AC4">
        <w:t xml:space="preserve"> enrollment of </w:t>
      </w:r>
      <w:r w:rsidR="12BB9533" w:rsidRPr="008C6AC4">
        <w:t xml:space="preserve">La </w:t>
      </w:r>
      <w:r w:rsidR="1EFF9613" w:rsidRPr="008C6AC4">
        <w:t>Cañada</w:t>
      </w:r>
      <w:r w:rsidR="12BB9533" w:rsidRPr="008C6AC4">
        <w:t xml:space="preserve"> and Glendale</w:t>
      </w:r>
      <w:r w:rsidRPr="008C6AC4">
        <w:t xml:space="preserve"> </w:t>
      </w:r>
      <w:r w:rsidR="21D1AE4A" w:rsidRPr="008C6AC4">
        <w:t xml:space="preserve">were </w:t>
      </w:r>
      <w:r w:rsidRPr="008C6AC4">
        <w:t>calculated to be 4,</w:t>
      </w:r>
      <w:r w:rsidR="12BB9533" w:rsidRPr="008C6AC4">
        <w:t>093</w:t>
      </w:r>
      <w:r w:rsidRPr="008C6AC4">
        <w:t xml:space="preserve"> and 2</w:t>
      </w:r>
      <w:r w:rsidR="12BB9533" w:rsidRPr="008C6AC4">
        <w:t>6</w:t>
      </w:r>
      <w:r w:rsidRPr="008C6AC4">
        <w:t>,1</w:t>
      </w:r>
      <w:r w:rsidR="12BB9533" w:rsidRPr="008C6AC4">
        <w:t>17</w:t>
      </w:r>
      <w:r w:rsidRPr="008C6AC4">
        <w:t xml:space="preserve">, respectively. These enrollment totals far exceeded the minimum threshold value of 1,501 pupils for a unified school district. </w:t>
      </w:r>
      <w:r w:rsidR="12BB9533" w:rsidRPr="008C6AC4">
        <w:t xml:space="preserve">The number of </w:t>
      </w:r>
      <w:r w:rsidR="12BB9533" w:rsidRPr="008C6AC4">
        <w:lastRenderedPageBreak/>
        <w:t xml:space="preserve">students residing in the Sagebrush territory at the time was 387, insufficient to lower Glendale below the minimum threshold. </w:t>
      </w:r>
      <w:r w:rsidRPr="008C6AC4">
        <w:t xml:space="preserve">Based on this information, </w:t>
      </w:r>
      <w:r w:rsidR="12BB9533" w:rsidRPr="008C6AC4">
        <w:t>staff</w:t>
      </w:r>
      <w:r w:rsidRPr="008C6AC4">
        <w:t xml:space="preserve"> determined that this criterion was substantially met. </w:t>
      </w:r>
    </w:p>
    <w:p w14:paraId="18CCF083" w14:textId="77777777" w:rsidR="001A19B2" w:rsidRPr="008C6AC4" w:rsidRDefault="001A19B2" w:rsidP="007F5AD1">
      <w:pPr>
        <w:ind w:left="1080"/>
      </w:pPr>
    </w:p>
    <w:p w14:paraId="391A6B8B" w14:textId="0984387A" w:rsidR="007F5AD1" w:rsidRPr="008C6AC4" w:rsidRDefault="007F5AD1" w:rsidP="007F5AD1">
      <w:pPr>
        <w:ind w:left="1080"/>
      </w:pPr>
      <w:bookmarkStart w:id="7" w:name="_Hlk151127047"/>
      <w:r w:rsidRPr="008C6AC4">
        <w:t xml:space="preserve">The County Committee </w:t>
      </w:r>
      <w:r w:rsidR="001A19B2" w:rsidRPr="008C6AC4">
        <w:t xml:space="preserve">did not vote on each condition individually, but instead </w:t>
      </w:r>
      <w:r w:rsidRPr="008C6AC4">
        <w:t>voted (</w:t>
      </w:r>
      <w:r w:rsidR="001A19B2" w:rsidRPr="008C6AC4">
        <w:t>6</w:t>
      </w:r>
      <w:r w:rsidRPr="008C6AC4">
        <w:t>-</w:t>
      </w:r>
      <w:r w:rsidR="001A19B2" w:rsidRPr="008C6AC4">
        <w:t>3</w:t>
      </w:r>
      <w:r w:rsidRPr="008C6AC4">
        <w:t xml:space="preserve">) that </w:t>
      </w:r>
      <w:r w:rsidR="001A19B2" w:rsidRPr="008C6AC4">
        <w:t>all</w:t>
      </w:r>
      <w:r w:rsidRPr="008C6AC4">
        <w:t xml:space="preserve"> condition</w:t>
      </w:r>
      <w:r w:rsidR="001A19B2" w:rsidRPr="008C6AC4">
        <w:t>s</w:t>
      </w:r>
      <w:r w:rsidRPr="008C6AC4">
        <w:t xml:space="preserve"> </w:t>
      </w:r>
      <w:r w:rsidR="001A19B2" w:rsidRPr="008C6AC4">
        <w:t>were</w:t>
      </w:r>
      <w:r w:rsidRPr="008C6AC4">
        <w:t xml:space="preserve"> substantially met.</w:t>
      </w:r>
    </w:p>
    <w:bookmarkEnd w:id="7"/>
    <w:p w14:paraId="459C8C83" w14:textId="77777777" w:rsidR="007F5AD1" w:rsidRPr="008C6AC4" w:rsidRDefault="007F5AD1" w:rsidP="007F5AD1">
      <w:pPr>
        <w:pStyle w:val="Heading4"/>
        <w:ind w:left="1080"/>
      </w:pPr>
      <w:r w:rsidRPr="008C6AC4">
        <w:t>CDE Findings/Conclusion</w:t>
      </w:r>
    </w:p>
    <w:p w14:paraId="21C74F57" w14:textId="7FC8272A" w:rsidR="007F5AD1" w:rsidRPr="008C6AC4" w:rsidRDefault="010B0DA6" w:rsidP="007F5AD1">
      <w:pPr>
        <w:ind w:left="1080"/>
      </w:pPr>
      <w:r w:rsidRPr="008C6AC4">
        <w:t xml:space="preserve">CDE staff also reviewed historical enrollment for the </w:t>
      </w:r>
      <w:r w:rsidR="4890EA0A" w:rsidRPr="008C6AC4">
        <w:t xml:space="preserve">Glendale and La </w:t>
      </w:r>
      <w:r w:rsidR="33AB1EC0" w:rsidRPr="008C6AC4">
        <w:t>Cañada</w:t>
      </w:r>
      <w:r w:rsidR="4890EA0A" w:rsidRPr="008C6AC4">
        <w:t xml:space="preserve"> USDs</w:t>
      </w:r>
      <w:r w:rsidRPr="008C6AC4">
        <w:t xml:space="preserve">. </w:t>
      </w:r>
      <w:r w:rsidR="12BB9533" w:rsidRPr="008C6AC4">
        <w:t xml:space="preserve">Since the </w:t>
      </w:r>
      <w:r w:rsidR="54112677" w:rsidRPr="008C6AC4">
        <w:t>Petition</w:t>
      </w:r>
      <w:r w:rsidR="12BB9533" w:rsidRPr="008C6AC4">
        <w:t xml:space="preserve"> was reviewed by county staff over 4 years ago, staff also looked at the trends in both districts since 2015-16.</w:t>
      </w:r>
    </w:p>
    <w:p w14:paraId="1127F586" w14:textId="332A85D3" w:rsidR="007F5AD1" w:rsidRPr="008C6AC4" w:rsidRDefault="007F5AD1" w:rsidP="007F5AD1">
      <w:pPr>
        <w:pStyle w:val="Heading4"/>
        <w:ind w:left="1080"/>
      </w:pPr>
      <w:r w:rsidRPr="008C6AC4">
        <w:t xml:space="preserve">Table 1. Enrollment </w:t>
      </w:r>
      <w:r w:rsidR="001A19B2" w:rsidRPr="008C6AC4">
        <w:t>Change</w:t>
      </w:r>
      <w:r w:rsidRPr="008C6AC4">
        <w:t xml:space="preserve"> </w:t>
      </w:r>
      <w:proofErr w:type="gramStart"/>
      <w:r w:rsidR="001A19B2" w:rsidRPr="008C6AC4">
        <w:t>By</w:t>
      </w:r>
      <w:proofErr w:type="gramEnd"/>
      <w:r w:rsidR="001A19B2" w:rsidRPr="008C6AC4">
        <w:t xml:space="preserve"> District</w:t>
      </w:r>
    </w:p>
    <w:tbl>
      <w:tblPr>
        <w:tblStyle w:val="ListTable3"/>
        <w:tblW w:w="8100" w:type="dxa"/>
        <w:tblInd w:w="1075" w:type="dxa"/>
        <w:tblLayout w:type="fixed"/>
        <w:tblCellMar>
          <w:top w:w="115" w:type="dxa"/>
          <w:left w:w="115" w:type="dxa"/>
          <w:bottom w:w="115" w:type="dxa"/>
          <w:right w:w="115" w:type="dxa"/>
        </w:tblCellMar>
        <w:tblLook w:val="04A0" w:firstRow="1" w:lastRow="0" w:firstColumn="1" w:lastColumn="0" w:noHBand="0" w:noVBand="1"/>
        <w:tblDescription w:val="This table depicts the calculated annual growth rate of total enrollment for the proposed Northgate USD and the remaining portion of Mt. Diablo USD.  "/>
      </w:tblPr>
      <w:tblGrid>
        <w:gridCol w:w="2610"/>
        <w:gridCol w:w="2700"/>
        <w:gridCol w:w="2790"/>
      </w:tblGrid>
      <w:tr w:rsidR="007F5AD1" w:rsidRPr="008C6AC4" w14:paraId="16A0E159" w14:textId="77777777" w:rsidTr="00AE5930">
        <w:trPr>
          <w:cnfStyle w:val="100000000000" w:firstRow="1" w:lastRow="0" w:firstColumn="0" w:lastColumn="0" w:oddVBand="0" w:evenVBand="0" w:oddHBand="0" w:evenHBand="0" w:firstRowFirstColumn="0" w:firstRowLastColumn="0" w:lastRowFirstColumn="0" w:lastRowLastColumn="0"/>
          <w:trHeight w:val="382"/>
        </w:trPr>
        <w:tc>
          <w:tcPr>
            <w:cnfStyle w:val="001000000100" w:firstRow="0" w:lastRow="0" w:firstColumn="1" w:lastColumn="0" w:oddVBand="0" w:evenVBand="0" w:oddHBand="0" w:evenHBand="0" w:firstRowFirstColumn="1" w:firstRowLastColumn="0" w:lastRowFirstColumn="0" w:lastRowLastColumn="0"/>
            <w:tcW w:w="2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502DDD6" w14:textId="77777777" w:rsidR="007F5AD1" w:rsidRPr="008C6AC4" w:rsidRDefault="007F5AD1" w:rsidP="00AE5930">
            <w:pPr>
              <w:ind w:left="-30"/>
              <w:jc w:val="center"/>
              <w:rPr>
                <w:b w:val="0"/>
                <w:bCs w:val="0"/>
                <w:color w:val="auto"/>
              </w:rPr>
            </w:pPr>
            <w:r w:rsidRPr="008C6AC4">
              <w:rPr>
                <w:color w:val="auto"/>
              </w:rPr>
              <w:t>Category</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053183" w14:textId="4B682E6A" w:rsidR="007F5AD1" w:rsidRPr="008C6AC4" w:rsidRDefault="001A19B2" w:rsidP="00AE5930">
            <w:pPr>
              <w:jc w:val="center"/>
              <w:cnfStyle w:val="100000000000" w:firstRow="1" w:lastRow="0" w:firstColumn="0" w:lastColumn="0" w:oddVBand="0" w:evenVBand="0" w:oddHBand="0" w:evenHBand="0" w:firstRowFirstColumn="0" w:firstRowLastColumn="0" w:lastRowFirstColumn="0" w:lastRowLastColumn="0"/>
              <w:rPr>
                <w:b w:val="0"/>
                <w:color w:val="auto"/>
              </w:rPr>
            </w:pPr>
            <w:r w:rsidRPr="008C6AC4">
              <w:rPr>
                <w:color w:val="auto"/>
              </w:rPr>
              <w:t>Glendale</w:t>
            </w:r>
            <w:r w:rsidR="007F5AD1" w:rsidRPr="008C6AC4">
              <w:rPr>
                <w:color w:val="auto"/>
              </w:rPr>
              <w:t xml:space="preserve"> USD</w:t>
            </w:r>
          </w:p>
        </w:tc>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492F1A" w14:textId="6701AFC8" w:rsidR="007F5AD1" w:rsidRPr="008C6AC4" w:rsidRDefault="001A19B2" w:rsidP="00AE5930">
            <w:pPr>
              <w:jc w:val="center"/>
              <w:cnfStyle w:val="100000000000" w:firstRow="1" w:lastRow="0" w:firstColumn="0" w:lastColumn="0" w:oddVBand="0" w:evenVBand="0" w:oddHBand="0" w:evenHBand="0" w:firstRowFirstColumn="0" w:firstRowLastColumn="0" w:lastRowFirstColumn="0" w:lastRowLastColumn="0"/>
              <w:rPr>
                <w:b w:val="0"/>
                <w:color w:val="auto"/>
              </w:rPr>
            </w:pPr>
            <w:r w:rsidRPr="008C6AC4">
              <w:rPr>
                <w:color w:val="auto"/>
              </w:rPr>
              <w:t xml:space="preserve">La </w:t>
            </w:r>
            <w:r w:rsidR="00F8016E" w:rsidRPr="008C6AC4">
              <w:rPr>
                <w:color w:val="auto"/>
              </w:rPr>
              <w:t>Cañada</w:t>
            </w:r>
            <w:r w:rsidR="007F5AD1" w:rsidRPr="008C6AC4">
              <w:rPr>
                <w:color w:val="auto"/>
              </w:rPr>
              <w:t xml:space="preserve"> USD</w:t>
            </w:r>
          </w:p>
        </w:tc>
      </w:tr>
      <w:tr w:rsidR="007F5AD1" w:rsidRPr="008C6AC4" w14:paraId="48247477" w14:textId="77777777" w:rsidTr="00AE5930">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2610" w:type="dxa"/>
            <w:tcBorders>
              <w:top w:val="single" w:sz="4" w:space="0" w:color="auto"/>
              <w:left w:val="single" w:sz="4" w:space="0" w:color="auto"/>
              <w:bottom w:val="single" w:sz="4" w:space="0" w:color="auto"/>
              <w:right w:val="single" w:sz="4" w:space="0" w:color="auto"/>
            </w:tcBorders>
            <w:noWrap/>
            <w:hideMark/>
          </w:tcPr>
          <w:p w14:paraId="34F1D233" w14:textId="5777CA6C" w:rsidR="007F5AD1" w:rsidRPr="008C6AC4" w:rsidRDefault="007F5AD1" w:rsidP="00AE5930">
            <w:pPr>
              <w:rPr>
                <w:b w:val="0"/>
                <w:color w:val="000000"/>
              </w:rPr>
            </w:pPr>
            <w:r w:rsidRPr="008C6AC4">
              <w:rPr>
                <w:b w:val="0"/>
              </w:rPr>
              <w:t>201</w:t>
            </w:r>
            <w:r w:rsidR="001A19B2" w:rsidRPr="008C6AC4">
              <w:rPr>
                <w:b w:val="0"/>
              </w:rPr>
              <w:t>5</w:t>
            </w:r>
            <w:r w:rsidRPr="008C6AC4">
              <w:rPr>
                <w:rStyle w:val="Strong"/>
              </w:rPr>
              <w:t>–</w:t>
            </w:r>
            <w:r w:rsidRPr="008C6AC4">
              <w:rPr>
                <w:b w:val="0"/>
              </w:rPr>
              <w:t>1</w:t>
            </w:r>
            <w:r w:rsidR="001A19B2" w:rsidRPr="008C6AC4">
              <w:rPr>
                <w:b w:val="0"/>
              </w:rPr>
              <w:t>6</w:t>
            </w:r>
            <w:r w:rsidRPr="008C6AC4">
              <w:rPr>
                <w:b w:val="0"/>
              </w:rPr>
              <w:t xml:space="preserve"> Enrollment</w:t>
            </w:r>
          </w:p>
        </w:tc>
        <w:tc>
          <w:tcPr>
            <w:tcW w:w="2700" w:type="dxa"/>
            <w:tcBorders>
              <w:top w:val="single" w:sz="4" w:space="0" w:color="auto"/>
              <w:left w:val="single" w:sz="4" w:space="0" w:color="auto"/>
              <w:bottom w:val="single" w:sz="4" w:space="0" w:color="auto"/>
              <w:right w:val="single" w:sz="4" w:space="0" w:color="auto"/>
            </w:tcBorders>
            <w:noWrap/>
            <w:hideMark/>
          </w:tcPr>
          <w:p w14:paraId="3C19B137" w14:textId="2A61BAF3" w:rsidR="007F5AD1" w:rsidRPr="008C6AC4" w:rsidRDefault="00A2034C" w:rsidP="00AE5930">
            <w:pPr>
              <w:jc w:val="right"/>
              <w:cnfStyle w:val="000000100000" w:firstRow="0" w:lastRow="0" w:firstColumn="0" w:lastColumn="0" w:oddVBand="0" w:evenVBand="0" w:oddHBand="1" w:evenHBand="0" w:firstRowFirstColumn="0" w:firstRowLastColumn="0" w:lastRowFirstColumn="0" w:lastRowLastColumn="0"/>
              <w:rPr>
                <w:color w:val="000000"/>
              </w:rPr>
            </w:pPr>
            <w:r w:rsidRPr="008C6AC4">
              <w:rPr>
                <w:color w:val="000000"/>
              </w:rPr>
              <w:t>26,117</w:t>
            </w:r>
          </w:p>
        </w:tc>
        <w:tc>
          <w:tcPr>
            <w:tcW w:w="2790" w:type="dxa"/>
            <w:tcBorders>
              <w:top w:val="single" w:sz="4" w:space="0" w:color="auto"/>
              <w:left w:val="single" w:sz="4" w:space="0" w:color="auto"/>
              <w:bottom w:val="single" w:sz="4" w:space="0" w:color="auto"/>
              <w:right w:val="single" w:sz="4" w:space="0" w:color="auto"/>
            </w:tcBorders>
          </w:tcPr>
          <w:p w14:paraId="40B057C8" w14:textId="7FF9F39E" w:rsidR="007F5AD1" w:rsidRPr="008C6AC4" w:rsidRDefault="00A2034C" w:rsidP="00AE5930">
            <w:pPr>
              <w:jc w:val="right"/>
              <w:cnfStyle w:val="000000100000" w:firstRow="0" w:lastRow="0" w:firstColumn="0" w:lastColumn="0" w:oddVBand="0" w:evenVBand="0" w:oddHBand="1" w:evenHBand="0" w:firstRowFirstColumn="0" w:firstRowLastColumn="0" w:lastRowFirstColumn="0" w:lastRowLastColumn="0"/>
              <w:rPr>
                <w:color w:val="000000"/>
              </w:rPr>
            </w:pPr>
            <w:r w:rsidRPr="008C6AC4">
              <w:rPr>
                <w:color w:val="000000"/>
              </w:rPr>
              <w:t>4,093</w:t>
            </w:r>
          </w:p>
        </w:tc>
      </w:tr>
      <w:tr w:rsidR="007F5AD1" w:rsidRPr="008C6AC4" w14:paraId="6DEE09B2" w14:textId="77777777" w:rsidTr="00AE5930">
        <w:trPr>
          <w:trHeight w:val="15"/>
        </w:trPr>
        <w:tc>
          <w:tcPr>
            <w:cnfStyle w:val="001000000000" w:firstRow="0" w:lastRow="0" w:firstColumn="1" w:lastColumn="0" w:oddVBand="0" w:evenVBand="0" w:oddHBand="0" w:evenHBand="0" w:firstRowFirstColumn="0" w:firstRowLastColumn="0" w:lastRowFirstColumn="0" w:lastRowLastColumn="0"/>
            <w:tcW w:w="2610" w:type="dxa"/>
            <w:tcBorders>
              <w:top w:val="single" w:sz="4" w:space="0" w:color="auto"/>
              <w:left w:val="single" w:sz="4" w:space="0" w:color="auto"/>
              <w:bottom w:val="single" w:sz="4" w:space="0" w:color="auto"/>
              <w:right w:val="single" w:sz="4" w:space="0" w:color="auto"/>
            </w:tcBorders>
            <w:noWrap/>
          </w:tcPr>
          <w:p w14:paraId="3994C6C8" w14:textId="3115B7E6" w:rsidR="007F5AD1" w:rsidRPr="008C6AC4" w:rsidRDefault="007F5AD1" w:rsidP="00AE5930">
            <w:pPr>
              <w:rPr>
                <w:b w:val="0"/>
                <w:color w:val="000000"/>
              </w:rPr>
            </w:pPr>
            <w:r w:rsidRPr="008C6AC4">
              <w:rPr>
                <w:b w:val="0"/>
              </w:rPr>
              <w:t>202</w:t>
            </w:r>
            <w:r w:rsidR="00A2034C" w:rsidRPr="008C6AC4">
              <w:rPr>
                <w:b w:val="0"/>
              </w:rPr>
              <w:t>1</w:t>
            </w:r>
            <w:r w:rsidRPr="008C6AC4">
              <w:rPr>
                <w:rStyle w:val="Strong"/>
              </w:rPr>
              <w:t>–</w:t>
            </w:r>
            <w:r w:rsidRPr="008C6AC4">
              <w:rPr>
                <w:b w:val="0"/>
              </w:rPr>
              <w:t>2</w:t>
            </w:r>
            <w:r w:rsidR="00A2034C" w:rsidRPr="008C6AC4">
              <w:rPr>
                <w:b w:val="0"/>
              </w:rPr>
              <w:t>2</w:t>
            </w:r>
            <w:r w:rsidRPr="008C6AC4">
              <w:rPr>
                <w:b w:val="0"/>
              </w:rPr>
              <w:t xml:space="preserve"> Enrollment</w:t>
            </w:r>
          </w:p>
        </w:tc>
        <w:tc>
          <w:tcPr>
            <w:tcW w:w="2700" w:type="dxa"/>
            <w:tcBorders>
              <w:top w:val="single" w:sz="4" w:space="0" w:color="auto"/>
              <w:left w:val="single" w:sz="4" w:space="0" w:color="auto"/>
              <w:bottom w:val="single" w:sz="4" w:space="0" w:color="auto"/>
              <w:right w:val="single" w:sz="4" w:space="0" w:color="auto"/>
            </w:tcBorders>
            <w:noWrap/>
          </w:tcPr>
          <w:p w14:paraId="1B9AC06C" w14:textId="09695FF4" w:rsidR="007F5AD1" w:rsidRPr="008C6AC4" w:rsidRDefault="00A2034C" w:rsidP="00AE5930">
            <w:pPr>
              <w:jc w:val="right"/>
              <w:cnfStyle w:val="000000000000" w:firstRow="0" w:lastRow="0" w:firstColumn="0" w:lastColumn="0" w:oddVBand="0" w:evenVBand="0" w:oddHBand="0" w:evenHBand="0" w:firstRowFirstColumn="0" w:firstRowLastColumn="0" w:lastRowFirstColumn="0" w:lastRowLastColumn="0"/>
              <w:rPr>
                <w:color w:val="000000"/>
              </w:rPr>
            </w:pPr>
            <w:r w:rsidRPr="008C6AC4">
              <w:rPr>
                <w:color w:val="000000"/>
              </w:rPr>
              <w:t>2</w:t>
            </w:r>
            <w:r w:rsidR="007F5AD1" w:rsidRPr="008C6AC4">
              <w:rPr>
                <w:color w:val="000000"/>
              </w:rPr>
              <w:t>4,</w:t>
            </w:r>
            <w:r w:rsidRPr="008C6AC4">
              <w:rPr>
                <w:color w:val="000000"/>
              </w:rPr>
              <w:t>213</w:t>
            </w:r>
          </w:p>
        </w:tc>
        <w:tc>
          <w:tcPr>
            <w:tcW w:w="2790" w:type="dxa"/>
            <w:tcBorders>
              <w:top w:val="single" w:sz="4" w:space="0" w:color="auto"/>
              <w:left w:val="single" w:sz="4" w:space="0" w:color="auto"/>
              <w:bottom w:val="single" w:sz="4" w:space="0" w:color="auto"/>
              <w:right w:val="single" w:sz="4" w:space="0" w:color="auto"/>
            </w:tcBorders>
          </w:tcPr>
          <w:p w14:paraId="1AD4B9F1" w14:textId="3C3E6309" w:rsidR="007F5AD1" w:rsidRPr="008C6AC4" w:rsidRDefault="00A2034C" w:rsidP="00AE5930">
            <w:pPr>
              <w:jc w:val="right"/>
              <w:cnfStyle w:val="000000000000" w:firstRow="0" w:lastRow="0" w:firstColumn="0" w:lastColumn="0" w:oddVBand="0" w:evenVBand="0" w:oddHBand="0" w:evenHBand="0" w:firstRowFirstColumn="0" w:firstRowLastColumn="0" w:lastRowFirstColumn="0" w:lastRowLastColumn="0"/>
              <w:rPr>
                <w:color w:val="000000"/>
              </w:rPr>
            </w:pPr>
            <w:r w:rsidRPr="008C6AC4">
              <w:rPr>
                <w:color w:val="000000"/>
              </w:rPr>
              <w:t>3,921</w:t>
            </w:r>
          </w:p>
        </w:tc>
      </w:tr>
      <w:tr w:rsidR="007F5AD1" w:rsidRPr="008C6AC4" w14:paraId="4383AE62" w14:textId="77777777" w:rsidTr="00AE5930">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2610" w:type="dxa"/>
            <w:tcBorders>
              <w:top w:val="single" w:sz="4" w:space="0" w:color="auto"/>
              <w:left w:val="single" w:sz="4" w:space="0" w:color="auto"/>
              <w:bottom w:val="single" w:sz="4" w:space="0" w:color="auto"/>
              <w:right w:val="single" w:sz="4" w:space="0" w:color="auto"/>
            </w:tcBorders>
            <w:noWrap/>
          </w:tcPr>
          <w:p w14:paraId="5FF6E5E0" w14:textId="13ED5DB5" w:rsidR="007F5AD1" w:rsidRPr="008C6AC4" w:rsidRDefault="00A2034C" w:rsidP="00AE5930">
            <w:pPr>
              <w:rPr>
                <w:b w:val="0"/>
                <w:color w:val="000000"/>
              </w:rPr>
            </w:pPr>
            <w:r w:rsidRPr="008C6AC4">
              <w:rPr>
                <w:b w:val="0"/>
              </w:rPr>
              <w:t>Enrollment Change</w:t>
            </w:r>
          </w:p>
        </w:tc>
        <w:tc>
          <w:tcPr>
            <w:tcW w:w="2700" w:type="dxa"/>
            <w:tcBorders>
              <w:top w:val="single" w:sz="4" w:space="0" w:color="auto"/>
              <w:left w:val="single" w:sz="4" w:space="0" w:color="auto"/>
              <w:bottom w:val="single" w:sz="4" w:space="0" w:color="auto"/>
              <w:right w:val="single" w:sz="4" w:space="0" w:color="auto"/>
            </w:tcBorders>
            <w:noWrap/>
          </w:tcPr>
          <w:p w14:paraId="1DDDB817" w14:textId="1CDF2AC4" w:rsidR="007F5AD1" w:rsidRPr="008C6AC4" w:rsidRDefault="007F5AD1" w:rsidP="00AE5930">
            <w:pPr>
              <w:jc w:val="right"/>
              <w:cnfStyle w:val="000000100000" w:firstRow="0" w:lastRow="0" w:firstColumn="0" w:lastColumn="0" w:oddVBand="0" w:evenVBand="0" w:oddHBand="1" w:evenHBand="0" w:firstRowFirstColumn="0" w:firstRowLastColumn="0" w:lastRowFirstColumn="0" w:lastRowLastColumn="0"/>
            </w:pPr>
            <w:r w:rsidRPr="008C6AC4">
              <w:t>-</w:t>
            </w:r>
            <w:r w:rsidR="00A2034C" w:rsidRPr="008C6AC4">
              <w:t>7</w:t>
            </w:r>
            <w:r w:rsidRPr="008C6AC4">
              <w:t>.</w:t>
            </w:r>
            <w:r w:rsidR="00A2034C" w:rsidRPr="008C6AC4">
              <w:t>2</w:t>
            </w:r>
            <w:r w:rsidRPr="008C6AC4">
              <w:t>%</w:t>
            </w:r>
          </w:p>
        </w:tc>
        <w:tc>
          <w:tcPr>
            <w:tcW w:w="2790" w:type="dxa"/>
            <w:tcBorders>
              <w:top w:val="single" w:sz="4" w:space="0" w:color="auto"/>
              <w:left w:val="single" w:sz="4" w:space="0" w:color="auto"/>
              <w:bottom w:val="single" w:sz="4" w:space="0" w:color="auto"/>
              <w:right w:val="single" w:sz="4" w:space="0" w:color="auto"/>
            </w:tcBorders>
          </w:tcPr>
          <w:p w14:paraId="5DEC0B8B" w14:textId="60C0A27B" w:rsidR="007F5AD1" w:rsidRPr="008C6AC4" w:rsidRDefault="007F5AD1" w:rsidP="00AE5930">
            <w:pPr>
              <w:jc w:val="right"/>
              <w:cnfStyle w:val="000000100000" w:firstRow="0" w:lastRow="0" w:firstColumn="0" w:lastColumn="0" w:oddVBand="0" w:evenVBand="0" w:oddHBand="1" w:evenHBand="0" w:firstRowFirstColumn="0" w:firstRowLastColumn="0" w:lastRowFirstColumn="0" w:lastRowLastColumn="0"/>
            </w:pPr>
            <w:r w:rsidRPr="008C6AC4">
              <w:t>-</w:t>
            </w:r>
            <w:r w:rsidR="00A2034C" w:rsidRPr="008C6AC4">
              <w:t>4</w:t>
            </w:r>
            <w:r w:rsidRPr="008C6AC4">
              <w:t>.</w:t>
            </w:r>
            <w:r w:rsidR="00A2034C" w:rsidRPr="008C6AC4">
              <w:t>2</w:t>
            </w:r>
            <w:r w:rsidRPr="008C6AC4">
              <w:t>%</w:t>
            </w:r>
          </w:p>
        </w:tc>
      </w:tr>
    </w:tbl>
    <w:p w14:paraId="2DC5CC1B" w14:textId="407B790C" w:rsidR="007F5AD1" w:rsidRPr="008C6AC4" w:rsidRDefault="007F5AD1" w:rsidP="007F5AD1">
      <w:pPr>
        <w:pStyle w:val="TableSource"/>
        <w:ind w:left="1080"/>
        <w:rPr>
          <w:rStyle w:val="Strong"/>
          <w:b w:val="0"/>
          <w:bCs w:val="0"/>
        </w:rPr>
      </w:pPr>
      <w:r w:rsidRPr="008C6AC4">
        <w:rPr>
          <w:rStyle w:val="Strong"/>
        </w:rPr>
        <w:t>Source data: CALPADS, 201</w:t>
      </w:r>
      <w:r w:rsidR="00A2034C" w:rsidRPr="008C6AC4">
        <w:rPr>
          <w:rStyle w:val="Strong"/>
        </w:rPr>
        <w:t>5</w:t>
      </w:r>
      <w:r w:rsidRPr="008C6AC4">
        <w:rPr>
          <w:rStyle w:val="Strong"/>
        </w:rPr>
        <w:t>–1</w:t>
      </w:r>
      <w:r w:rsidR="00A2034C" w:rsidRPr="008C6AC4">
        <w:rPr>
          <w:rStyle w:val="Strong"/>
        </w:rPr>
        <w:t>6</w:t>
      </w:r>
      <w:r w:rsidRPr="008C6AC4">
        <w:rPr>
          <w:rStyle w:val="Strong"/>
        </w:rPr>
        <w:t xml:space="preserve"> and 202</w:t>
      </w:r>
      <w:r w:rsidR="00A2034C" w:rsidRPr="008C6AC4">
        <w:rPr>
          <w:rStyle w:val="Strong"/>
        </w:rPr>
        <w:t>1</w:t>
      </w:r>
      <w:r w:rsidRPr="008C6AC4">
        <w:rPr>
          <w:rStyle w:val="Strong"/>
        </w:rPr>
        <w:t>–2</w:t>
      </w:r>
      <w:r w:rsidR="00A2034C" w:rsidRPr="008C6AC4">
        <w:rPr>
          <w:rStyle w:val="Strong"/>
        </w:rPr>
        <w:t>2</w:t>
      </w:r>
    </w:p>
    <w:p w14:paraId="382AF005" w14:textId="446CC23E" w:rsidR="007F5AD1" w:rsidRPr="008C6AC4" w:rsidRDefault="007F5AD1" w:rsidP="007F5AD1">
      <w:pPr>
        <w:spacing w:before="240"/>
        <w:ind w:left="1080"/>
      </w:pPr>
      <w:r w:rsidRPr="008C6AC4">
        <w:t xml:space="preserve">Though both </w:t>
      </w:r>
      <w:r w:rsidR="00A2034C" w:rsidRPr="008C6AC4">
        <w:t>districts</w:t>
      </w:r>
      <w:r w:rsidRPr="008C6AC4">
        <w:t xml:space="preserve"> have experienced, and are expected to continue to experience</w:t>
      </w:r>
      <w:r w:rsidR="66379391" w:rsidRPr="008C6AC4">
        <w:t>,</w:t>
      </w:r>
      <w:r w:rsidRPr="008C6AC4">
        <w:t xml:space="preserve"> declining enrollment, they w</w:t>
      </w:r>
      <w:r w:rsidR="009A12D2" w:rsidRPr="008C6AC4">
        <w:t>ill</w:t>
      </w:r>
      <w:r w:rsidRPr="008C6AC4">
        <w:t xml:space="preserve"> retain total enrollment well </w:t>
      </w:r>
      <w:proofErr w:type="gramStart"/>
      <w:r w:rsidRPr="008C6AC4">
        <w:t>in excess of</w:t>
      </w:r>
      <w:proofErr w:type="gramEnd"/>
      <w:r w:rsidRPr="008C6AC4">
        <w:t xml:space="preserve"> the minimum required under this criterion</w:t>
      </w:r>
      <w:r w:rsidR="009A12D2" w:rsidRPr="008C6AC4">
        <w:t xml:space="preserve"> for the foreseeable future</w:t>
      </w:r>
      <w:r w:rsidRPr="008C6AC4">
        <w:t>. Therefore, CDE finds this c</w:t>
      </w:r>
      <w:r w:rsidR="006007E0" w:rsidRPr="008C6AC4">
        <w:t xml:space="preserve">ondition </w:t>
      </w:r>
      <w:r w:rsidRPr="008C6AC4">
        <w:t xml:space="preserve">substantially met. </w:t>
      </w:r>
    </w:p>
    <w:p w14:paraId="6246CC0D" w14:textId="77777777" w:rsidR="007F5AD1" w:rsidRPr="008C6AC4" w:rsidRDefault="007F5AD1" w:rsidP="00D15C3F">
      <w:pPr>
        <w:pStyle w:val="Heading3"/>
        <w:numPr>
          <w:ilvl w:val="1"/>
          <w:numId w:val="17"/>
        </w:numPr>
        <w:ind w:left="1080"/>
      </w:pPr>
      <w:r w:rsidRPr="008C6AC4">
        <w:t xml:space="preserve">The districts are each organized </w:t>
      </w:r>
      <w:proofErr w:type="gramStart"/>
      <w:r w:rsidRPr="008C6AC4">
        <w:t>on the basis of</w:t>
      </w:r>
      <w:proofErr w:type="gramEnd"/>
      <w:r w:rsidRPr="008C6AC4">
        <w:t xml:space="preserve"> a substantial community identity.</w:t>
      </w:r>
    </w:p>
    <w:p w14:paraId="510EFF90" w14:textId="77777777" w:rsidR="007F5AD1" w:rsidRPr="008C6AC4" w:rsidRDefault="007F5AD1" w:rsidP="007F5AD1">
      <w:pPr>
        <w:pStyle w:val="Heading4"/>
        <w:ind w:left="1080"/>
      </w:pPr>
      <w:r w:rsidRPr="008C6AC4">
        <w:t>Standard of Review</w:t>
      </w:r>
    </w:p>
    <w:p w14:paraId="476F2648" w14:textId="3ABC7138" w:rsidR="007F5AD1" w:rsidRPr="008C6AC4" w:rsidRDefault="010B0DA6" w:rsidP="007F5AD1">
      <w:pPr>
        <w:ind w:left="1080"/>
      </w:pPr>
      <w:r w:rsidRPr="008C6AC4">
        <w:t xml:space="preserve">The following criteria from </w:t>
      </w:r>
      <w:r w:rsidR="451D1A4F" w:rsidRPr="008C6AC4">
        <w:t xml:space="preserve">Title </w:t>
      </w:r>
      <w:r w:rsidRPr="008C6AC4">
        <w:t xml:space="preserve">5 </w:t>
      </w:r>
      <w:r w:rsidRPr="008C6AC4">
        <w:rPr>
          <w:i/>
          <w:iCs/>
        </w:rPr>
        <w:t>CCR</w:t>
      </w:r>
      <w:r w:rsidRPr="008C6AC4">
        <w:t xml:space="preserve"> Section 18573(a)(2) should be considered to determine whether a new district is organized </w:t>
      </w:r>
      <w:proofErr w:type="gramStart"/>
      <w:r w:rsidRPr="008C6AC4">
        <w:t>on the basis of</w:t>
      </w:r>
      <w:proofErr w:type="gramEnd"/>
      <w:r w:rsidRPr="008C6AC4">
        <w:t xml:space="preserve"> substantial community identity: isolation; geography; distance between social centers; distance between school centers; topography; weather; community, school and social ties; and other circumstances peculiar to the area.</w:t>
      </w:r>
    </w:p>
    <w:p w14:paraId="0E1C7260" w14:textId="77777777" w:rsidR="007F5AD1" w:rsidRPr="008C6AC4" w:rsidRDefault="007F5AD1" w:rsidP="007F5AD1">
      <w:pPr>
        <w:pStyle w:val="Heading4"/>
        <w:ind w:left="1080"/>
      </w:pPr>
      <w:r w:rsidRPr="008C6AC4">
        <w:t>County Committee Review and Evaluation</w:t>
      </w:r>
    </w:p>
    <w:p w14:paraId="24283A0A" w14:textId="4A664C4C" w:rsidR="00DB53A3" w:rsidRPr="008C6AC4" w:rsidRDefault="007F5AD1" w:rsidP="00DB53A3">
      <w:pPr>
        <w:ind w:left="1080"/>
      </w:pPr>
      <w:r w:rsidRPr="008C6AC4">
        <w:t xml:space="preserve">The </w:t>
      </w:r>
      <w:r w:rsidR="00A2034C" w:rsidRPr="008C6AC4">
        <w:t>staff report concluded that</w:t>
      </w:r>
      <w:r w:rsidRPr="008C6AC4">
        <w:t xml:space="preserve"> this “community identity” condition </w:t>
      </w:r>
      <w:r w:rsidR="00A2034C" w:rsidRPr="008C6AC4">
        <w:t>wa</w:t>
      </w:r>
      <w:r w:rsidRPr="008C6AC4">
        <w:t>s</w:t>
      </w:r>
      <w:r w:rsidR="00A2034C" w:rsidRPr="008C6AC4">
        <w:t xml:space="preserve"> not</w:t>
      </w:r>
      <w:r w:rsidRPr="008C6AC4">
        <w:t xml:space="preserve"> substantially met, noting that</w:t>
      </w:r>
      <w:r w:rsidR="00A2034C" w:rsidRPr="008C6AC4">
        <w:t>,</w:t>
      </w:r>
      <w:r w:rsidRPr="008C6AC4">
        <w:t xml:space="preserve"> </w:t>
      </w:r>
      <w:r w:rsidR="00A2034C" w:rsidRPr="008C6AC4">
        <w:t xml:space="preserve">“Residents of the petition area, like all residents </w:t>
      </w:r>
      <w:r w:rsidR="00A2034C" w:rsidRPr="008C6AC4">
        <w:lastRenderedPageBreak/>
        <w:t xml:space="preserve">of Los Angeles County, likely share a strong community identity with their locality in general (including the cities of La </w:t>
      </w:r>
      <w:r w:rsidR="00F8016E" w:rsidRPr="008C6AC4">
        <w:t>Cañada</w:t>
      </w:r>
      <w:r w:rsidR="00A2034C" w:rsidRPr="008C6AC4">
        <w:t xml:space="preserve"> and neighboring City of Glendale and other surrounding areas), as well as with whatever school district their children are enrolled in, because that is where they live near. Because the petition area neighborhood borders </w:t>
      </w:r>
      <w:proofErr w:type="gramStart"/>
      <w:r w:rsidR="00A2034C" w:rsidRPr="008C6AC4">
        <w:t>a number of</w:t>
      </w:r>
      <w:proofErr w:type="gramEnd"/>
      <w:r w:rsidR="00A2034C" w:rsidRPr="008C6AC4">
        <w:t xml:space="preserve"> districts and cities, community identity becomes an amalgam rather than a specific, definable sentiment or status. It is reasonable to like or feel a part of any broader locality when one lives in or near any border. </w:t>
      </w:r>
      <w:proofErr w:type="gramStart"/>
      <w:r w:rsidR="00A2034C" w:rsidRPr="008C6AC4">
        <w:t>It is clear that the</w:t>
      </w:r>
      <w:proofErr w:type="gramEnd"/>
      <w:r w:rsidR="00A2034C" w:rsidRPr="008C6AC4">
        <w:t xml:space="preserve"> petitioners and their </w:t>
      </w:r>
      <w:r w:rsidR="00DB53A3" w:rsidRPr="008C6AC4">
        <w:t xml:space="preserve">supporters feel otherwise, to the point of claiming La </w:t>
      </w:r>
      <w:r w:rsidR="00F8016E" w:rsidRPr="008C6AC4">
        <w:t>Cañada</w:t>
      </w:r>
      <w:r w:rsidR="00DB53A3" w:rsidRPr="008C6AC4">
        <w:t xml:space="preserve"> USD as their true district, but their impressions are not determinative here. While boundary areas in any city or district will always have some elements in common with the areas they border, community identity must consider the city and the school district independent entities. </w:t>
      </w:r>
      <w:r w:rsidR="00DB53A3" w:rsidRPr="008C6AC4">
        <w:br/>
      </w:r>
    </w:p>
    <w:p w14:paraId="4F753EBE" w14:textId="31595796" w:rsidR="007F5AD1" w:rsidRPr="008C6AC4" w:rsidRDefault="00DB53A3" w:rsidP="00DB53A3">
      <w:pPr>
        <w:ind w:left="1080"/>
      </w:pPr>
      <w:r w:rsidRPr="008C6AC4">
        <w:t xml:space="preserve">The chief petitioners and the residents living within the petition area do not evidence greater community identity with the La </w:t>
      </w:r>
      <w:r w:rsidR="00F8016E" w:rsidRPr="008C6AC4">
        <w:t>Cañada</w:t>
      </w:r>
      <w:r w:rsidRPr="008C6AC4">
        <w:t xml:space="preserve"> USD than they do with the Glendale USD. Proximity to school sites does not, in and of itself, establish community identity. Exclusion from local clubs or events in their own city cannot be remedied by another entity such as a school district.”</w:t>
      </w:r>
    </w:p>
    <w:p w14:paraId="5556BF52" w14:textId="77777777" w:rsidR="00DB53A3" w:rsidRPr="008C6AC4" w:rsidRDefault="00DB53A3" w:rsidP="00DB53A3">
      <w:pPr>
        <w:pStyle w:val="Heading4"/>
        <w:ind w:left="1080"/>
        <w:rPr>
          <w:rFonts w:eastAsia="Times New Roman" w:cs="Times New Roman"/>
          <w:b w:val="0"/>
          <w:iCs w:val="0"/>
          <w:sz w:val="24"/>
          <w:szCs w:val="24"/>
        </w:rPr>
      </w:pPr>
      <w:bookmarkStart w:id="8" w:name="_Hlk151127859"/>
      <w:r w:rsidRPr="008C6AC4">
        <w:rPr>
          <w:rFonts w:eastAsia="Times New Roman" w:cs="Times New Roman"/>
          <w:b w:val="0"/>
          <w:iCs w:val="0"/>
          <w:sz w:val="24"/>
          <w:szCs w:val="24"/>
        </w:rPr>
        <w:t>The County Committee did not vote on each condition individually, but instead voted (6-3) that all conditions were substantially met.</w:t>
      </w:r>
    </w:p>
    <w:bookmarkEnd w:id="8"/>
    <w:p w14:paraId="5246E464" w14:textId="312436CA" w:rsidR="007F5AD1" w:rsidRPr="008C6AC4" w:rsidRDefault="007F5AD1" w:rsidP="00DB53A3">
      <w:pPr>
        <w:pStyle w:val="Heading4"/>
        <w:ind w:left="1080"/>
        <w:rPr>
          <w:rFonts w:eastAsia="Times New Roman" w:cs="Times New Roman"/>
          <w:b w:val="0"/>
          <w:iCs w:val="0"/>
          <w:sz w:val="24"/>
          <w:szCs w:val="24"/>
        </w:rPr>
      </w:pPr>
      <w:r w:rsidRPr="008C6AC4">
        <w:t>CDE Findings/Conclusion</w:t>
      </w:r>
    </w:p>
    <w:p w14:paraId="530D9856" w14:textId="4BF056AE" w:rsidR="00115745" w:rsidRPr="008C6AC4" w:rsidRDefault="752F28FE" w:rsidP="0FBAEEDD">
      <w:pPr>
        <w:shd w:val="clear" w:color="auto" w:fill="FFFFFF" w:themeFill="background1"/>
        <w:ind w:left="1080"/>
        <w:rPr>
          <w:rFonts w:cs="Arial"/>
          <w:color w:val="212121"/>
        </w:rPr>
      </w:pPr>
      <w:r w:rsidRPr="008C6AC4">
        <w:t xml:space="preserve">CDE staff reviewed the substantial testimony from the petitioners in support of their contention that they feel a greater sense of identity with the City of La </w:t>
      </w:r>
      <w:r w:rsidR="1EFF9613" w:rsidRPr="008C6AC4">
        <w:t>Cañada</w:t>
      </w:r>
      <w:r w:rsidRPr="008C6AC4">
        <w:t xml:space="preserve"> Flintridge, and therefore La </w:t>
      </w:r>
      <w:r w:rsidR="1EFF9613" w:rsidRPr="008C6AC4">
        <w:t>Cañada</w:t>
      </w:r>
      <w:r w:rsidRPr="008C6AC4">
        <w:t xml:space="preserve"> USD, as well as the arguments in opposition to this contention. However, these arguments tend to focus on the community identity of residents of the Sagebrush territory, which is not the subject of Condition 2. Condition 2 focuses exclusively on the effects on the community identities of the school districts, not the territory being transferred. It seems unlikely that a loss of less than</w:t>
      </w:r>
      <w:r w:rsidR="4E9A4A93" w:rsidRPr="008C6AC4">
        <w:t xml:space="preserve"> one</w:t>
      </w:r>
      <w:r w:rsidRPr="008C6AC4">
        <w:t xml:space="preserve"> percent of its students would substantially affect the community identity of Glendale USD. While the potential impact would be larger on the receiving district,</w:t>
      </w:r>
      <w:r w:rsidR="66A42BB2" w:rsidRPr="008C6AC4">
        <w:t xml:space="preserve"> the number of inter</w:t>
      </w:r>
      <w:r w:rsidR="00267ADE" w:rsidRPr="008C6AC4">
        <w:t>-</w:t>
      </w:r>
      <w:r w:rsidR="66A42BB2" w:rsidRPr="008C6AC4">
        <w:t>district transfers approved each year show no obvious negative effect on the community identity of</w:t>
      </w:r>
      <w:r w:rsidRPr="008C6AC4">
        <w:t xml:space="preserve"> La </w:t>
      </w:r>
      <w:r w:rsidR="1EFF9613" w:rsidRPr="008C6AC4">
        <w:t>Cañada</w:t>
      </w:r>
      <w:r w:rsidRPr="008C6AC4">
        <w:t xml:space="preserve"> USD</w:t>
      </w:r>
      <w:r w:rsidR="66A42BB2" w:rsidRPr="008C6AC4">
        <w:t>.</w:t>
      </w:r>
      <w:r w:rsidR="00186966" w:rsidRPr="008C6AC4">
        <w:t xml:space="preserve"> </w:t>
      </w:r>
      <w:r w:rsidR="0064581E" w:rsidRPr="008C6AC4">
        <w:t>While the number of transfer students has fluctuated over time, it has gradually increased, with o</w:t>
      </w:r>
      <w:r w:rsidR="00186966" w:rsidRPr="008C6AC4">
        <w:t xml:space="preserve">ver 250 students from the transfer area </w:t>
      </w:r>
      <w:proofErr w:type="gramStart"/>
      <w:r w:rsidR="00186966" w:rsidRPr="008C6AC4">
        <w:t>attended</w:t>
      </w:r>
      <w:proofErr w:type="gramEnd"/>
      <w:r w:rsidR="00186966" w:rsidRPr="008C6AC4">
        <w:t xml:space="preserve"> La Cañada USD</w:t>
      </w:r>
      <w:r w:rsidR="0064581E" w:rsidRPr="008C6AC4">
        <w:t xml:space="preserve"> in the 2022-23 school year.</w:t>
      </w:r>
      <w:r w:rsidR="66A42BB2" w:rsidRPr="008C6AC4">
        <w:t xml:space="preserve"> Further</w:t>
      </w:r>
      <w:r w:rsidRPr="008C6AC4">
        <w:t>, the argument put forward by County Committee staff</w:t>
      </w:r>
      <w:r w:rsidR="66A42BB2" w:rsidRPr="008C6AC4">
        <w:t xml:space="preserve"> in objection to the transfer under this criterion</w:t>
      </w:r>
      <w:r w:rsidRPr="008C6AC4">
        <w:t xml:space="preserve">, that residents of the petition area have a strong community identity with their locality in general, rather than a particular set of city boundaries, argues in favor of a minimal impact to La </w:t>
      </w:r>
      <w:r w:rsidR="1EFF9613" w:rsidRPr="008C6AC4">
        <w:t>Cañada</w:t>
      </w:r>
      <w:r w:rsidRPr="008C6AC4">
        <w:t xml:space="preserve"> USD’s community identity as well.</w:t>
      </w:r>
      <w:r w:rsidR="2622B1D0" w:rsidRPr="008C6AC4">
        <w:t xml:space="preserve"> Finally, both the City of La </w:t>
      </w:r>
      <w:r w:rsidR="45140D22" w:rsidRPr="008C6AC4">
        <w:t>Cañada</w:t>
      </w:r>
      <w:r w:rsidR="2622B1D0" w:rsidRPr="008C6AC4">
        <w:t xml:space="preserve"> Flintridge, and the La </w:t>
      </w:r>
      <w:r w:rsidR="573F6C0A" w:rsidRPr="008C6AC4">
        <w:t>Cañada</w:t>
      </w:r>
      <w:r w:rsidR="2622B1D0" w:rsidRPr="008C6AC4">
        <w:t xml:space="preserve"> USD have adopted multiple resolutions in </w:t>
      </w:r>
      <w:r w:rsidR="2622B1D0" w:rsidRPr="008C6AC4">
        <w:lastRenderedPageBreak/>
        <w:t>support of this transfer, most recently reaffirming their support on December 5, 2023.</w:t>
      </w:r>
      <w:r w:rsidR="212C17FC" w:rsidRPr="008C6AC4">
        <w:t xml:space="preserve"> This </w:t>
      </w:r>
      <w:r w:rsidR="1A56B8EE" w:rsidRPr="008C6AC4">
        <w:t xml:space="preserve">strongly indicates </w:t>
      </w:r>
      <w:r w:rsidR="63E00FB3" w:rsidRPr="008C6AC4">
        <w:t>agreement by the larger La Cañada Flintridge community with</w:t>
      </w:r>
      <w:r w:rsidR="1A56B8EE" w:rsidRPr="008C6AC4">
        <w:t xml:space="preserve"> the sense of shared </w:t>
      </w:r>
      <w:r w:rsidR="3846E05A" w:rsidRPr="008C6AC4">
        <w:t xml:space="preserve">community </w:t>
      </w:r>
      <w:r w:rsidR="1A56B8EE" w:rsidRPr="008C6AC4">
        <w:t xml:space="preserve">identity </w:t>
      </w:r>
      <w:r w:rsidR="44BB55C7" w:rsidRPr="008C6AC4">
        <w:t>claimed by residents of the territory.</w:t>
      </w:r>
      <w:r w:rsidRPr="008C6AC4">
        <w:br/>
      </w:r>
    </w:p>
    <w:p w14:paraId="5B61A099" w14:textId="74B2B15C" w:rsidR="007F5AD1" w:rsidRPr="008C6AC4" w:rsidRDefault="5B81ABE8" w:rsidP="1399E1F1">
      <w:pPr>
        <w:ind w:left="1080"/>
      </w:pPr>
      <w:r w:rsidRPr="008C6AC4">
        <w:t>Staff were unable to identify any substantial differences between the two districts with respect to t</w:t>
      </w:r>
      <w:r w:rsidR="7F7F41B5" w:rsidRPr="008C6AC4">
        <w:t>he</w:t>
      </w:r>
      <w:r w:rsidRPr="008C6AC4">
        <w:t xml:space="preserve"> criteria</w:t>
      </w:r>
      <w:r w:rsidR="4CE40334" w:rsidRPr="008C6AC4">
        <w:t xml:space="preserve"> listed in Title 5 </w:t>
      </w:r>
      <w:r w:rsidR="4CE40334" w:rsidRPr="008C6AC4">
        <w:rPr>
          <w:i/>
          <w:iCs/>
        </w:rPr>
        <w:t>CCR</w:t>
      </w:r>
      <w:r w:rsidR="4CE40334" w:rsidRPr="008C6AC4">
        <w:t xml:space="preserve"> Section 18573(a)(2)</w:t>
      </w:r>
      <w:r w:rsidR="034E287D" w:rsidRPr="008C6AC4">
        <w:t>.</w:t>
      </w:r>
      <w:r w:rsidR="00115745" w:rsidRPr="008C6AC4">
        <w:br/>
      </w:r>
    </w:p>
    <w:p w14:paraId="4B5AE4E0" w14:textId="77777777" w:rsidR="007F5AD1" w:rsidRPr="008C6AC4" w:rsidRDefault="007F5AD1" w:rsidP="007F5AD1">
      <w:pPr>
        <w:ind w:left="1080"/>
      </w:pPr>
      <w:r w:rsidRPr="008C6AC4">
        <w:t>The CDE concludes that this condition is substantially met.</w:t>
      </w:r>
    </w:p>
    <w:p w14:paraId="790B304D" w14:textId="03F9A120" w:rsidR="007F5AD1" w:rsidRPr="008C6AC4" w:rsidRDefault="010B0DA6" w:rsidP="00D15C3F">
      <w:pPr>
        <w:pStyle w:val="Heading3"/>
        <w:numPr>
          <w:ilvl w:val="1"/>
          <w:numId w:val="17"/>
        </w:numPr>
        <w:ind w:left="1080"/>
      </w:pPr>
      <w:r w:rsidRPr="008C6AC4">
        <w:t xml:space="preserve">The </w:t>
      </w:r>
      <w:r w:rsidR="49143D6C" w:rsidRPr="008C6AC4">
        <w:t>Petition</w:t>
      </w:r>
      <w:r w:rsidRPr="008C6AC4">
        <w:t xml:space="preserve"> will result in an equitable division of property and facilities of the original district or districts.</w:t>
      </w:r>
    </w:p>
    <w:p w14:paraId="3D48EC63" w14:textId="77777777" w:rsidR="007F5AD1" w:rsidRPr="008C6AC4" w:rsidRDefault="007F5AD1" w:rsidP="007F5AD1">
      <w:pPr>
        <w:pStyle w:val="Heading4"/>
        <w:ind w:left="1080"/>
      </w:pPr>
      <w:r w:rsidRPr="008C6AC4">
        <w:t>Standard of Review</w:t>
      </w:r>
    </w:p>
    <w:p w14:paraId="31A179E4" w14:textId="614AF8B6" w:rsidR="007F5AD1" w:rsidRPr="008C6AC4" w:rsidRDefault="010B0DA6" w:rsidP="007F5AD1">
      <w:pPr>
        <w:ind w:left="1080"/>
      </w:pPr>
      <w:r w:rsidRPr="008C6AC4">
        <w:t xml:space="preserve">To determine whether an equitable division of property and facilities will occur, the CDE reviews the </w:t>
      </w:r>
      <w:r w:rsidR="4394E7EB" w:rsidRPr="008C6AC4">
        <w:t>Petition</w:t>
      </w:r>
      <w:r w:rsidRPr="008C6AC4">
        <w:t xml:space="preserve"> for compliance with </w:t>
      </w:r>
      <w:r w:rsidRPr="008C6AC4">
        <w:rPr>
          <w:i/>
          <w:iCs/>
        </w:rPr>
        <w:t>EC</w:t>
      </w:r>
      <w:r w:rsidRPr="008C6AC4">
        <w:t xml:space="preserve"> sections 35560 and 35564 and determines which of the criteria authorized in </w:t>
      </w:r>
      <w:r w:rsidRPr="008C6AC4">
        <w:rPr>
          <w:i/>
          <w:iCs/>
        </w:rPr>
        <w:t>EC</w:t>
      </w:r>
      <w:r w:rsidRPr="008C6AC4">
        <w:t xml:space="preserve"> Section 35736 shall be applied. The CDE also ascertains that the affected districts and County Superintendent are prepared to appoint the committee described in </w:t>
      </w:r>
      <w:r w:rsidRPr="008C6AC4">
        <w:rPr>
          <w:i/>
          <w:iCs/>
        </w:rPr>
        <w:t>EC</w:t>
      </w:r>
      <w:r w:rsidRPr="008C6AC4">
        <w:t xml:space="preserve"> Section 35565 to settle disputes arising from such division of property (5 </w:t>
      </w:r>
      <w:r w:rsidRPr="008C6AC4">
        <w:rPr>
          <w:i/>
          <w:iCs/>
        </w:rPr>
        <w:t>CCR</w:t>
      </w:r>
      <w:r w:rsidRPr="008C6AC4">
        <w:t xml:space="preserve"> 18573[a][3]).</w:t>
      </w:r>
    </w:p>
    <w:p w14:paraId="1ACDF732" w14:textId="77777777" w:rsidR="007F5AD1" w:rsidRPr="008C6AC4" w:rsidRDefault="007F5AD1" w:rsidP="007F5AD1">
      <w:pPr>
        <w:pStyle w:val="Heading4"/>
        <w:ind w:left="1080"/>
      </w:pPr>
      <w:r w:rsidRPr="008C6AC4">
        <w:t>County Committee Review and Evaluation</w:t>
      </w:r>
    </w:p>
    <w:p w14:paraId="73F39C3D" w14:textId="22961C5D" w:rsidR="006F008E" w:rsidRPr="008C6AC4" w:rsidRDefault="00DD01A9" w:rsidP="00DD01A9">
      <w:pPr>
        <w:ind w:left="1080"/>
      </w:pPr>
      <w:r w:rsidRPr="008C6AC4">
        <w:t xml:space="preserve">The County Committee reviewed the effect of the transfer on both districts’ bonded indebtedness capacity and school facilities. Because </w:t>
      </w:r>
      <w:r w:rsidR="001F3797" w:rsidRPr="008C6AC4">
        <w:t xml:space="preserve">no Glendale USD </w:t>
      </w:r>
      <w:r w:rsidRPr="008C6AC4">
        <w:t xml:space="preserve">school facilities are located within the transfer area and fewer than 400 students resided in the Sagebrush territory at the time, many of whom already attended La </w:t>
      </w:r>
      <w:r w:rsidR="00F8016E" w:rsidRPr="008C6AC4">
        <w:t>Cañada</w:t>
      </w:r>
      <w:r w:rsidRPr="008C6AC4">
        <w:t xml:space="preserve"> USD schools, staff concluded that a division of property, funds or obligations (except bonded indebtedness) of the school districts would not be required should this transfer be approved. </w:t>
      </w:r>
    </w:p>
    <w:p w14:paraId="00A61BBE" w14:textId="1E8BCAE6" w:rsidR="007F5AD1" w:rsidRPr="008C6AC4" w:rsidRDefault="00DD01A9" w:rsidP="00DD01A9">
      <w:pPr>
        <w:ind w:left="1080"/>
      </w:pPr>
      <w:r w:rsidRPr="008C6AC4">
        <w:br/>
        <w:t>The County Committee did not vote on each condition individually, but instead voted (6-3) that all conditions were substantially met.</w:t>
      </w:r>
    </w:p>
    <w:p w14:paraId="7F82EA69" w14:textId="77777777" w:rsidR="007F5AD1" w:rsidRPr="008C6AC4" w:rsidRDefault="007F5AD1" w:rsidP="007F5AD1">
      <w:pPr>
        <w:pStyle w:val="Heading4"/>
        <w:ind w:left="1080"/>
      </w:pPr>
      <w:r w:rsidRPr="008C6AC4">
        <w:t>CDE Findings/Conclusion</w:t>
      </w:r>
    </w:p>
    <w:p w14:paraId="047B62F5" w14:textId="30C344E6" w:rsidR="007F5AD1" w:rsidRPr="008C6AC4" w:rsidRDefault="010B0DA6" w:rsidP="0FBAEEDD">
      <w:pPr>
        <w:ind w:left="1080"/>
      </w:pPr>
      <w:r w:rsidRPr="008C6AC4">
        <w:t xml:space="preserve">The CDE </w:t>
      </w:r>
      <w:r w:rsidR="3A8097A0" w:rsidRPr="008C6AC4">
        <w:t>concurs that no transfer of facilities would be required pursuant to this transfer</w:t>
      </w:r>
      <w:r w:rsidRPr="008C6AC4">
        <w:t>.</w:t>
      </w:r>
      <w:r w:rsidR="3A8097A0" w:rsidRPr="008C6AC4">
        <w:t xml:space="preserve"> </w:t>
      </w:r>
      <w:r w:rsidR="001F3797" w:rsidRPr="008C6AC4">
        <w:t xml:space="preserve">Further, given that </w:t>
      </w:r>
      <w:proofErr w:type="gramStart"/>
      <w:r w:rsidR="001F3797" w:rsidRPr="008C6AC4">
        <w:t>a majority of</w:t>
      </w:r>
      <w:proofErr w:type="gramEnd"/>
      <w:r w:rsidR="001F3797" w:rsidRPr="008C6AC4">
        <w:t xml:space="preserve"> the students in the territory are already attending La Cañada schools and CDE staff believe existing facilities are sufficient to accommodate the remaining territory students, the facility impacts should be minimal. </w:t>
      </w:r>
      <w:r w:rsidR="10123E99" w:rsidRPr="008C6AC4">
        <w:t xml:space="preserve"> </w:t>
      </w:r>
      <w:r w:rsidR="3A8097A0" w:rsidRPr="008C6AC4">
        <w:t xml:space="preserve">This condition and the resultant </w:t>
      </w:r>
      <w:r w:rsidR="7D62AD8E" w:rsidRPr="008C6AC4">
        <w:t xml:space="preserve">facilities questions </w:t>
      </w:r>
      <w:r w:rsidR="3A8097A0" w:rsidRPr="008C6AC4">
        <w:t xml:space="preserve">are explored more fully in Attachment </w:t>
      </w:r>
      <w:r w:rsidR="73C40409" w:rsidRPr="008C6AC4">
        <w:t>2</w:t>
      </w:r>
      <w:r w:rsidR="3A8097A0" w:rsidRPr="008C6AC4">
        <w:t>.</w:t>
      </w:r>
    </w:p>
    <w:p w14:paraId="4730494A" w14:textId="77777777" w:rsidR="00DD01A9" w:rsidRPr="008C6AC4" w:rsidRDefault="00DD01A9" w:rsidP="00DD01A9">
      <w:pPr>
        <w:ind w:left="1080"/>
      </w:pPr>
    </w:p>
    <w:p w14:paraId="5264B672" w14:textId="233785DA" w:rsidR="007F5AD1" w:rsidRPr="008C6AC4" w:rsidRDefault="28DAF183" w:rsidP="007F5AD1">
      <w:pPr>
        <w:ind w:left="1080"/>
      </w:pPr>
      <w:r w:rsidRPr="008C6AC4">
        <w:t xml:space="preserve">Since no facilities are being transferred, </w:t>
      </w:r>
      <w:r w:rsidR="010B0DA6" w:rsidRPr="008C6AC4">
        <w:t>the CDE determines that this condition is substantially met.</w:t>
      </w:r>
    </w:p>
    <w:p w14:paraId="7CB805AF" w14:textId="77777777" w:rsidR="007F5AD1" w:rsidRPr="008C6AC4" w:rsidRDefault="007F5AD1" w:rsidP="00D15C3F">
      <w:pPr>
        <w:pStyle w:val="Heading3"/>
        <w:numPr>
          <w:ilvl w:val="1"/>
          <w:numId w:val="17"/>
        </w:numPr>
        <w:ind w:left="1080"/>
      </w:pPr>
      <w:r w:rsidRPr="008C6AC4">
        <w:t>The reorganization of the districts will preserve each affected district's ability to educate students in an integrated environment and will not promote racial or ethnic discrimination or segregation.</w:t>
      </w:r>
    </w:p>
    <w:p w14:paraId="3ABEF559" w14:textId="77777777" w:rsidR="007F5AD1" w:rsidRPr="008C6AC4" w:rsidRDefault="007F5AD1" w:rsidP="007F5AD1">
      <w:pPr>
        <w:pStyle w:val="Heading4"/>
        <w:ind w:left="1080"/>
      </w:pPr>
      <w:r w:rsidRPr="008C6AC4">
        <w:t>Standard of Review</w:t>
      </w:r>
    </w:p>
    <w:p w14:paraId="4AD72B07" w14:textId="77777777" w:rsidR="007F5AD1" w:rsidRPr="008C6AC4" w:rsidRDefault="007F5AD1" w:rsidP="007F5AD1">
      <w:pPr>
        <w:ind w:left="1080"/>
      </w:pPr>
      <w:r w:rsidRPr="008C6AC4">
        <w:t xml:space="preserve">In 5 </w:t>
      </w:r>
      <w:r w:rsidRPr="008C6AC4">
        <w:rPr>
          <w:i/>
        </w:rPr>
        <w:t>CCR</w:t>
      </w:r>
      <w:r w:rsidRPr="008C6AC4">
        <w:t xml:space="preserve"> Section 18573(a)(4), the SBE set forth five factors to be considered in determining whether reorganization will promote racial or ethnic discrimination or segregation:</w:t>
      </w:r>
    </w:p>
    <w:p w14:paraId="3B9A8143" w14:textId="77777777" w:rsidR="007F5AD1" w:rsidRPr="008C6AC4" w:rsidRDefault="007F5AD1" w:rsidP="007F5AD1">
      <w:pPr>
        <w:ind w:left="1440" w:hanging="360"/>
      </w:pPr>
      <w:r w:rsidRPr="008C6AC4">
        <w:t>(a)</w:t>
      </w:r>
      <w:r w:rsidRPr="008C6AC4">
        <w:tab/>
        <w:t>The current number and percentage of pupils in each racial and ethnic group in the affected districts and schools in the affected districts, compared with the number and percentage of pupils in each racial and ethnic group in the affected districts and schools in the affected districts if the proposal or petition were approved.</w:t>
      </w:r>
    </w:p>
    <w:p w14:paraId="315DB963" w14:textId="77777777" w:rsidR="007F5AD1" w:rsidRPr="008C6AC4" w:rsidRDefault="007F5AD1" w:rsidP="007F5AD1">
      <w:pPr>
        <w:ind w:left="1440" w:hanging="360"/>
      </w:pPr>
      <w:r w:rsidRPr="008C6AC4">
        <w:t>(b)</w:t>
      </w:r>
      <w:r w:rsidRPr="008C6AC4">
        <w:tab/>
        <w:t>The trends and rates of present and possible future growth or change in the total population in the districts affected, in each racial and ethnic group within the total district, and in each school of the affected districts.</w:t>
      </w:r>
    </w:p>
    <w:p w14:paraId="739DE0D4" w14:textId="77777777" w:rsidR="007F5AD1" w:rsidRPr="008C6AC4" w:rsidRDefault="007F5AD1" w:rsidP="007F5AD1">
      <w:pPr>
        <w:ind w:left="1440" w:hanging="360"/>
      </w:pPr>
      <w:r w:rsidRPr="008C6AC4">
        <w:t>(c)</w:t>
      </w:r>
      <w:r w:rsidRPr="008C6AC4">
        <w:tab/>
        <w:t>The school board policies regarding methods of preventing racial and ethnic segregation in the affected districts and the effect of the proposal or petition on any desegregation plan or program of the affected districts, whether voluntary or court ordered, designed to prevent or alleviate racial or ethnic discrimination or segregation.</w:t>
      </w:r>
    </w:p>
    <w:p w14:paraId="0AC72B5E" w14:textId="77777777" w:rsidR="007F5AD1" w:rsidRPr="008C6AC4" w:rsidRDefault="007F5AD1" w:rsidP="007F5AD1">
      <w:pPr>
        <w:ind w:left="1440" w:hanging="360"/>
      </w:pPr>
      <w:r w:rsidRPr="008C6AC4">
        <w:t>(d)</w:t>
      </w:r>
      <w:r w:rsidRPr="008C6AC4">
        <w:tab/>
        <w:t xml:space="preserve">The effect of factors such as distance between schools and attendance centers, terrain, geographic features that may involve safety hazards to pupils, capacity of schools, and related conditions or circumstances that may </w:t>
      </w:r>
      <w:proofErr w:type="gramStart"/>
      <w:r w:rsidRPr="008C6AC4">
        <w:t>have an effect on</w:t>
      </w:r>
      <w:proofErr w:type="gramEnd"/>
      <w:r w:rsidRPr="008C6AC4">
        <w:t xml:space="preserve"> the feasibility of integration of the affected schools.</w:t>
      </w:r>
    </w:p>
    <w:p w14:paraId="15D75C7D" w14:textId="77777777" w:rsidR="007F5AD1" w:rsidRPr="008C6AC4" w:rsidRDefault="007F5AD1" w:rsidP="007F5AD1">
      <w:pPr>
        <w:ind w:left="1440" w:hanging="360"/>
      </w:pPr>
      <w:r w:rsidRPr="008C6AC4">
        <w:t>(e)</w:t>
      </w:r>
      <w:r w:rsidRPr="008C6AC4">
        <w:tab/>
        <w:t>The effect of the proposal on the duty of the governing board of each of the affected districts to take steps, insofar as reasonably feasible, to alleviate segregation of minority pupils in schools regardless of its cause.</w:t>
      </w:r>
    </w:p>
    <w:p w14:paraId="0203E8C0" w14:textId="77777777" w:rsidR="007F5AD1" w:rsidRPr="008C6AC4" w:rsidRDefault="007F5AD1" w:rsidP="007F5AD1">
      <w:pPr>
        <w:pStyle w:val="Heading4"/>
        <w:ind w:left="1080"/>
      </w:pPr>
      <w:r w:rsidRPr="008C6AC4">
        <w:t>County Committee Review and Evaluation</w:t>
      </w:r>
    </w:p>
    <w:p w14:paraId="0B68FE22" w14:textId="768F1D2D" w:rsidR="00DD01A9" w:rsidRPr="008C6AC4" w:rsidRDefault="3A8097A0" w:rsidP="00DD01A9">
      <w:pPr>
        <w:ind w:left="1080"/>
      </w:pPr>
      <w:r w:rsidRPr="008C6AC4">
        <w:t xml:space="preserve">After reviewing the demographic data submitted by both districts, County Committee staff concluded: “The potential shift of the students from the petition area within the Glendale USD to the La </w:t>
      </w:r>
      <w:r w:rsidR="1EFF9613" w:rsidRPr="008C6AC4">
        <w:t>Cañada</w:t>
      </w:r>
      <w:r w:rsidRPr="008C6AC4">
        <w:t xml:space="preserve"> USD would not have a discernable impact on the ethnic or racial distribution of either district. Because there are so few students, and the districts have similar ethnic/racial makeups, percentage distribution across ethnic categories would remain very similar for both </w:t>
      </w:r>
      <w:r w:rsidR="2C0236F2" w:rsidRPr="008C6AC4">
        <w:t xml:space="preserve">if the territory is </w:t>
      </w:r>
      <w:r w:rsidR="297317D0" w:rsidRPr="008C6AC4">
        <w:t>approved.</w:t>
      </w:r>
      <w:r w:rsidRPr="008C6AC4">
        <w:t xml:space="preserve"> Further, many of the students </w:t>
      </w:r>
      <w:r w:rsidRPr="008C6AC4">
        <w:lastRenderedPageBreak/>
        <w:t xml:space="preserve">residing in the petition area already enroll in La </w:t>
      </w:r>
      <w:r w:rsidR="1EFF9613" w:rsidRPr="008C6AC4">
        <w:t>Cañada</w:t>
      </w:r>
      <w:r w:rsidRPr="008C6AC4">
        <w:t xml:space="preserve"> USD schools. If the petition is approved, those students in the petition area who currently enroll in Glendale USD schools could choose to continue those enrollments via permit. It is concluded that the proposed petition, if approved, would not promote racial or ethnic discrimination in any of the impacted school districts. Therefore, it is recommended that the County Committee deem this condition substantially met.”</w:t>
      </w:r>
    </w:p>
    <w:p w14:paraId="0B4B3138" w14:textId="77777777" w:rsidR="00DD01A9" w:rsidRPr="008C6AC4" w:rsidRDefault="00DD01A9" w:rsidP="007F5AD1">
      <w:pPr>
        <w:pStyle w:val="Heading4"/>
        <w:ind w:left="1080"/>
        <w:rPr>
          <w:rFonts w:eastAsia="Times New Roman" w:cs="Times New Roman"/>
          <w:b w:val="0"/>
          <w:iCs w:val="0"/>
          <w:sz w:val="24"/>
          <w:szCs w:val="24"/>
        </w:rPr>
      </w:pPr>
      <w:r w:rsidRPr="008C6AC4">
        <w:rPr>
          <w:rFonts w:eastAsia="Times New Roman" w:cs="Times New Roman"/>
          <w:b w:val="0"/>
          <w:iCs w:val="0"/>
          <w:sz w:val="24"/>
          <w:szCs w:val="24"/>
        </w:rPr>
        <w:t>The County Committee did not vote on each condition individually, but instead voted (6-3) that all conditions were substantially met.</w:t>
      </w:r>
    </w:p>
    <w:p w14:paraId="05CA3372" w14:textId="64AAE61F" w:rsidR="007F5AD1" w:rsidRPr="008C6AC4" w:rsidRDefault="007F5AD1" w:rsidP="007F5AD1">
      <w:pPr>
        <w:pStyle w:val="Heading4"/>
        <w:ind w:left="1080"/>
      </w:pPr>
      <w:r w:rsidRPr="008C6AC4">
        <w:t>CDE Findings/Conclusion</w:t>
      </w:r>
    </w:p>
    <w:p w14:paraId="3F4244B6" w14:textId="7C017B70" w:rsidR="007F5AD1" w:rsidRPr="008C6AC4" w:rsidRDefault="010B0DA6" w:rsidP="1399E1F1">
      <w:pPr>
        <w:ind w:left="1080"/>
        <w:rPr>
          <w:i/>
          <w:iCs/>
        </w:rPr>
      </w:pPr>
      <w:r w:rsidRPr="008C6AC4">
        <w:t xml:space="preserve">The CDE conducted its own analysis in accordance with 5 CCR Section 18573(a)(4) and the </w:t>
      </w:r>
      <w:r w:rsidRPr="008C6AC4">
        <w:rPr>
          <w:i/>
          <w:iCs/>
        </w:rPr>
        <w:t>Handbook for Conducting Racial and Ethnic Studies in School Districts</w:t>
      </w:r>
      <w:r w:rsidRPr="008C6AC4">
        <w:t>.</w:t>
      </w:r>
      <w:r w:rsidR="325603A4" w:rsidRPr="008C6AC4">
        <w:t xml:space="preserve"> </w:t>
      </w:r>
      <w:r w:rsidR="58887AD9" w:rsidRPr="008C6AC4">
        <w:t xml:space="preserve">The Handbook defines an integrated educational experience as, “the process of education in a racially and ethnically diverse school that has as its goal equal opportunities for participation and achievement among all racial and ethnic groups in the academic program and other activities of the school, together with the development of attitudes, behavior, and friendship based on the recognition of dignity and value in differences as well as similarities.” The handbook also requires districtwide percentages to be given primary consideration in a district with relatively few schools, such as La </w:t>
      </w:r>
      <w:r w:rsidR="1EFF9613" w:rsidRPr="008C6AC4">
        <w:t>Cañada</w:t>
      </w:r>
      <w:r w:rsidR="58887AD9" w:rsidRPr="008C6AC4">
        <w:t xml:space="preserve">. </w:t>
      </w:r>
      <w:r w:rsidRPr="008C6AC4">
        <w:t xml:space="preserve">The </w:t>
      </w:r>
      <w:r w:rsidR="325603A4" w:rsidRPr="008C6AC4">
        <w:t xml:space="preserve">Glendale </w:t>
      </w:r>
      <w:r w:rsidRPr="008C6AC4">
        <w:t xml:space="preserve">USD is currently </w:t>
      </w:r>
      <w:r w:rsidR="325603A4" w:rsidRPr="008C6AC4">
        <w:t>40</w:t>
      </w:r>
      <w:r w:rsidRPr="008C6AC4">
        <w:t>.</w:t>
      </w:r>
      <w:r w:rsidR="325603A4" w:rsidRPr="008C6AC4">
        <w:t>7</w:t>
      </w:r>
      <w:r w:rsidRPr="008C6AC4">
        <w:t xml:space="preserve"> percent minority</w:t>
      </w:r>
      <w:r w:rsidR="5F6A777C" w:rsidRPr="008C6AC4">
        <w:t xml:space="preserve"> students</w:t>
      </w:r>
      <w:r w:rsidRPr="008C6AC4">
        <w:t xml:space="preserve">. </w:t>
      </w:r>
      <w:r w:rsidR="325603A4" w:rsidRPr="008C6AC4">
        <w:t xml:space="preserve">The La </w:t>
      </w:r>
      <w:r w:rsidR="1EFF9613" w:rsidRPr="008C6AC4">
        <w:t>Cañada</w:t>
      </w:r>
      <w:r w:rsidR="325603A4" w:rsidRPr="008C6AC4">
        <w:t xml:space="preserve"> USD is 56.6 percent minority</w:t>
      </w:r>
      <w:r w:rsidR="5F6A777C" w:rsidRPr="008C6AC4">
        <w:t xml:space="preserve"> students</w:t>
      </w:r>
      <w:r w:rsidR="325603A4" w:rsidRPr="008C6AC4">
        <w:t xml:space="preserve">. </w:t>
      </w:r>
      <w:r w:rsidR="58887AD9" w:rsidRPr="008C6AC4">
        <w:t xml:space="preserve">The schools closest to the transferred territory, and therefore most likely to be affected, have similar demographic profiles to their districts. </w:t>
      </w:r>
      <w:r w:rsidR="325603A4" w:rsidRPr="008C6AC4">
        <w:t xml:space="preserve">While the exact racial demographics of the Sagebrush territory are unknown, </w:t>
      </w:r>
      <w:r w:rsidR="5F6A777C" w:rsidRPr="008C6AC4">
        <w:t xml:space="preserve">the small number of students involved </w:t>
      </w:r>
      <w:r w:rsidR="2C0236F2" w:rsidRPr="008C6AC4">
        <w:t xml:space="preserve">make it unlikely </w:t>
      </w:r>
      <w:r w:rsidR="5F6A777C" w:rsidRPr="008C6AC4">
        <w:t>that</w:t>
      </w:r>
      <w:r w:rsidR="325603A4" w:rsidRPr="008C6AC4">
        <w:t xml:space="preserve"> </w:t>
      </w:r>
      <w:r w:rsidRPr="008C6AC4">
        <w:t xml:space="preserve">the racial and ethnic composition of the affected </w:t>
      </w:r>
      <w:r w:rsidR="5F6A777C" w:rsidRPr="008C6AC4">
        <w:t>districts</w:t>
      </w:r>
      <w:r w:rsidRPr="008C6AC4">
        <w:t xml:space="preserve"> would be substantially unchanged by the </w:t>
      </w:r>
      <w:r w:rsidR="236A9302" w:rsidRPr="008C6AC4">
        <w:t>territory</w:t>
      </w:r>
      <w:r w:rsidR="2C0236F2" w:rsidRPr="008C6AC4">
        <w:t xml:space="preserve"> transfer </w:t>
      </w:r>
      <w:r w:rsidRPr="008C6AC4">
        <w:t>and would preserve each affected district’s ability to educate students in an integrated environment.</w:t>
      </w:r>
      <w:r w:rsidR="007F5AD1" w:rsidRPr="008C6AC4">
        <w:br/>
      </w:r>
    </w:p>
    <w:p w14:paraId="6C52C4D1" w14:textId="06D3B863" w:rsidR="007F5AD1" w:rsidRPr="008C6AC4" w:rsidRDefault="007F5AD1" w:rsidP="007F5AD1">
      <w:pPr>
        <w:ind w:left="1080"/>
      </w:pPr>
      <w:r w:rsidRPr="008C6AC4">
        <w:t xml:space="preserve">The CDE finds the </w:t>
      </w:r>
      <w:r w:rsidR="001D5D16" w:rsidRPr="008C6AC4">
        <w:t>petition</w:t>
      </w:r>
      <w:r w:rsidRPr="008C6AC4">
        <w:t xml:space="preserve"> substantially meets this condition.</w:t>
      </w:r>
    </w:p>
    <w:p w14:paraId="3E5589CD" w14:textId="77777777" w:rsidR="007F5AD1" w:rsidRPr="008C6AC4" w:rsidRDefault="007F5AD1" w:rsidP="00D15C3F">
      <w:pPr>
        <w:pStyle w:val="Heading3"/>
        <w:numPr>
          <w:ilvl w:val="1"/>
          <w:numId w:val="17"/>
        </w:numPr>
        <w:ind w:left="1080"/>
      </w:pPr>
      <w:r w:rsidRPr="008C6AC4">
        <w:t xml:space="preserve">Any increase in costs to the state </w:t>
      </w:r>
      <w:proofErr w:type="gramStart"/>
      <w:r w:rsidRPr="008C6AC4">
        <w:t>as a result of</w:t>
      </w:r>
      <w:proofErr w:type="gramEnd"/>
      <w:r w:rsidRPr="008C6AC4">
        <w:t xml:space="preserve"> the proposed reorganization will be insignificant and otherwise incidental to the reorganization.</w:t>
      </w:r>
    </w:p>
    <w:p w14:paraId="72944B52" w14:textId="77777777" w:rsidR="007F5AD1" w:rsidRPr="008C6AC4" w:rsidRDefault="007F5AD1" w:rsidP="007F5AD1">
      <w:pPr>
        <w:pStyle w:val="Heading4"/>
        <w:ind w:left="1080"/>
      </w:pPr>
      <w:r w:rsidRPr="008C6AC4">
        <w:t>Standard of Review</w:t>
      </w:r>
    </w:p>
    <w:p w14:paraId="3E1A7E6D" w14:textId="77777777" w:rsidR="007F5AD1" w:rsidRPr="008C6AC4" w:rsidRDefault="007F5AD1" w:rsidP="007F5AD1">
      <w:pPr>
        <w:ind w:left="1080"/>
      </w:pPr>
      <w:r w:rsidRPr="008C6AC4">
        <w:rPr>
          <w:i/>
        </w:rPr>
        <w:t>EC</w:t>
      </w:r>
      <w:r w:rsidRPr="008C6AC4">
        <w:t xml:space="preserve"> sections 35735 through 35735.10 mandate a method of computing Local Control Funding Formula (LCFF) entitlements without regard to this condition. Although LCFF entitlements are considered in this section, only potential </w:t>
      </w:r>
      <w:r w:rsidRPr="008C6AC4">
        <w:lastRenderedPageBreak/>
        <w:t xml:space="preserve">costs to the state other than those mandated by </w:t>
      </w:r>
      <w:r w:rsidRPr="008C6AC4">
        <w:rPr>
          <w:i/>
        </w:rPr>
        <w:t>EC</w:t>
      </w:r>
      <w:r w:rsidRPr="008C6AC4">
        <w:t xml:space="preserve"> sections 35735 through 35735.10 are used to analyze the proposal for compliance with this condition.</w:t>
      </w:r>
    </w:p>
    <w:p w14:paraId="1970FC55" w14:textId="77777777" w:rsidR="007F5AD1" w:rsidRPr="008C6AC4" w:rsidRDefault="007F5AD1" w:rsidP="007F5AD1">
      <w:pPr>
        <w:pStyle w:val="Heading4"/>
        <w:ind w:left="1080"/>
      </w:pPr>
      <w:r w:rsidRPr="008C6AC4">
        <w:t>County Committee Review and Evaluation</w:t>
      </w:r>
    </w:p>
    <w:p w14:paraId="1E8D0F77" w14:textId="51BB632A" w:rsidR="007F5AD1" w:rsidRPr="008C6AC4" w:rsidRDefault="001D5D16" w:rsidP="007F5AD1">
      <w:pPr>
        <w:ind w:left="1080"/>
      </w:pPr>
      <w:r w:rsidRPr="008C6AC4">
        <w:t>County Committee staff concluded that, despite the relatively small number of students involved, their transfer would cost Glendale USD a substantial amount of funding over time</w:t>
      </w:r>
      <w:r w:rsidR="007F5AD1" w:rsidRPr="008C6AC4">
        <w:t>.</w:t>
      </w:r>
      <w:r w:rsidRPr="008C6AC4">
        <w:t xml:space="preserve"> They also concluded that La </w:t>
      </w:r>
      <w:r w:rsidR="00F8016E" w:rsidRPr="008C6AC4">
        <w:t>Cañada</w:t>
      </w:r>
      <w:r w:rsidRPr="008C6AC4">
        <w:t>’s lack of sufficient classroom capacity for the transferred students would result in an increase in building costs, which may result in increased construction funding costs to the state. Committee staff recommended that the County Committee deem this condition to be not substantially met.</w:t>
      </w:r>
    </w:p>
    <w:p w14:paraId="16C2BFB6" w14:textId="77777777" w:rsidR="001D5D16" w:rsidRPr="008C6AC4" w:rsidRDefault="001D5D16" w:rsidP="001D5D16">
      <w:pPr>
        <w:pStyle w:val="Heading4"/>
        <w:ind w:left="1080"/>
        <w:rPr>
          <w:rFonts w:eastAsia="Times New Roman" w:cs="Times New Roman"/>
          <w:b w:val="0"/>
          <w:iCs w:val="0"/>
          <w:sz w:val="24"/>
          <w:szCs w:val="24"/>
        </w:rPr>
      </w:pPr>
      <w:r w:rsidRPr="008C6AC4">
        <w:rPr>
          <w:rFonts w:eastAsia="Times New Roman" w:cs="Times New Roman"/>
          <w:b w:val="0"/>
          <w:iCs w:val="0"/>
          <w:sz w:val="24"/>
          <w:szCs w:val="24"/>
        </w:rPr>
        <w:t>The County Committee did not vote on each condition individually, but instead voted (6-3) that all conditions were substantially met.</w:t>
      </w:r>
    </w:p>
    <w:p w14:paraId="4FDE5971" w14:textId="77777777" w:rsidR="007F5AD1" w:rsidRPr="008C6AC4" w:rsidRDefault="007F5AD1" w:rsidP="007F5AD1">
      <w:pPr>
        <w:pStyle w:val="Heading4"/>
        <w:ind w:left="1080"/>
      </w:pPr>
      <w:r w:rsidRPr="008C6AC4">
        <w:t>CDE Findings/Conclusion</w:t>
      </w:r>
    </w:p>
    <w:p w14:paraId="38F2031C" w14:textId="372317C4" w:rsidR="00F90A23" w:rsidRPr="008C6AC4" w:rsidRDefault="010B0DA6" w:rsidP="1399E1F1">
      <w:pPr>
        <w:ind w:left="1080"/>
      </w:pPr>
      <w:r w:rsidRPr="008C6AC4">
        <w:t xml:space="preserve">The LCFF is the primary source of a school district’s general-purpose funding. The CDE prepared a hypothetical LCFF funding estimate for the </w:t>
      </w:r>
      <w:r w:rsidR="25B24234" w:rsidRPr="008C6AC4">
        <w:t xml:space="preserve">two </w:t>
      </w:r>
      <w:r w:rsidRPr="008C6AC4">
        <w:t xml:space="preserve">districts to determine the anticipated impact of the </w:t>
      </w:r>
      <w:r w:rsidR="7953A404" w:rsidRPr="008C6AC4">
        <w:t>Petition</w:t>
      </w:r>
      <w:r w:rsidRPr="008C6AC4">
        <w:t xml:space="preserve"> on state costs and found</w:t>
      </w:r>
      <w:r w:rsidR="25B24234" w:rsidRPr="008C6AC4">
        <w:t xml:space="preserve"> </w:t>
      </w:r>
      <w:r w:rsidRPr="008C6AC4">
        <w:t xml:space="preserve">no increased state costs (see attachment </w:t>
      </w:r>
      <w:r w:rsidR="73C40409" w:rsidRPr="008C6AC4">
        <w:t>3</w:t>
      </w:r>
      <w:r w:rsidRPr="008C6AC4">
        <w:t>)</w:t>
      </w:r>
      <w:r w:rsidR="25B24234" w:rsidRPr="008C6AC4">
        <w:t xml:space="preserve"> due to changes in the LCFF funding</w:t>
      </w:r>
      <w:r w:rsidRPr="008C6AC4">
        <w:t>.</w:t>
      </w:r>
      <w:r w:rsidR="001F3797" w:rsidRPr="008C6AC4">
        <w:t xml:space="preserve"> Significant changes to both the number of transfer students and the capacity of La Cañada USD have occurred since the County Committee examined this issue in 2019, and CDE believes that there is no longer a capacity issue. Additionally</w:t>
      </w:r>
      <w:r w:rsidR="25B24234" w:rsidRPr="008C6AC4">
        <w:t>, state funding for construction of new facilities</w:t>
      </w:r>
      <w:r w:rsidR="3BBF8EF0" w:rsidRPr="008C6AC4">
        <w:t xml:space="preserve"> or </w:t>
      </w:r>
      <w:r w:rsidR="25B24234" w:rsidRPr="008C6AC4">
        <w:t xml:space="preserve">upgrades to existing facilities is not </w:t>
      </w:r>
      <w:r w:rsidR="0A016327" w:rsidRPr="008C6AC4">
        <w:t>automatic and</w:t>
      </w:r>
      <w:r w:rsidR="25B24234" w:rsidRPr="008C6AC4">
        <w:t xml:space="preserve"> is entirely speculative.</w:t>
      </w:r>
    </w:p>
    <w:p w14:paraId="201A2516" w14:textId="567DF377" w:rsidR="007F5AD1" w:rsidRPr="008C6AC4" w:rsidRDefault="007F5AD1" w:rsidP="007F5AD1">
      <w:pPr>
        <w:tabs>
          <w:tab w:val="left" w:pos="-720"/>
        </w:tabs>
        <w:ind w:left="1080"/>
      </w:pPr>
      <w:r w:rsidRPr="008C6AC4">
        <w:t xml:space="preserve"> </w:t>
      </w:r>
    </w:p>
    <w:p w14:paraId="6D940484" w14:textId="15117389" w:rsidR="007F5AD1" w:rsidRPr="008C6AC4" w:rsidRDefault="010B0DA6" w:rsidP="007F5AD1">
      <w:pPr>
        <w:ind w:left="1080"/>
      </w:pPr>
      <w:r w:rsidRPr="008C6AC4">
        <w:t xml:space="preserve">The CDE </w:t>
      </w:r>
      <w:r w:rsidR="25B24234" w:rsidRPr="008C6AC4">
        <w:t>finds</w:t>
      </w:r>
      <w:r w:rsidRPr="008C6AC4">
        <w:t xml:space="preserve"> that the </w:t>
      </w:r>
      <w:r w:rsidR="1F8019BF" w:rsidRPr="008C6AC4">
        <w:t>Petition</w:t>
      </w:r>
      <w:r w:rsidRPr="008C6AC4">
        <w:t xml:space="preserve"> substantially meets this condition.</w:t>
      </w:r>
    </w:p>
    <w:p w14:paraId="627E3543" w14:textId="77777777" w:rsidR="007F5AD1" w:rsidRPr="008C6AC4" w:rsidRDefault="007F5AD1" w:rsidP="00D15C3F">
      <w:pPr>
        <w:pStyle w:val="Heading3"/>
        <w:numPr>
          <w:ilvl w:val="1"/>
          <w:numId w:val="17"/>
        </w:numPr>
        <w:ind w:left="1080"/>
      </w:pPr>
      <w:bookmarkStart w:id="9" w:name="_Hlk98237696"/>
      <w:r w:rsidRPr="008C6AC4">
        <w:t>The proposed reorganization will continue to promote sound education performance and will not significantly disrupt the educational programs in the affected districts.</w:t>
      </w:r>
    </w:p>
    <w:bookmarkEnd w:id="9"/>
    <w:p w14:paraId="1ECE282E" w14:textId="77777777" w:rsidR="007F5AD1" w:rsidRPr="008C6AC4" w:rsidRDefault="007F5AD1" w:rsidP="007F5AD1">
      <w:pPr>
        <w:pStyle w:val="Heading4"/>
        <w:ind w:left="1080"/>
      </w:pPr>
      <w:r w:rsidRPr="008C6AC4">
        <w:t>Standard of Review</w:t>
      </w:r>
    </w:p>
    <w:p w14:paraId="65E82235" w14:textId="77777777" w:rsidR="007F5AD1" w:rsidRPr="008C6AC4" w:rsidRDefault="007F5AD1" w:rsidP="007F5AD1">
      <w:pPr>
        <w:ind w:left="1080"/>
      </w:pPr>
      <w:r w:rsidRPr="008C6AC4">
        <w:t xml:space="preserve">The proposal or petition shall not have a significantly adverse effect on the educational programs of districts affected by the proposal or petition, and the CDE shall describe the district-wide programs, and the school site programs, in schools not a part of the proposal or petition that will be adversely affected by the proposal or petition. (5 </w:t>
      </w:r>
      <w:r w:rsidRPr="008C6AC4">
        <w:rPr>
          <w:i/>
        </w:rPr>
        <w:t>CCR</w:t>
      </w:r>
      <w:r w:rsidRPr="008C6AC4">
        <w:t xml:space="preserve"> Section 18573[a][5])</w:t>
      </w:r>
    </w:p>
    <w:p w14:paraId="15753F9F" w14:textId="77777777" w:rsidR="007F5AD1" w:rsidRPr="008C6AC4" w:rsidRDefault="007F5AD1" w:rsidP="007F5AD1">
      <w:pPr>
        <w:pStyle w:val="Heading4"/>
        <w:ind w:left="1080"/>
      </w:pPr>
      <w:r w:rsidRPr="008C6AC4">
        <w:lastRenderedPageBreak/>
        <w:t>County Committee Review and Evaluation</w:t>
      </w:r>
    </w:p>
    <w:p w14:paraId="41D11CF3" w14:textId="0C77F1AE" w:rsidR="007F5AD1" w:rsidRPr="008C6AC4" w:rsidRDefault="007F5AD1" w:rsidP="006F008E">
      <w:pPr>
        <w:ind w:left="1080"/>
      </w:pPr>
      <w:r w:rsidRPr="008C6AC4">
        <w:t>The</w:t>
      </w:r>
      <w:r w:rsidRPr="008C6AC4">
        <w:rPr>
          <w:iCs/>
        </w:rPr>
        <w:t xml:space="preserve"> </w:t>
      </w:r>
      <w:r w:rsidR="009161F9" w:rsidRPr="008C6AC4">
        <w:rPr>
          <w:iCs/>
        </w:rPr>
        <w:t xml:space="preserve">examination of the petition </w:t>
      </w:r>
      <w:r w:rsidR="006F008E" w:rsidRPr="008C6AC4">
        <w:t xml:space="preserve">conducted by County Committee staff </w:t>
      </w:r>
      <w:r w:rsidRPr="008C6AC4">
        <w:t xml:space="preserve">included a review of </w:t>
      </w:r>
      <w:r w:rsidR="006F008E" w:rsidRPr="008C6AC4">
        <w:t>academic</w:t>
      </w:r>
      <w:r w:rsidRPr="008C6AC4">
        <w:t xml:space="preserve"> performance indicators on the California School Dashboard, Smarter Balanced Assessment results, and programs offered by schools in </w:t>
      </w:r>
      <w:r w:rsidR="006F008E" w:rsidRPr="008C6AC4">
        <w:t xml:space="preserve">both </w:t>
      </w:r>
      <w:r w:rsidRPr="008C6AC4">
        <w:t>district</w:t>
      </w:r>
      <w:r w:rsidR="006F008E" w:rsidRPr="008C6AC4">
        <w:t>s</w:t>
      </w:r>
      <w:r w:rsidRPr="008C6AC4">
        <w:t xml:space="preserve">. </w:t>
      </w:r>
      <w:r w:rsidR="006F008E" w:rsidRPr="008C6AC4">
        <w:t xml:space="preserve">Testimony was heard from the </w:t>
      </w:r>
      <w:proofErr w:type="gramStart"/>
      <w:r w:rsidR="006F008E" w:rsidRPr="008C6AC4">
        <w:t>petitioners</w:t>
      </w:r>
      <w:proofErr w:type="gramEnd"/>
      <w:r w:rsidR="006F008E" w:rsidRPr="008C6AC4">
        <w:t xml:space="preserve"> expressing concerns over class sizes and programs at Mountain Avenue Elementary. Despite these concerns, County Committee staff concluded that, “Staff did not find any legitimate assessment that spoke to academic insufficiency in any of the schools in Glendale USD nor in La </w:t>
      </w:r>
      <w:r w:rsidR="00F8016E" w:rsidRPr="008C6AC4">
        <w:t>Cañada</w:t>
      </w:r>
      <w:r w:rsidR="006F008E" w:rsidRPr="008C6AC4">
        <w:t xml:space="preserve"> USD.”</w:t>
      </w:r>
      <w:r w:rsidR="009161F9" w:rsidRPr="008C6AC4">
        <w:t xml:space="preserve"> They also noted that the transfer of this territory would not require either district to modify or eliminate any existing educational programs.</w:t>
      </w:r>
    </w:p>
    <w:p w14:paraId="63BDC353" w14:textId="77777777" w:rsidR="006F008E" w:rsidRPr="008C6AC4" w:rsidRDefault="006F008E" w:rsidP="006F008E">
      <w:pPr>
        <w:pStyle w:val="Heading4"/>
        <w:ind w:left="1080"/>
        <w:rPr>
          <w:rFonts w:eastAsia="Times New Roman" w:cs="Times New Roman"/>
          <w:b w:val="0"/>
          <w:iCs w:val="0"/>
          <w:sz w:val="24"/>
          <w:szCs w:val="24"/>
        </w:rPr>
      </w:pPr>
      <w:r w:rsidRPr="008C6AC4">
        <w:rPr>
          <w:rFonts w:eastAsia="Times New Roman" w:cs="Times New Roman"/>
          <w:b w:val="0"/>
          <w:iCs w:val="0"/>
          <w:sz w:val="24"/>
          <w:szCs w:val="24"/>
        </w:rPr>
        <w:t>The County Committee did not vote on each condition individually, but instead voted (6-3) that all conditions were substantially met.</w:t>
      </w:r>
    </w:p>
    <w:p w14:paraId="3F293DBA" w14:textId="77777777" w:rsidR="007F5AD1" w:rsidRPr="008C6AC4" w:rsidRDefault="007F5AD1" w:rsidP="007F5AD1">
      <w:pPr>
        <w:pStyle w:val="Heading4"/>
        <w:ind w:left="1080"/>
      </w:pPr>
      <w:r w:rsidRPr="008C6AC4">
        <w:t>CDE Findings/Conclusion</w:t>
      </w:r>
    </w:p>
    <w:p w14:paraId="2D0DFD51" w14:textId="4D4FF1B6" w:rsidR="00670064" w:rsidRPr="008C6AC4" w:rsidRDefault="010B0DA6" w:rsidP="009161F9">
      <w:pPr>
        <w:ind w:left="1080"/>
      </w:pPr>
      <w:r w:rsidRPr="008C6AC4">
        <w:t xml:space="preserve">CDE staff </w:t>
      </w:r>
      <w:r w:rsidR="51277713" w:rsidRPr="008C6AC4">
        <w:t>also</w:t>
      </w:r>
      <w:r w:rsidRPr="008C6AC4">
        <w:t xml:space="preserve"> examined the education programs and academic performance of the schools </w:t>
      </w:r>
      <w:r w:rsidR="51277713" w:rsidRPr="008C6AC4">
        <w:t>in both districts</w:t>
      </w:r>
      <w:r w:rsidRPr="008C6AC4">
        <w:t xml:space="preserve"> in accordance with 5 </w:t>
      </w:r>
      <w:r w:rsidRPr="008C6AC4">
        <w:rPr>
          <w:i/>
          <w:iCs/>
        </w:rPr>
        <w:t>CCR</w:t>
      </w:r>
      <w:r w:rsidRPr="008C6AC4">
        <w:t xml:space="preserve"> Section 18573(a)(5).</w:t>
      </w:r>
      <w:r w:rsidR="18650AE0" w:rsidRPr="008C6AC4">
        <w:t xml:space="preserve"> </w:t>
      </w:r>
      <w:r w:rsidR="51277713" w:rsidRPr="008C6AC4">
        <w:t xml:space="preserve">Staff agree with the county assessment regarding the quality of educational programs in both districts. They consist of broad, high-quality offerings that significantly outperform the statewide average. Both districts represent educational success stories. However, the standard as dictated by statute is not concerned with the overall quality of the educational offerings provided by the districts, or with a direct comparison between them. Rather, the standard focuses on </w:t>
      </w:r>
      <w:proofErr w:type="gramStart"/>
      <w:r w:rsidR="51277713" w:rsidRPr="008C6AC4">
        <w:t>whether or not</w:t>
      </w:r>
      <w:proofErr w:type="gramEnd"/>
      <w:r w:rsidR="51277713" w:rsidRPr="008C6AC4">
        <w:t xml:space="preserve"> </w:t>
      </w:r>
      <w:r w:rsidR="01A74273" w:rsidRPr="008C6AC4">
        <w:t xml:space="preserve">there is a potential for disrupting those educational programs and academic performance. CDE staff found no indication that </w:t>
      </w:r>
      <w:r w:rsidRPr="008C6AC4">
        <w:t>education</w:t>
      </w:r>
      <w:r w:rsidR="01A74273" w:rsidRPr="008C6AC4">
        <w:t>al</w:t>
      </w:r>
      <w:r w:rsidRPr="008C6AC4">
        <w:t xml:space="preserve"> program</w:t>
      </w:r>
      <w:r w:rsidR="01A74273" w:rsidRPr="008C6AC4">
        <w:t>s in either district would be forced to alter their offerings or end existing programs.</w:t>
      </w:r>
      <w:r w:rsidRPr="008C6AC4">
        <w:t xml:space="preserve"> </w:t>
      </w:r>
    </w:p>
    <w:p w14:paraId="1DF981D6" w14:textId="77777777" w:rsidR="00670064" w:rsidRPr="008C6AC4" w:rsidRDefault="00670064" w:rsidP="009161F9">
      <w:pPr>
        <w:ind w:left="1080"/>
      </w:pPr>
    </w:p>
    <w:p w14:paraId="21AE6B4F" w14:textId="3CB8343D" w:rsidR="007F5AD1" w:rsidRPr="008C6AC4" w:rsidRDefault="010B0DA6" w:rsidP="009161F9">
      <w:pPr>
        <w:ind w:left="1080"/>
      </w:pPr>
      <w:r w:rsidRPr="008C6AC4">
        <w:t xml:space="preserve">The CDE finds that the </w:t>
      </w:r>
      <w:r w:rsidR="11C4A624" w:rsidRPr="008C6AC4">
        <w:t>Petition</w:t>
      </w:r>
      <w:r w:rsidRPr="008C6AC4">
        <w:t xml:space="preserve"> substantially meets this condition.</w:t>
      </w:r>
    </w:p>
    <w:p w14:paraId="3B5788B8" w14:textId="77777777" w:rsidR="007F5AD1" w:rsidRPr="008C6AC4" w:rsidRDefault="007F5AD1" w:rsidP="00D15C3F">
      <w:pPr>
        <w:pStyle w:val="Heading3"/>
        <w:numPr>
          <w:ilvl w:val="1"/>
          <w:numId w:val="17"/>
        </w:numPr>
        <w:ind w:left="1080"/>
      </w:pPr>
      <w:r w:rsidRPr="008C6AC4">
        <w:t xml:space="preserve">Any increase in school facilities costs </w:t>
      </w:r>
      <w:proofErr w:type="gramStart"/>
      <w:r w:rsidRPr="008C6AC4">
        <w:t>as a result of</w:t>
      </w:r>
      <w:proofErr w:type="gramEnd"/>
      <w:r w:rsidRPr="008C6AC4">
        <w:t xml:space="preserve"> the proposed reorganization will be insignificant and otherwise incidental to the reorganization.</w:t>
      </w:r>
    </w:p>
    <w:p w14:paraId="2824DE93" w14:textId="77777777" w:rsidR="007F5AD1" w:rsidRPr="008C6AC4" w:rsidRDefault="007F5AD1" w:rsidP="007F5AD1">
      <w:pPr>
        <w:pStyle w:val="Heading4"/>
        <w:ind w:left="1080"/>
      </w:pPr>
      <w:r w:rsidRPr="008C6AC4">
        <w:t>Standard of Review</w:t>
      </w:r>
    </w:p>
    <w:p w14:paraId="297B7E2D" w14:textId="77777777" w:rsidR="007F5AD1" w:rsidRPr="008C6AC4" w:rsidRDefault="007F5AD1" w:rsidP="007F5AD1">
      <w:pPr>
        <w:ind w:left="1080"/>
      </w:pPr>
      <w:r w:rsidRPr="008C6AC4">
        <w:t>The SBE has not adopted regulations regarding this condition. However, an adequate analysis of the condition should include a determination of: (1) the availability of facilities to house all students at all grade levels in the reorganized area, (2) sources of funding for new construction, (3) effect on facilities and housing capacity of all affected districts, and (4) impact on bonding capacity of affected districts.</w:t>
      </w:r>
    </w:p>
    <w:p w14:paraId="01A456D9" w14:textId="77777777" w:rsidR="007F5AD1" w:rsidRPr="008C6AC4" w:rsidRDefault="007F5AD1" w:rsidP="007F5AD1">
      <w:pPr>
        <w:pStyle w:val="Heading4"/>
        <w:ind w:left="1080"/>
      </w:pPr>
      <w:r w:rsidRPr="008C6AC4">
        <w:lastRenderedPageBreak/>
        <w:t>County Committee Review and Evaluation</w:t>
      </w:r>
    </w:p>
    <w:p w14:paraId="389F65A1" w14:textId="2651ADAA" w:rsidR="00670064" w:rsidRPr="008C6AC4" w:rsidRDefault="01A74273" w:rsidP="1399E1F1">
      <w:pPr>
        <w:ind w:left="1080"/>
        <w:rPr>
          <w:b/>
          <w:bCs/>
        </w:rPr>
      </w:pPr>
      <w:r w:rsidRPr="008C6AC4">
        <w:t xml:space="preserve">During the County Committee’s examination of this petition, the La </w:t>
      </w:r>
      <w:r w:rsidR="1EFF9613" w:rsidRPr="008C6AC4">
        <w:t>Cañada</w:t>
      </w:r>
      <w:r w:rsidRPr="008C6AC4">
        <w:t xml:space="preserve"> USD</w:t>
      </w:r>
      <w:r w:rsidR="3BBF8EF0" w:rsidRPr="008C6AC4">
        <w:t xml:space="preserve"> staff</w:t>
      </w:r>
      <w:r w:rsidRPr="008C6AC4">
        <w:t xml:space="preserve"> informed the county committee during two public hearings regarding this petition that it could not currently house </w:t>
      </w:r>
      <w:proofErr w:type="gramStart"/>
      <w:r w:rsidRPr="008C6AC4">
        <w:t>all of</w:t>
      </w:r>
      <w:proofErr w:type="gramEnd"/>
      <w:r w:rsidRPr="008C6AC4">
        <w:t xml:space="preserve"> the petition area students should the petition be approved. The district stated that it supported the</w:t>
      </w:r>
      <w:r w:rsidR="3BBF8EF0" w:rsidRPr="008C6AC4">
        <w:t xml:space="preserve"> </w:t>
      </w:r>
      <w:r w:rsidRPr="008C6AC4">
        <w:t xml:space="preserve">petition and proposed a phase-in period for the transfer. Such a phase-in is not permitted under existing law. Thus, staff concluded based on the La </w:t>
      </w:r>
      <w:r w:rsidR="1EFF9613" w:rsidRPr="008C6AC4">
        <w:t>Cañada</w:t>
      </w:r>
      <w:r w:rsidRPr="008C6AC4">
        <w:t xml:space="preserve"> USD's own testimony that there would be increased facilities costs associated with this proposal.</w:t>
      </w:r>
      <w:r w:rsidR="00670064" w:rsidRPr="008C6AC4">
        <w:br/>
      </w:r>
      <w:r w:rsidR="00670064" w:rsidRPr="008C6AC4">
        <w:br/>
      </w:r>
      <w:r w:rsidRPr="008C6AC4">
        <w:t>The County Committee did not vote on each condition individually, but instead voted (6-3) that all conditions were substantially met.</w:t>
      </w:r>
    </w:p>
    <w:p w14:paraId="4DA4123F" w14:textId="77777777" w:rsidR="007F5AD1" w:rsidRPr="008C6AC4" w:rsidRDefault="007F5AD1" w:rsidP="007F5AD1">
      <w:pPr>
        <w:pStyle w:val="Heading4"/>
        <w:ind w:left="1080"/>
      </w:pPr>
      <w:r w:rsidRPr="008C6AC4">
        <w:t>CDE Findings/Conclusion</w:t>
      </w:r>
    </w:p>
    <w:p w14:paraId="623E5E30" w14:textId="12DA5FBB" w:rsidR="007F5AD1" w:rsidRPr="008C6AC4" w:rsidRDefault="007F5AD1" w:rsidP="0FBAEEDD">
      <w:pPr>
        <w:ind w:left="1080"/>
      </w:pPr>
      <w:r w:rsidRPr="008C6AC4">
        <w:t xml:space="preserve">The CDE analysis of this condition is </w:t>
      </w:r>
      <w:r w:rsidR="002B3682" w:rsidRPr="008C6AC4">
        <w:t xml:space="preserve">in </w:t>
      </w:r>
      <w:r w:rsidRPr="008C6AC4">
        <w:t xml:space="preserve">Attachment </w:t>
      </w:r>
      <w:r w:rsidR="002B3682" w:rsidRPr="008C6AC4">
        <w:t>2</w:t>
      </w:r>
      <w:r w:rsidRPr="008C6AC4">
        <w:t>. The CDE found</w:t>
      </w:r>
      <w:r w:rsidR="00670064" w:rsidRPr="008C6AC4">
        <w:t xml:space="preserve">, consistent with the findings of County Committee staff, that there </w:t>
      </w:r>
      <w:r w:rsidR="009D154E" w:rsidRPr="008C6AC4">
        <w:t>wer</w:t>
      </w:r>
      <w:r w:rsidR="00670064" w:rsidRPr="008C6AC4">
        <w:t>e insufficient facilities to house all existing transfer area students</w:t>
      </w:r>
      <w:r w:rsidR="2D939D5B" w:rsidRPr="008C6AC4">
        <w:t xml:space="preserve"> at the time of the County Committee Hearings</w:t>
      </w:r>
      <w:r w:rsidR="00670064" w:rsidRPr="008C6AC4">
        <w:t xml:space="preserve">. </w:t>
      </w:r>
      <w:r w:rsidR="001F3797" w:rsidRPr="008C6AC4">
        <w:t>However, as noted in Attachment 2, the gap has diminished since the petition was initially filed, due in part to declining enrollment, as well as the efforts of the La Cañada USD to upgrade and expand the Palm Crest Elementary School campus. The La Cañada USD has now demonstrated capacity to accommodate the transfer area students. To the extent that any new capacity concerns arise in the future, the district’s efforts to mitigate overcrowding thus far have demonstrated their willingness to resolve them. Further, the potential concerns are so minimal that CDE staff feel the final decision should be left to the local community to address electorally.</w:t>
      </w:r>
    </w:p>
    <w:p w14:paraId="48C0D991" w14:textId="3B7D2725" w:rsidR="007F5AD1" w:rsidRPr="008C6AC4" w:rsidRDefault="007F5AD1" w:rsidP="007F5AD1">
      <w:pPr>
        <w:ind w:left="1080"/>
      </w:pPr>
    </w:p>
    <w:p w14:paraId="29676984" w14:textId="25EC93A9" w:rsidR="007F5AD1" w:rsidRPr="008C6AC4" w:rsidRDefault="007F5AD1" w:rsidP="007F5AD1">
      <w:pPr>
        <w:ind w:left="1080"/>
      </w:pPr>
      <w:r w:rsidRPr="008C6AC4">
        <w:t>The CDE concludes that this condition is substantially met.</w:t>
      </w:r>
    </w:p>
    <w:p w14:paraId="7F47BE9F" w14:textId="77777777" w:rsidR="007F5AD1" w:rsidRPr="008C6AC4" w:rsidRDefault="007F5AD1" w:rsidP="00D15C3F">
      <w:pPr>
        <w:pStyle w:val="Heading3"/>
        <w:numPr>
          <w:ilvl w:val="1"/>
          <w:numId w:val="17"/>
        </w:numPr>
        <w:ind w:left="1080"/>
      </w:pPr>
      <w:r w:rsidRPr="008C6AC4">
        <w:t>The proposed reorganization is primarily designed for purposes other than to significantly increase property values.</w:t>
      </w:r>
    </w:p>
    <w:p w14:paraId="7E68D983" w14:textId="77777777" w:rsidR="007F5AD1" w:rsidRPr="008C6AC4" w:rsidRDefault="007F5AD1" w:rsidP="007F5AD1">
      <w:pPr>
        <w:pStyle w:val="Heading4"/>
        <w:ind w:left="1080"/>
      </w:pPr>
      <w:r w:rsidRPr="008C6AC4">
        <w:t>Standard of Review</w:t>
      </w:r>
    </w:p>
    <w:p w14:paraId="176D6B42" w14:textId="77777777" w:rsidR="007F5AD1" w:rsidRPr="008C6AC4" w:rsidRDefault="007F5AD1" w:rsidP="007F5AD1">
      <w:pPr>
        <w:ind w:left="1080"/>
      </w:pPr>
      <w:r w:rsidRPr="008C6AC4">
        <w:t xml:space="preserve">The SBE has not adopted regulations regarding this condition. The rationale for the reorganization should be analyzed and, if it is determined to be questionable or not compelling, there should be </w:t>
      </w:r>
      <w:proofErr w:type="gramStart"/>
      <w:r w:rsidRPr="008C6AC4">
        <w:t>a consideration</w:t>
      </w:r>
      <w:proofErr w:type="gramEnd"/>
      <w:r w:rsidRPr="008C6AC4">
        <w:t xml:space="preserve"> of increased property values as the primary reason for the reorganization.</w:t>
      </w:r>
    </w:p>
    <w:p w14:paraId="5BB86F68" w14:textId="77777777" w:rsidR="007F5AD1" w:rsidRPr="008C6AC4" w:rsidRDefault="007F5AD1" w:rsidP="007F5AD1">
      <w:pPr>
        <w:pStyle w:val="Heading4"/>
        <w:ind w:left="1080"/>
      </w:pPr>
      <w:r w:rsidRPr="008C6AC4">
        <w:lastRenderedPageBreak/>
        <w:t>County Committee Review and Evaluation</w:t>
      </w:r>
    </w:p>
    <w:p w14:paraId="5C084B49" w14:textId="1FB32861" w:rsidR="00B97D59" w:rsidRPr="008C6AC4" w:rsidRDefault="00B97D59" w:rsidP="00B97D59">
      <w:pPr>
        <w:ind w:left="1080"/>
      </w:pPr>
      <w:r w:rsidRPr="008C6AC4">
        <w:t xml:space="preserve">Nothing in the rationale of the petitioners indicates that a desire to increase property values played a significant role in the petition. </w:t>
      </w:r>
      <w:r w:rsidR="007F5AD1" w:rsidRPr="008C6AC4">
        <w:t xml:space="preserve">In its examination of this issue, </w:t>
      </w:r>
      <w:r w:rsidRPr="008C6AC4">
        <w:t xml:space="preserve">County Committee staff noted an article in the Wall Street Journal detailing the lengths families would go to </w:t>
      </w:r>
      <w:proofErr w:type="gramStart"/>
      <w:r w:rsidRPr="008C6AC4">
        <w:t>in order to</w:t>
      </w:r>
      <w:proofErr w:type="gramEnd"/>
      <w:r w:rsidRPr="008C6AC4">
        <w:t xml:space="preserve"> locate their children in the La </w:t>
      </w:r>
      <w:r w:rsidR="00F8016E" w:rsidRPr="008C6AC4">
        <w:t>Cañada</w:t>
      </w:r>
      <w:r w:rsidRPr="008C6AC4">
        <w:t xml:space="preserve"> USD attendance area. Further, in examining real estate prices of comparable properties within and outside of the La </w:t>
      </w:r>
      <w:r w:rsidR="00F8016E" w:rsidRPr="008C6AC4">
        <w:t>Cañada</w:t>
      </w:r>
      <w:r w:rsidRPr="008C6AC4">
        <w:t xml:space="preserve"> USD boundaries, staff did apparently identify a small, but significant difference in property values. However, County Committee staff also noted that a potential increase in property values is not a disqualifying factor. Only if the petition is primarily intended for increasing property values can this condition be found not met. The report concluded that there was no evidence that this was the case.</w:t>
      </w:r>
    </w:p>
    <w:p w14:paraId="2FCE503B" w14:textId="5E9382A8" w:rsidR="007F5AD1" w:rsidRPr="008C6AC4" w:rsidRDefault="00B97D59" w:rsidP="00B97D59">
      <w:pPr>
        <w:ind w:left="1080"/>
      </w:pPr>
      <w:r w:rsidRPr="008C6AC4">
        <w:t xml:space="preserve"> </w:t>
      </w:r>
    </w:p>
    <w:p w14:paraId="51D09DC4" w14:textId="77777777" w:rsidR="00B97D59" w:rsidRPr="008C6AC4" w:rsidRDefault="00B97D59" w:rsidP="00B97D59">
      <w:pPr>
        <w:ind w:left="1080"/>
        <w:rPr>
          <w:b/>
          <w:iCs/>
        </w:rPr>
      </w:pPr>
      <w:bookmarkStart w:id="10" w:name="_Hlk152168579"/>
      <w:r w:rsidRPr="008C6AC4">
        <w:t>The County Committee did not vote on each condition individually, but instead voted (6-3) that all conditions were substantially met.</w:t>
      </w:r>
    </w:p>
    <w:bookmarkEnd w:id="10"/>
    <w:p w14:paraId="33069AB7" w14:textId="77777777" w:rsidR="007F5AD1" w:rsidRPr="008C6AC4" w:rsidRDefault="007F5AD1" w:rsidP="007F5AD1">
      <w:pPr>
        <w:pStyle w:val="Heading4"/>
        <w:ind w:left="1080"/>
      </w:pPr>
      <w:r w:rsidRPr="008C6AC4">
        <w:t>CDE Findings/Conclusion</w:t>
      </w:r>
    </w:p>
    <w:p w14:paraId="453107F4" w14:textId="242679DE" w:rsidR="00154A39" w:rsidRPr="008C6AC4" w:rsidRDefault="68689427" w:rsidP="007F5AD1">
      <w:pPr>
        <w:ind w:left="1080"/>
      </w:pPr>
      <w:r w:rsidRPr="008C6AC4">
        <w:t xml:space="preserve">CDE staff also did not see evidence within the language of the petition that </w:t>
      </w:r>
      <w:r w:rsidR="614316A8" w:rsidRPr="008C6AC4">
        <w:t xml:space="preserve">increased property values were a primary factor in motivating this transfer. Further, the fact that this territory has seen multiple transfer attempts over a period of decades, and that former residents of the territory have remained active in the petition process even after moving out of the territory indicate motivations far stronger and more lasting than real estate price fluctuations. Finally, the number of interdistrict transfers each year, which have no effect on property values, </w:t>
      </w:r>
      <w:r w:rsidR="6A63186A" w:rsidRPr="008C6AC4">
        <w:t>indicates</w:t>
      </w:r>
      <w:r w:rsidR="614316A8" w:rsidRPr="008C6AC4">
        <w:t xml:space="preserve"> that there is a sizeable population within the territory who truly see La </w:t>
      </w:r>
      <w:r w:rsidR="1EFF9613" w:rsidRPr="008C6AC4">
        <w:t>Cañada</w:t>
      </w:r>
      <w:r w:rsidR="614316A8" w:rsidRPr="008C6AC4">
        <w:t xml:space="preserve"> USD as the preferred alternative for their students. Without concrete evidence to the contrary, CDE staff </w:t>
      </w:r>
      <w:r w:rsidR="3BBF8EF0" w:rsidRPr="008C6AC4">
        <w:t xml:space="preserve">find </w:t>
      </w:r>
      <w:r w:rsidR="614316A8" w:rsidRPr="008C6AC4">
        <w:t>no justification for questioning the stated motives of the petitioners.</w:t>
      </w:r>
    </w:p>
    <w:p w14:paraId="49BA4B0E" w14:textId="31B9EFCB" w:rsidR="007F5AD1" w:rsidRPr="008C6AC4" w:rsidRDefault="00154A39" w:rsidP="007F5AD1">
      <w:pPr>
        <w:ind w:left="1080"/>
      </w:pPr>
      <w:r w:rsidRPr="008C6AC4">
        <w:t xml:space="preserve"> </w:t>
      </w:r>
    </w:p>
    <w:p w14:paraId="0ADE3227" w14:textId="3A07FF91" w:rsidR="007F5AD1" w:rsidRPr="008C6AC4" w:rsidRDefault="010B0DA6" w:rsidP="007F5AD1">
      <w:pPr>
        <w:ind w:left="1080"/>
      </w:pPr>
      <w:r w:rsidRPr="008C6AC4">
        <w:t xml:space="preserve">The CDE </w:t>
      </w:r>
      <w:r w:rsidR="3B8D9B97" w:rsidRPr="008C6AC4">
        <w:t>concludes</w:t>
      </w:r>
      <w:r w:rsidRPr="008C6AC4">
        <w:t xml:space="preserve"> that this condition is substantially met. </w:t>
      </w:r>
    </w:p>
    <w:p w14:paraId="0936C263" w14:textId="77777777" w:rsidR="007F5AD1" w:rsidRPr="008C6AC4" w:rsidRDefault="007F5AD1" w:rsidP="00D15C3F">
      <w:pPr>
        <w:pStyle w:val="Heading3"/>
        <w:numPr>
          <w:ilvl w:val="1"/>
          <w:numId w:val="17"/>
        </w:numPr>
        <w:ind w:left="1080"/>
      </w:pPr>
      <w:r w:rsidRPr="008C6AC4">
        <w:t xml:space="preserve">The proposed reorganization will continue to promote sound fiscal management and not cause a substantial negative effect on the fiscal status of the proposed </w:t>
      </w:r>
      <w:proofErr w:type="gramStart"/>
      <w:r w:rsidRPr="008C6AC4">
        <w:t>district</w:t>
      </w:r>
      <w:proofErr w:type="gramEnd"/>
      <w:r w:rsidRPr="008C6AC4">
        <w:t xml:space="preserve"> or any existing district affected by the proposed reorganization.</w:t>
      </w:r>
    </w:p>
    <w:p w14:paraId="14CBF6A1" w14:textId="77777777" w:rsidR="007F5AD1" w:rsidRPr="008C6AC4" w:rsidRDefault="007F5AD1" w:rsidP="007F5AD1">
      <w:pPr>
        <w:pStyle w:val="Heading4"/>
        <w:ind w:left="1080"/>
      </w:pPr>
      <w:r w:rsidRPr="008C6AC4">
        <w:t>Standard of Review</w:t>
      </w:r>
    </w:p>
    <w:p w14:paraId="6FC14DD6" w14:textId="1F9BC9C2" w:rsidR="007F5AD1" w:rsidRPr="008C6AC4" w:rsidRDefault="007F5AD1" w:rsidP="007F5AD1">
      <w:pPr>
        <w:ind w:left="1080"/>
      </w:pPr>
      <w:r w:rsidRPr="008C6AC4">
        <w:t xml:space="preserve">The SBE has not adopted regulations regarding this condition. The standards and criteria adopted by the SBE pursuant to </w:t>
      </w:r>
      <w:r w:rsidRPr="008C6AC4">
        <w:rPr>
          <w:i/>
        </w:rPr>
        <w:t>EC</w:t>
      </w:r>
      <w:r w:rsidRPr="008C6AC4">
        <w:t xml:space="preserve"> Section 33127, and </w:t>
      </w:r>
      <w:r w:rsidRPr="008C6AC4">
        <w:lastRenderedPageBreak/>
        <w:t xml:space="preserve">published in 5 </w:t>
      </w:r>
      <w:r w:rsidRPr="008C6AC4">
        <w:rPr>
          <w:i/>
        </w:rPr>
        <w:t xml:space="preserve">CCR </w:t>
      </w:r>
      <w:r w:rsidRPr="008C6AC4">
        <w:t>sections 15440 through 15466, are recommended for evaluation of the financial conditions of the affected districts.</w:t>
      </w:r>
    </w:p>
    <w:p w14:paraId="65D3F24B" w14:textId="77777777" w:rsidR="007F5AD1" w:rsidRPr="008C6AC4" w:rsidRDefault="007F5AD1" w:rsidP="007F5AD1">
      <w:pPr>
        <w:pStyle w:val="Heading4"/>
        <w:ind w:left="1080"/>
      </w:pPr>
      <w:r w:rsidRPr="008C6AC4">
        <w:t>County Committee Review and Evaluation</w:t>
      </w:r>
    </w:p>
    <w:p w14:paraId="755F2A26" w14:textId="7652E6E1" w:rsidR="00226DE2" w:rsidRPr="008C6AC4" w:rsidRDefault="00631855" w:rsidP="007F5AD1">
      <w:pPr>
        <w:ind w:left="1080"/>
      </w:pPr>
      <w:r w:rsidRPr="008C6AC4">
        <w:t xml:space="preserve">The County Committee staff analysis noted that Glendale USD would lose the students in the transfer area permanently, with a corresponding decrease in LCFF funding. The loss of the residences in the territory would also affect their bonding capacity, and with it their ability to raise funding in the future. They further noted that La </w:t>
      </w:r>
      <w:r w:rsidR="00F8016E" w:rsidRPr="008C6AC4">
        <w:t>Cañada</w:t>
      </w:r>
      <w:r w:rsidRPr="008C6AC4">
        <w:t xml:space="preserve"> has committed to housing the students if transferred, which would necessitate additional facilities funding of an unspecified amount. That amount would vary based on the solution the district chooses (portables versus expansion of existing space vs new building construction). The County Committee staff analysis also points out that the two districts, utilizing Capital Advisors as a third-party, spent years trying to agree on financial terms that were amenable to both parties, but were unable to do so. This indicates that the transfer has the potential to negatively impact both districts financially.</w:t>
      </w:r>
      <w:r w:rsidRPr="008C6AC4">
        <w:br/>
      </w:r>
    </w:p>
    <w:p w14:paraId="73184F46" w14:textId="77777777" w:rsidR="00226DE2" w:rsidRPr="008C6AC4" w:rsidRDefault="00226DE2" w:rsidP="00226DE2">
      <w:pPr>
        <w:ind w:left="1080"/>
        <w:rPr>
          <w:b/>
          <w:iCs/>
        </w:rPr>
      </w:pPr>
      <w:r w:rsidRPr="008C6AC4">
        <w:t>The County Committee did not vote on each condition individually, but instead voted (6-3) that all conditions were substantially met.</w:t>
      </w:r>
    </w:p>
    <w:p w14:paraId="5302F8F5" w14:textId="77777777" w:rsidR="007F5AD1" w:rsidRPr="008C6AC4" w:rsidRDefault="007F5AD1" w:rsidP="007F5AD1">
      <w:pPr>
        <w:pStyle w:val="Heading4"/>
        <w:ind w:left="1080"/>
      </w:pPr>
      <w:r w:rsidRPr="008C6AC4">
        <w:t>CDE Findings/Conclusion</w:t>
      </w:r>
    </w:p>
    <w:p w14:paraId="3B4451E1" w14:textId="73C8BFB9" w:rsidR="00226DE2" w:rsidRPr="008C6AC4" w:rsidRDefault="010B0DA6" w:rsidP="00226DE2">
      <w:pPr>
        <w:spacing w:line="259" w:lineRule="auto"/>
        <w:ind w:left="1080"/>
      </w:pPr>
      <w:r w:rsidRPr="008C6AC4">
        <w:t>The CDE analysis of this condition is</w:t>
      </w:r>
      <w:r w:rsidR="7C749754" w:rsidRPr="008C6AC4">
        <w:t xml:space="preserve"> in</w:t>
      </w:r>
      <w:r w:rsidRPr="008C6AC4">
        <w:t xml:space="preserve"> Attachment </w:t>
      </w:r>
      <w:r w:rsidR="4890825A" w:rsidRPr="008C6AC4">
        <w:t>3</w:t>
      </w:r>
      <w:r w:rsidRPr="008C6AC4">
        <w:t xml:space="preserve">. A summary of this analysis is presented </w:t>
      </w:r>
      <w:r w:rsidR="363EA593" w:rsidRPr="008C6AC4">
        <w:t>here</w:t>
      </w:r>
      <w:r w:rsidRPr="008C6AC4">
        <w:t xml:space="preserve">. </w:t>
      </w:r>
      <w:r w:rsidR="363EA593" w:rsidRPr="008C6AC4">
        <w:t>According to the CDE estimates, the affected ADA would result in a revenue loss to Glendale USD of approximately $2 million for each year examined and a $2 million gain for La Ca</w:t>
      </w:r>
      <w:r w:rsidR="363EA593" w:rsidRPr="008C6AC4">
        <w:rPr>
          <w:rFonts w:cs="Arial"/>
        </w:rPr>
        <w:t>ñ</w:t>
      </w:r>
      <w:r w:rsidR="363EA593" w:rsidRPr="008C6AC4">
        <w:t xml:space="preserve">ada USD for each of the same years. It is reasonable to expect that the transfer of approximately 200 students </w:t>
      </w:r>
      <w:r w:rsidR="001F3797" w:rsidRPr="008C6AC4">
        <w:t xml:space="preserve">(using current year estimates of student numbers) </w:t>
      </w:r>
      <w:r w:rsidR="363EA593" w:rsidRPr="008C6AC4">
        <w:t>from Glendale USD to La Ca</w:t>
      </w:r>
      <w:r w:rsidR="363EA593" w:rsidRPr="008C6AC4">
        <w:rPr>
          <w:rFonts w:cs="Arial"/>
        </w:rPr>
        <w:t>ñ</w:t>
      </w:r>
      <w:r w:rsidR="363EA593" w:rsidRPr="008C6AC4">
        <w:t>ada USD will result in a reduction of expenditures for Glendale USD and an increase in expenditures for La Ca</w:t>
      </w:r>
      <w:r w:rsidR="363EA593" w:rsidRPr="008C6AC4">
        <w:rPr>
          <w:rFonts w:cs="Arial"/>
        </w:rPr>
        <w:t>ñ</w:t>
      </w:r>
      <w:r w:rsidR="363EA593" w:rsidRPr="008C6AC4">
        <w:t xml:space="preserve">ada USD due to changes staffing needs and other expenditures for the districts. However, the extent of </w:t>
      </w:r>
      <w:r w:rsidR="1C10B1B6" w:rsidRPr="008C6AC4">
        <w:t xml:space="preserve">the </w:t>
      </w:r>
      <w:r w:rsidR="363EA593" w:rsidRPr="008C6AC4">
        <w:t xml:space="preserve">impact </w:t>
      </w:r>
      <w:proofErr w:type="gramStart"/>
      <w:r w:rsidR="363EA593" w:rsidRPr="008C6AC4">
        <w:t>to</w:t>
      </w:r>
      <w:proofErr w:type="gramEnd"/>
      <w:r w:rsidR="363EA593" w:rsidRPr="008C6AC4">
        <w:t xml:space="preserve"> the districts’ expenditures is unknown, therefore the expenditures in the CDE funding estimates have not been adjusted to account for these anticipated changes. </w:t>
      </w:r>
    </w:p>
    <w:p w14:paraId="7C9C83B6" w14:textId="45AD53AA" w:rsidR="00F73E09" w:rsidRPr="008C6AC4" w:rsidRDefault="363EA593" w:rsidP="00226DE2">
      <w:pPr>
        <w:spacing w:before="240" w:line="259" w:lineRule="auto"/>
        <w:ind w:left="1080"/>
      </w:pPr>
      <w:r w:rsidRPr="008C6AC4">
        <w:t xml:space="preserve">Both districts anticipate they will be deficit spending in 2022–23 and beyond, because of overall projected declines in enrollment and associated loss of LCFF funding. The reductions needed to address the deficit spending would be exacerbated by the </w:t>
      </w:r>
      <w:r w:rsidR="3BBF8EF0" w:rsidRPr="008C6AC4">
        <w:t>territory transfer</w:t>
      </w:r>
      <w:r w:rsidRPr="008C6AC4">
        <w:t xml:space="preserve">; however, the extent of that impact does not appear significant. </w:t>
      </w:r>
      <w:r w:rsidR="3BBF8EF0" w:rsidRPr="008C6AC4">
        <w:t xml:space="preserve">CDE </w:t>
      </w:r>
      <w:r w:rsidRPr="008C6AC4">
        <w:t xml:space="preserve">finds that the changes that would result from the proposed reorganization would not have a substantial negative effect on the fiscal management or fiscal status of the either affected district, noting </w:t>
      </w:r>
      <w:r w:rsidRPr="008C6AC4">
        <w:lastRenderedPageBreak/>
        <w:t xml:space="preserve">that with or without the reorganization, both school district governing boards will need to take steps to address their deficit spending. </w:t>
      </w:r>
    </w:p>
    <w:p w14:paraId="2BE6E546" w14:textId="54DA3131" w:rsidR="007F5AD1" w:rsidRPr="008C6AC4" w:rsidRDefault="7E94DB0A" w:rsidP="1399E1F1">
      <w:pPr>
        <w:spacing w:before="240" w:line="259" w:lineRule="auto"/>
        <w:ind w:left="1080"/>
      </w:pPr>
      <w:r w:rsidRPr="008C6AC4">
        <w:t>The CDE concludes that this condition is substantially met.</w:t>
      </w:r>
      <w:r w:rsidRPr="008C6AC4">
        <w:br/>
      </w:r>
    </w:p>
    <w:p w14:paraId="12D6A02D" w14:textId="3DE56DDB" w:rsidR="007079AA" w:rsidRPr="008C6AC4" w:rsidRDefault="009603B5" w:rsidP="00D15C3F">
      <w:pPr>
        <w:pStyle w:val="Heading2"/>
        <w:keepLines w:val="0"/>
        <w:numPr>
          <w:ilvl w:val="0"/>
          <w:numId w:val="18"/>
        </w:numPr>
        <w:spacing w:before="0"/>
      </w:pPr>
      <w:r w:rsidRPr="008C6AC4">
        <w:t>R</w:t>
      </w:r>
      <w:r w:rsidR="6700144A" w:rsidRPr="008C6AC4">
        <w:t xml:space="preserve">easons </w:t>
      </w:r>
      <w:r w:rsidR="009E14CE" w:rsidRPr="008C6AC4">
        <w:t xml:space="preserve">Provided </w:t>
      </w:r>
      <w:r w:rsidR="6700144A" w:rsidRPr="008C6AC4">
        <w:t>for the Appeal</w:t>
      </w:r>
    </w:p>
    <w:p w14:paraId="13C1C7C0" w14:textId="77777777" w:rsidR="00AC733F" w:rsidRPr="008C6AC4" w:rsidRDefault="008F48B4" w:rsidP="00AC733F">
      <w:pPr>
        <w:pStyle w:val="Heading3"/>
        <w:ind w:left="270"/>
      </w:pPr>
      <w:r w:rsidRPr="008C6AC4">
        <w:t>6.1 Loss of Minority Students</w:t>
      </w:r>
      <w:r w:rsidRPr="008C6AC4">
        <w:tab/>
      </w:r>
    </w:p>
    <w:p w14:paraId="60BC0E9F" w14:textId="04FEEA74" w:rsidR="004E08A6" w:rsidRPr="008C6AC4" w:rsidRDefault="4890825A" w:rsidP="00AC733F">
      <w:pPr>
        <w:ind w:left="1170"/>
      </w:pPr>
      <w:r w:rsidRPr="008C6AC4">
        <w:t xml:space="preserve">In </w:t>
      </w:r>
      <w:r w:rsidR="4B937A5E" w:rsidRPr="008C6AC4">
        <w:t>its</w:t>
      </w:r>
      <w:r w:rsidRPr="008C6AC4">
        <w:t xml:space="preserve"> letter of appeal (Attachment 5), </w:t>
      </w:r>
      <w:r w:rsidR="4853EEE7" w:rsidRPr="008C6AC4">
        <w:t>Glendale USD claims that they will lose a substantial number of their minority students at Mountain Avenue ES.</w:t>
      </w:r>
      <w:r w:rsidR="4D00E6E3" w:rsidRPr="008C6AC4">
        <w:t xml:space="preserve"> At the time of the appeal, they indicated an overall reduction of approximately 26% of minority students at Mountain Avenue </w:t>
      </w:r>
      <w:r w:rsidR="77A3D577" w:rsidRPr="008C6AC4">
        <w:t>ES and</w:t>
      </w:r>
      <w:r w:rsidR="4D00E6E3" w:rsidRPr="008C6AC4">
        <w:t xml:space="preserve"> argued that this dramatic loss of minority students would have a n</w:t>
      </w:r>
      <w:r w:rsidR="4853EEE7" w:rsidRPr="008C6AC4">
        <w:t xml:space="preserve">egative </w:t>
      </w:r>
      <w:r w:rsidR="4D00E6E3" w:rsidRPr="008C6AC4">
        <w:t>i</w:t>
      </w:r>
      <w:r w:rsidR="4853EEE7" w:rsidRPr="008C6AC4">
        <w:t xml:space="preserve">mpact on </w:t>
      </w:r>
      <w:r w:rsidR="4D00E6E3" w:rsidRPr="008C6AC4">
        <w:t>the i</w:t>
      </w:r>
      <w:r w:rsidR="4853EEE7" w:rsidRPr="008C6AC4">
        <w:t xml:space="preserve">ntegrated </w:t>
      </w:r>
      <w:r w:rsidR="4D00E6E3" w:rsidRPr="008C6AC4">
        <w:t>e</w:t>
      </w:r>
      <w:r w:rsidR="4853EEE7" w:rsidRPr="008C6AC4">
        <w:t>ducational</w:t>
      </w:r>
      <w:r w:rsidR="4D00E6E3" w:rsidRPr="008C6AC4">
        <w:t xml:space="preserve"> experience provided by the school</w:t>
      </w:r>
      <w:r w:rsidR="4853EEE7" w:rsidRPr="008C6AC4">
        <w:t>.</w:t>
      </w:r>
      <w:r w:rsidR="4D00E6E3" w:rsidRPr="008C6AC4">
        <w:t xml:space="preserve"> </w:t>
      </w:r>
    </w:p>
    <w:p w14:paraId="2815BA9B" w14:textId="77777777" w:rsidR="004E08A6" w:rsidRPr="008C6AC4" w:rsidRDefault="004E08A6" w:rsidP="00AC733F">
      <w:pPr>
        <w:ind w:left="1170"/>
      </w:pPr>
    </w:p>
    <w:p w14:paraId="62E4142D" w14:textId="00F5FFDB" w:rsidR="008F48B4" w:rsidRPr="008C6AC4" w:rsidRDefault="4D00E6E3" w:rsidP="00AC733F">
      <w:pPr>
        <w:ind w:left="1170"/>
      </w:pPr>
      <w:r w:rsidRPr="008C6AC4">
        <w:t>However</w:t>
      </w:r>
      <w:r w:rsidR="3514E510" w:rsidRPr="008C6AC4">
        <w:t>, CDE staff note</w:t>
      </w:r>
      <w:r w:rsidR="0AC8516D" w:rsidRPr="008C6AC4">
        <w:t>s</w:t>
      </w:r>
      <w:r w:rsidRPr="008C6AC4">
        <w:t xml:space="preserve"> that the same analysis indicated a corresponding loss of approximately 25% of Mountain Avenue’s white students. Thus,</w:t>
      </w:r>
      <w:r w:rsidR="3514E510" w:rsidRPr="008C6AC4">
        <w:t xml:space="preserve"> while the number of minority students is reduced,</w:t>
      </w:r>
      <w:r w:rsidRPr="008C6AC4">
        <w:t xml:space="preserve"> the overall ratio of student</w:t>
      </w:r>
      <w:r w:rsidR="3514E510" w:rsidRPr="008C6AC4">
        <w:t xml:space="preserve"> group</w:t>
      </w:r>
      <w:r w:rsidRPr="008C6AC4">
        <w:t xml:space="preserve">s would remain roughly </w:t>
      </w:r>
      <w:r w:rsidR="0AC8516D" w:rsidRPr="008C6AC4">
        <w:t>consistent</w:t>
      </w:r>
      <w:r w:rsidRPr="008C6AC4">
        <w:t>.</w:t>
      </w:r>
      <w:r w:rsidR="4853EEE7" w:rsidRPr="008C6AC4">
        <w:t xml:space="preserve"> </w:t>
      </w:r>
    </w:p>
    <w:p w14:paraId="587BC40E" w14:textId="77777777" w:rsidR="00AC733F" w:rsidRPr="008C6AC4" w:rsidRDefault="008F48B4" w:rsidP="008F48B4">
      <w:pPr>
        <w:pStyle w:val="Heading3"/>
        <w:ind w:left="270"/>
      </w:pPr>
      <w:r w:rsidRPr="008C6AC4">
        <w:t>6.2 More Robust Board Policies</w:t>
      </w:r>
      <w:r w:rsidR="00AC733F" w:rsidRPr="008C6AC4">
        <w:t xml:space="preserve"> </w:t>
      </w:r>
    </w:p>
    <w:p w14:paraId="0C8F5C8A" w14:textId="554531C1" w:rsidR="004E08A6" w:rsidRPr="008C6AC4" w:rsidRDefault="4853EEE7" w:rsidP="1399E1F1">
      <w:pPr>
        <w:ind w:left="1170"/>
      </w:pPr>
      <w:r w:rsidRPr="008C6AC4">
        <w:t>Glendale USD</w:t>
      </w:r>
      <w:r w:rsidR="4D00E6E3" w:rsidRPr="008C6AC4">
        <w:t xml:space="preserve"> argues that its</w:t>
      </w:r>
      <w:r w:rsidRPr="008C6AC4">
        <w:t xml:space="preserve"> board policies regarding racial discrimination and ethnic segregation are more robust than L</w:t>
      </w:r>
      <w:r w:rsidR="4D00E6E3" w:rsidRPr="008C6AC4">
        <w:t xml:space="preserve">a </w:t>
      </w:r>
      <w:r w:rsidR="1EFF9613" w:rsidRPr="008C6AC4">
        <w:t>Cañada</w:t>
      </w:r>
      <w:r w:rsidR="4D00E6E3" w:rsidRPr="008C6AC4">
        <w:t xml:space="preserve"> </w:t>
      </w:r>
      <w:r w:rsidRPr="008C6AC4">
        <w:t xml:space="preserve">USD’s. </w:t>
      </w:r>
      <w:r w:rsidR="246F5AB7" w:rsidRPr="008C6AC4">
        <w:t>According to the appeal, o</w:t>
      </w:r>
      <w:r w:rsidR="4D00E6E3" w:rsidRPr="008C6AC4">
        <w:t xml:space="preserve">ne method of preventing racial and ethnic segregation in schools is by providing English learners with English Language Development instruction targeted to each student’s unique English proficiency and appropriate academic level. Glendale USD’s offerings include structured English immersion, English language academic mainstream program, and the alternative dual immersion program. </w:t>
      </w:r>
      <w:r w:rsidR="370BE979" w:rsidRPr="008C6AC4">
        <w:t>Nine of the twenty-one</w:t>
      </w:r>
      <w:r w:rsidR="583AFD92" w:rsidRPr="008C6AC4">
        <w:t xml:space="preserve"> </w:t>
      </w:r>
      <w:r w:rsidR="4D00E6E3" w:rsidRPr="008C6AC4">
        <w:t xml:space="preserve">elementary schools in </w:t>
      </w:r>
      <w:r w:rsidR="0F7F3F28" w:rsidRPr="008C6AC4">
        <w:t>G</w:t>
      </w:r>
      <w:r w:rsidR="55B22DB6" w:rsidRPr="008C6AC4">
        <w:t>lendale</w:t>
      </w:r>
      <w:r w:rsidR="0F7F3F28" w:rsidRPr="008C6AC4">
        <w:t xml:space="preserve"> USD</w:t>
      </w:r>
      <w:r w:rsidR="4D00E6E3" w:rsidRPr="008C6AC4">
        <w:t xml:space="preserve"> provide a structured dual language program to </w:t>
      </w:r>
      <w:r w:rsidR="0F7F3F28" w:rsidRPr="008C6AC4">
        <w:t>G</w:t>
      </w:r>
      <w:r w:rsidR="2EA01A55" w:rsidRPr="008C6AC4">
        <w:t>lendale</w:t>
      </w:r>
      <w:r w:rsidR="0F7F3F28" w:rsidRPr="008C6AC4">
        <w:t xml:space="preserve"> USD</w:t>
      </w:r>
      <w:r w:rsidR="4D00E6E3" w:rsidRPr="008C6AC4">
        <w:t xml:space="preserve"> students.</w:t>
      </w:r>
      <w:r w:rsidR="246F5AB7" w:rsidRPr="008C6AC4">
        <w:t xml:space="preserve"> The appeal notes that La </w:t>
      </w:r>
      <w:r w:rsidR="1EFF9613" w:rsidRPr="008C6AC4">
        <w:t>Cañada</w:t>
      </w:r>
      <w:r w:rsidR="246F5AB7" w:rsidRPr="008C6AC4">
        <w:t xml:space="preserve"> USD does not offer a dual language program to any of its students</w:t>
      </w:r>
      <w:r w:rsidR="4D00E6E3" w:rsidRPr="008C6AC4">
        <w:t>.</w:t>
      </w:r>
      <w:r w:rsidR="246F5AB7" w:rsidRPr="008C6AC4">
        <w:t xml:space="preserve"> </w:t>
      </w:r>
    </w:p>
    <w:p w14:paraId="45086A1B" w14:textId="77777777" w:rsidR="004E08A6" w:rsidRPr="008C6AC4" w:rsidRDefault="004E08A6" w:rsidP="00AC733F">
      <w:pPr>
        <w:ind w:left="1170"/>
      </w:pPr>
    </w:p>
    <w:p w14:paraId="56B3AF8A" w14:textId="0B29562A" w:rsidR="008F48B4" w:rsidRPr="008C6AC4" w:rsidRDefault="001F3797" w:rsidP="00AC733F">
      <w:pPr>
        <w:ind w:left="1170"/>
      </w:pPr>
      <w:r w:rsidRPr="008C6AC4">
        <w:t xml:space="preserve">While this is true, as the appeal itself acknowledges, dual language programs are only one option for targeting English learners. </w:t>
      </w:r>
      <w:bookmarkStart w:id="11" w:name="_Hlk152172278"/>
      <w:r w:rsidRPr="008C6AC4">
        <w:t xml:space="preserve">On the 2021-22 California School Dashboard, </w:t>
      </w:r>
      <w:bookmarkEnd w:id="11"/>
      <w:r w:rsidRPr="008C6AC4">
        <w:t xml:space="preserve">52 percent of Glendale USD English learners are making progress toward English proficiency, while in 2022-23, this number was 60.3 percent.  The respective numbers were 78.9 percent for 2021-22 and 53.1 percent in 2022-23 in La Cañada. While this may appear to mark a significant decline for English learners in La Cañada USD, the overall number of students classified as English learners (64) is small enough that significant year-to-year variation is to be expected.  Both </w:t>
      </w:r>
      <w:r w:rsidRPr="008C6AC4">
        <w:lastRenderedPageBreak/>
        <w:t>districts exceed the statewide average. Meanwhile, La Cañada USD English learners score in the “green” category in both English Language Arts and Mathematics on the state’s Smarter Balanced Summative Assessment or the California Alternate Assessment (taken annually by students in grades 3–8 and grade 11), whereas Glendale USD’s English learners scored in the “orange” category in both English Language Arts and Mathematics. Therefore, it is not evident to CDE that La Cañada USD’s English learners are less well served educationally.</w:t>
      </w:r>
      <w:r w:rsidR="246F5AB7" w:rsidRPr="008C6AC4">
        <w:t xml:space="preserve"> </w:t>
      </w:r>
    </w:p>
    <w:p w14:paraId="05476A09" w14:textId="77777777" w:rsidR="00AC733F" w:rsidRPr="008C6AC4" w:rsidRDefault="008F48B4" w:rsidP="008F48B4">
      <w:pPr>
        <w:pStyle w:val="Heading3"/>
        <w:ind w:left="270"/>
      </w:pPr>
      <w:r w:rsidRPr="008C6AC4">
        <w:t xml:space="preserve">6.3 </w:t>
      </w:r>
      <w:r w:rsidR="00AC733F" w:rsidRPr="008C6AC4">
        <w:t>Negative I</w:t>
      </w:r>
      <w:r w:rsidRPr="008C6AC4">
        <w:t xml:space="preserve">mpact </w:t>
      </w:r>
      <w:r w:rsidR="00AC733F" w:rsidRPr="008C6AC4">
        <w:t>on English Learners</w:t>
      </w:r>
    </w:p>
    <w:p w14:paraId="69E6440F" w14:textId="545BBBED" w:rsidR="001F3797" w:rsidRPr="008C6AC4" w:rsidRDefault="246F5AB7" w:rsidP="001F3797">
      <w:pPr>
        <w:ind w:left="1170"/>
      </w:pPr>
      <w:r w:rsidRPr="008C6AC4">
        <w:t xml:space="preserve">As noted in 6.2, </w:t>
      </w:r>
      <w:r w:rsidR="4D00E6E3" w:rsidRPr="008C6AC4">
        <w:t xml:space="preserve">Glendale USD’s appeal </w:t>
      </w:r>
      <w:r w:rsidRPr="008C6AC4">
        <w:t>cites</w:t>
      </w:r>
      <w:r w:rsidR="009854B4" w:rsidRPr="008C6AC4">
        <w:t>:</w:t>
      </w:r>
      <w:r w:rsidRPr="008C6AC4">
        <w:t xml:space="preserve"> </w:t>
      </w:r>
      <w:r w:rsidR="0AC8516D" w:rsidRPr="008C6AC4">
        <w:t xml:space="preserve">1) </w:t>
      </w:r>
      <w:r w:rsidRPr="008C6AC4">
        <w:t>the lack of dual language programs for English learners</w:t>
      </w:r>
      <w:r w:rsidR="0AC8516D" w:rsidRPr="008C6AC4">
        <w:t xml:space="preserve">, </w:t>
      </w:r>
      <w:r w:rsidR="241FF775" w:rsidRPr="008C6AC4">
        <w:t>and 2</w:t>
      </w:r>
      <w:r w:rsidR="0AC8516D" w:rsidRPr="008C6AC4">
        <w:t>)</w:t>
      </w:r>
      <w:r w:rsidRPr="008C6AC4">
        <w:t xml:space="preserve"> a school environment lacking academic and instructional support that has been targeted to each student’s unique English proficiency and is designed to ensure that those students are provided an equal and meaningful education. </w:t>
      </w:r>
      <w:r w:rsidR="000F1F6E" w:rsidRPr="008C6AC4">
        <w:br/>
      </w:r>
      <w:r w:rsidR="000F1F6E" w:rsidRPr="008C6AC4">
        <w:br/>
      </w:r>
      <w:r w:rsidR="001F3797" w:rsidRPr="008C6AC4">
        <w:t>As noted above, on the 2022-23 California School Dashboard, English learners at Glendale USD rank in the “orange” category on both English and Math. At La Cañada, English learners rank in the “green” category in both areas.</w:t>
      </w:r>
    </w:p>
    <w:p w14:paraId="60891B88" w14:textId="41CDF1C7" w:rsidR="008F48B4" w:rsidRPr="008C6AC4" w:rsidRDefault="008F48B4" w:rsidP="00AC733F">
      <w:pPr>
        <w:ind w:left="1170"/>
      </w:pPr>
    </w:p>
    <w:p w14:paraId="36E0CB23" w14:textId="3C68B96C" w:rsidR="00AC733F" w:rsidRPr="008C6AC4" w:rsidRDefault="008F48B4" w:rsidP="00AC733F">
      <w:pPr>
        <w:pStyle w:val="Heading3"/>
        <w:ind w:left="270"/>
      </w:pPr>
      <w:r w:rsidRPr="008C6AC4">
        <w:t xml:space="preserve">6.4 La </w:t>
      </w:r>
      <w:r w:rsidR="00F8016E" w:rsidRPr="008C6AC4">
        <w:t>Cañada</w:t>
      </w:r>
      <w:r w:rsidRPr="008C6AC4">
        <w:t xml:space="preserve"> USD Does Not Promote Diversity to the Extent of Glendale USD</w:t>
      </w:r>
    </w:p>
    <w:p w14:paraId="10E708E3" w14:textId="3AE63D41" w:rsidR="008F48B4" w:rsidRPr="008C6AC4" w:rsidRDefault="24C28973" w:rsidP="002E10B7">
      <w:pPr>
        <w:ind w:left="1170"/>
      </w:pPr>
      <w:r w:rsidRPr="008C6AC4">
        <w:t xml:space="preserve">Glendale USD’s appeal cites a 2012 U.S. Department of Education study which identified both districts as among the 30 highest performing K-12 districts in California. The study also indicated that a focus on English learners has been a priority for Glendale USD, with 30 percent of students classified as English Language Learners, compared to only 5 percent at La </w:t>
      </w:r>
      <w:r w:rsidR="1EFF9613" w:rsidRPr="008C6AC4">
        <w:t>Cañada</w:t>
      </w:r>
      <w:r w:rsidRPr="008C6AC4">
        <w:t xml:space="preserve"> USD. </w:t>
      </w:r>
      <w:r w:rsidR="3514E510" w:rsidRPr="008C6AC4">
        <w:t xml:space="preserve">Of </w:t>
      </w:r>
      <w:r w:rsidRPr="008C6AC4">
        <w:t xml:space="preserve">the La </w:t>
      </w:r>
      <w:r w:rsidR="1EFF9613" w:rsidRPr="008C6AC4">
        <w:t>Cañada</w:t>
      </w:r>
      <w:r w:rsidRPr="008C6AC4">
        <w:t xml:space="preserve"> USD students that </w:t>
      </w:r>
      <w:r w:rsidR="3514E510" w:rsidRPr="008C6AC4">
        <w:t xml:space="preserve">were classified </w:t>
      </w:r>
      <w:r w:rsidR="49493370" w:rsidRPr="008C6AC4">
        <w:t>as English</w:t>
      </w:r>
      <w:r w:rsidRPr="008C6AC4">
        <w:t xml:space="preserve"> Learners</w:t>
      </w:r>
      <w:r w:rsidR="3514E510" w:rsidRPr="008C6AC4">
        <w:t xml:space="preserve"> in the report</w:t>
      </w:r>
      <w:r w:rsidRPr="008C6AC4">
        <w:t xml:space="preserve">, only 19.9 percent were determined to be proficient in English in 2017-18, whereas the number was 31.3 percent of Glendale USD’s English learners. The appeal contends that this evidence demonstrates that Glendale USD surpasses La </w:t>
      </w:r>
      <w:r w:rsidR="1EFF9613" w:rsidRPr="008C6AC4">
        <w:t>Cañada</w:t>
      </w:r>
      <w:r w:rsidRPr="008C6AC4">
        <w:t xml:space="preserve"> USD when it comes to promoting racial and ethnic equality.</w:t>
      </w:r>
    </w:p>
    <w:p w14:paraId="44B2794D" w14:textId="77777777" w:rsidR="00560316" w:rsidRPr="008C6AC4" w:rsidRDefault="008F48B4" w:rsidP="00560316">
      <w:pPr>
        <w:pStyle w:val="Heading3"/>
        <w:ind w:left="270"/>
      </w:pPr>
      <w:r w:rsidRPr="008C6AC4">
        <w:t>6.5 Backfilling of Glendale USD’s Mountain Avenue ES</w:t>
      </w:r>
    </w:p>
    <w:p w14:paraId="2B4FF95C" w14:textId="226C8FFF" w:rsidR="008F48B4" w:rsidRPr="008C6AC4" w:rsidRDefault="002E10B7" w:rsidP="009F75AB">
      <w:pPr>
        <w:ind w:left="1170"/>
      </w:pPr>
      <w:r w:rsidRPr="008C6AC4">
        <w:t xml:space="preserve">The petition indicates that, to the extent that Mountain Avenue ES loses a significant portion of its student body, those spaces can be filled by students transferred from other Glendale USD schools experiencing overcrowding. The appeal argues that this </w:t>
      </w:r>
      <w:r w:rsidR="008F48B4" w:rsidRPr="008C6AC4">
        <w:t>is speculative.</w:t>
      </w:r>
      <w:r w:rsidRPr="008C6AC4">
        <w:t xml:space="preserve"> To avoid overcrowding, the district “caps” grade levels within a school to ensure optimal classroom sizes. </w:t>
      </w:r>
      <w:r w:rsidRPr="008C6AC4">
        <w:lastRenderedPageBreak/>
        <w:t>Under capping procedures, students are</w:t>
      </w:r>
      <w:r w:rsidR="00F73E09" w:rsidRPr="008C6AC4">
        <w:t xml:space="preserve"> assigned</w:t>
      </w:r>
      <w:r w:rsidRPr="008C6AC4">
        <w:t xml:space="preserve"> to the nearest school having an</w:t>
      </w:r>
      <w:r w:rsidR="009F75AB" w:rsidRPr="008C6AC4">
        <w:t xml:space="preserve"> </w:t>
      </w:r>
      <w:r w:rsidRPr="008C6AC4">
        <w:t>opening. However, in the year prior to the appeal, only 2 students districtwide were reassigned to Mountain Avenue ES. The appeal notes this as evidence that backfilling from overcrowded schools is speculative at best.</w:t>
      </w:r>
      <w:r w:rsidRPr="008C6AC4">
        <w:br/>
      </w:r>
    </w:p>
    <w:p w14:paraId="0CDA26B5" w14:textId="2E17B2B6" w:rsidR="007F5AD1" w:rsidRPr="008C6AC4" w:rsidRDefault="007F5AD1" w:rsidP="00D15C3F">
      <w:pPr>
        <w:pStyle w:val="Heading2"/>
        <w:keepLines w:val="0"/>
        <w:numPr>
          <w:ilvl w:val="0"/>
          <w:numId w:val="18"/>
        </w:numPr>
        <w:spacing w:before="0"/>
      </w:pPr>
      <w:r w:rsidRPr="008C6AC4">
        <w:t xml:space="preserve">Compelling Reasons for </w:t>
      </w:r>
      <w:r w:rsidR="00795237" w:rsidRPr="008C6AC4">
        <w:t>Denying</w:t>
      </w:r>
      <w:r w:rsidRPr="008C6AC4">
        <w:t xml:space="preserve"> of </w:t>
      </w:r>
      <w:r w:rsidR="00100FA7" w:rsidRPr="008C6AC4">
        <w:t>Territory Transfer</w:t>
      </w:r>
      <w:r w:rsidRPr="008C6AC4">
        <w:t xml:space="preserve"> </w:t>
      </w:r>
      <w:r w:rsidR="00795237" w:rsidRPr="008C6AC4">
        <w:t>Appeal</w:t>
      </w:r>
    </w:p>
    <w:p w14:paraId="045DACC3" w14:textId="73E6B52D" w:rsidR="007F5AD1" w:rsidRPr="008C6AC4" w:rsidRDefault="007F5AD1" w:rsidP="00100FA7">
      <w:pPr>
        <w:ind w:left="720"/>
        <w:rPr>
          <w:strike/>
        </w:rPr>
      </w:pPr>
      <w:r w:rsidRPr="008C6AC4">
        <w:t xml:space="preserve">Approval of any </w:t>
      </w:r>
      <w:r w:rsidR="002B4CB7" w:rsidRPr="008C6AC4">
        <w:t>transfer</w:t>
      </w:r>
      <w:r w:rsidRPr="008C6AC4">
        <w:t xml:space="preserve"> proposal by the SBE is a discretionary action</w:t>
      </w:r>
      <w:r w:rsidR="009603B5" w:rsidRPr="008C6AC4">
        <w:t xml:space="preserve">. </w:t>
      </w:r>
      <w:r w:rsidRPr="008C6AC4">
        <w:t xml:space="preserve">Subdivision (b) of </w:t>
      </w:r>
      <w:r w:rsidRPr="008C6AC4">
        <w:rPr>
          <w:i/>
          <w:iCs/>
        </w:rPr>
        <w:t>EC</w:t>
      </w:r>
      <w:r w:rsidRPr="008C6AC4">
        <w:t xml:space="preserve"> Section 35753 provides that the SBE “may approve a proposal for the reorganization of school districts if the state board determines that it is not practical or possible to apply the criteria of this section literally, and that the circumstances with respect to the proposals provide an exceptional situation sufficient to justify approval of the proposals.” Thus, the SBE may approve a proposal even if it determines one or more of the </w:t>
      </w:r>
      <w:r w:rsidRPr="008C6AC4">
        <w:rPr>
          <w:i/>
          <w:iCs/>
        </w:rPr>
        <w:t>EC</w:t>
      </w:r>
      <w:r w:rsidRPr="008C6AC4">
        <w:t xml:space="preserve"> Section 35753 conditions are not substantially </w:t>
      </w:r>
      <w:proofErr w:type="gramStart"/>
      <w:r w:rsidRPr="008C6AC4">
        <w:t>met</w:t>
      </w:r>
      <w:r w:rsidR="1834DF70" w:rsidRPr="008C6AC4">
        <w:t>, or</w:t>
      </w:r>
      <w:proofErr w:type="gramEnd"/>
      <w:r w:rsidR="1834DF70" w:rsidRPr="008C6AC4">
        <w:t xml:space="preserve"> deny a proposal even if it determines that all conditions are substantially met</w:t>
      </w:r>
      <w:r w:rsidRPr="008C6AC4">
        <w:t>—if it finds a compelling reason to do so.</w:t>
      </w:r>
      <w:r w:rsidRPr="008C6AC4">
        <w:br/>
      </w:r>
    </w:p>
    <w:p w14:paraId="2AA9B783" w14:textId="77777777" w:rsidR="009E14CE" w:rsidRPr="008C6AC4" w:rsidRDefault="009E14CE" w:rsidP="009E14CE">
      <w:pPr>
        <w:ind w:left="720"/>
      </w:pPr>
      <w:r w:rsidRPr="008C6AC4">
        <w:t xml:space="preserve">Petitioners have offered </w:t>
      </w:r>
      <w:proofErr w:type="gramStart"/>
      <w:r w:rsidRPr="008C6AC4">
        <w:t>a number of</w:t>
      </w:r>
      <w:proofErr w:type="gramEnd"/>
      <w:r w:rsidRPr="008C6AC4">
        <w:t xml:space="preserve"> reasons for seeking the transfer of the territory, listed in section 3.0 of this report. These reasons include:</w:t>
      </w:r>
    </w:p>
    <w:p w14:paraId="4BF1EFAF" w14:textId="77777777" w:rsidR="009E14CE" w:rsidRPr="008C6AC4" w:rsidRDefault="009E14CE" w:rsidP="009E14CE">
      <w:pPr>
        <w:pStyle w:val="ListParagraph"/>
        <w:numPr>
          <w:ilvl w:val="0"/>
          <w:numId w:val="41"/>
        </w:numPr>
      </w:pPr>
      <w:r w:rsidRPr="008C6AC4">
        <w:t xml:space="preserve">the deep partnerships with the City of La Cañada Flintridge, the local business community, its school families, and non-school </w:t>
      </w:r>
      <w:proofErr w:type="gramStart"/>
      <w:r w:rsidRPr="008C6AC4">
        <w:t>families;</w:t>
      </w:r>
      <w:proofErr w:type="gramEnd"/>
      <w:r w:rsidRPr="008C6AC4">
        <w:t xml:space="preserve"> </w:t>
      </w:r>
    </w:p>
    <w:p w14:paraId="1B84F746" w14:textId="77777777" w:rsidR="009E14CE" w:rsidRPr="008C6AC4" w:rsidRDefault="009E14CE" w:rsidP="009E14CE">
      <w:pPr>
        <w:pStyle w:val="ListParagraph"/>
        <w:numPr>
          <w:ilvl w:val="0"/>
          <w:numId w:val="41"/>
        </w:numPr>
      </w:pPr>
      <w:r w:rsidRPr="008C6AC4">
        <w:t xml:space="preserve">perceived disparities between the treatment of their students and the treatment of other students residing in the same </w:t>
      </w:r>
      <w:proofErr w:type="gramStart"/>
      <w:r w:rsidRPr="008C6AC4">
        <w:t>city;</w:t>
      </w:r>
      <w:proofErr w:type="gramEnd"/>
      <w:r w:rsidRPr="008C6AC4">
        <w:t xml:space="preserve"> </w:t>
      </w:r>
    </w:p>
    <w:p w14:paraId="570F0515" w14:textId="77777777" w:rsidR="009E14CE" w:rsidRPr="008C6AC4" w:rsidRDefault="009E14CE" w:rsidP="009E14CE">
      <w:pPr>
        <w:pStyle w:val="ListParagraph"/>
        <w:numPr>
          <w:ilvl w:val="0"/>
          <w:numId w:val="41"/>
        </w:numPr>
      </w:pPr>
      <w:r w:rsidRPr="008C6AC4">
        <w:t xml:space="preserve">and the overwhelming support for the transfer among residents. The petitioners have demonstrated a long-held and consistent desire to transfer this territory. They believe there would be substantial educational benefits. </w:t>
      </w:r>
    </w:p>
    <w:p w14:paraId="61665C1C" w14:textId="77777777" w:rsidR="009F75AB" w:rsidRPr="008C6AC4" w:rsidRDefault="009F75AB" w:rsidP="00360119"/>
    <w:p w14:paraId="59F9C4BC" w14:textId="11363A13" w:rsidR="00335112" w:rsidRPr="008C6AC4" w:rsidRDefault="010B0DA6" w:rsidP="0FBAEEDD">
      <w:pPr>
        <w:ind w:left="720"/>
      </w:pPr>
      <w:r w:rsidRPr="008C6AC4">
        <w:t>SBE may consider any of the petitioners’ reasons, or reasons of its own, when determining if the proposal has merit.</w:t>
      </w:r>
      <w:r w:rsidR="10408BBE" w:rsidRPr="008C6AC4">
        <w:t xml:space="preserve"> </w:t>
      </w:r>
      <w:r w:rsidRPr="008C6AC4">
        <w:t xml:space="preserve">Conversely, the SBE may consider compelling reasons to </w:t>
      </w:r>
      <w:proofErr w:type="gramStart"/>
      <w:r w:rsidRPr="008C6AC4">
        <w:t>disapprove</w:t>
      </w:r>
      <w:proofErr w:type="gramEnd"/>
      <w:r w:rsidRPr="008C6AC4">
        <w:t xml:space="preserve"> the proposal</w:t>
      </w:r>
      <w:r w:rsidR="6926728D" w:rsidRPr="008C6AC4">
        <w:t>, whether those of the appe</w:t>
      </w:r>
      <w:r w:rsidR="1A55E97B" w:rsidRPr="008C6AC4">
        <w:t>llants</w:t>
      </w:r>
      <w:r w:rsidR="18635138" w:rsidRPr="008C6AC4">
        <w:t>, described in section 6.0</w:t>
      </w:r>
      <w:r w:rsidR="1A55E97B" w:rsidRPr="008C6AC4">
        <w:t>, or their own</w:t>
      </w:r>
      <w:r w:rsidRPr="008C6AC4">
        <w:t xml:space="preserve">. </w:t>
      </w:r>
      <w:r w:rsidR="005E3F00" w:rsidRPr="008C6AC4">
        <w:br/>
      </w:r>
      <w:r w:rsidR="005E3F00" w:rsidRPr="008C6AC4">
        <w:br/>
        <w:t>The</w:t>
      </w:r>
      <w:r w:rsidR="007F5AD1" w:rsidRPr="008C6AC4">
        <w:t xml:space="preserve"> CDE finds no convincing academic need or concern to support</w:t>
      </w:r>
      <w:r w:rsidR="53DC07C4" w:rsidRPr="008C6AC4">
        <w:t xml:space="preserve"> </w:t>
      </w:r>
      <w:r w:rsidR="00100FA7" w:rsidRPr="008C6AC4">
        <w:t xml:space="preserve">or deny </w:t>
      </w:r>
      <w:r w:rsidR="53DC07C4" w:rsidRPr="008C6AC4">
        <w:t xml:space="preserve">this appeal. </w:t>
      </w:r>
      <w:r w:rsidR="00360119" w:rsidRPr="008C6AC4">
        <w:t>However</w:t>
      </w:r>
      <w:r w:rsidR="53DC07C4" w:rsidRPr="008C6AC4">
        <w:t>, the sense of support and community identity</w:t>
      </w:r>
      <w:r w:rsidR="36548811" w:rsidRPr="008C6AC4">
        <w:t xml:space="preserve"> resulting from a transfer that has been</w:t>
      </w:r>
      <w:r w:rsidR="53DC07C4" w:rsidRPr="008C6AC4">
        <w:t xml:space="preserve"> identified by the petitioners</w:t>
      </w:r>
      <w:r w:rsidR="59BE6C06" w:rsidRPr="008C6AC4">
        <w:t xml:space="preserve"> promises substantial </w:t>
      </w:r>
      <w:r w:rsidR="2839A9CC" w:rsidRPr="008C6AC4">
        <w:t>benefits for the transfer territory’s students.</w:t>
      </w:r>
      <w:r w:rsidR="007F5AD1" w:rsidRPr="008C6AC4">
        <w:t xml:space="preserve"> </w:t>
      </w:r>
      <w:r w:rsidR="4E76A546" w:rsidRPr="008C6AC4">
        <w:t>T</w:t>
      </w:r>
      <w:r w:rsidR="007F5AD1" w:rsidRPr="008C6AC4">
        <w:t xml:space="preserve">hus, </w:t>
      </w:r>
      <w:r w:rsidR="5F89A200" w:rsidRPr="008C6AC4">
        <w:t xml:space="preserve">CDE staff find </w:t>
      </w:r>
      <w:r w:rsidR="007F5AD1" w:rsidRPr="008C6AC4">
        <w:t xml:space="preserve">no compelling reasons to approve this </w:t>
      </w:r>
      <w:r w:rsidR="1197757D" w:rsidRPr="008C6AC4">
        <w:t xml:space="preserve">appeal, </w:t>
      </w:r>
      <w:r w:rsidR="502BA6FD" w:rsidRPr="008C6AC4">
        <w:t>but</w:t>
      </w:r>
      <w:r w:rsidR="1197757D" w:rsidRPr="008C6AC4">
        <w:t xml:space="preserve"> </w:t>
      </w:r>
      <w:r w:rsidR="00360119" w:rsidRPr="008C6AC4">
        <w:t>sufficient</w:t>
      </w:r>
      <w:r w:rsidR="1197757D" w:rsidRPr="008C6AC4">
        <w:t xml:space="preserve"> reasons to allow the Petition to move forward</w:t>
      </w:r>
      <w:r w:rsidR="007F5AD1" w:rsidRPr="008C6AC4">
        <w:t>.</w:t>
      </w:r>
    </w:p>
    <w:p w14:paraId="5DFD38B6" w14:textId="77777777" w:rsidR="00335112" w:rsidRPr="008C6AC4" w:rsidRDefault="00335112" w:rsidP="00335112">
      <w:pPr>
        <w:pStyle w:val="Heading2"/>
        <w:ind w:left="630" w:hanging="630"/>
      </w:pPr>
      <w:r w:rsidRPr="008C6AC4">
        <w:t>8.0</w:t>
      </w:r>
      <w:r w:rsidRPr="008C6AC4">
        <w:tab/>
        <w:t>Amendments to the Territory Transfer Proposal: Area of Election</w:t>
      </w:r>
    </w:p>
    <w:p w14:paraId="567584D8" w14:textId="77777777" w:rsidR="00335112" w:rsidRPr="008C6AC4" w:rsidRDefault="396F9A0E" w:rsidP="00335112">
      <w:pPr>
        <w:spacing w:after="240"/>
      </w:pPr>
      <w:r w:rsidRPr="008C6AC4">
        <w:t xml:space="preserve">The SBE has authority to amend or add certain provisions to any petition for reorganization. Pursuant to </w:t>
      </w:r>
      <w:r w:rsidRPr="008C6AC4">
        <w:rPr>
          <w:i/>
          <w:iCs/>
        </w:rPr>
        <w:t>EC</w:t>
      </w:r>
      <w:r w:rsidRPr="008C6AC4">
        <w:t xml:space="preserve"> Section 35756, the SBE is required to establish the </w:t>
      </w:r>
      <w:r w:rsidRPr="008C6AC4">
        <w:lastRenderedPageBreak/>
        <w:t>election area if its action results in approval of a district reorganization. The following information details the CDE recommendation regarding this provision.</w:t>
      </w:r>
    </w:p>
    <w:p w14:paraId="75762D6E" w14:textId="7C86BBE4" w:rsidR="00335112" w:rsidRPr="008C6AC4" w:rsidRDefault="396F9A0E">
      <w:pPr>
        <w:spacing w:after="240"/>
      </w:pPr>
      <w:r w:rsidRPr="008C6AC4">
        <w:t xml:space="preserve">District opposition to a territory transfer approved by a County Committee is one of the factors that triggers a local election (see </w:t>
      </w:r>
      <w:r w:rsidRPr="008C6AC4">
        <w:rPr>
          <w:i/>
          <w:iCs/>
        </w:rPr>
        <w:t>EC</w:t>
      </w:r>
      <w:r w:rsidRPr="008C6AC4">
        <w:t xml:space="preserve"> sections 35709 and 35710). The Glendale USD is on record opposing the territory transfer—thus, final approval of the transfer must be through approval at a local election.</w:t>
      </w:r>
    </w:p>
    <w:p w14:paraId="51B9C26E" w14:textId="4C06A259" w:rsidR="00335112" w:rsidRPr="008C6AC4" w:rsidRDefault="00335112" w:rsidP="00335112">
      <w:pPr>
        <w:spacing w:after="240"/>
      </w:pPr>
      <w:r w:rsidRPr="008C6AC4">
        <w:t xml:space="preserve">The “default” election area in </w:t>
      </w:r>
      <w:r w:rsidRPr="008C6AC4">
        <w:rPr>
          <w:i/>
        </w:rPr>
        <w:t>EC</w:t>
      </w:r>
      <w:r w:rsidRPr="008C6AC4">
        <w:t xml:space="preserve"> Section 35732 is the territory proposed for reorganization (i.e., the </w:t>
      </w:r>
      <w:r w:rsidR="0027112B" w:rsidRPr="008C6AC4">
        <w:t>territory proposed for transfer</w:t>
      </w:r>
      <w:r w:rsidRPr="008C6AC4">
        <w:t>). The SBE may expand the election area if it determines that conditions warrant such expansion.</w:t>
      </w:r>
    </w:p>
    <w:p w14:paraId="5E64DE56" w14:textId="77777777" w:rsidR="00335112" w:rsidRPr="008C6AC4" w:rsidRDefault="00335112" w:rsidP="00335112">
      <w:pPr>
        <w:pStyle w:val="Heading3"/>
        <w:ind w:left="-90" w:firstLine="90"/>
      </w:pPr>
      <w:r w:rsidRPr="008C6AC4">
        <w:t>8.1</w:t>
      </w:r>
      <w:r w:rsidRPr="008C6AC4">
        <w:tab/>
        <w:t>Area of Election Principles</w:t>
      </w:r>
    </w:p>
    <w:p w14:paraId="5EB2640E" w14:textId="77777777" w:rsidR="00335112" w:rsidRPr="008C6AC4" w:rsidRDefault="00335112" w:rsidP="00335112">
      <w:pPr>
        <w:spacing w:after="240"/>
      </w:pPr>
      <w:r w:rsidRPr="008C6AC4">
        <w:t xml:space="preserve">In establishing the area of election, the CDE and SBE follow the legal precedent set by the California Supreme Court in </w:t>
      </w:r>
      <w:r w:rsidRPr="008C6AC4">
        <w:rPr>
          <w:i/>
        </w:rPr>
        <w:t xml:space="preserve">Board of Supervisors of Sacramento County, et al. v. Local Agency Formation Commission </w:t>
      </w:r>
      <w:r w:rsidRPr="008C6AC4">
        <w:t xml:space="preserve">(1992) 3 Cal. 4th 903 (the </w:t>
      </w:r>
      <w:r w:rsidRPr="008C6AC4">
        <w:rPr>
          <w:i/>
        </w:rPr>
        <w:t>“LAFCO”</w:t>
      </w:r>
      <w:r w:rsidRPr="008C6AC4">
        <w:t xml:space="preserve"> decision). </w:t>
      </w:r>
      <w:r w:rsidRPr="008C6AC4">
        <w:rPr>
          <w:i/>
        </w:rPr>
        <w:t>LAFCO</w:t>
      </w:r>
      <w:r w:rsidRPr="008C6AC4">
        <w:t xml:space="preserve"> holds that elections may be confined to within the boundaries of the territory proposed for reorganization (the “default” area), provided there is a </w:t>
      </w:r>
      <w:r w:rsidRPr="008C6AC4">
        <w:rPr>
          <w:i/>
        </w:rPr>
        <w:t>rational basis</w:t>
      </w:r>
      <w:r w:rsidRPr="008C6AC4">
        <w:t xml:space="preserve"> for doing so. </w:t>
      </w:r>
      <w:r w:rsidRPr="008C6AC4">
        <w:rPr>
          <w:i/>
        </w:rPr>
        <w:t>LAFCO</w:t>
      </w:r>
      <w:r w:rsidRPr="008C6AC4">
        <w:t xml:space="preserve"> requires </w:t>
      </w:r>
      <w:proofErr w:type="gramStart"/>
      <w:r w:rsidRPr="008C6AC4">
        <w:t>we examine</w:t>
      </w:r>
      <w:proofErr w:type="gramEnd"/>
      <w:r w:rsidRPr="008C6AC4">
        <w:t>: (1) the public policy reasons for holding a reorganization election within the boundaries specified; and (2) whether there is a genuine difference in the relevant interests of the groups that the election plan creates.</w:t>
      </w:r>
    </w:p>
    <w:p w14:paraId="7CB54C9E" w14:textId="496BEF75" w:rsidR="00335112" w:rsidRPr="008C6AC4" w:rsidRDefault="2E5EE443" w:rsidP="00335112">
      <w:pPr>
        <w:spacing w:after="240"/>
      </w:pPr>
      <w:r w:rsidRPr="008C6AC4">
        <w:rPr>
          <w:i/>
          <w:iCs/>
        </w:rPr>
        <w:t xml:space="preserve">1. </w:t>
      </w:r>
      <w:r w:rsidR="396F9A0E" w:rsidRPr="008C6AC4">
        <w:rPr>
          <w:i/>
          <w:iCs/>
        </w:rPr>
        <w:t>A reduced voting area has a fair relationship to a legitimate public purpose</w:t>
      </w:r>
      <w:r w:rsidR="396F9A0E" w:rsidRPr="008C6AC4">
        <w:t>. State policy favors procedures that promote orderly school district reorganization statewide</w:t>
      </w:r>
      <w:r w:rsidR="396F9A0E" w:rsidRPr="008C6AC4">
        <w:rPr>
          <w:b/>
          <w:bCs/>
        </w:rPr>
        <w:t xml:space="preserve"> </w:t>
      </w:r>
      <w:r w:rsidR="396F9A0E" w:rsidRPr="008C6AC4">
        <w:t>in a manner that allows for planned, orderly, community-based school systems that adequately address transportation, curriculum, faculty, and administration.</w:t>
      </w:r>
    </w:p>
    <w:p w14:paraId="524939F1" w14:textId="6B0EB056" w:rsidR="00335112" w:rsidRPr="008C6AC4" w:rsidRDefault="2E5EE443" w:rsidP="00335112">
      <w:pPr>
        <w:spacing w:after="240"/>
      </w:pPr>
      <w:r w:rsidRPr="008C6AC4">
        <w:rPr>
          <w:i/>
          <w:iCs/>
        </w:rPr>
        <w:t xml:space="preserve">2. </w:t>
      </w:r>
      <w:r w:rsidR="396F9A0E" w:rsidRPr="008C6AC4">
        <w:rPr>
          <w:i/>
          <w:iCs/>
        </w:rPr>
        <w:t>Discussion of other judicial activity in this area is warranted</w:t>
      </w:r>
      <w:r w:rsidR="396F9A0E" w:rsidRPr="008C6AC4">
        <w:t xml:space="preserve">. In a case that preceded </w:t>
      </w:r>
      <w:r w:rsidR="396F9A0E" w:rsidRPr="008C6AC4">
        <w:rPr>
          <w:i/>
          <w:iCs/>
        </w:rPr>
        <w:t xml:space="preserve">LAFCO, </w:t>
      </w:r>
      <w:r w:rsidR="396F9A0E" w:rsidRPr="008C6AC4">
        <w:t>the California Supreme Court invalidated an SBE reorganization decision that approved an area of election that was limited to the newly unified district. As a result, electors in the entire high school district were entitled to vote (</w:t>
      </w:r>
      <w:r w:rsidR="396F9A0E" w:rsidRPr="008C6AC4">
        <w:rPr>
          <w:i/>
          <w:iCs/>
        </w:rPr>
        <w:t>Fullerton</w:t>
      </w:r>
      <w:r w:rsidR="396F9A0E" w:rsidRPr="008C6AC4">
        <w:t xml:space="preserve">). The </w:t>
      </w:r>
      <w:r w:rsidR="396F9A0E" w:rsidRPr="008C6AC4">
        <w:rPr>
          <w:i/>
          <w:iCs/>
        </w:rPr>
        <w:t xml:space="preserve">Fullerton </w:t>
      </w:r>
      <w:r w:rsidR="396F9A0E" w:rsidRPr="008C6AC4">
        <w:t>court applied strict scrutiny and required demonstration of a compelling state interest to justify the exclusion of those portions of the district from which the newly unified district would be formed.</w:t>
      </w:r>
      <w:smartTag w:uri="urn:schemas-microsoft-com:office:smarttags" w:element="place"/>
      <w:smartTag w:uri="urn:schemas-microsoft-com:office:smarttags" w:element="City"/>
    </w:p>
    <w:p w14:paraId="5E40A5CB" w14:textId="77777777" w:rsidR="00335112" w:rsidRPr="008C6AC4" w:rsidRDefault="00335112" w:rsidP="00335112">
      <w:pPr>
        <w:pStyle w:val="Heading4"/>
      </w:pPr>
      <w:r w:rsidRPr="008C6AC4">
        <w:t>8.2</w:t>
      </w:r>
      <w:r w:rsidRPr="008C6AC4">
        <w:tab/>
        <w:t xml:space="preserve">Recommended Area of Election </w:t>
      </w:r>
    </w:p>
    <w:p w14:paraId="71255561" w14:textId="1A46322F" w:rsidR="00335112" w:rsidRPr="008C6AC4" w:rsidRDefault="396F9A0E" w:rsidP="1399E1F1">
      <w:pPr>
        <w:spacing w:after="240"/>
      </w:pPr>
      <w:r w:rsidRPr="008C6AC4">
        <w:t>The</w:t>
      </w:r>
      <w:r w:rsidRPr="008C6AC4">
        <w:rPr>
          <w:i/>
          <w:iCs/>
        </w:rPr>
        <w:t xml:space="preserve"> Fullerton </w:t>
      </w:r>
      <w:r w:rsidRPr="008C6AC4">
        <w:t xml:space="preserve">case does not require that the SBE conduct a different analysis than that described above. The </w:t>
      </w:r>
      <w:r w:rsidRPr="008C6AC4">
        <w:rPr>
          <w:i/>
          <w:iCs/>
        </w:rPr>
        <w:t xml:space="preserve">LAFCO </w:t>
      </w:r>
      <w:r w:rsidRPr="008C6AC4">
        <w:t xml:space="preserve">decision disapproved the </w:t>
      </w:r>
      <w:r w:rsidRPr="008C6AC4">
        <w:rPr>
          <w:i/>
          <w:iCs/>
        </w:rPr>
        <w:t xml:space="preserve">Fullerton </w:t>
      </w:r>
      <w:r w:rsidRPr="008C6AC4">
        <w:t xml:space="preserve">case, and held that </w:t>
      </w:r>
      <w:r w:rsidRPr="008C6AC4">
        <w:lastRenderedPageBreak/>
        <w:t xml:space="preserve">absent </w:t>
      </w:r>
      <w:r w:rsidR="4498E76C" w:rsidRPr="008C6AC4">
        <w:t>“</w:t>
      </w:r>
      <w:r w:rsidRPr="008C6AC4">
        <w:t>invidious discrimination</w:t>
      </w:r>
      <w:r w:rsidR="00335112" w:rsidRPr="008C6AC4">
        <w:rPr>
          <w:rStyle w:val="FootnoteReference"/>
        </w:rPr>
        <w:footnoteReference w:id="2"/>
      </w:r>
      <w:r w:rsidR="472411F3" w:rsidRPr="008C6AC4">
        <w:t>,”</w:t>
      </w:r>
      <w:r w:rsidRPr="008C6AC4">
        <w:t xml:space="preserve"> the rational basis approach to defining the election area applied. </w:t>
      </w:r>
      <w:r w:rsidR="001F3797" w:rsidRPr="008C6AC4">
        <w:t xml:space="preserve">In this matter of the proposed transfer of territory from the </w:t>
      </w:r>
      <w:r w:rsidR="001F3797" w:rsidRPr="008C6AC4">
        <w:rPr>
          <w:rFonts w:cs="Arial"/>
        </w:rPr>
        <w:t>Glendale</w:t>
      </w:r>
      <w:r w:rsidR="001F3797" w:rsidRPr="008C6AC4">
        <w:t xml:space="preserve"> USD to the La Cañada USD, the Glendale appeal contends that such racial impacts exist. However, CDE believes that no discrimination, segregation, or racial impacts are identified.</w:t>
      </w:r>
      <w:r w:rsidRPr="008C6AC4">
        <w:t xml:space="preserve"> Accordingly, the </w:t>
      </w:r>
      <w:r w:rsidRPr="008C6AC4">
        <w:rPr>
          <w:i/>
          <w:iCs/>
        </w:rPr>
        <w:t xml:space="preserve">LAFCO </w:t>
      </w:r>
      <w:r w:rsidRPr="008C6AC4">
        <w:t>standard and analysis applies.</w:t>
      </w:r>
      <w:smartTag w:uri="urn:schemas-microsoft-com:office:smarttags" w:element="place"/>
      <w:smartTag w:uri="urn:schemas-microsoft-com:office:smarttags" w:element="City"/>
    </w:p>
    <w:p w14:paraId="40495503" w14:textId="63EF9D75" w:rsidR="00335112" w:rsidRPr="008C6AC4" w:rsidRDefault="396F9A0E" w:rsidP="0FBAEEDD">
      <w:pPr>
        <w:spacing w:after="240"/>
      </w:pPr>
      <w:r w:rsidRPr="008C6AC4">
        <w:t>The CDE finds no reason to believe that the proposed transfer would have a significant effect on the</w:t>
      </w:r>
      <w:r w:rsidR="5EB12501" w:rsidRPr="008C6AC4">
        <w:t xml:space="preserve"> operations of either </w:t>
      </w:r>
      <w:proofErr w:type="gramStart"/>
      <w:r w:rsidR="5EB12501" w:rsidRPr="008C6AC4">
        <w:t>district as a whole</w:t>
      </w:r>
      <w:proofErr w:type="gramEnd"/>
      <w:r w:rsidR="5EB12501" w:rsidRPr="008C6AC4">
        <w:t>.</w:t>
      </w:r>
      <w:r w:rsidRPr="008C6AC4">
        <w:t xml:space="preserve"> </w:t>
      </w:r>
      <w:r w:rsidR="08074C54" w:rsidRPr="008C6AC4">
        <w:t xml:space="preserve">However, impacts </w:t>
      </w:r>
      <w:r w:rsidR="3E0C004B" w:rsidRPr="008C6AC4">
        <w:t>would</w:t>
      </w:r>
      <w:r w:rsidR="08074C54" w:rsidRPr="008C6AC4">
        <w:t xml:space="preserve"> be more pronounced at the school site level, wit</w:t>
      </w:r>
      <w:r w:rsidR="6371B497" w:rsidRPr="008C6AC4">
        <w:t>h</w:t>
      </w:r>
      <w:r w:rsidR="08074C54" w:rsidRPr="008C6AC4">
        <w:t xml:space="preserve"> losses in attendance at Mountain View ESD,</w:t>
      </w:r>
      <w:r w:rsidR="2EE4EC99" w:rsidRPr="008C6AC4">
        <w:t xml:space="preserve"> and</w:t>
      </w:r>
      <w:r w:rsidR="08074C54" w:rsidRPr="008C6AC4">
        <w:t xml:space="preserve"> </w:t>
      </w:r>
      <w:r w:rsidR="5E4B12C3" w:rsidRPr="008C6AC4">
        <w:t>potential</w:t>
      </w:r>
      <w:r w:rsidR="08074C54" w:rsidRPr="008C6AC4">
        <w:t xml:space="preserve"> overcrowding at</w:t>
      </w:r>
      <w:r w:rsidR="5161E3A4" w:rsidRPr="008C6AC4">
        <w:t xml:space="preserve"> Palm Crest ESD.</w:t>
      </w:r>
      <w:r w:rsidR="684ED39F" w:rsidRPr="008C6AC4">
        <w:t xml:space="preserve"> While attenuated, similar impacts would be felt at the middle school and high school levels.</w:t>
      </w:r>
      <w:r w:rsidR="08074C54" w:rsidRPr="008C6AC4">
        <w:t xml:space="preserve"> </w:t>
      </w:r>
      <w:r w:rsidRPr="008C6AC4">
        <w:t>Therefore, the CDE recommends that the election area be the territory proposed for transfer</w:t>
      </w:r>
      <w:r w:rsidR="5DDF9D71" w:rsidRPr="008C6AC4">
        <w:t xml:space="preserve">, along with the attendance areas of </w:t>
      </w:r>
      <w:r w:rsidR="67CAA17D" w:rsidRPr="008C6AC4">
        <w:t>Crescenta Valley High School and La Cañada High School</w:t>
      </w:r>
      <w:r w:rsidR="5DDF9D71" w:rsidRPr="008C6AC4">
        <w:t>,</w:t>
      </w:r>
      <w:r w:rsidRPr="008C6AC4">
        <w:t xml:space="preserve"> if the SBE acts to </w:t>
      </w:r>
      <w:r w:rsidR="1EFF9613" w:rsidRPr="008C6AC4">
        <w:t>uphold</w:t>
      </w:r>
      <w:r w:rsidRPr="008C6AC4">
        <w:t xml:space="preserve"> the County Committee’s approval of the territory transfer proposal. </w:t>
      </w:r>
    </w:p>
    <w:p w14:paraId="5CB1AD5A" w14:textId="6671DEBA" w:rsidR="007F5AD1" w:rsidRPr="008C6AC4" w:rsidRDefault="007F5AD1" w:rsidP="00335112">
      <w:pPr>
        <w:pStyle w:val="Heading2"/>
        <w:keepLines w:val="0"/>
        <w:numPr>
          <w:ilvl w:val="1"/>
          <w:numId w:val="38"/>
        </w:numPr>
        <w:spacing w:before="0"/>
        <w:ind w:left="720"/>
      </w:pPr>
      <w:r w:rsidRPr="008C6AC4">
        <w:t>State Board of Education Options and Recommendations</w:t>
      </w:r>
    </w:p>
    <w:p w14:paraId="27542C2A" w14:textId="53820F8E" w:rsidR="007F5AD1" w:rsidRPr="008C6AC4" w:rsidRDefault="007F5AD1" w:rsidP="00335112">
      <w:pPr>
        <w:pStyle w:val="Heading3"/>
        <w:numPr>
          <w:ilvl w:val="1"/>
          <w:numId w:val="38"/>
        </w:numPr>
        <w:ind w:left="1440"/>
      </w:pPr>
      <w:r w:rsidRPr="008C6AC4">
        <w:t>SBE Options</w:t>
      </w:r>
    </w:p>
    <w:p w14:paraId="632F1242" w14:textId="5B709B5D" w:rsidR="007F5AD1" w:rsidRPr="008C6AC4" w:rsidRDefault="007F5AD1" w:rsidP="007F5AD1">
      <w:pPr>
        <w:ind w:left="1440"/>
      </w:pPr>
      <w:r w:rsidRPr="008C6AC4">
        <w:t xml:space="preserve">At the present time, the SBE has two options regarding the </w:t>
      </w:r>
      <w:r w:rsidR="002B4CB7" w:rsidRPr="008C6AC4">
        <w:t xml:space="preserve">appeal to the Los Angeles County Committee’s approval of the </w:t>
      </w:r>
      <w:r w:rsidRPr="008C6AC4">
        <w:t xml:space="preserve">proposal to </w:t>
      </w:r>
      <w:r w:rsidR="002B4CB7" w:rsidRPr="008C6AC4">
        <w:t xml:space="preserve">transfer the Sagebrush territory from Glendale USD to La </w:t>
      </w:r>
      <w:r w:rsidR="00F8016E" w:rsidRPr="008C6AC4">
        <w:t>Cañada</w:t>
      </w:r>
      <w:r w:rsidR="002B4CB7" w:rsidRPr="008C6AC4">
        <w:t xml:space="preserve"> USD</w:t>
      </w:r>
      <w:r w:rsidRPr="008C6AC4">
        <w:t>. It may either:</w:t>
      </w:r>
    </w:p>
    <w:p w14:paraId="1FDC675D" w14:textId="67D01AE6" w:rsidR="007F5AD1" w:rsidRPr="008C6AC4" w:rsidRDefault="007F5AD1" w:rsidP="007F5AD1">
      <w:pPr>
        <w:ind w:left="1890" w:hanging="450"/>
      </w:pPr>
      <w:r w:rsidRPr="008C6AC4">
        <w:t>(a)</w:t>
      </w:r>
      <w:r w:rsidRPr="008C6AC4">
        <w:tab/>
      </w:r>
      <w:r w:rsidR="00335112" w:rsidRPr="008C6AC4">
        <w:t>Approve the appeal</w:t>
      </w:r>
      <w:r w:rsidR="002B4CB7" w:rsidRPr="008C6AC4">
        <w:t xml:space="preserve">, </w:t>
      </w:r>
      <w:r w:rsidR="00335112" w:rsidRPr="008C6AC4">
        <w:t>thereby reversing the County Committee’s approval of the transfer</w:t>
      </w:r>
      <w:r w:rsidRPr="008C6AC4">
        <w:t>.</w:t>
      </w:r>
    </w:p>
    <w:p w14:paraId="75AE2671" w14:textId="059BE3C5" w:rsidR="007F5AD1" w:rsidRPr="008C6AC4" w:rsidRDefault="007F5AD1" w:rsidP="00335112">
      <w:pPr>
        <w:ind w:left="1890" w:hanging="450"/>
      </w:pPr>
      <w:r w:rsidRPr="008C6AC4">
        <w:t>(b)</w:t>
      </w:r>
      <w:r w:rsidRPr="008C6AC4">
        <w:tab/>
      </w:r>
      <w:r w:rsidR="00335112" w:rsidRPr="008C6AC4">
        <w:t>Deny the appeal, thereby affirming the County Committee’s approval of the transfer. If the SBE denies this appeal, thereby sustaining the County Committee’s action approving the territory transfer, it must establish the election area for final voter approval of the proposal (</w:t>
      </w:r>
      <w:r w:rsidR="00335112" w:rsidRPr="008C6AC4">
        <w:rPr>
          <w:i/>
        </w:rPr>
        <w:t>EC</w:t>
      </w:r>
      <w:r w:rsidR="00335112" w:rsidRPr="008C6AC4">
        <w:t xml:space="preserve"> Section 35756).</w:t>
      </w:r>
    </w:p>
    <w:p w14:paraId="3505AB45" w14:textId="427F9999" w:rsidR="007F5AD1" w:rsidRPr="008C6AC4" w:rsidRDefault="007F5AD1" w:rsidP="00335112">
      <w:pPr>
        <w:pStyle w:val="Heading3"/>
        <w:numPr>
          <w:ilvl w:val="1"/>
          <w:numId w:val="37"/>
        </w:numPr>
        <w:ind w:left="1440"/>
      </w:pPr>
      <w:r w:rsidRPr="008C6AC4">
        <w:t>Recommended Action</w:t>
      </w:r>
    </w:p>
    <w:p w14:paraId="3DB7C9D3" w14:textId="3A5E00E9" w:rsidR="00112F77" w:rsidRPr="00020C70" w:rsidRDefault="396F9A0E" w:rsidP="00016FF0">
      <w:pPr>
        <w:spacing w:after="240"/>
        <w:ind w:left="720"/>
      </w:pPr>
      <w:r w:rsidRPr="008C6AC4">
        <w:rPr>
          <w:rFonts w:cs="Arial"/>
        </w:rPr>
        <w:t xml:space="preserve">The </w:t>
      </w:r>
      <w:r w:rsidR="0E3D06A6" w:rsidRPr="008C6AC4">
        <w:t>CDE recommends the SBE deny this appeal, thereby affirming the decision of the County Committee to approve the Petition.</w:t>
      </w:r>
      <w:r w:rsidR="001F3797" w:rsidRPr="008C6AC4">
        <w:t xml:space="preserve"> If SBE denies the appeal, they must also choose an election area. CDE recommends </w:t>
      </w:r>
      <w:r w:rsidR="000E1A3C" w:rsidRPr="008C6AC4">
        <w:t>an area encompassing the territory to be transferred, along with the attendance areas of Crescenta Valley High School and La Cañada High School.</w:t>
      </w:r>
    </w:p>
    <w:sectPr w:rsidR="00112F77" w:rsidRPr="00020C70" w:rsidSect="00290356">
      <w:headerReference w:type="default" r:id="rId15"/>
      <w:footerReference w:type="default" r:id="rId16"/>
      <w:footnotePr>
        <w:numRestart w:val="eachSect"/>
      </w:foot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F0688" w14:textId="77777777" w:rsidR="00E72081" w:rsidRDefault="00E72081" w:rsidP="000E09DC">
      <w:r>
        <w:separator/>
      </w:r>
    </w:p>
    <w:p w14:paraId="235A517F" w14:textId="77777777" w:rsidR="00E72081" w:rsidRDefault="00E72081"/>
  </w:endnote>
  <w:endnote w:type="continuationSeparator" w:id="0">
    <w:p w14:paraId="0B549301" w14:textId="77777777" w:rsidR="00E72081" w:rsidRDefault="00E72081" w:rsidP="000E09DC">
      <w:r>
        <w:continuationSeparator/>
      </w:r>
    </w:p>
    <w:p w14:paraId="4698318E" w14:textId="77777777" w:rsidR="00E72081" w:rsidRDefault="00E720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440"/>
      <w:gridCol w:w="1440"/>
      <w:gridCol w:w="1440"/>
    </w:tblGrid>
    <w:tr w:rsidR="3ADBC2A1" w14:paraId="64DEDD02" w14:textId="77777777" w:rsidTr="3ADBC2A1">
      <w:trPr>
        <w:trHeight w:val="300"/>
      </w:trPr>
      <w:tc>
        <w:tcPr>
          <w:tcW w:w="1440" w:type="dxa"/>
        </w:tcPr>
        <w:p w14:paraId="704DADB6" w14:textId="2B76A480" w:rsidR="3ADBC2A1" w:rsidRDefault="3ADBC2A1" w:rsidP="3ADBC2A1">
          <w:pPr>
            <w:pStyle w:val="Header"/>
            <w:ind w:left="-115"/>
          </w:pPr>
        </w:p>
      </w:tc>
      <w:tc>
        <w:tcPr>
          <w:tcW w:w="1440" w:type="dxa"/>
        </w:tcPr>
        <w:p w14:paraId="3CA772C1" w14:textId="07B8909A" w:rsidR="3ADBC2A1" w:rsidRDefault="3ADBC2A1" w:rsidP="3ADBC2A1">
          <w:pPr>
            <w:pStyle w:val="Header"/>
            <w:jc w:val="center"/>
          </w:pPr>
        </w:p>
      </w:tc>
      <w:tc>
        <w:tcPr>
          <w:tcW w:w="1440" w:type="dxa"/>
        </w:tcPr>
        <w:p w14:paraId="52F05FE8" w14:textId="363C1385" w:rsidR="3ADBC2A1" w:rsidRDefault="3ADBC2A1" w:rsidP="3ADBC2A1">
          <w:pPr>
            <w:pStyle w:val="Header"/>
            <w:ind w:right="-115"/>
            <w:jc w:val="right"/>
          </w:pPr>
        </w:p>
      </w:tc>
    </w:tr>
  </w:tbl>
  <w:p w14:paraId="03671452" w14:textId="15A03617" w:rsidR="3ADBC2A1" w:rsidRDefault="3ADBC2A1" w:rsidP="3ADBC2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ADBC2A1" w14:paraId="5DBC4018" w14:textId="77777777" w:rsidTr="3ADBC2A1">
      <w:trPr>
        <w:trHeight w:val="300"/>
      </w:trPr>
      <w:tc>
        <w:tcPr>
          <w:tcW w:w="3120" w:type="dxa"/>
        </w:tcPr>
        <w:p w14:paraId="2D3BE867" w14:textId="60FAF921" w:rsidR="3ADBC2A1" w:rsidRDefault="3ADBC2A1" w:rsidP="3ADBC2A1">
          <w:pPr>
            <w:pStyle w:val="Header"/>
            <w:ind w:left="-115"/>
          </w:pPr>
        </w:p>
      </w:tc>
      <w:tc>
        <w:tcPr>
          <w:tcW w:w="3120" w:type="dxa"/>
        </w:tcPr>
        <w:p w14:paraId="5391C638" w14:textId="0D3B92E4" w:rsidR="3ADBC2A1" w:rsidRDefault="3ADBC2A1" w:rsidP="3ADBC2A1">
          <w:pPr>
            <w:pStyle w:val="Header"/>
            <w:jc w:val="center"/>
          </w:pPr>
        </w:p>
      </w:tc>
      <w:tc>
        <w:tcPr>
          <w:tcW w:w="3120" w:type="dxa"/>
        </w:tcPr>
        <w:p w14:paraId="06306E70" w14:textId="69ED8BA6" w:rsidR="3ADBC2A1" w:rsidRDefault="3ADBC2A1" w:rsidP="3ADBC2A1">
          <w:pPr>
            <w:pStyle w:val="Header"/>
            <w:ind w:right="-115"/>
            <w:jc w:val="right"/>
          </w:pPr>
        </w:p>
      </w:tc>
    </w:tr>
  </w:tbl>
  <w:p w14:paraId="0CB085DE" w14:textId="327E456A" w:rsidR="3ADBC2A1" w:rsidRDefault="3ADBC2A1" w:rsidP="3ADBC2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ADBC2A1" w14:paraId="43BE14B9" w14:textId="77777777" w:rsidTr="3ADBC2A1">
      <w:trPr>
        <w:trHeight w:val="300"/>
      </w:trPr>
      <w:tc>
        <w:tcPr>
          <w:tcW w:w="3120" w:type="dxa"/>
        </w:tcPr>
        <w:p w14:paraId="6FC2E302" w14:textId="45C884D3" w:rsidR="3ADBC2A1" w:rsidRDefault="3ADBC2A1" w:rsidP="3ADBC2A1">
          <w:pPr>
            <w:pStyle w:val="Header"/>
            <w:ind w:left="-115"/>
          </w:pPr>
        </w:p>
      </w:tc>
      <w:tc>
        <w:tcPr>
          <w:tcW w:w="3120" w:type="dxa"/>
        </w:tcPr>
        <w:p w14:paraId="72DE7D8D" w14:textId="2C6D405F" w:rsidR="3ADBC2A1" w:rsidRDefault="3ADBC2A1" w:rsidP="3ADBC2A1">
          <w:pPr>
            <w:pStyle w:val="Header"/>
            <w:jc w:val="center"/>
          </w:pPr>
        </w:p>
      </w:tc>
      <w:tc>
        <w:tcPr>
          <w:tcW w:w="3120" w:type="dxa"/>
        </w:tcPr>
        <w:p w14:paraId="3315147A" w14:textId="72532AC5" w:rsidR="3ADBC2A1" w:rsidRDefault="3ADBC2A1" w:rsidP="3ADBC2A1">
          <w:pPr>
            <w:pStyle w:val="Header"/>
            <w:ind w:right="-115"/>
            <w:jc w:val="right"/>
          </w:pPr>
        </w:p>
      </w:tc>
    </w:tr>
  </w:tbl>
  <w:p w14:paraId="77F43E08" w14:textId="5253A048" w:rsidR="3ADBC2A1" w:rsidRDefault="3ADBC2A1" w:rsidP="3ADBC2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ADBC2A1" w14:paraId="1CBC37D0" w14:textId="77777777" w:rsidTr="3ADBC2A1">
      <w:trPr>
        <w:trHeight w:val="300"/>
      </w:trPr>
      <w:tc>
        <w:tcPr>
          <w:tcW w:w="3120" w:type="dxa"/>
        </w:tcPr>
        <w:p w14:paraId="093EF87A" w14:textId="33F2B84D" w:rsidR="3ADBC2A1" w:rsidRDefault="3ADBC2A1" w:rsidP="3ADBC2A1">
          <w:pPr>
            <w:pStyle w:val="Header"/>
            <w:ind w:left="-115"/>
          </w:pPr>
        </w:p>
      </w:tc>
      <w:tc>
        <w:tcPr>
          <w:tcW w:w="3120" w:type="dxa"/>
        </w:tcPr>
        <w:p w14:paraId="29506D94" w14:textId="56F7EC5E" w:rsidR="3ADBC2A1" w:rsidRDefault="3ADBC2A1" w:rsidP="3ADBC2A1">
          <w:pPr>
            <w:pStyle w:val="Header"/>
            <w:jc w:val="center"/>
          </w:pPr>
        </w:p>
      </w:tc>
      <w:tc>
        <w:tcPr>
          <w:tcW w:w="3120" w:type="dxa"/>
        </w:tcPr>
        <w:p w14:paraId="2D54A5C8" w14:textId="580A39D5" w:rsidR="3ADBC2A1" w:rsidRDefault="3ADBC2A1" w:rsidP="3ADBC2A1">
          <w:pPr>
            <w:pStyle w:val="Header"/>
            <w:ind w:right="-115"/>
            <w:jc w:val="right"/>
          </w:pPr>
        </w:p>
      </w:tc>
    </w:tr>
  </w:tbl>
  <w:p w14:paraId="7792EC57" w14:textId="152944CE" w:rsidR="3ADBC2A1" w:rsidRDefault="3ADBC2A1" w:rsidP="3ADBC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A565A" w14:textId="77777777" w:rsidR="00E72081" w:rsidRDefault="00E72081" w:rsidP="000E09DC">
      <w:r>
        <w:separator/>
      </w:r>
    </w:p>
    <w:p w14:paraId="050F718C" w14:textId="77777777" w:rsidR="00E72081" w:rsidRDefault="00E72081"/>
  </w:footnote>
  <w:footnote w:type="continuationSeparator" w:id="0">
    <w:p w14:paraId="247D2681" w14:textId="77777777" w:rsidR="00E72081" w:rsidRDefault="00E72081" w:rsidP="000E09DC">
      <w:r>
        <w:continuationSeparator/>
      </w:r>
    </w:p>
    <w:p w14:paraId="703ADB95" w14:textId="77777777" w:rsidR="00E72081" w:rsidRDefault="00E72081"/>
  </w:footnote>
  <w:footnote w:id="1">
    <w:p w14:paraId="4EAE753E" w14:textId="50C5F350" w:rsidR="00AE5930" w:rsidRPr="00934531" w:rsidRDefault="00AE5930" w:rsidP="003C316B">
      <w:pPr>
        <w:pStyle w:val="FootnoteText"/>
        <w:ind w:left="0"/>
        <w:rPr>
          <w:sz w:val="24"/>
          <w:szCs w:val="24"/>
        </w:rPr>
      </w:pPr>
      <w:r w:rsidRPr="00077FA4">
        <w:rPr>
          <w:rStyle w:val="FootnoteReference"/>
          <w:rFonts w:eastAsiaTheme="majorEastAsia"/>
          <w:sz w:val="24"/>
          <w:szCs w:val="24"/>
        </w:rPr>
        <w:footnoteRef/>
      </w:r>
      <w:r w:rsidRPr="00077FA4">
        <w:rPr>
          <w:sz w:val="24"/>
          <w:szCs w:val="24"/>
        </w:rPr>
        <w:t xml:space="preserve"> Pursuant to </w:t>
      </w:r>
      <w:r w:rsidRPr="00077FA4">
        <w:rPr>
          <w:i/>
          <w:sz w:val="24"/>
          <w:szCs w:val="24"/>
        </w:rPr>
        <w:t>EC</w:t>
      </w:r>
      <w:r w:rsidRPr="00077FA4">
        <w:rPr>
          <w:sz w:val="24"/>
          <w:szCs w:val="24"/>
        </w:rPr>
        <w:t xml:space="preserve"> sections 35709 and 35710, a county committee may approve a territory transfer only if it finds </w:t>
      </w:r>
      <w:r>
        <w:rPr>
          <w:sz w:val="24"/>
          <w:szCs w:val="24"/>
        </w:rPr>
        <w:t>all</w:t>
      </w:r>
      <w:r w:rsidRPr="00077FA4">
        <w:rPr>
          <w:sz w:val="24"/>
          <w:szCs w:val="24"/>
        </w:rPr>
        <w:t xml:space="preserve"> conditions in </w:t>
      </w:r>
      <w:r w:rsidRPr="00077FA4">
        <w:rPr>
          <w:i/>
          <w:sz w:val="24"/>
          <w:szCs w:val="24"/>
        </w:rPr>
        <w:t>EC</w:t>
      </w:r>
      <w:r w:rsidRPr="00077FA4">
        <w:rPr>
          <w:sz w:val="24"/>
          <w:szCs w:val="24"/>
        </w:rPr>
        <w:t xml:space="preserve"> Section 35753</w:t>
      </w:r>
      <w:r w:rsidR="002E44AE">
        <w:rPr>
          <w:sz w:val="24"/>
          <w:szCs w:val="24"/>
        </w:rPr>
        <w:t xml:space="preserve"> are</w:t>
      </w:r>
      <w:r w:rsidRPr="00077FA4">
        <w:rPr>
          <w:sz w:val="24"/>
          <w:szCs w:val="24"/>
        </w:rPr>
        <w:t xml:space="preserve"> substantially met.</w:t>
      </w:r>
    </w:p>
  </w:footnote>
  <w:footnote w:id="2">
    <w:p w14:paraId="37F05179" w14:textId="4BA7A2FF" w:rsidR="1399E1F1" w:rsidRPr="00AE44DB" w:rsidRDefault="1399E1F1" w:rsidP="1399E1F1">
      <w:pPr>
        <w:pStyle w:val="FootnoteText"/>
        <w:shd w:val="clear" w:color="auto" w:fill="FFFFFF" w:themeFill="background1"/>
        <w:rPr>
          <w:rStyle w:val="Hyperlink"/>
          <w:rFonts w:eastAsia="Arial" w:cs="Arial"/>
          <w:sz w:val="24"/>
          <w:szCs w:val="24"/>
        </w:rPr>
      </w:pPr>
      <w:r w:rsidRPr="1399E1F1">
        <w:rPr>
          <w:rStyle w:val="FootnoteReference"/>
          <w:rFonts w:eastAsia="Arial" w:cs="Arial"/>
          <w:sz w:val="24"/>
          <w:szCs w:val="24"/>
        </w:rPr>
        <w:footnoteRef/>
      </w:r>
      <w:r w:rsidRPr="1399E1F1">
        <w:rPr>
          <w:rFonts w:eastAsia="Arial" w:cs="Arial"/>
          <w:sz w:val="24"/>
          <w:szCs w:val="24"/>
        </w:rPr>
        <w:t xml:space="preserve"> “Invidious discrimination is a legal term used to describe the act of treating a class of persons unequally in a manner that is malicious, hostile, or damaging. It refers to discrimination motivated by ill will towards a particular group.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83620" w14:textId="77777777" w:rsidR="00AE5930" w:rsidRPr="000E09DC" w:rsidRDefault="00AE5930"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4D010A5E" w14:textId="77777777" w:rsidR="00AE5930" w:rsidRDefault="00AE5930"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3BF7A073" w14:textId="77777777" w:rsidR="00AE5930" w:rsidRPr="00527B0E" w:rsidRDefault="00AE5930"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6CA6B" w14:textId="5B76C371" w:rsidR="00AE5930" w:rsidRPr="00062652" w:rsidRDefault="00AE5930" w:rsidP="009160F2">
    <w:pPr>
      <w:spacing w:after="240"/>
      <w:jc w:val="right"/>
    </w:pPr>
    <w:r>
      <w:t>oab-sftsd-jan24</w:t>
    </w:r>
    <w:r w:rsidRPr="00400178">
      <w:t>item</w:t>
    </w:r>
    <w:r w:rsidR="004935A2">
      <w:t>01</w:t>
    </w:r>
    <w:r>
      <w:rPr>
        <w:rFonts w:cs="Arial"/>
      </w:rPr>
      <w:br/>
      <w:t xml:space="preserve">Page </w:t>
    </w:r>
    <w:r>
      <w:rPr>
        <w:rFonts w:cs="Arial"/>
      </w:rPr>
      <w:fldChar w:fldCharType="begin"/>
    </w:r>
    <w:r>
      <w:rPr>
        <w:rFonts w:cs="Arial"/>
      </w:rPr>
      <w:instrText xml:space="preserve"> PAGE  \* Arabic  \* MERGEFORMAT </w:instrText>
    </w:r>
    <w:r>
      <w:rPr>
        <w:rFonts w:cs="Arial"/>
      </w:rPr>
      <w:fldChar w:fldCharType="separate"/>
    </w:r>
    <w:r>
      <w:rPr>
        <w:rFonts w:cs="Arial"/>
        <w:noProof/>
      </w:rPr>
      <w:t>3</w:t>
    </w:r>
    <w:r>
      <w:rPr>
        <w:rFonts w:cs="Arial"/>
      </w:rPr>
      <w:fldChar w:fldCharType="end"/>
    </w:r>
    <w:r>
      <w:rPr>
        <w:rFonts w:cs="Arial"/>
      </w:rPr>
      <w:t xml:space="preserve"> of </w:t>
    </w:r>
    <w:r w:rsidR="005E3F00">
      <w:rPr>
        <w:rFonts w:cs="Arial"/>
      </w:rPr>
      <w:t>5</w:t>
    </w:r>
  </w:p>
  <w:p w14:paraId="202A7B12" w14:textId="77777777" w:rsidR="00AE5930" w:rsidRDefault="00AE593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1D381" w14:textId="5A51F4C7" w:rsidR="00AE5930" w:rsidRPr="00527B0E" w:rsidRDefault="00AE5930" w:rsidP="00646F0A">
    <w:pPr>
      <w:pStyle w:val="Header"/>
      <w:spacing w:after="240"/>
      <w:jc w:val="right"/>
      <w:rPr>
        <w:rFonts w:cs="Arial"/>
      </w:rPr>
    </w:pPr>
    <w:r>
      <w:t>oab-sftsd-j</w:t>
    </w:r>
    <w:r w:rsidR="001F3797">
      <w:t>an24</w:t>
    </w:r>
    <w:r w:rsidRPr="00400178">
      <w:t>item0</w:t>
    </w:r>
    <w:r>
      <w:t>1</w:t>
    </w:r>
    <w:r>
      <w:br/>
      <w:t xml:space="preserve">Attachment </w:t>
    </w:r>
    <w:r w:rsidR="004935A2">
      <w:t>1</w:t>
    </w:r>
    <w:r>
      <w:rPr>
        <w:rFonts w:cs="Arial"/>
      </w:rPr>
      <w:br/>
      <w:t xml:space="preserve">Page </w:t>
    </w:r>
    <w:r>
      <w:rPr>
        <w:rFonts w:cs="Arial"/>
      </w:rPr>
      <w:fldChar w:fldCharType="begin"/>
    </w:r>
    <w:r>
      <w:rPr>
        <w:rFonts w:cs="Arial"/>
      </w:rPr>
      <w:instrText xml:space="preserve"> PAGE  \* Arabic  \* MERGEFORMAT </w:instrText>
    </w:r>
    <w:r>
      <w:rPr>
        <w:rFonts w:cs="Arial"/>
      </w:rPr>
      <w:fldChar w:fldCharType="separate"/>
    </w:r>
    <w:r>
      <w:rPr>
        <w:rFonts w:cs="Arial"/>
        <w:noProof/>
      </w:rPr>
      <w:t>23</w:t>
    </w:r>
    <w:r>
      <w:rPr>
        <w:rFonts w:cs="Arial"/>
      </w:rPr>
      <w:fldChar w:fldCharType="end"/>
    </w:r>
    <w:r>
      <w:rPr>
        <w:rFonts w:cs="Arial"/>
      </w:rPr>
      <w:t xml:space="preserve"> of </w:t>
    </w:r>
    <w:r w:rsidR="004935A2">
      <w:rPr>
        <w:rFonts w:cs="Arial"/>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50D"/>
    <w:multiLevelType w:val="multilevel"/>
    <w:tmpl w:val="CB646D38"/>
    <w:lvl w:ilvl="0">
      <w:start w:val="9"/>
      <w:numFmt w:val="decimal"/>
      <w:lvlText w:val="%1"/>
      <w:lvlJc w:val="left"/>
      <w:pPr>
        <w:ind w:left="450" w:hanging="450"/>
      </w:pPr>
      <w:rPr>
        <w:rFonts w:hint="default"/>
      </w:rPr>
    </w:lvl>
    <w:lvl w:ilv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 w15:restartNumberingAfterBreak="0">
    <w:nsid w:val="00E15809"/>
    <w:multiLevelType w:val="hybridMultilevel"/>
    <w:tmpl w:val="5702619A"/>
    <w:lvl w:ilvl="0" w:tplc="98581474">
      <w:start w:val="8"/>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EB652A"/>
    <w:multiLevelType w:val="multilevel"/>
    <w:tmpl w:val="733E93D8"/>
    <w:lvl w:ilvl="0">
      <w:start w:val="9"/>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487500C"/>
    <w:multiLevelType w:val="hybridMultilevel"/>
    <w:tmpl w:val="46349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303C42"/>
    <w:multiLevelType w:val="hybridMultilevel"/>
    <w:tmpl w:val="029A2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7F06FF"/>
    <w:multiLevelType w:val="hybridMultilevel"/>
    <w:tmpl w:val="29C8452E"/>
    <w:lvl w:ilvl="0" w:tplc="9D3A667C">
      <w:start w:val="7"/>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5E01A9"/>
    <w:multiLevelType w:val="hybridMultilevel"/>
    <w:tmpl w:val="D80828EE"/>
    <w:lvl w:ilvl="0" w:tplc="7BCCC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E5345"/>
    <w:multiLevelType w:val="multilevel"/>
    <w:tmpl w:val="853E08F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62E1287"/>
    <w:multiLevelType w:val="multilevel"/>
    <w:tmpl w:val="FA1E1098"/>
    <w:lvl w:ilvl="0">
      <w:start w:val="6"/>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9" w15:restartNumberingAfterBreak="0">
    <w:nsid w:val="1A0430C7"/>
    <w:multiLevelType w:val="multilevel"/>
    <w:tmpl w:val="0E8EB8C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AE20BD7"/>
    <w:multiLevelType w:val="hybridMultilevel"/>
    <w:tmpl w:val="E938C0A0"/>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2160" w:hanging="72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2E3207"/>
    <w:multiLevelType w:val="hybridMultilevel"/>
    <w:tmpl w:val="EBDA91B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4580B90"/>
    <w:multiLevelType w:val="hybridMultilevel"/>
    <w:tmpl w:val="6DC82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D56A6C"/>
    <w:multiLevelType w:val="hybridMultilevel"/>
    <w:tmpl w:val="1D5EDFEE"/>
    <w:lvl w:ilvl="0" w:tplc="D1927F84">
      <w:start w:val="6"/>
      <w:numFmt w:val="decimal"/>
      <w:lvlText w:val="%1.0"/>
      <w:lvlJc w:val="left"/>
      <w:pPr>
        <w:ind w:left="36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28023A7"/>
    <w:multiLevelType w:val="hybridMultilevel"/>
    <w:tmpl w:val="DC367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51B0E73"/>
    <w:multiLevelType w:val="hybridMultilevel"/>
    <w:tmpl w:val="F51CB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E323A6"/>
    <w:multiLevelType w:val="hybridMultilevel"/>
    <w:tmpl w:val="A3FC8870"/>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A9350E6"/>
    <w:multiLevelType w:val="multilevel"/>
    <w:tmpl w:val="79B0B032"/>
    <w:lvl w:ilvl="0">
      <w:start w:val="4"/>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18" w15:restartNumberingAfterBreak="0">
    <w:nsid w:val="3B0A3BBD"/>
    <w:multiLevelType w:val="hybridMultilevel"/>
    <w:tmpl w:val="E2E8896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C071384"/>
    <w:multiLevelType w:val="hybridMultilevel"/>
    <w:tmpl w:val="CB422892"/>
    <w:lvl w:ilvl="0" w:tplc="50D4584A">
      <w:start w:val="5"/>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06D4E"/>
    <w:multiLevelType w:val="hybridMultilevel"/>
    <w:tmpl w:val="19FE8E22"/>
    <w:lvl w:ilvl="0" w:tplc="6B2AC8E2">
      <w:start w:val="5"/>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3822741"/>
    <w:multiLevelType w:val="hybridMultilevel"/>
    <w:tmpl w:val="2B104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47F100A"/>
    <w:multiLevelType w:val="hybridMultilevel"/>
    <w:tmpl w:val="AB0A2350"/>
    <w:lvl w:ilvl="0" w:tplc="C01C69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6028CA"/>
    <w:multiLevelType w:val="multilevel"/>
    <w:tmpl w:val="A5C28AA8"/>
    <w:lvl w:ilvl="0">
      <w:start w:val="5"/>
      <w:numFmt w:val="decimal"/>
      <w:lvlText w:val="%1"/>
      <w:lvlJc w:val="left"/>
      <w:pPr>
        <w:ind w:left="384" w:hanging="38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48EA7E36"/>
    <w:multiLevelType w:val="multilevel"/>
    <w:tmpl w:val="4D088544"/>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25" w15:restartNumberingAfterBreak="0">
    <w:nsid w:val="4CEB23AD"/>
    <w:multiLevelType w:val="multilevel"/>
    <w:tmpl w:val="BEEAB8CC"/>
    <w:lvl w:ilvl="0">
      <w:start w:val="2"/>
      <w:numFmt w:val="decimal"/>
      <w:lvlText w:val="%1.0"/>
      <w:lvlJc w:val="left"/>
      <w:pPr>
        <w:ind w:left="720" w:hanging="72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53425ACA"/>
    <w:multiLevelType w:val="multilevel"/>
    <w:tmpl w:val="64128CFA"/>
    <w:lvl w:ilvl="0">
      <w:start w:val="2"/>
      <w:numFmt w:val="decimal"/>
      <w:lvlText w:val="%1"/>
      <w:lvlJc w:val="left"/>
      <w:pPr>
        <w:ind w:left="450" w:hanging="450"/>
      </w:pPr>
      <w:rPr>
        <w:rFonts w:hint="default"/>
      </w:rPr>
    </w:lvl>
    <w:lvl w:ilvl="1">
      <w:start w:val="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27" w15:restartNumberingAfterBreak="0">
    <w:nsid w:val="535B02B9"/>
    <w:multiLevelType w:val="hybridMultilevel"/>
    <w:tmpl w:val="3F8E819A"/>
    <w:lvl w:ilvl="0" w:tplc="D9564CFA">
      <w:start w:val="9"/>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0279CC"/>
    <w:multiLevelType w:val="hybridMultilevel"/>
    <w:tmpl w:val="C7464C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5A083698"/>
    <w:multiLevelType w:val="multilevel"/>
    <w:tmpl w:val="46CA428C"/>
    <w:lvl w:ilvl="0">
      <w:start w:val="9"/>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0" w15:restartNumberingAfterBreak="0">
    <w:nsid w:val="619908F0"/>
    <w:multiLevelType w:val="hybridMultilevel"/>
    <w:tmpl w:val="0A56FFB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2546DF"/>
    <w:multiLevelType w:val="multilevel"/>
    <w:tmpl w:val="39664C68"/>
    <w:lvl w:ilvl="0">
      <w:start w:val="8"/>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1080"/>
      </w:pPr>
      <w:rPr>
        <w:rFonts w:hint="default"/>
      </w:rPr>
    </w:lvl>
    <w:lvl w:ilvl="3">
      <w:start w:val="1"/>
      <w:numFmt w:val="decimal"/>
      <w:lvlText w:val="%1.%2.%3.%4"/>
      <w:lvlJc w:val="left"/>
      <w:pPr>
        <w:ind w:left="3960" w:hanging="144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760" w:hanging="1800"/>
      </w:pPr>
      <w:rPr>
        <w:rFonts w:hint="default"/>
      </w:rPr>
    </w:lvl>
    <w:lvl w:ilvl="6">
      <w:start w:val="1"/>
      <w:numFmt w:val="decimal"/>
      <w:lvlText w:val="%1.%2.%3.%4.%5.%6.%7"/>
      <w:lvlJc w:val="left"/>
      <w:pPr>
        <w:ind w:left="6840" w:hanging="2160"/>
      </w:pPr>
      <w:rPr>
        <w:rFonts w:hint="default"/>
      </w:rPr>
    </w:lvl>
    <w:lvl w:ilvl="7">
      <w:start w:val="1"/>
      <w:numFmt w:val="decimal"/>
      <w:lvlText w:val="%1.%2.%3.%4.%5.%6.%7.%8"/>
      <w:lvlJc w:val="left"/>
      <w:pPr>
        <w:ind w:left="7920" w:hanging="2520"/>
      </w:pPr>
      <w:rPr>
        <w:rFonts w:hint="default"/>
      </w:rPr>
    </w:lvl>
    <w:lvl w:ilvl="8">
      <w:start w:val="1"/>
      <w:numFmt w:val="decimal"/>
      <w:lvlText w:val="%1.%2.%3.%4.%5.%6.%7.%8.%9"/>
      <w:lvlJc w:val="left"/>
      <w:pPr>
        <w:ind w:left="9000" w:hanging="2880"/>
      </w:pPr>
      <w:rPr>
        <w:rFonts w:hint="default"/>
      </w:rPr>
    </w:lvl>
  </w:abstractNum>
  <w:abstractNum w:abstractNumId="32" w15:restartNumberingAfterBreak="0">
    <w:nsid w:val="64671899"/>
    <w:multiLevelType w:val="hybridMultilevel"/>
    <w:tmpl w:val="B3B60500"/>
    <w:lvl w:ilvl="0" w:tplc="C9B01AA0">
      <w:start w:val="4"/>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CB00EC"/>
    <w:multiLevelType w:val="multilevel"/>
    <w:tmpl w:val="15B8B30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6D274025"/>
    <w:multiLevelType w:val="hybridMultilevel"/>
    <w:tmpl w:val="0EEA9C9E"/>
    <w:lvl w:ilvl="0" w:tplc="04090001">
      <w:start w:val="1"/>
      <w:numFmt w:val="bullet"/>
      <w:lvlText w:val=""/>
      <w:lvlJc w:val="left"/>
      <w:pPr>
        <w:ind w:left="1080" w:hanging="360"/>
      </w:pPr>
      <w:rPr>
        <w:rFonts w:ascii="Symbol" w:hAnsi="Symbol" w:hint="default"/>
      </w:rPr>
    </w:lvl>
    <w:lvl w:ilvl="1" w:tplc="070C9B78">
      <w:numFmt w:val="bullet"/>
      <w:lvlText w:val="•"/>
      <w:lvlJc w:val="left"/>
      <w:pPr>
        <w:ind w:left="2160" w:hanging="720"/>
      </w:pPr>
      <w:rPr>
        <w:rFonts w:ascii="Arial" w:eastAsiaTheme="minorHAns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EE75511"/>
    <w:multiLevelType w:val="multilevel"/>
    <w:tmpl w:val="894CB33E"/>
    <w:lvl w:ilvl="0">
      <w:start w:val="8"/>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1080"/>
      </w:pPr>
      <w:rPr>
        <w:rFonts w:hint="default"/>
      </w:rPr>
    </w:lvl>
    <w:lvl w:ilvl="3">
      <w:start w:val="1"/>
      <w:numFmt w:val="decimal"/>
      <w:lvlText w:val="%1.%2.%3.%4"/>
      <w:lvlJc w:val="left"/>
      <w:pPr>
        <w:ind w:left="3960" w:hanging="144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760" w:hanging="1800"/>
      </w:pPr>
      <w:rPr>
        <w:rFonts w:hint="default"/>
      </w:rPr>
    </w:lvl>
    <w:lvl w:ilvl="6">
      <w:start w:val="1"/>
      <w:numFmt w:val="decimal"/>
      <w:lvlText w:val="%1.%2.%3.%4.%5.%6.%7"/>
      <w:lvlJc w:val="left"/>
      <w:pPr>
        <w:ind w:left="6840" w:hanging="2160"/>
      </w:pPr>
      <w:rPr>
        <w:rFonts w:hint="default"/>
      </w:rPr>
    </w:lvl>
    <w:lvl w:ilvl="7">
      <w:start w:val="1"/>
      <w:numFmt w:val="decimal"/>
      <w:lvlText w:val="%1.%2.%3.%4.%5.%6.%7.%8"/>
      <w:lvlJc w:val="left"/>
      <w:pPr>
        <w:ind w:left="7920" w:hanging="2520"/>
      </w:pPr>
      <w:rPr>
        <w:rFonts w:hint="default"/>
      </w:rPr>
    </w:lvl>
    <w:lvl w:ilvl="8">
      <w:start w:val="1"/>
      <w:numFmt w:val="decimal"/>
      <w:lvlText w:val="%1.%2.%3.%4.%5.%6.%7.%8.%9"/>
      <w:lvlJc w:val="left"/>
      <w:pPr>
        <w:ind w:left="9000" w:hanging="2880"/>
      </w:pPr>
      <w:rPr>
        <w:rFonts w:hint="default"/>
      </w:rPr>
    </w:lvl>
  </w:abstractNum>
  <w:abstractNum w:abstractNumId="36" w15:restartNumberingAfterBreak="0">
    <w:nsid w:val="6F705D8F"/>
    <w:multiLevelType w:val="hybridMultilevel"/>
    <w:tmpl w:val="0B3E90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61D7BFD"/>
    <w:multiLevelType w:val="hybridMultilevel"/>
    <w:tmpl w:val="E2705FF8"/>
    <w:lvl w:ilvl="0" w:tplc="842E6130">
      <w:start w:val="3"/>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AC2B26"/>
    <w:multiLevelType w:val="hybridMultilevel"/>
    <w:tmpl w:val="8B1C4018"/>
    <w:lvl w:ilvl="0" w:tplc="6C8EF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EDC0816"/>
    <w:multiLevelType w:val="hybridMultilevel"/>
    <w:tmpl w:val="63E6E80A"/>
    <w:lvl w:ilvl="0" w:tplc="C480020E">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425E8B"/>
    <w:multiLevelType w:val="hybridMultilevel"/>
    <w:tmpl w:val="949CC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4057186">
    <w:abstractNumId w:val="30"/>
  </w:num>
  <w:num w:numId="2" w16cid:durableId="1512063826">
    <w:abstractNumId w:val="11"/>
  </w:num>
  <w:num w:numId="3" w16cid:durableId="1899197381">
    <w:abstractNumId w:val="34"/>
  </w:num>
  <w:num w:numId="4" w16cid:durableId="466316903">
    <w:abstractNumId w:val="28"/>
  </w:num>
  <w:num w:numId="5" w16cid:durableId="1321499146">
    <w:abstractNumId w:val="12"/>
  </w:num>
  <w:num w:numId="6" w16cid:durableId="352078304">
    <w:abstractNumId w:val="6"/>
  </w:num>
  <w:num w:numId="7" w16cid:durableId="1226139728">
    <w:abstractNumId w:val="10"/>
  </w:num>
  <w:num w:numId="8" w16cid:durableId="658850179">
    <w:abstractNumId w:val="21"/>
  </w:num>
  <w:num w:numId="9" w16cid:durableId="1440182823">
    <w:abstractNumId w:val="18"/>
  </w:num>
  <w:num w:numId="10" w16cid:durableId="1467553229">
    <w:abstractNumId w:val="36"/>
  </w:num>
  <w:num w:numId="11" w16cid:durableId="1526795237">
    <w:abstractNumId w:val="4"/>
  </w:num>
  <w:num w:numId="12" w16cid:durableId="1973510364">
    <w:abstractNumId w:val="39"/>
  </w:num>
  <w:num w:numId="13" w16cid:durableId="108933612">
    <w:abstractNumId w:val="25"/>
  </w:num>
  <w:num w:numId="14" w16cid:durableId="1262449673">
    <w:abstractNumId w:val="37"/>
  </w:num>
  <w:num w:numId="15" w16cid:durableId="1731078013">
    <w:abstractNumId w:val="32"/>
  </w:num>
  <w:num w:numId="16" w16cid:durableId="571737860">
    <w:abstractNumId w:val="19"/>
  </w:num>
  <w:num w:numId="17" w16cid:durableId="2134474675">
    <w:abstractNumId w:val="23"/>
  </w:num>
  <w:num w:numId="18" w16cid:durableId="2037270422">
    <w:abstractNumId w:val="13"/>
  </w:num>
  <w:num w:numId="19" w16cid:durableId="1788305454">
    <w:abstractNumId w:val="5"/>
  </w:num>
  <w:num w:numId="20" w16cid:durableId="2133358743">
    <w:abstractNumId w:val="7"/>
  </w:num>
  <w:num w:numId="21" w16cid:durableId="1714232496">
    <w:abstractNumId w:val="1"/>
  </w:num>
  <w:num w:numId="22" w16cid:durableId="165441170">
    <w:abstractNumId w:val="9"/>
  </w:num>
  <w:num w:numId="23" w16cid:durableId="749428353">
    <w:abstractNumId w:val="27"/>
  </w:num>
  <w:num w:numId="24" w16cid:durableId="2077241097">
    <w:abstractNumId w:val="2"/>
  </w:num>
  <w:num w:numId="25" w16cid:durableId="558054331">
    <w:abstractNumId w:val="40"/>
  </w:num>
  <w:num w:numId="26" w16cid:durableId="175310976">
    <w:abstractNumId w:val="22"/>
  </w:num>
  <w:num w:numId="27" w16cid:durableId="427390279">
    <w:abstractNumId w:val="20"/>
  </w:num>
  <w:num w:numId="28" w16cid:durableId="1600094146">
    <w:abstractNumId w:val="16"/>
  </w:num>
  <w:num w:numId="29" w16cid:durableId="746727898">
    <w:abstractNumId w:val="26"/>
  </w:num>
  <w:num w:numId="30" w16cid:durableId="802431936">
    <w:abstractNumId w:val="17"/>
  </w:num>
  <w:num w:numId="31" w16cid:durableId="1541438115">
    <w:abstractNumId w:val="3"/>
  </w:num>
  <w:num w:numId="32" w16cid:durableId="1619869057">
    <w:abstractNumId w:val="31"/>
  </w:num>
  <w:num w:numId="33" w16cid:durableId="1607807458">
    <w:abstractNumId w:val="33"/>
  </w:num>
  <w:num w:numId="34" w16cid:durableId="1891113367">
    <w:abstractNumId w:val="8"/>
  </w:num>
  <w:num w:numId="35" w16cid:durableId="1791316288">
    <w:abstractNumId w:val="35"/>
  </w:num>
  <w:num w:numId="36" w16cid:durableId="1138717264">
    <w:abstractNumId w:val="29"/>
  </w:num>
  <w:num w:numId="37" w16cid:durableId="78446637">
    <w:abstractNumId w:val="24"/>
  </w:num>
  <w:num w:numId="38" w16cid:durableId="364715342">
    <w:abstractNumId w:val="0"/>
  </w:num>
  <w:num w:numId="39" w16cid:durableId="409696565">
    <w:abstractNumId w:val="14"/>
  </w:num>
  <w:num w:numId="40" w16cid:durableId="185410726">
    <w:abstractNumId w:val="15"/>
  </w:num>
  <w:num w:numId="41" w16cid:durableId="918438523">
    <w:abstractNumId w:val="3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E15"/>
    <w:rsid w:val="00000F4F"/>
    <w:rsid w:val="000012C4"/>
    <w:rsid w:val="00001A43"/>
    <w:rsid w:val="00002222"/>
    <w:rsid w:val="00002A70"/>
    <w:rsid w:val="00003EC0"/>
    <w:rsid w:val="00004003"/>
    <w:rsid w:val="000040D5"/>
    <w:rsid w:val="00004F3E"/>
    <w:rsid w:val="0000768C"/>
    <w:rsid w:val="00007AA3"/>
    <w:rsid w:val="0001004B"/>
    <w:rsid w:val="00012B6A"/>
    <w:rsid w:val="000147B3"/>
    <w:rsid w:val="00014DFC"/>
    <w:rsid w:val="00014E30"/>
    <w:rsid w:val="000156F9"/>
    <w:rsid w:val="00015FB7"/>
    <w:rsid w:val="00016FF0"/>
    <w:rsid w:val="00017952"/>
    <w:rsid w:val="00017D22"/>
    <w:rsid w:val="00020001"/>
    <w:rsid w:val="00020227"/>
    <w:rsid w:val="00020597"/>
    <w:rsid w:val="00020C70"/>
    <w:rsid w:val="0002111A"/>
    <w:rsid w:val="00022691"/>
    <w:rsid w:val="000229D3"/>
    <w:rsid w:val="00022BF2"/>
    <w:rsid w:val="00023B46"/>
    <w:rsid w:val="000246BF"/>
    <w:rsid w:val="00026A42"/>
    <w:rsid w:val="00026FEA"/>
    <w:rsid w:val="0002727A"/>
    <w:rsid w:val="00027F1B"/>
    <w:rsid w:val="00031CCE"/>
    <w:rsid w:val="000324AD"/>
    <w:rsid w:val="00033770"/>
    <w:rsid w:val="000338BA"/>
    <w:rsid w:val="00036DAA"/>
    <w:rsid w:val="00037295"/>
    <w:rsid w:val="00037642"/>
    <w:rsid w:val="00037FA4"/>
    <w:rsid w:val="00042F90"/>
    <w:rsid w:val="00045398"/>
    <w:rsid w:val="00045E09"/>
    <w:rsid w:val="00046F2C"/>
    <w:rsid w:val="000472AE"/>
    <w:rsid w:val="00047D0A"/>
    <w:rsid w:val="00050ADB"/>
    <w:rsid w:val="00050DD7"/>
    <w:rsid w:val="000511F9"/>
    <w:rsid w:val="00051D37"/>
    <w:rsid w:val="00051EB9"/>
    <w:rsid w:val="0005245E"/>
    <w:rsid w:val="00052DE8"/>
    <w:rsid w:val="00055904"/>
    <w:rsid w:val="0005610F"/>
    <w:rsid w:val="00057D76"/>
    <w:rsid w:val="00062652"/>
    <w:rsid w:val="000627FE"/>
    <w:rsid w:val="00062B18"/>
    <w:rsid w:val="00063017"/>
    <w:rsid w:val="000660E0"/>
    <w:rsid w:val="00066137"/>
    <w:rsid w:val="00066F67"/>
    <w:rsid w:val="0006718A"/>
    <w:rsid w:val="0006757E"/>
    <w:rsid w:val="00067EEE"/>
    <w:rsid w:val="000702B0"/>
    <w:rsid w:val="0007178A"/>
    <w:rsid w:val="00071A6E"/>
    <w:rsid w:val="00071DF9"/>
    <w:rsid w:val="000727DD"/>
    <w:rsid w:val="00072C1A"/>
    <w:rsid w:val="00073BD4"/>
    <w:rsid w:val="00073D07"/>
    <w:rsid w:val="000740B6"/>
    <w:rsid w:val="000752A5"/>
    <w:rsid w:val="00075D10"/>
    <w:rsid w:val="00076DB8"/>
    <w:rsid w:val="00077865"/>
    <w:rsid w:val="00077FA4"/>
    <w:rsid w:val="0008137E"/>
    <w:rsid w:val="00082C43"/>
    <w:rsid w:val="0008433B"/>
    <w:rsid w:val="000875EA"/>
    <w:rsid w:val="00093624"/>
    <w:rsid w:val="00093FD1"/>
    <w:rsid w:val="0009478D"/>
    <w:rsid w:val="00094A99"/>
    <w:rsid w:val="00095BA1"/>
    <w:rsid w:val="0009672C"/>
    <w:rsid w:val="00097A4A"/>
    <w:rsid w:val="00097B64"/>
    <w:rsid w:val="00097EF1"/>
    <w:rsid w:val="000A1440"/>
    <w:rsid w:val="000A21AD"/>
    <w:rsid w:val="000A2A1B"/>
    <w:rsid w:val="000A471E"/>
    <w:rsid w:val="000A4CBA"/>
    <w:rsid w:val="000A4D12"/>
    <w:rsid w:val="000A6837"/>
    <w:rsid w:val="000B0187"/>
    <w:rsid w:val="000B05FF"/>
    <w:rsid w:val="000B14CE"/>
    <w:rsid w:val="000B1661"/>
    <w:rsid w:val="000B2E2B"/>
    <w:rsid w:val="000B4045"/>
    <w:rsid w:val="000B4CAE"/>
    <w:rsid w:val="000B4DF6"/>
    <w:rsid w:val="000B4E0A"/>
    <w:rsid w:val="000B7723"/>
    <w:rsid w:val="000B7E66"/>
    <w:rsid w:val="000C054C"/>
    <w:rsid w:val="000C0C0B"/>
    <w:rsid w:val="000C2471"/>
    <w:rsid w:val="000C261D"/>
    <w:rsid w:val="000C30D8"/>
    <w:rsid w:val="000C3C83"/>
    <w:rsid w:val="000C45C7"/>
    <w:rsid w:val="000C46CA"/>
    <w:rsid w:val="000C4783"/>
    <w:rsid w:val="000C6038"/>
    <w:rsid w:val="000C7A23"/>
    <w:rsid w:val="000D1F15"/>
    <w:rsid w:val="000D4561"/>
    <w:rsid w:val="000D6086"/>
    <w:rsid w:val="000D6FD1"/>
    <w:rsid w:val="000E09DC"/>
    <w:rsid w:val="000E1988"/>
    <w:rsid w:val="000E1A3C"/>
    <w:rsid w:val="000E2275"/>
    <w:rsid w:val="000E2466"/>
    <w:rsid w:val="000E2897"/>
    <w:rsid w:val="000E3658"/>
    <w:rsid w:val="000E42CF"/>
    <w:rsid w:val="000E54ED"/>
    <w:rsid w:val="000E5AA9"/>
    <w:rsid w:val="000E5F45"/>
    <w:rsid w:val="000E7E7F"/>
    <w:rsid w:val="000F0F63"/>
    <w:rsid w:val="000F18D0"/>
    <w:rsid w:val="000F1F6E"/>
    <w:rsid w:val="000F3DE6"/>
    <w:rsid w:val="000F5F22"/>
    <w:rsid w:val="000F7378"/>
    <w:rsid w:val="00100FA7"/>
    <w:rsid w:val="001017CC"/>
    <w:rsid w:val="0010195F"/>
    <w:rsid w:val="001023CF"/>
    <w:rsid w:val="001024D4"/>
    <w:rsid w:val="00102A51"/>
    <w:rsid w:val="00103212"/>
    <w:rsid w:val="00103263"/>
    <w:rsid w:val="001048F3"/>
    <w:rsid w:val="00105E55"/>
    <w:rsid w:val="001060F0"/>
    <w:rsid w:val="00107B94"/>
    <w:rsid w:val="00110EFA"/>
    <w:rsid w:val="001116E0"/>
    <w:rsid w:val="001126DB"/>
    <w:rsid w:val="001128CC"/>
    <w:rsid w:val="00112B55"/>
    <w:rsid w:val="00112D15"/>
    <w:rsid w:val="00112F77"/>
    <w:rsid w:val="00113727"/>
    <w:rsid w:val="001138F6"/>
    <w:rsid w:val="00113B95"/>
    <w:rsid w:val="00115745"/>
    <w:rsid w:val="001158EE"/>
    <w:rsid w:val="001159F1"/>
    <w:rsid w:val="00115B77"/>
    <w:rsid w:val="00115DBB"/>
    <w:rsid w:val="0011757F"/>
    <w:rsid w:val="00117746"/>
    <w:rsid w:val="0012096A"/>
    <w:rsid w:val="0012096D"/>
    <w:rsid w:val="00120FD9"/>
    <w:rsid w:val="00122FCC"/>
    <w:rsid w:val="001235E8"/>
    <w:rsid w:val="001238A7"/>
    <w:rsid w:val="001243B7"/>
    <w:rsid w:val="00130059"/>
    <w:rsid w:val="00130147"/>
    <w:rsid w:val="001316BB"/>
    <w:rsid w:val="00132317"/>
    <w:rsid w:val="00133978"/>
    <w:rsid w:val="00134FED"/>
    <w:rsid w:val="00135736"/>
    <w:rsid w:val="00135C79"/>
    <w:rsid w:val="00136F8B"/>
    <w:rsid w:val="0013778D"/>
    <w:rsid w:val="00137EC9"/>
    <w:rsid w:val="00140032"/>
    <w:rsid w:val="00140236"/>
    <w:rsid w:val="00140793"/>
    <w:rsid w:val="00140A5F"/>
    <w:rsid w:val="00140C36"/>
    <w:rsid w:val="00141B4E"/>
    <w:rsid w:val="00141E3F"/>
    <w:rsid w:val="001420EE"/>
    <w:rsid w:val="00143B0A"/>
    <w:rsid w:val="00143CA1"/>
    <w:rsid w:val="00143EEA"/>
    <w:rsid w:val="00145768"/>
    <w:rsid w:val="00145D4A"/>
    <w:rsid w:val="00145F4A"/>
    <w:rsid w:val="00147B09"/>
    <w:rsid w:val="00150AE2"/>
    <w:rsid w:val="00151592"/>
    <w:rsid w:val="001519D2"/>
    <w:rsid w:val="001519F3"/>
    <w:rsid w:val="00151A14"/>
    <w:rsid w:val="00152E9B"/>
    <w:rsid w:val="00153BA0"/>
    <w:rsid w:val="00154511"/>
    <w:rsid w:val="00154A39"/>
    <w:rsid w:val="00154A62"/>
    <w:rsid w:val="001550BF"/>
    <w:rsid w:val="00155BFF"/>
    <w:rsid w:val="00155DF0"/>
    <w:rsid w:val="00155F34"/>
    <w:rsid w:val="00157963"/>
    <w:rsid w:val="00157B2F"/>
    <w:rsid w:val="00157C5B"/>
    <w:rsid w:val="00160C39"/>
    <w:rsid w:val="00160D1D"/>
    <w:rsid w:val="00160D1E"/>
    <w:rsid w:val="0016125D"/>
    <w:rsid w:val="001623D2"/>
    <w:rsid w:val="00162616"/>
    <w:rsid w:val="00163AB8"/>
    <w:rsid w:val="001642C2"/>
    <w:rsid w:val="0016493A"/>
    <w:rsid w:val="001649FD"/>
    <w:rsid w:val="0016509C"/>
    <w:rsid w:val="001665FE"/>
    <w:rsid w:val="00170804"/>
    <w:rsid w:val="00172C35"/>
    <w:rsid w:val="00173665"/>
    <w:rsid w:val="00173878"/>
    <w:rsid w:val="0017444D"/>
    <w:rsid w:val="0017577D"/>
    <w:rsid w:val="00176725"/>
    <w:rsid w:val="00176DF5"/>
    <w:rsid w:val="00177676"/>
    <w:rsid w:val="001779C4"/>
    <w:rsid w:val="00180945"/>
    <w:rsid w:val="0018148D"/>
    <w:rsid w:val="0018153B"/>
    <w:rsid w:val="00183181"/>
    <w:rsid w:val="00183187"/>
    <w:rsid w:val="001837E1"/>
    <w:rsid w:val="00183A6C"/>
    <w:rsid w:val="00184B38"/>
    <w:rsid w:val="00184FDA"/>
    <w:rsid w:val="00185057"/>
    <w:rsid w:val="00185AA9"/>
    <w:rsid w:val="00185EAD"/>
    <w:rsid w:val="00185F4E"/>
    <w:rsid w:val="00186966"/>
    <w:rsid w:val="00187BB1"/>
    <w:rsid w:val="001904F7"/>
    <w:rsid w:val="001905D7"/>
    <w:rsid w:val="00190E3E"/>
    <w:rsid w:val="00191A77"/>
    <w:rsid w:val="00192CE3"/>
    <w:rsid w:val="00193D6C"/>
    <w:rsid w:val="00194D7D"/>
    <w:rsid w:val="00195B32"/>
    <w:rsid w:val="00196523"/>
    <w:rsid w:val="0019662F"/>
    <w:rsid w:val="001969A1"/>
    <w:rsid w:val="00197A01"/>
    <w:rsid w:val="001A0CA5"/>
    <w:rsid w:val="001A143C"/>
    <w:rsid w:val="001A184E"/>
    <w:rsid w:val="001A19B2"/>
    <w:rsid w:val="001A1D58"/>
    <w:rsid w:val="001A2AE8"/>
    <w:rsid w:val="001A2CEA"/>
    <w:rsid w:val="001A37AE"/>
    <w:rsid w:val="001A4638"/>
    <w:rsid w:val="001A4D58"/>
    <w:rsid w:val="001A4EC6"/>
    <w:rsid w:val="001A54E3"/>
    <w:rsid w:val="001A642F"/>
    <w:rsid w:val="001A6625"/>
    <w:rsid w:val="001A7859"/>
    <w:rsid w:val="001B123C"/>
    <w:rsid w:val="001B3958"/>
    <w:rsid w:val="001B3E1A"/>
    <w:rsid w:val="001B54CA"/>
    <w:rsid w:val="001B62BC"/>
    <w:rsid w:val="001B76E9"/>
    <w:rsid w:val="001C2279"/>
    <w:rsid w:val="001C3E0D"/>
    <w:rsid w:val="001C4AE8"/>
    <w:rsid w:val="001C56CA"/>
    <w:rsid w:val="001C5C8A"/>
    <w:rsid w:val="001C7541"/>
    <w:rsid w:val="001D0790"/>
    <w:rsid w:val="001D1064"/>
    <w:rsid w:val="001D26DC"/>
    <w:rsid w:val="001D38BB"/>
    <w:rsid w:val="001D4F41"/>
    <w:rsid w:val="001D5C0D"/>
    <w:rsid w:val="001D5D16"/>
    <w:rsid w:val="001D750B"/>
    <w:rsid w:val="001E031A"/>
    <w:rsid w:val="001E0698"/>
    <w:rsid w:val="001E1929"/>
    <w:rsid w:val="001E3B0D"/>
    <w:rsid w:val="001E3E94"/>
    <w:rsid w:val="001E4496"/>
    <w:rsid w:val="001E44D8"/>
    <w:rsid w:val="001E5C6B"/>
    <w:rsid w:val="001E5D22"/>
    <w:rsid w:val="001E646B"/>
    <w:rsid w:val="001E64F0"/>
    <w:rsid w:val="001E6B2F"/>
    <w:rsid w:val="001E766A"/>
    <w:rsid w:val="001F0583"/>
    <w:rsid w:val="001F0E9E"/>
    <w:rsid w:val="001F3797"/>
    <w:rsid w:val="001F3E29"/>
    <w:rsid w:val="001F4F1A"/>
    <w:rsid w:val="001F534B"/>
    <w:rsid w:val="001F574A"/>
    <w:rsid w:val="001F584A"/>
    <w:rsid w:val="001F655D"/>
    <w:rsid w:val="00200931"/>
    <w:rsid w:val="00202370"/>
    <w:rsid w:val="0020407D"/>
    <w:rsid w:val="00204D9D"/>
    <w:rsid w:val="0020568A"/>
    <w:rsid w:val="00205DF2"/>
    <w:rsid w:val="002078F8"/>
    <w:rsid w:val="00210673"/>
    <w:rsid w:val="00210BB1"/>
    <w:rsid w:val="00211983"/>
    <w:rsid w:val="00212479"/>
    <w:rsid w:val="00214885"/>
    <w:rsid w:val="00215818"/>
    <w:rsid w:val="00216F57"/>
    <w:rsid w:val="00217904"/>
    <w:rsid w:val="00217AFD"/>
    <w:rsid w:val="00217D8B"/>
    <w:rsid w:val="00220FD0"/>
    <w:rsid w:val="00221CDE"/>
    <w:rsid w:val="00223112"/>
    <w:rsid w:val="00224C6B"/>
    <w:rsid w:val="00224DA5"/>
    <w:rsid w:val="0022532B"/>
    <w:rsid w:val="00225E4B"/>
    <w:rsid w:val="0022633A"/>
    <w:rsid w:val="002266B8"/>
    <w:rsid w:val="00226CDC"/>
    <w:rsid w:val="00226DE2"/>
    <w:rsid w:val="002271C0"/>
    <w:rsid w:val="002275F4"/>
    <w:rsid w:val="00227C92"/>
    <w:rsid w:val="00227CF9"/>
    <w:rsid w:val="00231222"/>
    <w:rsid w:val="00231249"/>
    <w:rsid w:val="0023193B"/>
    <w:rsid w:val="00231E11"/>
    <w:rsid w:val="00233012"/>
    <w:rsid w:val="002333EA"/>
    <w:rsid w:val="00233CAE"/>
    <w:rsid w:val="002348DA"/>
    <w:rsid w:val="00236028"/>
    <w:rsid w:val="00236707"/>
    <w:rsid w:val="00237498"/>
    <w:rsid w:val="00237BF4"/>
    <w:rsid w:val="0024086F"/>
    <w:rsid w:val="00240B26"/>
    <w:rsid w:val="00240BBA"/>
    <w:rsid w:val="00242923"/>
    <w:rsid w:val="00243773"/>
    <w:rsid w:val="002441A3"/>
    <w:rsid w:val="00250041"/>
    <w:rsid w:val="00250E17"/>
    <w:rsid w:val="0025350A"/>
    <w:rsid w:val="00254516"/>
    <w:rsid w:val="00255F40"/>
    <w:rsid w:val="00256B7D"/>
    <w:rsid w:val="00257624"/>
    <w:rsid w:val="002578E8"/>
    <w:rsid w:val="00257DB2"/>
    <w:rsid w:val="002602FE"/>
    <w:rsid w:val="0026100E"/>
    <w:rsid w:val="00262205"/>
    <w:rsid w:val="0026433A"/>
    <w:rsid w:val="00264EA0"/>
    <w:rsid w:val="002651A5"/>
    <w:rsid w:val="00267ADE"/>
    <w:rsid w:val="00267D68"/>
    <w:rsid w:val="0027088A"/>
    <w:rsid w:val="0027112B"/>
    <w:rsid w:val="002712C9"/>
    <w:rsid w:val="0027172B"/>
    <w:rsid w:val="002717F2"/>
    <w:rsid w:val="002730D1"/>
    <w:rsid w:val="00274650"/>
    <w:rsid w:val="00274E75"/>
    <w:rsid w:val="00276221"/>
    <w:rsid w:val="0027635F"/>
    <w:rsid w:val="00276F0A"/>
    <w:rsid w:val="0027778C"/>
    <w:rsid w:val="00277BF5"/>
    <w:rsid w:val="00281EB0"/>
    <w:rsid w:val="00281F7F"/>
    <w:rsid w:val="002824DB"/>
    <w:rsid w:val="00284A8B"/>
    <w:rsid w:val="00285AB8"/>
    <w:rsid w:val="002863EB"/>
    <w:rsid w:val="00286790"/>
    <w:rsid w:val="00286A10"/>
    <w:rsid w:val="0028794A"/>
    <w:rsid w:val="00290356"/>
    <w:rsid w:val="00290A94"/>
    <w:rsid w:val="0029233B"/>
    <w:rsid w:val="002931B7"/>
    <w:rsid w:val="00295339"/>
    <w:rsid w:val="00296A57"/>
    <w:rsid w:val="002979AD"/>
    <w:rsid w:val="00297A55"/>
    <w:rsid w:val="00297E15"/>
    <w:rsid w:val="00297E50"/>
    <w:rsid w:val="002A18DC"/>
    <w:rsid w:val="002A204B"/>
    <w:rsid w:val="002A31CB"/>
    <w:rsid w:val="002A37AB"/>
    <w:rsid w:val="002A3A6D"/>
    <w:rsid w:val="002A41A7"/>
    <w:rsid w:val="002A5CB4"/>
    <w:rsid w:val="002A5D20"/>
    <w:rsid w:val="002A6903"/>
    <w:rsid w:val="002A7165"/>
    <w:rsid w:val="002B04FD"/>
    <w:rsid w:val="002B07F7"/>
    <w:rsid w:val="002B1313"/>
    <w:rsid w:val="002B1A76"/>
    <w:rsid w:val="002B325F"/>
    <w:rsid w:val="002B3682"/>
    <w:rsid w:val="002B4871"/>
    <w:rsid w:val="002B4B14"/>
    <w:rsid w:val="002B4CB7"/>
    <w:rsid w:val="002B61C5"/>
    <w:rsid w:val="002B7399"/>
    <w:rsid w:val="002B78BE"/>
    <w:rsid w:val="002C02BA"/>
    <w:rsid w:val="002C086C"/>
    <w:rsid w:val="002C0FB2"/>
    <w:rsid w:val="002C139E"/>
    <w:rsid w:val="002C1646"/>
    <w:rsid w:val="002C1C60"/>
    <w:rsid w:val="002C2AB3"/>
    <w:rsid w:val="002C465A"/>
    <w:rsid w:val="002C4792"/>
    <w:rsid w:val="002C6032"/>
    <w:rsid w:val="002C7A7B"/>
    <w:rsid w:val="002D1A82"/>
    <w:rsid w:val="002D28CF"/>
    <w:rsid w:val="002D3BC6"/>
    <w:rsid w:val="002D4893"/>
    <w:rsid w:val="002D4D8A"/>
    <w:rsid w:val="002D518A"/>
    <w:rsid w:val="002D6646"/>
    <w:rsid w:val="002E10B7"/>
    <w:rsid w:val="002E1BF9"/>
    <w:rsid w:val="002E232E"/>
    <w:rsid w:val="002E44AE"/>
    <w:rsid w:val="002E4CB5"/>
    <w:rsid w:val="002E4E9C"/>
    <w:rsid w:val="002E5417"/>
    <w:rsid w:val="002E5AE5"/>
    <w:rsid w:val="002E6FCA"/>
    <w:rsid w:val="002E7083"/>
    <w:rsid w:val="002E7E80"/>
    <w:rsid w:val="002F1E0A"/>
    <w:rsid w:val="002F279B"/>
    <w:rsid w:val="002F28E7"/>
    <w:rsid w:val="002F3BD1"/>
    <w:rsid w:val="002F3C87"/>
    <w:rsid w:val="002F55DF"/>
    <w:rsid w:val="002F5647"/>
    <w:rsid w:val="0030053E"/>
    <w:rsid w:val="00300BE0"/>
    <w:rsid w:val="003015B0"/>
    <w:rsid w:val="00302B25"/>
    <w:rsid w:val="00302E1A"/>
    <w:rsid w:val="00303D28"/>
    <w:rsid w:val="003040AD"/>
    <w:rsid w:val="003047E8"/>
    <w:rsid w:val="00304D42"/>
    <w:rsid w:val="00305F3B"/>
    <w:rsid w:val="00306022"/>
    <w:rsid w:val="00307090"/>
    <w:rsid w:val="003073DA"/>
    <w:rsid w:val="0030793B"/>
    <w:rsid w:val="0031027A"/>
    <w:rsid w:val="003122FD"/>
    <w:rsid w:val="00312BAF"/>
    <w:rsid w:val="00312CEA"/>
    <w:rsid w:val="0031300B"/>
    <w:rsid w:val="00313252"/>
    <w:rsid w:val="00314756"/>
    <w:rsid w:val="00315131"/>
    <w:rsid w:val="003167A7"/>
    <w:rsid w:val="00317498"/>
    <w:rsid w:val="003178FB"/>
    <w:rsid w:val="003201F4"/>
    <w:rsid w:val="003202CB"/>
    <w:rsid w:val="00320626"/>
    <w:rsid w:val="0032080F"/>
    <w:rsid w:val="00320966"/>
    <w:rsid w:val="00321B9D"/>
    <w:rsid w:val="00322917"/>
    <w:rsid w:val="00323010"/>
    <w:rsid w:val="00325E5C"/>
    <w:rsid w:val="0032688C"/>
    <w:rsid w:val="003314FD"/>
    <w:rsid w:val="003326ED"/>
    <w:rsid w:val="003342DB"/>
    <w:rsid w:val="00334663"/>
    <w:rsid w:val="00335112"/>
    <w:rsid w:val="00335430"/>
    <w:rsid w:val="003358B9"/>
    <w:rsid w:val="00335EAD"/>
    <w:rsid w:val="00337A74"/>
    <w:rsid w:val="00341880"/>
    <w:rsid w:val="00343584"/>
    <w:rsid w:val="0034369E"/>
    <w:rsid w:val="00343C08"/>
    <w:rsid w:val="00343C5F"/>
    <w:rsid w:val="00345546"/>
    <w:rsid w:val="00345940"/>
    <w:rsid w:val="0034599F"/>
    <w:rsid w:val="00347D04"/>
    <w:rsid w:val="003540C3"/>
    <w:rsid w:val="0035630C"/>
    <w:rsid w:val="003573B1"/>
    <w:rsid w:val="00357B94"/>
    <w:rsid w:val="00360119"/>
    <w:rsid w:val="0036141A"/>
    <w:rsid w:val="003615B5"/>
    <w:rsid w:val="00361771"/>
    <w:rsid w:val="003617C7"/>
    <w:rsid w:val="00361E97"/>
    <w:rsid w:val="00362126"/>
    <w:rsid w:val="003624CC"/>
    <w:rsid w:val="00363520"/>
    <w:rsid w:val="00364761"/>
    <w:rsid w:val="0036598C"/>
    <w:rsid w:val="00365B67"/>
    <w:rsid w:val="00365EE3"/>
    <w:rsid w:val="00366B50"/>
    <w:rsid w:val="003678AD"/>
    <w:rsid w:val="00367B73"/>
    <w:rsid w:val="00367B77"/>
    <w:rsid w:val="00367D03"/>
    <w:rsid w:val="003705FC"/>
    <w:rsid w:val="003709C6"/>
    <w:rsid w:val="00370B9E"/>
    <w:rsid w:val="0037150B"/>
    <w:rsid w:val="00374795"/>
    <w:rsid w:val="00376E09"/>
    <w:rsid w:val="003775B4"/>
    <w:rsid w:val="003775F7"/>
    <w:rsid w:val="003779B5"/>
    <w:rsid w:val="00377FCA"/>
    <w:rsid w:val="003801A8"/>
    <w:rsid w:val="003827DB"/>
    <w:rsid w:val="00383A9A"/>
    <w:rsid w:val="00384ACF"/>
    <w:rsid w:val="00385358"/>
    <w:rsid w:val="00386C03"/>
    <w:rsid w:val="00386E7A"/>
    <w:rsid w:val="00387482"/>
    <w:rsid w:val="00387C58"/>
    <w:rsid w:val="003902D6"/>
    <w:rsid w:val="00391720"/>
    <w:rsid w:val="003918E2"/>
    <w:rsid w:val="00391F8E"/>
    <w:rsid w:val="00392DC5"/>
    <w:rsid w:val="00392F4A"/>
    <w:rsid w:val="00393F25"/>
    <w:rsid w:val="00393FA5"/>
    <w:rsid w:val="003957AC"/>
    <w:rsid w:val="00395F09"/>
    <w:rsid w:val="00396A9E"/>
    <w:rsid w:val="003A0409"/>
    <w:rsid w:val="003A1C6C"/>
    <w:rsid w:val="003A1E5B"/>
    <w:rsid w:val="003A1EE6"/>
    <w:rsid w:val="003A1F6C"/>
    <w:rsid w:val="003A275E"/>
    <w:rsid w:val="003A2F48"/>
    <w:rsid w:val="003A3814"/>
    <w:rsid w:val="003A57F0"/>
    <w:rsid w:val="003A5B2D"/>
    <w:rsid w:val="003B0AA7"/>
    <w:rsid w:val="003B28DE"/>
    <w:rsid w:val="003B2BC6"/>
    <w:rsid w:val="003B700E"/>
    <w:rsid w:val="003B7E85"/>
    <w:rsid w:val="003C01D5"/>
    <w:rsid w:val="003C055D"/>
    <w:rsid w:val="003C05D2"/>
    <w:rsid w:val="003C232B"/>
    <w:rsid w:val="003C316B"/>
    <w:rsid w:val="003C4FC1"/>
    <w:rsid w:val="003C526A"/>
    <w:rsid w:val="003C6183"/>
    <w:rsid w:val="003C630D"/>
    <w:rsid w:val="003C6A8C"/>
    <w:rsid w:val="003C72F3"/>
    <w:rsid w:val="003C73F2"/>
    <w:rsid w:val="003D0B92"/>
    <w:rsid w:val="003D0F4C"/>
    <w:rsid w:val="003D15D1"/>
    <w:rsid w:val="003D1ECD"/>
    <w:rsid w:val="003D21CA"/>
    <w:rsid w:val="003D46C8"/>
    <w:rsid w:val="003D47FB"/>
    <w:rsid w:val="003D49E5"/>
    <w:rsid w:val="003D4E48"/>
    <w:rsid w:val="003D4F4D"/>
    <w:rsid w:val="003D4F91"/>
    <w:rsid w:val="003D50BC"/>
    <w:rsid w:val="003D52E1"/>
    <w:rsid w:val="003E1E8D"/>
    <w:rsid w:val="003E3110"/>
    <w:rsid w:val="003E4DA8"/>
    <w:rsid w:val="003E4DF7"/>
    <w:rsid w:val="003E55D6"/>
    <w:rsid w:val="003E5780"/>
    <w:rsid w:val="003E690B"/>
    <w:rsid w:val="003F0565"/>
    <w:rsid w:val="003F0CF2"/>
    <w:rsid w:val="003F1369"/>
    <w:rsid w:val="003F2AF9"/>
    <w:rsid w:val="003F310A"/>
    <w:rsid w:val="003F382D"/>
    <w:rsid w:val="003F4200"/>
    <w:rsid w:val="003F5A15"/>
    <w:rsid w:val="003F5B03"/>
    <w:rsid w:val="003F5E3F"/>
    <w:rsid w:val="003F705F"/>
    <w:rsid w:val="003F7554"/>
    <w:rsid w:val="00401798"/>
    <w:rsid w:val="00402375"/>
    <w:rsid w:val="00403AED"/>
    <w:rsid w:val="00404414"/>
    <w:rsid w:val="0040462A"/>
    <w:rsid w:val="00404F3E"/>
    <w:rsid w:val="00405324"/>
    <w:rsid w:val="00406A49"/>
    <w:rsid w:val="00406F50"/>
    <w:rsid w:val="00407C21"/>
    <w:rsid w:val="00407E9B"/>
    <w:rsid w:val="004100FA"/>
    <w:rsid w:val="00410EF3"/>
    <w:rsid w:val="004118BD"/>
    <w:rsid w:val="00411F4F"/>
    <w:rsid w:val="004178C4"/>
    <w:rsid w:val="004203BC"/>
    <w:rsid w:val="004205C3"/>
    <w:rsid w:val="00423206"/>
    <w:rsid w:val="004234EE"/>
    <w:rsid w:val="0042564E"/>
    <w:rsid w:val="00426048"/>
    <w:rsid w:val="00426BC3"/>
    <w:rsid w:val="004273C1"/>
    <w:rsid w:val="00427DAC"/>
    <w:rsid w:val="00431509"/>
    <w:rsid w:val="00431BE8"/>
    <w:rsid w:val="00433550"/>
    <w:rsid w:val="00434A2A"/>
    <w:rsid w:val="00435040"/>
    <w:rsid w:val="0043584D"/>
    <w:rsid w:val="00436583"/>
    <w:rsid w:val="004369C0"/>
    <w:rsid w:val="00441626"/>
    <w:rsid w:val="00441801"/>
    <w:rsid w:val="0044198E"/>
    <w:rsid w:val="004433F2"/>
    <w:rsid w:val="0044504D"/>
    <w:rsid w:val="0044670C"/>
    <w:rsid w:val="00446F8F"/>
    <w:rsid w:val="004472C3"/>
    <w:rsid w:val="004477FE"/>
    <w:rsid w:val="00447FF7"/>
    <w:rsid w:val="00450E92"/>
    <w:rsid w:val="0045101A"/>
    <w:rsid w:val="00451D31"/>
    <w:rsid w:val="00454909"/>
    <w:rsid w:val="00456D9D"/>
    <w:rsid w:val="00457471"/>
    <w:rsid w:val="0045774B"/>
    <w:rsid w:val="004608EC"/>
    <w:rsid w:val="00462E74"/>
    <w:rsid w:val="00464DF8"/>
    <w:rsid w:val="00465767"/>
    <w:rsid w:val="00466216"/>
    <w:rsid w:val="00467FB9"/>
    <w:rsid w:val="004700DD"/>
    <w:rsid w:val="00471599"/>
    <w:rsid w:val="004716E0"/>
    <w:rsid w:val="00471B21"/>
    <w:rsid w:val="00471DD7"/>
    <w:rsid w:val="004721EA"/>
    <w:rsid w:val="00472387"/>
    <w:rsid w:val="00472805"/>
    <w:rsid w:val="0047477F"/>
    <w:rsid w:val="0047534A"/>
    <w:rsid w:val="00475663"/>
    <w:rsid w:val="004759EA"/>
    <w:rsid w:val="00475CA7"/>
    <w:rsid w:val="00477F55"/>
    <w:rsid w:val="00480A00"/>
    <w:rsid w:val="00480BF1"/>
    <w:rsid w:val="004839BE"/>
    <w:rsid w:val="004841A9"/>
    <w:rsid w:val="00485304"/>
    <w:rsid w:val="00485A76"/>
    <w:rsid w:val="004866C1"/>
    <w:rsid w:val="00486F7B"/>
    <w:rsid w:val="00487627"/>
    <w:rsid w:val="004908DE"/>
    <w:rsid w:val="00491C83"/>
    <w:rsid w:val="004924BC"/>
    <w:rsid w:val="004935A2"/>
    <w:rsid w:val="00493A1F"/>
    <w:rsid w:val="00493B7D"/>
    <w:rsid w:val="00494F41"/>
    <w:rsid w:val="004954C9"/>
    <w:rsid w:val="0049793E"/>
    <w:rsid w:val="004A049E"/>
    <w:rsid w:val="004A0F9B"/>
    <w:rsid w:val="004A196E"/>
    <w:rsid w:val="004A1CB7"/>
    <w:rsid w:val="004A34D4"/>
    <w:rsid w:val="004A3D70"/>
    <w:rsid w:val="004A3DCD"/>
    <w:rsid w:val="004A4470"/>
    <w:rsid w:val="004A5ECB"/>
    <w:rsid w:val="004A62A7"/>
    <w:rsid w:val="004A6B70"/>
    <w:rsid w:val="004A70C0"/>
    <w:rsid w:val="004B1137"/>
    <w:rsid w:val="004B11D2"/>
    <w:rsid w:val="004B1EEA"/>
    <w:rsid w:val="004B2A8B"/>
    <w:rsid w:val="004B2E4E"/>
    <w:rsid w:val="004B3C30"/>
    <w:rsid w:val="004B6338"/>
    <w:rsid w:val="004B64D4"/>
    <w:rsid w:val="004B6B0D"/>
    <w:rsid w:val="004C077D"/>
    <w:rsid w:val="004C116C"/>
    <w:rsid w:val="004C1B36"/>
    <w:rsid w:val="004C1EFF"/>
    <w:rsid w:val="004C1F44"/>
    <w:rsid w:val="004C447C"/>
    <w:rsid w:val="004C5B6E"/>
    <w:rsid w:val="004C64C8"/>
    <w:rsid w:val="004C6812"/>
    <w:rsid w:val="004C6C87"/>
    <w:rsid w:val="004C6E7D"/>
    <w:rsid w:val="004C7C36"/>
    <w:rsid w:val="004D0F96"/>
    <w:rsid w:val="004D4072"/>
    <w:rsid w:val="004D4898"/>
    <w:rsid w:val="004D4CE4"/>
    <w:rsid w:val="004D52FF"/>
    <w:rsid w:val="004D6749"/>
    <w:rsid w:val="004D793B"/>
    <w:rsid w:val="004D7CFA"/>
    <w:rsid w:val="004E029B"/>
    <w:rsid w:val="004E08A6"/>
    <w:rsid w:val="004E11F3"/>
    <w:rsid w:val="004E2202"/>
    <w:rsid w:val="004E2650"/>
    <w:rsid w:val="004E3174"/>
    <w:rsid w:val="004E3284"/>
    <w:rsid w:val="004E3637"/>
    <w:rsid w:val="004E383C"/>
    <w:rsid w:val="004E39F7"/>
    <w:rsid w:val="004E52BD"/>
    <w:rsid w:val="004E6156"/>
    <w:rsid w:val="004E7A52"/>
    <w:rsid w:val="004E7F71"/>
    <w:rsid w:val="004F073C"/>
    <w:rsid w:val="004F13A5"/>
    <w:rsid w:val="004F17E8"/>
    <w:rsid w:val="004F45B3"/>
    <w:rsid w:val="004F5DF7"/>
    <w:rsid w:val="004F638C"/>
    <w:rsid w:val="004F63E6"/>
    <w:rsid w:val="00501433"/>
    <w:rsid w:val="00501A00"/>
    <w:rsid w:val="005032CF"/>
    <w:rsid w:val="00504635"/>
    <w:rsid w:val="0050508F"/>
    <w:rsid w:val="005058F2"/>
    <w:rsid w:val="00506009"/>
    <w:rsid w:val="00507F8C"/>
    <w:rsid w:val="00510D79"/>
    <w:rsid w:val="0051288D"/>
    <w:rsid w:val="005138B7"/>
    <w:rsid w:val="00515CEE"/>
    <w:rsid w:val="00516500"/>
    <w:rsid w:val="00517C00"/>
    <w:rsid w:val="00523366"/>
    <w:rsid w:val="00524392"/>
    <w:rsid w:val="005243C2"/>
    <w:rsid w:val="0052460D"/>
    <w:rsid w:val="0052527F"/>
    <w:rsid w:val="005253C1"/>
    <w:rsid w:val="00525C1B"/>
    <w:rsid w:val="005278C1"/>
    <w:rsid w:val="00527B0E"/>
    <w:rsid w:val="00527CF2"/>
    <w:rsid w:val="00527D3F"/>
    <w:rsid w:val="00530167"/>
    <w:rsid w:val="00534E1A"/>
    <w:rsid w:val="0053605F"/>
    <w:rsid w:val="005365EC"/>
    <w:rsid w:val="00536B6D"/>
    <w:rsid w:val="00536DF7"/>
    <w:rsid w:val="00540D9C"/>
    <w:rsid w:val="005426DA"/>
    <w:rsid w:val="0054294E"/>
    <w:rsid w:val="00542AC3"/>
    <w:rsid w:val="00543043"/>
    <w:rsid w:val="005479F7"/>
    <w:rsid w:val="00553E02"/>
    <w:rsid w:val="00553EEE"/>
    <w:rsid w:val="00554ECF"/>
    <w:rsid w:val="0055519C"/>
    <w:rsid w:val="005553A9"/>
    <w:rsid w:val="00555C24"/>
    <w:rsid w:val="00557BE9"/>
    <w:rsid w:val="005601B0"/>
    <w:rsid w:val="00560316"/>
    <w:rsid w:val="00560C88"/>
    <w:rsid w:val="00560F67"/>
    <w:rsid w:val="00563479"/>
    <w:rsid w:val="005637B2"/>
    <w:rsid w:val="00563B3A"/>
    <w:rsid w:val="00563D9B"/>
    <w:rsid w:val="00564DFB"/>
    <w:rsid w:val="00564E06"/>
    <w:rsid w:val="00565443"/>
    <w:rsid w:val="00565AE7"/>
    <w:rsid w:val="0056782C"/>
    <w:rsid w:val="005709E4"/>
    <w:rsid w:val="00571608"/>
    <w:rsid w:val="00572E0B"/>
    <w:rsid w:val="005748BB"/>
    <w:rsid w:val="00575378"/>
    <w:rsid w:val="00575652"/>
    <w:rsid w:val="00575B7E"/>
    <w:rsid w:val="00577BCF"/>
    <w:rsid w:val="00577C05"/>
    <w:rsid w:val="00577E09"/>
    <w:rsid w:val="005814DE"/>
    <w:rsid w:val="00584403"/>
    <w:rsid w:val="00584675"/>
    <w:rsid w:val="00585740"/>
    <w:rsid w:val="00585AB8"/>
    <w:rsid w:val="00585C20"/>
    <w:rsid w:val="00586E86"/>
    <w:rsid w:val="0059091A"/>
    <w:rsid w:val="0059122D"/>
    <w:rsid w:val="00591332"/>
    <w:rsid w:val="00591ABE"/>
    <w:rsid w:val="00592431"/>
    <w:rsid w:val="0059367A"/>
    <w:rsid w:val="00593D32"/>
    <w:rsid w:val="00593D5D"/>
    <w:rsid w:val="00594289"/>
    <w:rsid w:val="00594F43"/>
    <w:rsid w:val="0059797C"/>
    <w:rsid w:val="00597991"/>
    <w:rsid w:val="005A1B0B"/>
    <w:rsid w:val="005A1CBE"/>
    <w:rsid w:val="005A321D"/>
    <w:rsid w:val="005A3948"/>
    <w:rsid w:val="005A4FC4"/>
    <w:rsid w:val="005A513A"/>
    <w:rsid w:val="005A571B"/>
    <w:rsid w:val="005A621C"/>
    <w:rsid w:val="005A7CF3"/>
    <w:rsid w:val="005B0867"/>
    <w:rsid w:val="005B3538"/>
    <w:rsid w:val="005B3B21"/>
    <w:rsid w:val="005B421A"/>
    <w:rsid w:val="005B6A5B"/>
    <w:rsid w:val="005B703C"/>
    <w:rsid w:val="005C01AE"/>
    <w:rsid w:val="005C063C"/>
    <w:rsid w:val="005C2667"/>
    <w:rsid w:val="005C45B9"/>
    <w:rsid w:val="005C4A0F"/>
    <w:rsid w:val="005C4BAC"/>
    <w:rsid w:val="005C72E3"/>
    <w:rsid w:val="005D00AC"/>
    <w:rsid w:val="005D0821"/>
    <w:rsid w:val="005D0F87"/>
    <w:rsid w:val="005D1192"/>
    <w:rsid w:val="005D4E3C"/>
    <w:rsid w:val="005D656C"/>
    <w:rsid w:val="005D6AB0"/>
    <w:rsid w:val="005D6C48"/>
    <w:rsid w:val="005E0955"/>
    <w:rsid w:val="005E1428"/>
    <w:rsid w:val="005E144A"/>
    <w:rsid w:val="005E3127"/>
    <w:rsid w:val="005E3F00"/>
    <w:rsid w:val="005E4CD6"/>
    <w:rsid w:val="005E4E65"/>
    <w:rsid w:val="005E58BE"/>
    <w:rsid w:val="005E59F0"/>
    <w:rsid w:val="005E5BA0"/>
    <w:rsid w:val="005E7944"/>
    <w:rsid w:val="005F08B0"/>
    <w:rsid w:val="005F08B6"/>
    <w:rsid w:val="005F3631"/>
    <w:rsid w:val="005F4025"/>
    <w:rsid w:val="005F44B8"/>
    <w:rsid w:val="005F4546"/>
    <w:rsid w:val="005F4786"/>
    <w:rsid w:val="005F5A3D"/>
    <w:rsid w:val="005F735D"/>
    <w:rsid w:val="005F7A9C"/>
    <w:rsid w:val="00600319"/>
    <w:rsid w:val="0060064E"/>
    <w:rsid w:val="006007E0"/>
    <w:rsid w:val="0060163E"/>
    <w:rsid w:val="00601B4B"/>
    <w:rsid w:val="006026B0"/>
    <w:rsid w:val="00604985"/>
    <w:rsid w:val="00605C88"/>
    <w:rsid w:val="0060727C"/>
    <w:rsid w:val="0060733A"/>
    <w:rsid w:val="0061170A"/>
    <w:rsid w:val="0061173A"/>
    <w:rsid w:val="00613174"/>
    <w:rsid w:val="006148E3"/>
    <w:rsid w:val="006154CE"/>
    <w:rsid w:val="00615B8F"/>
    <w:rsid w:val="006162EB"/>
    <w:rsid w:val="00616543"/>
    <w:rsid w:val="00616E7E"/>
    <w:rsid w:val="00617EA3"/>
    <w:rsid w:val="00622419"/>
    <w:rsid w:val="006231FA"/>
    <w:rsid w:val="00624A5C"/>
    <w:rsid w:val="00626AE0"/>
    <w:rsid w:val="00631855"/>
    <w:rsid w:val="006320E6"/>
    <w:rsid w:val="00632769"/>
    <w:rsid w:val="006329BE"/>
    <w:rsid w:val="00637761"/>
    <w:rsid w:val="00640440"/>
    <w:rsid w:val="00641311"/>
    <w:rsid w:val="0064138C"/>
    <w:rsid w:val="0064194A"/>
    <w:rsid w:val="0064243F"/>
    <w:rsid w:val="00643631"/>
    <w:rsid w:val="006437D3"/>
    <w:rsid w:val="00643907"/>
    <w:rsid w:val="00643B83"/>
    <w:rsid w:val="00644A41"/>
    <w:rsid w:val="0064581E"/>
    <w:rsid w:val="00646681"/>
    <w:rsid w:val="00646C29"/>
    <w:rsid w:val="00646F0A"/>
    <w:rsid w:val="00647F4D"/>
    <w:rsid w:val="0064BDC8"/>
    <w:rsid w:val="0065052B"/>
    <w:rsid w:val="006508E5"/>
    <w:rsid w:val="00651A92"/>
    <w:rsid w:val="00652889"/>
    <w:rsid w:val="0065335F"/>
    <w:rsid w:val="00653BC5"/>
    <w:rsid w:val="00654CD2"/>
    <w:rsid w:val="006555BD"/>
    <w:rsid w:val="00655C41"/>
    <w:rsid w:val="00655C75"/>
    <w:rsid w:val="00656997"/>
    <w:rsid w:val="00660FAD"/>
    <w:rsid w:val="00663BD9"/>
    <w:rsid w:val="00663DE9"/>
    <w:rsid w:val="006656D1"/>
    <w:rsid w:val="00666B90"/>
    <w:rsid w:val="00666E0E"/>
    <w:rsid w:val="0066702C"/>
    <w:rsid w:val="006675D3"/>
    <w:rsid w:val="00667CFF"/>
    <w:rsid w:val="0066998E"/>
    <w:rsid w:val="00670064"/>
    <w:rsid w:val="00670B02"/>
    <w:rsid w:val="00671454"/>
    <w:rsid w:val="00671C37"/>
    <w:rsid w:val="00672FC5"/>
    <w:rsid w:val="00674807"/>
    <w:rsid w:val="00675DF3"/>
    <w:rsid w:val="0067603A"/>
    <w:rsid w:val="006779B7"/>
    <w:rsid w:val="00681602"/>
    <w:rsid w:val="0068283C"/>
    <w:rsid w:val="006829D2"/>
    <w:rsid w:val="00684906"/>
    <w:rsid w:val="00690629"/>
    <w:rsid w:val="00691152"/>
    <w:rsid w:val="00692300"/>
    <w:rsid w:val="006928F1"/>
    <w:rsid w:val="006933D8"/>
    <w:rsid w:val="00693951"/>
    <w:rsid w:val="0069400F"/>
    <w:rsid w:val="00694DDB"/>
    <w:rsid w:val="006962DA"/>
    <w:rsid w:val="00696920"/>
    <w:rsid w:val="00697B6E"/>
    <w:rsid w:val="006A0E8F"/>
    <w:rsid w:val="006A0F18"/>
    <w:rsid w:val="006A1493"/>
    <w:rsid w:val="006A1F54"/>
    <w:rsid w:val="006A22FA"/>
    <w:rsid w:val="006A3694"/>
    <w:rsid w:val="006A37B6"/>
    <w:rsid w:val="006A502F"/>
    <w:rsid w:val="006A5C19"/>
    <w:rsid w:val="006A5D8C"/>
    <w:rsid w:val="006A7284"/>
    <w:rsid w:val="006A7D84"/>
    <w:rsid w:val="006A7ECE"/>
    <w:rsid w:val="006B2111"/>
    <w:rsid w:val="006B2BFC"/>
    <w:rsid w:val="006B309B"/>
    <w:rsid w:val="006B348D"/>
    <w:rsid w:val="006B3EDE"/>
    <w:rsid w:val="006B3FE1"/>
    <w:rsid w:val="006B43D8"/>
    <w:rsid w:val="006B5800"/>
    <w:rsid w:val="006B5CCB"/>
    <w:rsid w:val="006B6463"/>
    <w:rsid w:val="006B78DA"/>
    <w:rsid w:val="006C02C7"/>
    <w:rsid w:val="006C1ADD"/>
    <w:rsid w:val="006C24DE"/>
    <w:rsid w:val="006C42AC"/>
    <w:rsid w:val="006C43B0"/>
    <w:rsid w:val="006C4D7B"/>
    <w:rsid w:val="006C5A24"/>
    <w:rsid w:val="006D0223"/>
    <w:rsid w:val="006D0410"/>
    <w:rsid w:val="006D0BEA"/>
    <w:rsid w:val="006D2531"/>
    <w:rsid w:val="006D3A8F"/>
    <w:rsid w:val="006D415E"/>
    <w:rsid w:val="006D6ABC"/>
    <w:rsid w:val="006D7281"/>
    <w:rsid w:val="006D74A9"/>
    <w:rsid w:val="006E037E"/>
    <w:rsid w:val="006E06C6"/>
    <w:rsid w:val="006E0C8D"/>
    <w:rsid w:val="006E27C9"/>
    <w:rsid w:val="006E4035"/>
    <w:rsid w:val="006E450C"/>
    <w:rsid w:val="006E5201"/>
    <w:rsid w:val="006E58C8"/>
    <w:rsid w:val="006E6712"/>
    <w:rsid w:val="006E6A88"/>
    <w:rsid w:val="006F008E"/>
    <w:rsid w:val="006F0617"/>
    <w:rsid w:val="006F0EF0"/>
    <w:rsid w:val="006F16EB"/>
    <w:rsid w:val="006F48DB"/>
    <w:rsid w:val="006F4B40"/>
    <w:rsid w:val="006F4D08"/>
    <w:rsid w:val="006F5E80"/>
    <w:rsid w:val="006F6A3C"/>
    <w:rsid w:val="006F771C"/>
    <w:rsid w:val="00702199"/>
    <w:rsid w:val="007036CC"/>
    <w:rsid w:val="00705B27"/>
    <w:rsid w:val="007071C6"/>
    <w:rsid w:val="007079AA"/>
    <w:rsid w:val="007101CB"/>
    <w:rsid w:val="00710FD7"/>
    <w:rsid w:val="0071123B"/>
    <w:rsid w:val="00711E73"/>
    <w:rsid w:val="0071220C"/>
    <w:rsid w:val="0071274F"/>
    <w:rsid w:val="007128C4"/>
    <w:rsid w:val="00712AC4"/>
    <w:rsid w:val="0071469E"/>
    <w:rsid w:val="00714A6C"/>
    <w:rsid w:val="00716862"/>
    <w:rsid w:val="007210BA"/>
    <w:rsid w:val="00721FF8"/>
    <w:rsid w:val="0072229B"/>
    <w:rsid w:val="007224D6"/>
    <w:rsid w:val="007225E7"/>
    <w:rsid w:val="0072342D"/>
    <w:rsid w:val="00723E2A"/>
    <w:rsid w:val="00724CC2"/>
    <w:rsid w:val="00726E2C"/>
    <w:rsid w:val="00726EDA"/>
    <w:rsid w:val="007300B9"/>
    <w:rsid w:val="00730A26"/>
    <w:rsid w:val="0073135A"/>
    <w:rsid w:val="007313A3"/>
    <w:rsid w:val="00734D86"/>
    <w:rsid w:val="00737106"/>
    <w:rsid w:val="007420DF"/>
    <w:rsid w:val="007428B8"/>
    <w:rsid w:val="00742B4F"/>
    <w:rsid w:val="007430EE"/>
    <w:rsid w:val="0074503D"/>
    <w:rsid w:val="00745637"/>
    <w:rsid w:val="00745EDA"/>
    <w:rsid w:val="00746164"/>
    <w:rsid w:val="00746D81"/>
    <w:rsid w:val="00746FB2"/>
    <w:rsid w:val="00751D24"/>
    <w:rsid w:val="007529BA"/>
    <w:rsid w:val="00752EB6"/>
    <w:rsid w:val="00752F67"/>
    <w:rsid w:val="007536CB"/>
    <w:rsid w:val="00754707"/>
    <w:rsid w:val="007550D3"/>
    <w:rsid w:val="007553DF"/>
    <w:rsid w:val="00755405"/>
    <w:rsid w:val="007562F2"/>
    <w:rsid w:val="00757662"/>
    <w:rsid w:val="00757E94"/>
    <w:rsid w:val="00760D68"/>
    <w:rsid w:val="00761066"/>
    <w:rsid w:val="00761C7B"/>
    <w:rsid w:val="007622C5"/>
    <w:rsid w:val="00762374"/>
    <w:rsid w:val="00763356"/>
    <w:rsid w:val="00763B3B"/>
    <w:rsid w:val="0076595E"/>
    <w:rsid w:val="007663E1"/>
    <w:rsid w:val="00766CAB"/>
    <w:rsid w:val="00766EBD"/>
    <w:rsid w:val="00766FF4"/>
    <w:rsid w:val="0077037F"/>
    <w:rsid w:val="00770608"/>
    <w:rsid w:val="007706D9"/>
    <w:rsid w:val="00772574"/>
    <w:rsid w:val="00773EBD"/>
    <w:rsid w:val="007750CE"/>
    <w:rsid w:val="00775A31"/>
    <w:rsid w:val="00776F52"/>
    <w:rsid w:val="007771A6"/>
    <w:rsid w:val="00777303"/>
    <w:rsid w:val="007775A9"/>
    <w:rsid w:val="0077774C"/>
    <w:rsid w:val="00777BB5"/>
    <w:rsid w:val="00780BB6"/>
    <w:rsid w:val="00781175"/>
    <w:rsid w:val="007822E3"/>
    <w:rsid w:val="00782DFF"/>
    <w:rsid w:val="007837DA"/>
    <w:rsid w:val="00783DC2"/>
    <w:rsid w:val="00784320"/>
    <w:rsid w:val="007852BC"/>
    <w:rsid w:val="007860BD"/>
    <w:rsid w:val="0078664E"/>
    <w:rsid w:val="007869EC"/>
    <w:rsid w:val="0078734E"/>
    <w:rsid w:val="0079245A"/>
    <w:rsid w:val="00793166"/>
    <w:rsid w:val="00793FA3"/>
    <w:rsid w:val="00794C65"/>
    <w:rsid w:val="00794F85"/>
    <w:rsid w:val="00795237"/>
    <w:rsid w:val="0079552E"/>
    <w:rsid w:val="00796A0A"/>
    <w:rsid w:val="00797F6A"/>
    <w:rsid w:val="007A1EF8"/>
    <w:rsid w:val="007A2790"/>
    <w:rsid w:val="007A2B09"/>
    <w:rsid w:val="007A4FD0"/>
    <w:rsid w:val="007A6428"/>
    <w:rsid w:val="007A68FC"/>
    <w:rsid w:val="007A7096"/>
    <w:rsid w:val="007A737C"/>
    <w:rsid w:val="007A7A11"/>
    <w:rsid w:val="007B063C"/>
    <w:rsid w:val="007B0D5E"/>
    <w:rsid w:val="007B15AA"/>
    <w:rsid w:val="007B2566"/>
    <w:rsid w:val="007B2699"/>
    <w:rsid w:val="007B272A"/>
    <w:rsid w:val="007B27FD"/>
    <w:rsid w:val="007B2B16"/>
    <w:rsid w:val="007B30A7"/>
    <w:rsid w:val="007B4C0B"/>
    <w:rsid w:val="007B4F7D"/>
    <w:rsid w:val="007B5D84"/>
    <w:rsid w:val="007B63E7"/>
    <w:rsid w:val="007B6487"/>
    <w:rsid w:val="007B67FD"/>
    <w:rsid w:val="007B7168"/>
    <w:rsid w:val="007B7293"/>
    <w:rsid w:val="007C0BAC"/>
    <w:rsid w:val="007C2580"/>
    <w:rsid w:val="007C3E47"/>
    <w:rsid w:val="007C460E"/>
    <w:rsid w:val="007C4AA6"/>
    <w:rsid w:val="007C5697"/>
    <w:rsid w:val="007C6D2F"/>
    <w:rsid w:val="007C6E6C"/>
    <w:rsid w:val="007D1958"/>
    <w:rsid w:val="007D1962"/>
    <w:rsid w:val="007D2006"/>
    <w:rsid w:val="007D24E2"/>
    <w:rsid w:val="007D2EAC"/>
    <w:rsid w:val="007D36D2"/>
    <w:rsid w:val="007D6A8F"/>
    <w:rsid w:val="007E0091"/>
    <w:rsid w:val="007E042F"/>
    <w:rsid w:val="007E162D"/>
    <w:rsid w:val="007E2758"/>
    <w:rsid w:val="007E3C82"/>
    <w:rsid w:val="007E4C60"/>
    <w:rsid w:val="007E6DE4"/>
    <w:rsid w:val="007E6EB7"/>
    <w:rsid w:val="007E791C"/>
    <w:rsid w:val="007F03DE"/>
    <w:rsid w:val="007F1303"/>
    <w:rsid w:val="007F25A3"/>
    <w:rsid w:val="007F3258"/>
    <w:rsid w:val="007F371E"/>
    <w:rsid w:val="007F3D7C"/>
    <w:rsid w:val="007F457F"/>
    <w:rsid w:val="007F4B97"/>
    <w:rsid w:val="007F5256"/>
    <w:rsid w:val="007F5988"/>
    <w:rsid w:val="007F5AD1"/>
    <w:rsid w:val="007F69EA"/>
    <w:rsid w:val="007F6A86"/>
    <w:rsid w:val="007F6FDC"/>
    <w:rsid w:val="007F79EE"/>
    <w:rsid w:val="0080285A"/>
    <w:rsid w:val="008043B5"/>
    <w:rsid w:val="008050CE"/>
    <w:rsid w:val="008054BC"/>
    <w:rsid w:val="008054BE"/>
    <w:rsid w:val="00807CE2"/>
    <w:rsid w:val="00810812"/>
    <w:rsid w:val="0081092C"/>
    <w:rsid w:val="00812452"/>
    <w:rsid w:val="00812F77"/>
    <w:rsid w:val="0081446E"/>
    <w:rsid w:val="008147EC"/>
    <w:rsid w:val="00814826"/>
    <w:rsid w:val="008148BF"/>
    <w:rsid w:val="00814B6C"/>
    <w:rsid w:val="00815F4A"/>
    <w:rsid w:val="00816947"/>
    <w:rsid w:val="00820F70"/>
    <w:rsid w:val="00821B59"/>
    <w:rsid w:val="0082201C"/>
    <w:rsid w:val="00822269"/>
    <w:rsid w:val="0082226B"/>
    <w:rsid w:val="00823567"/>
    <w:rsid w:val="00824554"/>
    <w:rsid w:val="00825909"/>
    <w:rsid w:val="00827D1E"/>
    <w:rsid w:val="0083091D"/>
    <w:rsid w:val="00830B37"/>
    <w:rsid w:val="008329C0"/>
    <w:rsid w:val="00833484"/>
    <w:rsid w:val="00833683"/>
    <w:rsid w:val="00835702"/>
    <w:rsid w:val="00835CC8"/>
    <w:rsid w:val="008362D0"/>
    <w:rsid w:val="00836858"/>
    <w:rsid w:val="00836CCB"/>
    <w:rsid w:val="00841328"/>
    <w:rsid w:val="008413C0"/>
    <w:rsid w:val="00843DAE"/>
    <w:rsid w:val="008443F0"/>
    <w:rsid w:val="00844632"/>
    <w:rsid w:val="008446FD"/>
    <w:rsid w:val="008448E8"/>
    <w:rsid w:val="00844A83"/>
    <w:rsid w:val="00845366"/>
    <w:rsid w:val="0084588D"/>
    <w:rsid w:val="00846743"/>
    <w:rsid w:val="00850969"/>
    <w:rsid w:val="00850BD5"/>
    <w:rsid w:val="00852627"/>
    <w:rsid w:val="00852B53"/>
    <w:rsid w:val="00853154"/>
    <w:rsid w:val="00855E71"/>
    <w:rsid w:val="00856C8E"/>
    <w:rsid w:val="00857359"/>
    <w:rsid w:val="0086154B"/>
    <w:rsid w:val="00861678"/>
    <w:rsid w:val="00861B93"/>
    <w:rsid w:val="0086243D"/>
    <w:rsid w:val="0086282C"/>
    <w:rsid w:val="008631E9"/>
    <w:rsid w:val="00863667"/>
    <w:rsid w:val="00863C6A"/>
    <w:rsid w:val="008642F6"/>
    <w:rsid w:val="00864387"/>
    <w:rsid w:val="0086438B"/>
    <w:rsid w:val="008643C4"/>
    <w:rsid w:val="0086471F"/>
    <w:rsid w:val="0086575C"/>
    <w:rsid w:val="00865F84"/>
    <w:rsid w:val="008661B6"/>
    <w:rsid w:val="008667E6"/>
    <w:rsid w:val="00866A5F"/>
    <w:rsid w:val="008671BF"/>
    <w:rsid w:val="008676FA"/>
    <w:rsid w:val="00867F2F"/>
    <w:rsid w:val="00872351"/>
    <w:rsid w:val="008728F0"/>
    <w:rsid w:val="0087299F"/>
    <w:rsid w:val="008733DB"/>
    <w:rsid w:val="00873E73"/>
    <w:rsid w:val="00873F3B"/>
    <w:rsid w:val="008750D2"/>
    <w:rsid w:val="0087557F"/>
    <w:rsid w:val="00875DFD"/>
    <w:rsid w:val="00876E8A"/>
    <w:rsid w:val="0088274D"/>
    <w:rsid w:val="00883949"/>
    <w:rsid w:val="00884C1B"/>
    <w:rsid w:val="00885C03"/>
    <w:rsid w:val="0088661F"/>
    <w:rsid w:val="008903AD"/>
    <w:rsid w:val="008909EE"/>
    <w:rsid w:val="00890B53"/>
    <w:rsid w:val="0089187F"/>
    <w:rsid w:val="00891ADB"/>
    <w:rsid w:val="00891FA9"/>
    <w:rsid w:val="0089235F"/>
    <w:rsid w:val="0089332F"/>
    <w:rsid w:val="008933C9"/>
    <w:rsid w:val="0089764D"/>
    <w:rsid w:val="008A0313"/>
    <w:rsid w:val="008A16B7"/>
    <w:rsid w:val="008A2350"/>
    <w:rsid w:val="008A3405"/>
    <w:rsid w:val="008A3A16"/>
    <w:rsid w:val="008A5006"/>
    <w:rsid w:val="008A501B"/>
    <w:rsid w:val="008A50A3"/>
    <w:rsid w:val="008A543E"/>
    <w:rsid w:val="008A5909"/>
    <w:rsid w:val="008A5B80"/>
    <w:rsid w:val="008A7B47"/>
    <w:rsid w:val="008B09D5"/>
    <w:rsid w:val="008B09E8"/>
    <w:rsid w:val="008B0BF6"/>
    <w:rsid w:val="008B1E80"/>
    <w:rsid w:val="008B22C0"/>
    <w:rsid w:val="008B4BA0"/>
    <w:rsid w:val="008B65A1"/>
    <w:rsid w:val="008B676C"/>
    <w:rsid w:val="008B7BEB"/>
    <w:rsid w:val="008B7C2D"/>
    <w:rsid w:val="008C0F4E"/>
    <w:rsid w:val="008C39A3"/>
    <w:rsid w:val="008C3B87"/>
    <w:rsid w:val="008C3E03"/>
    <w:rsid w:val="008C40CA"/>
    <w:rsid w:val="008C447F"/>
    <w:rsid w:val="008C46E8"/>
    <w:rsid w:val="008C49AB"/>
    <w:rsid w:val="008C50D5"/>
    <w:rsid w:val="008C57A2"/>
    <w:rsid w:val="008C6AC4"/>
    <w:rsid w:val="008C74C6"/>
    <w:rsid w:val="008C751F"/>
    <w:rsid w:val="008D1E66"/>
    <w:rsid w:val="008D1EF9"/>
    <w:rsid w:val="008D58D0"/>
    <w:rsid w:val="008D63CA"/>
    <w:rsid w:val="008D7B77"/>
    <w:rsid w:val="008E0B9E"/>
    <w:rsid w:val="008E141F"/>
    <w:rsid w:val="008E1597"/>
    <w:rsid w:val="008E1819"/>
    <w:rsid w:val="008E1858"/>
    <w:rsid w:val="008E2DCB"/>
    <w:rsid w:val="008E44AC"/>
    <w:rsid w:val="008E45EA"/>
    <w:rsid w:val="008E49BD"/>
    <w:rsid w:val="008E66F0"/>
    <w:rsid w:val="008F03DC"/>
    <w:rsid w:val="008F0663"/>
    <w:rsid w:val="008F2AA0"/>
    <w:rsid w:val="008F3643"/>
    <w:rsid w:val="008F3D42"/>
    <w:rsid w:val="008F432B"/>
    <w:rsid w:val="008F48B4"/>
    <w:rsid w:val="008F4BD8"/>
    <w:rsid w:val="008F58D3"/>
    <w:rsid w:val="008F7EC0"/>
    <w:rsid w:val="00900AFB"/>
    <w:rsid w:val="00901DCF"/>
    <w:rsid w:val="00903B06"/>
    <w:rsid w:val="0090404A"/>
    <w:rsid w:val="00904F21"/>
    <w:rsid w:val="00906BA6"/>
    <w:rsid w:val="00906C4B"/>
    <w:rsid w:val="00907D07"/>
    <w:rsid w:val="0091117B"/>
    <w:rsid w:val="009134C1"/>
    <w:rsid w:val="0091373E"/>
    <w:rsid w:val="00913EE9"/>
    <w:rsid w:val="009160F2"/>
    <w:rsid w:val="009161F9"/>
    <w:rsid w:val="009165BC"/>
    <w:rsid w:val="00916C00"/>
    <w:rsid w:val="009178C0"/>
    <w:rsid w:val="009212B1"/>
    <w:rsid w:val="0092149F"/>
    <w:rsid w:val="0092294D"/>
    <w:rsid w:val="0092302D"/>
    <w:rsid w:val="00923222"/>
    <w:rsid w:val="00923412"/>
    <w:rsid w:val="00923C9B"/>
    <w:rsid w:val="00923CB1"/>
    <w:rsid w:val="009243EE"/>
    <w:rsid w:val="00924B0A"/>
    <w:rsid w:val="00927ED8"/>
    <w:rsid w:val="00930854"/>
    <w:rsid w:val="009316F4"/>
    <w:rsid w:val="00931A1C"/>
    <w:rsid w:val="0093211D"/>
    <w:rsid w:val="009332D5"/>
    <w:rsid w:val="00933ACA"/>
    <w:rsid w:val="00934531"/>
    <w:rsid w:val="00934DDB"/>
    <w:rsid w:val="0093591C"/>
    <w:rsid w:val="009405B8"/>
    <w:rsid w:val="0094137D"/>
    <w:rsid w:val="00944F00"/>
    <w:rsid w:val="00945B76"/>
    <w:rsid w:val="00946432"/>
    <w:rsid w:val="00947E0D"/>
    <w:rsid w:val="00953D72"/>
    <w:rsid w:val="009563A7"/>
    <w:rsid w:val="009565E2"/>
    <w:rsid w:val="009603B5"/>
    <w:rsid w:val="00960D7D"/>
    <w:rsid w:val="0096308F"/>
    <w:rsid w:val="0096476E"/>
    <w:rsid w:val="00966CE8"/>
    <w:rsid w:val="009721B2"/>
    <w:rsid w:val="009727A3"/>
    <w:rsid w:val="0097333B"/>
    <w:rsid w:val="009773D4"/>
    <w:rsid w:val="00977DAF"/>
    <w:rsid w:val="00981BD1"/>
    <w:rsid w:val="00983169"/>
    <w:rsid w:val="00983288"/>
    <w:rsid w:val="009854B4"/>
    <w:rsid w:val="00986D84"/>
    <w:rsid w:val="0099029D"/>
    <w:rsid w:val="00991D97"/>
    <w:rsid w:val="009922EE"/>
    <w:rsid w:val="009929B7"/>
    <w:rsid w:val="00995000"/>
    <w:rsid w:val="00995179"/>
    <w:rsid w:val="00995600"/>
    <w:rsid w:val="0099583D"/>
    <w:rsid w:val="009961A4"/>
    <w:rsid w:val="009967CA"/>
    <w:rsid w:val="009971FA"/>
    <w:rsid w:val="009A05B8"/>
    <w:rsid w:val="009A0DCE"/>
    <w:rsid w:val="009A12D2"/>
    <w:rsid w:val="009A3058"/>
    <w:rsid w:val="009A35E8"/>
    <w:rsid w:val="009A4061"/>
    <w:rsid w:val="009A483E"/>
    <w:rsid w:val="009A5E1D"/>
    <w:rsid w:val="009A62B9"/>
    <w:rsid w:val="009A667C"/>
    <w:rsid w:val="009B0380"/>
    <w:rsid w:val="009B04E1"/>
    <w:rsid w:val="009B23A4"/>
    <w:rsid w:val="009B475A"/>
    <w:rsid w:val="009B5C4B"/>
    <w:rsid w:val="009B6142"/>
    <w:rsid w:val="009B6E36"/>
    <w:rsid w:val="009B7CEF"/>
    <w:rsid w:val="009C03B1"/>
    <w:rsid w:val="009C0436"/>
    <w:rsid w:val="009C0996"/>
    <w:rsid w:val="009C0B2A"/>
    <w:rsid w:val="009C14AB"/>
    <w:rsid w:val="009C1CCB"/>
    <w:rsid w:val="009C2F43"/>
    <w:rsid w:val="009C4D4E"/>
    <w:rsid w:val="009C54F1"/>
    <w:rsid w:val="009C5BDE"/>
    <w:rsid w:val="009C5C2B"/>
    <w:rsid w:val="009C5CFE"/>
    <w:rsid w:val="009C7176"/>
    <w:rsid w:val="009C79A8"/>
    <w:rsid w:val="009D0E3D"/>
    <w:rsid w:val="009D154E"/>
    <w:rsid w:val="009D18EE"/>
    <w:rsid w:val="009D310B"/>
    <w:rsid w:val="009D3F88"/>
    <w:rsid w:val="009D3FDB"/>
    <w:rsid w:val="009D44FA"/>
    <w:rsid w:val="009D5028"/>
    <w:rsid w:val="009E04DC"/>
    <w:rsid w:val="009E14CE"/>
    <w:rsid w:val="009E1CC7"/>
    <w:rsid w:val="009E210D"/>
    <w:rsid w:val="009E244A"/>
    <w:rsid w:val="009E2C47"/>
    <w:rsid w:val="009E3530"/>
    <w:rsid w:val="009E3B6F"/>
    <w:rsid w:val="009E4E6E"/>
    <w:rsid w:val="009E670B"/>
    <w:rsid w:val="009F1A6F"/>
    <w:rsid w:val="009F20CD"/>
    <w:rsid w:val="009F3256"/>
    <w:rsid w:val="009F3423"/>
    <w:rsid w:val="009F3431"/>
    <w:rsid w:val="009F3E82"/>
    <w:rsid w:val="009F4276"/>
    <w:rsid w:val="009F4B14"/>
    <w:rsid w:val="009F5545"/>
    <w:rsid w:val="009F75AB"/>
    <w:rsid w:val="009F7B2A"/>
    <w:rsid w:val="00A002A8"/>
    <w:rsid w:val="00A00465"/>
    <w:rsid w:val="00A019C4"/>
    <w:rsid w:val="00A0248A"/>
    <w:rsid w:val="00A04119"/>
    <w:rsid w:val="00A047DA"/>
    <w:rsid w:val="00A04847"/>
    <w:rsid w:val="00A04869"/>
    <w:rsid w:val="00A05EDD"/>
    <w:rsid w:val="00A06639"/>
    <w:rsid w:val="00A068BD"/>
    <w:rsid w:val="00A06BB8"/>
    <w:rsid w:val="00A07F42"/>
    <w:rsid w:val="00A102D5"/>
    <w:rsid w:val="00A10627"/>
    <w:rsid w:val="00A1082C"/>
    <w:rsid w:val="00A11121"/>
    <w:rsid w:val="00A15228"/>
    <w:rsid w:val="00A15A05"/>
    <w:rsid w:val="00A16315"/>
    <w:rsid w:val="00A1727F"/>
    <w:rsid w:val="00A2034C"/>
    <w:rsid w:val="00A2101D"/>
    <w:rsid w:val="00A22062"/>
    <w:rsid w:val="00A22B87"/>
    <w:rsid w:val="00A22E20"/>
    <w:rsid w:val="00A24371"/>
    <w:rsid w:val="00A249CC"/>
    <w:rsid w:val="00A252A5"/>
    <w:rsid w:val="00A25344"/>
    <w:rsid w:val="00A25D98"/>
    <w:rsid w:val="00A2603E"/>
    <w:rsid w:val="00A265E1"/>
    <w:rsid w:val="00A26711"/>
    <w:rsid w:val="00A2685C"/>
    <w:rsid w:val="00A2792E"/>
    <w:rsid w:val="00A301F5"/>
    <w:rsid w:val="00A302AD"/>
    <w:rsid w:val="00A30B3C"/>
    <w:rsid w:val="00A317F9"/>
    <w:rsid w:val="00A31C41"/>
    <w:rsid w:val="00A3226A"/>
    <w:rsid w:val="00A3245B"/>
    <w:rsid w:val="00A3266C"/>
    <w:rsid w:val="00A32F31"/>
    <w:rsid w:val="00A33412"/>
    <w:rsid w:val="00A35B6D"/>
    <w:rsid w:val="00A35C66"/>
    <w:rsid w:val="00A35FE7"/>
    <w:rsid w:val="00A37936"/>
    <w:rsid w:val="00A41798"/>
    <w:rsid w:val="00A424D4"/>
    <w:rsid w:val="00A46BD6"/>
    <w:rsid w:val="00A47523"/>
    <w:rsid w:val="00A51454"/>
    <w:rsid w:val="00A520C2"/>
    <w:rsid w:val="00A52BDC"/>
    <w:rsid w:val="00A53501"/>
    <w:rsid w:val="00A53A72"/>
    <w:rsid w:val="00A55103"/>
    <w:rsid w:val="00A57C3E"/>
    <w:rsid w:val="00A57EC8"/>
    <w:rsid w:val="00A6115F"/>
    <w:rsid w:val="00A61646"/>
    <w:rsid w:val="00A61937"/>
    <w:rsid w:val="00A6307F"/>
    <w:rsid w:val="00A63D32"/>
    <w:rsid w:val="00A66800"/>
    <w:rsid w:val="00A6764F"/>
    <w:rsid w:val="00A67E83"/>
    <w:rsid w:val="00A70733"/>
    <w:rsid w:val="00A70B81"/>
    <w:rsid w:val="00A71EF3"/>
    <w:rsid w:val="00A7233C"/>
    <w:rsid w:val="00A74C0E"/>
    <w:rsid w:val="00A77E97"/>
    <w:rsid w:val="00A80B20"/>
    <w:rsid w:val="00A80EC7"/>
    <w:rsid w:val="00A80FF1"/>
    <w:rsid w:val="00A810C7"/>
    <w:rsid w:val="00A81A6D"/>
    <w:rsid w:val="00A8241A"/>
    <w:rsid w:val="00A826A0"/>
    <w:rsid w:val="00A84E04"/>
    <w:rsid w:val="00A84F96"/>
    <w:rsid w:val="00A85F78"/>
    <w:rsid w:val="00A8610A"/>
    <w:rsid w:val="00A86EF3"/>
    <w:rsid w:val="00A90FB0"/>
    <w:rsid w:val="00A93F6A"/>
    <w:rsid w:val="00A94FFE"/>
    <w:rsid w:val="00A95D26"/>
    <w:rsid w:val="00A96153"/>
    <w:rsid w:val="00A96B23"/>
    <w:rsid w:val="00A96BB1"/>
    <w:rsid w:val="00AA122B"/>
    <w:rsid w:val="00AA1894"/>
    <w:rsid w:val="00AA1D0B"/>
    <w:rsid w:val="00AA3258"/>
    <w:rsid w:val="00AA3C3D"/>
    <w:rsid w:val="00AA4FCB"/>
    <w:rsid w:val="00AA5504"/>
    <w:rsid w:val="00AA5C4B"/>
    <w:rsid w:val="00AA5EE0"/>
    <w:rsid w:val="00AA60BC"/>
    <w:rsid w:val="00AA6737"/>
    <w:rsid w:val="00AB370F"/>
    <w:rsid w:val="00AB3AD0"/>
    <w:rsid w:val="00AB54A2"/>
    <w:rsid w:val="00AB571A"/>
    <w:rsid w:val="00AB686A"/>
    <w:rsid w:val="00AB7310"/>
    <w:rsid w:val="00AB79AB"/>
    <w:rsid w:val="00AC1B3C"/>
    <w:rsid w:val="00AC2291"/>
    <w:rsid w:val="00AC2C9A"/>
    <w:rsid w:val="00AC40CA"/>
    <w:rsid w:val="00AC4F98"/>
    <w:rsid w:val="00AC64E6"/>
    <w:rsid w:val="00AC733F"/>
    <w:rsid w:val="00AD246A"/>
    <w:rsid w:val="00AD26C2"/>
    <w:rsid w:val="00AD4F51"/>
    <w:rsid w:val="00AD5D5B"/>
    <w:rsid w:val="00AD62BF"/>
    <w:rsid w:val="00AD77C9"/>
    <w:rsid w:val="00AE18F3"/>
    <w:rsid w:val="00AE2414"/>
    <w:rsid w:val="00AE272B"/>
    <w:rsid w:val="00AE3E19"/>
    <w:rsid w:val="00AE44DB"/>
    <w:rsid w:val="00AE44FD"/>
    <w:rsid w:val="00AE484B"/>
    <w:rsid w:val="00AE4DAF"/>
    <w:rsid w:val="00AE5930"/>
    <w:rsid w:val="00AE61BE"/>
    <w:rsid w:val="00AE62A7"/>
    <w:rsid w:val="00AE6CE8"/>
    <w:rsid w:val="00AE76C5"/>
    <w:rsid w:val="00AE7977"/>
    <w:rsid w:val="00AE7C44"/>
    <w:rsid w:val="00AF0C75"/>
    <w:rsid w:val="00AF16CA"/>
    <w:rsid w:val="00AF273E"/>
    <w:rsid w:val="00AF305F"/>
    <w:rsid w:val="00AF36BD"/>
    <w:rsid w:val="00AF42B4"/>
    <w:rsid w:val="00AF5ECA"/>
    <w:rsid w:val="00AF7281"/>
    <w:rsid w:val="00B00864"/>
    <w:rsid w:val="00B01109"/>
    <w:rsid w:val="00B013AC"/>
    <w:rsid w:val="00B018F2"/>
    <w:rsid w:val="00B01AB7"/>
    <w:rsid w:val="00B02137"/>
    <w:rsid w:val="00B03CBC"/>
    <w:rsid w:val="00B04F8B"/>
    <w:rsid w:val="00B05CF2"/>
    <w:rsid w:val="00B07B0E"/>
    <w:rsid w:val="00B10055"/>
    <w:rsid w:val="00B106ED"/>
    <w:rsid w:val="00B11951"/>
    <w:rsid w:val="00B11FF7"/>
    <w:rsid w:val="00B121B6"/>
    <w:rsid w:val="00B134AB"/>
    <w:rsid w:val="00B13D77"/>
    <w:rsid w:val="00B14605"/>
    <w:rsid w:val="00B1497A"/>
    <w:rsid w:val="00B14AD9"/>
    <w:rsid w:val="00B15682"/>
    <w:rsid w:val="00B15E01"/>
    <w:rsid w:val="00B16BC2"/>
    <w:rsid w:val="00B20080"/>
    <w:rsid w:val="00B205D3"/>
    <w:rsid w:val="00B21647"/>
    <w:rsid w:val="00B22ACC"/>
    <w:rsid w:val="00B24A32"/>
    <w:rsid w:val="00B24FE0"/>
    <w:rsid w:val="00B25FA6"/>
    <w:rsid w:val="00B26AC0"/>
    <w:rsid w:val="00B31E18"/>
    <w:rsid w:val="00B328A0"/>
    <w:rsid w:val="00B32D48"/>
    <w:rsid w:val="00B33FF2"/>
    <w:rsid w:val="00B348A4"/>
    <w:rsid w:val="00B353C4"/>
    <w:rsid w:val="00B359E2"/>
    <w:rsid w:val="00B40AD0"/>
    <w:rsid w:val="00B42D21"/>
    <w:rsid w:val="00B42D22"/>
    <w:rsid w:val="00B43FE0"/>
    <w:rsid w:val="00B450B3"/>
    <w:rsid w:val="00B46FAD"/>
    <w:rsid w:val="00B5027D"/>
    <w:rsid w:val="00B50AFE"/>
    <w:rsid w:val="00B51767"/>
    <w:rsid w:val="00B537AC"/>
    <w:rsid w:val="00B55A53"/>
    <w:rsid w:val="00B55DC1"/>
    <w:rsid w:val="00B5636C"/>
    <w:rsid w:val="00B56541"/>
    <w:rsid w:val="00B570CA"/>
    <w:rsid w:val="00B6106D"/>
    <w:rsid w:val="00B64302"/>
    <w:rsid w:val="00B64ABE"/>
    <w:rsid w:val="00B64B03"/>
    <w:rsid w:val="00B65DF3"/>
    <w:rsid w:val="00B66CA8"/>
    <w:rsid w:val="00B71592"/>
    <w:rsid w:val="00B71D4F"/>
    <w:rsid w:val="00B723BE"/>
    <w:rsid w:val="00B7454D"/>
    <w:rsid w:val="00B746C8"/>
    <w:rsid w:val="00B74828"/>
    <w:rsid w:val="00B74847"/>
    <w:rsid w:val="00B761E9"/>
    <w:rsid w:val="00B7749A"/>
    <w:rsid w:val="00B80396"/>
    <w:rsid w:val="00B82705"/>
    <w:rsid w:val="00B82CC8"/>
    <w:rsid w:val="00B82EE4"/>
    <w:rsid w:val="00B86208"/>
    <w:rsid w:val="00B86FE6"/>
    <w:rsid w:val="00B87713"/>
    <w:rsid w:val="00B87904"/>
    <w:rsid w:val="00B87B16"/>
    <w:rsid w:val="00B90336"/>
    <w:rsid w:val="00B90CD7"/>
    <w:rsid w:val="00B90F33"/>
    <w:rsid w:val="00B91B6F"/>
    <w:rsid w:val="00B91D9A"/>
    <w:rsid w:val="00B923C5"/>
    <w:rsid w:val="00B92B19"/>
    <w:rsid w:val="00B93172"/>
    <w:rsid w:val="00B94B7A"/>
    <w:rsid w:val="00B95FD7"/>
    <w:rsid w:val="00B965E0"/>
    <w:rsid w:val="00B96901"/>
    <w:rsid w:val="00B97D59"/>
    <w:rsid w:val="00BA060E"/>
    <w:rsid w:val="00BA0BBF"/>
    <w:rsid w:val="00BA0EA2"/>
    <w:rsid w:val="00BA231E"/>
    <w:rsid w:val="00BA253D"/>
    <w:rsid w:val="00BA25E9"/>
    <w:rsid w:val="00BA4184"/>
    <w:rsid w:val="00BA491C"/>
    <w:rsid w:val="00BA6D74"/>
    <w:rsid w:val="00BA796C"/>
    <w:rsid w:val="00BB0DD2"/>
    <w:rsid w:val="00BB0E4D"/>
    <w:rsid w:val="00BB1332"/>
    <w:rsid w:val="00BB1454"/>
    <w:rsid w:val="00BB2FF2"/>
    <w:rsid w:val="00BB36B3"/>
    <w:rsid w:val="00BB381A"/>
    <w:rsid w:val="00BB4C98"/>
    <w:rsid w:val="00BB5D92"/>
    <w:rsid w:val="00BB5F5C"/>
    <w:rsid w:val="00BB7574"/>
    <w:rsid w:val="00BB774A"/>
    <w:rsid w:val="00BC0BF3"/>
    <w:rsid w:val="00BC2670"/>
    <w:rsid w:val="00BC3498"/>
    <w:rsid w:val="00BC5549"/>
    <w:rsid w:val="00BC65D1"/>
    <w:rsid w:val="00BC72B8"/>
    <w:rsid w:val="00BC7B52"/>
    <w:rsid w:val="00BC7E03"/>
    <w:rsid w:val="00BD0443"/>
    <w:rsid w:val="00BD12F7"/>
    <w:rsid w:val="00BD23EB"/>
    <w:rsid w:val="00BD2B35"/>
    <w:rsid w:val="00BD32A3"/>
    <w:rsid w:val="00BD35CC"/>
    <w:rsid w:val="00BD3D2C"/>
    <w:rsid w:val="00BD5FF2"/>
    <w:rsid w:val="00BD70F5"/>
    <w:rsid w:val="00BD79B7"/>
    <w:rsid w:val="00BE08FC"/>
    <w:rsid w:val="00BE1540"/>
    <w:rsid w:val="00BE1F3D"/>
    <w:rsid w:val="00BE292E"/>
    <w:rsid w:val="00BE309B"/>
    <w:rsid w:val="00BE4AA8"/>
    <w:rsid w:val="00BE550C"/>
    <w:rsid w:val="00BE5A3B"/>
    <w:rsid w:val="00BE5BA8"/>
    <w:rsid w:val="00BE5E3C"/>
    <w:rsid w:val="00BE63C0"/>
    <w:rsid w:val="00BE7607"/>
    <w:rsid w:val="00BE77EE"/>
    <w:rsid w:val="00BF0587"/>
    <w:rsid w:val="00BF0D60"/>
    <w:rsid w:val="00BF1E44"/>
    <w:rsid w:val="00BF2645"/>
    <w:rsid w:val="00BF4FF2"/>
    <w:rsid w:val="00C000D5"/>
    <w:rsid w:val="00C0231A"/>
    <w:rsid w:val="00C03ED5"/>
    <w:rsid w:val="00C0438D"/>
    <w:rsid w:val="00C04C37"/>
    <w:rsid w:val="00C04C6F"/>
    <w:rsid w:val="00C0665D"/>
    <w:rsid w:val="00C071B6"/>
    <w:rsid w:val="00C072AE"/>
    <w:rsid w:val="00C105B8"/>
    <w:rsid w:val="00C10939"/>
    <w:rsid w:val="00C1219E"/>
    <w:rsid w:val="00C12889"/>
    <w:rsid w:val="00C12EF1"/>
    <w:rsid w:val="00C13222"/>
    <w:rsid w:val="00C1614C"/>
    <w:rsid w:val="00C164BB"/>
    <w:rsid w:val="00C16893"/>
    <w:rsid w:val="00C170CC"/>
    <w:rsid w:val="00C176E4"/>
    <w:rsid w:val="00C17F32"/>
    <w:rsid w:val="00C205A9"/>
    <w:rsid w:val="00C20DA0"/>
    <w:rsid w:val="00C2202C"/>
    <w:rsid w:val="00C22F44"/>
    <w:rsid w:val="00C235A8"/>
    <w:rsid w:val="00C23C64"/>
    <w:rsid w:val="00C23D88"/>
    <w:rsid w:val="00C26DEE"/>
    <w:rsid w:val="00C27518"/>
    <w:rsid w:val="00C27D57"/>
    <w:rsid w:val="00C30DD4"/>
    <w:rsid w:val="00C311D1"/>
    <w:rsid w:val="00C329C0"/>
    <w:rsid w:val="00C3385B"/>
    <w:rsid w:val="00C338DD"/>
    <w:rsid w:val="00C35614"/>
    <w:rsid w:val="00C400C1"/>
    <w:rsid w:val="00C402CE"/>
    <w:rsid w:val="00C40649"/>
    <w:rsid w:val="00C408D7"/>
    <w:rsid w:val="00C40AEE"/>
    <w:rsid w:val="00C40E64"/>
    <w:rsid w:val="00C412EB"/>
    <w:rsid w:val="00C43581"/>
    <w:rsid w:val="00C44F75"/>
    <w:rsid w:val="00C450E4"/>
    <w:rsid w:val="00C451E8"/>
    <w:rsid w:val="00C45ED1"/>
    <w:rsid w:val="00C46CC2"/>
    <w:rsid w:val="00C504E9"/>
    <w:rsid w:val="00C51264"/>
    <w:rsid w:val="00C5183F"/>
    <w:rsid w:val="00C553A9"/>
    <w:rsid w:val="00C558D1"/>
    <w:rsid w:val="00C558FD"/>
    <w:rsid w:val="00C55F32"/>
    <w:rsid w:val="00C57FF2"/>
    <w:rsid w:val="00C60376"/>
    <w:rsid w:val="00C60416"/>
    <w:rsid w:val="00C609E4"/>
    <w:rsid w:val="00C617C2"/>
    <w:rsid w:val="00C6439E"/>
    <w:rsid w:val="00C64D47"/>
    <w:rsid w:val="00C654C5"/>
    <w:rsid w:val="00C65CC0"/>
    <w:rsid w:val="00C666CD"/>
    <w:rsid w:val="00C71699"/>
    <w:rsid w:val="00C71D6B"/>
    <w:rsid w:val="00C73153"/>
    <w:rsid w:val="00C73304"/>
    <w:rsid w:val="00C740CD"/>
    <w:rsid w:val="00C77A3F"/>
    <w:rsid w:val="00C77D84"/>
    <w:rsid w:val="00C80EA2"/>
    <w:rsid w:val="00C80F12"/>
    <w:rsid w:val="00C82198"/>
    <w:rsid w:val="00C82CBA"/>
    <w:rsid w:val="00C83925"/>
    <w:rsid w:val="00C846C4"/>
    <w:rsid w:val="00C85743"/>
    <w:rsid w:val="00C85FD4"/>
    <w:rsid w:val="00C90884"/>
    <w:rsid w:val="00C91494"/>
    <w:rsid w:val="00C9317D"/>
    <w:rsid w:val="00C931AE"/>
    <w:rsid w:val="00C93531"/>
    <w:rsid w:val="00C948BE"/>
    <w:rsid w:val="00C94933"/>
    <w:rsid w:val="00C94B27"/>
    <w:rsid w:val="00C953FA"/>
    <w:rsid w:val="00CA1265"/>
    <w:rsid w:val="00CA130B"/>
    <w:rsid w:val="00CA13E6"/>
    <w:rsid w:val="00CA2E40"/>
    <w:rsid w:val="00CA32F4"/>
    <w:rsid w:val="00CA3C06"/>
    <w:rsid w:val="00CB0D31"/>
    <w:rsid w:val="00CB3F66"/>
    <w:rsid w:val="00CB5AD3"/>
    <w:rsid w:val="00CB638D"/>
    <w:rsid w:val="00CB6C52"/>
    <w:rsid w:val="00CC0013"/>
    <w:rsid w:val="00CC119E"/>
    <w:rsid w:val="00CC12FC"/>
    <w:rsid w:val="00CC1555"/>
    <w:rsid w:val="00CC199D"/>
    <w:rsid w:val="00CC291A"/>
    <w:rsid w:val="00CC2DE9"/>
    <w:rsid w:val="00CC30A2"/>
    <w:rsid w:val="00CC5684"/>
    <w:rsid w:val="00CC6437"/>
    <w:rsid w:val="00CD013E"/>
    <w:rsid w:val="00CD0FF7"/>
    <w:rsid w:val="00CD144A"/>
    <w:rsid w:val="00CD164E"/>
    <w:rsid w:val="00CD1797"/>
    <w:rsid w:val="00CD1D67"/>
    <w:rsid w:val="00CD3827"/>
    <w:rsid w:val="00CD3A15"/>
    <w:rsid w:val="00CD3DE0"/>
    <w:rsid w:val="00CD5177"/>
    <w:rsid w:val="00CD52A5"/>
    <w:rsid w:val="00CD7BC9"/>
    <w:rsid w:val="00CE0E04"/>
    <w:rsid w:val="00CE1C84"/>
    <w:rsid w:val="00CE227D"/>
    <w:rsid w:val="00CE2AD6"/>
    <w:rsid w:val="00CE3C73"/>
    <w:rsid w:val="00CE44A3"/>
    <w:rsid w:val="00CE45B8"/>
    <w:rsid w:val="00CE4E8C"/>
    <w:rsid w:val="00CE6913"/>
    <w:rsid w:val="00CE7858"/>
    <w:rsid w:val="00CE7FE7"/>
    <w:rsid w:val="00CF21EB"/>
    <w:rsid w:val="00CF3025"/>
    <w:rsid w:val="00CF415D"/>
    <w:rsid w:val="00CF5F96"/>
    <w:rsid w:val="00CF60A1"/>
    <w:rsid w:val="00CF6414"/>
    <w:rsid w:val="00CF6C32"/>
    <w:rsid w:val="00CF7DEB"/>
    <w:rsid w:val="00D006F2"/>
    <w:rsid w:val="00D021E0"/>
    <w:rsid w:val="00D031B8"/>
    <w:rsid w:val="00D03763"/>
    <w:rsid w:val="00D03BD2"/>
    <w:rsid w:val="00D03CBE"/>
    <w:rsid w:val="00D05A49"/>
    <w:rsid w:val="00D06A1C"/>
    <w:rsid w:val="00D07712"/>
    <w:rsid w:val="00D07E46"/>
    <w:rsid w:val="00D1049B"/>
    <w:rsid w:val="00D12B2C"/>
    <w:rsid w:val="00D13502"/>
    <w:rsid w:val="00D1394C"/>
    <w:rsid w:val="00D13B6C"/>
    <w:rsid w:val="00D15496"/>
    <w:rsid w:val="00D15AE4"/>
    <w:rsid w:val="00D15C3F"/>
    <w:rsid w:val="00D1600A"/>
    <w:rsid w:val="00D16C3F"/>
    <w:rsid w:val="00D2054D"/>
    <w:rsid w:val="00D2081B"/>
    <w:rsid w:val="00D20EDB"/>
    <w:rsid w:val="00D21252"/>
    <w:rsid w:val="00D2214D"/>
    <w:rsid w:val="00D22486"/>
    <w:rsid w:val="00D238D2"/>
    <w:rsid w:val="00D239EE"/>
    <w:rsid w:val="00D23B7F"/>
    <w:rsid w:val="00D23EEE"/>
    <w:rsid w:val="00D24A91"/>
    <w:rsid w:val="00D25217"/>
    <w:rsid w:val="00D252A7"/>
    <w:rsid w:val="00D25BC8"/>
    <w:rsid w:val="00D266E0"/>
    <w:rsid w:val="00D27814"/>
    <w:rsid w:val="00D30BC9"/>
    <w:rsid w:val="00D3291C"/>
    <w:rsid w:val="00D33479"/>
    <w:rsid w:val="00D335A5"/>
    <w:rsid w:val="00D3441A"/>
    <w:rsid w:val="00D34C30"/>
    <w:rsid w:val="00D35E9E"/>
    <w:rsid w:val="00D41090"/>
    <w:rsid w:val="00D41327"/>
    <w:rsid w:val="00D430A5"/>
    <w:rsid w:val="00D4327E"/>
    <w:rsid w:val="00D442FC"/>
    <w:rsid w:val="00D47B3F"/>
    <w:rsid w:val="00D47DAB"/>
    <w:rsid w:val="00D509B9"/>
    <w:rsid w:val="00D5115F"/>
    <w:rsid w:val="00D52456"/>
    <w:rsid w:val="00D528AC"/>
    <w:rsid w:val="00D5333A"/>
    <w:rsid w:val="00D560BD"/>
    <w:rsid w:val="00D56131"/>
    <w:rsid w:val="00D57403"/>
    <w:rsid w:val="00D60597"/>
    <w:rsid w:val="00D60E83"/>
    <w:rsid w:val="00D6147F"/>
    <w:rsid w:val="00D6252C"/>
    <w:rsid w:val="00D62EF3"/>
    <w:rsid w:val="00D644A8"/>
    <w:rsid w:val="00D64811"/>
    <w:rsid w:val="00D64DAC"/>
    <w:rsid w:val="00D6509D"/>
    <w:rsid w:val="00D70153"/>
    <w:rsid w:val="00D70E06"/>
    <w:rsid w:val="00D71359"/>
    <w:rsid w:val="00D71A17"/>
    <w:rsid w:val="00D71BBE"/>
    <w:rsid w:val="00D71CC7"/>
    <w:rsid w:val="00D7246D"/>
    <w:rsid w:val="00D731DF"/>
    <w:rsid w:val="00D73F40"/>
    <w:rsid w:val="00D7416D"/>
    <w:rsid w:val="00D765AA"/>
    <w:rsid w:val="00D76968"/>
    <w:rsid w:val="00D76D1E"/>
    <w:rsid w:val="00D77FF6"/>
    <w:rsid w:val="00D8157E"/>
    <w:rsid w:val="00D817B5"/>
    <w:rsid w:val="00D81A8F"/>
    <w:rsid w:val="00D833A1"/>
    <w:rsid w:val="00D835BB"/>
    <w:rsid w:val="00D8667C"/>
    <w:rsid w:val="00D86AB9"/>
    <w:rsid w:val="00D87342"/>
    <w:rsid w:val="00D900F4"/>
    <w:rsid w:val="00D90B8B"/>
    <w:rsid w:val="00D921F4"/>
    <w:rsid w:val="00D924EA"/>
    <w:rsid w:val="00D9353F"/>
    <w:rsid w:val="00D94024"/>
    <w:rsid w:val="00D944E0"/>
    <w:rsid w:val="00D94862"/>
    <w:rsid w:val="00D94F2A"/>
    <w:rsid w:val="00D950D9"/>
    <w:rsid w:val="00D9687B"/>
    <w:rsid w:val="00D96A92"/>
    <w:rsid w:val="00D96BAE"/>
    <w:rsid w:val="00D9E4FA"/>
    <w:rsid w:val="00DA054B"/>
    <w:rsid w:val="00DA08A5"/>
    <w:rsid w:val="00DA17B9"/>
    <w:rsid w:val="00DA17CD"/>
    <w:rsid w:val="00DA1DA3"/>
    <w:rsid w:val="00DA1E26"/>
    <w:rsid w:val="00DA20E4"/>
    <w:rsid w:val="00DA25ED"/>
    <w:rsid w:val="00DA2BB0"/>
    <w:rsid w:val="00DA2C7D"/>
    <w:rsid w:val="00DA2F41"/>
    <w:rsid w:val="00DA44F1"/>
    <w:rsid w:val="00DA5269"/>
    <w:rsid w:val="00DA7BCB"/>
    <w:rsid w:val="00DB0048"/>
    <w:rsid w:val="00DB14E5"/>
    <w:rsid w:val="00DB3704"/>
    <w:rsid w:val="00DB46B7"/>
    <w:rsid w:val="00DB4BBA"/>
    <w:rsid w:val="00DB53A3"/>
    <w:rsid w:val="00DB57DA"/>
    <w:rsid w:val="00DB5A1E"/>
    <w:rsid w:val="00DB5C05"/>
    <w:rsid w:val="00DB60F8"/>
    <w:rsid w:val="00DC0E80"/>
    <w:rsid w:val="00DC14F1"/>
    <w:rsid w:val="00DC2FCF"/>
    <w:rsid w:val="00DC33A2"/>
    <w:rsid w:val="00DC4655"/>
    <w:rsid w:val="00DC64E2"/>
    <w:rsid w:val="00DC6675"/>
    <w:rsid w:val="00DD01A9"/>
    <w:rsid w:val="00DD04A0"/>
    <w:rsid w:val="00DD1E0A"/>
    <w:rsid w:val="00DD3C62"/>
    <w:rsid w:val="00DD3E7E"/>
    <w:rsid w:val="00DD5691"/>
    <w:rsid w:val="00DD6A9E"/>
    <w:rsid w:val="00DD6C0C"/>
    <w:rsid w:val="00DD7661"/>
    <w:rsid w:val="00DD7C1B"/>
    <w:rsid w:val="00DE00CF"/>
    <w:rsid w:val="00DE0C24"/>
    <w:rsid w:val="00DE130A"/>
    <w:rsid w:val="00DE1526"/>
    <w:rsid w:val="00DE19E3"/>
    <w:rsid w:val="00DE1E88"/>
    <w:rsid w:val="00DE3C2E"/>
    <w:rsid w:val="00DE3F09"/>
    <w:rsid w:val="00DE5814"/>
    <w:rsid w:val="00DE58A8"/>
    <w:rsid w:val="00DE5BE8"/>
    <w:rsid w:val="00DE699F"/>
    <w:rsid w:val="00DE6C9C"/>
    <w:rsid w:val="00DE78ED"/>
    <w:rsid w:val="00DE7EDE"/>
    <w:rsid w:val="00DF0475"/>
    <w:rsid w:val="00DF332A"/>
    <w:rsid w:val="00DF3F9B"/>
    <w:rsid w:val="00DF741E"/>
    <w:rsid w:val="00E00233"/>
    <w:rsid w:val="00E00805"/>
    <w:rsid w:val="00E01257"/>
    <w:rsid w:val="00E016CE"/>
    <w:rsid w:val="00E016FF"/>
    <w:rsid w:val="00E02749"/>
    <w:rsid w:val="00E03319"/>
    <w:rsid w:val="00E033F4"/>
    <w:rsid w:val="00E057CD"/>
    <w:rsid w:val="00E07AAF"/>
    <w:rsid w:val="00E1044F"/>
    <w:rsid w:val="00E10DF1"/>
    <w:rsid w:val="00E12682"/>
    <w:rsid w:val="00E13118"/>
    <w:rsid w:val="00E13372"/>
    <w:rsid w:val="00E148CA"/>
    <w:rsid w:val="00E14A0E"/>
    <w:rsid w:val="00E14A8D"/>
    <w:rsid w:val="00E15D27"/>
    <w:rsid w:val="00E160B9"/>
    <w:rsid w:val="00E16FF6"/>
    <w:rsid w:val="00E239D2"/>
    <w:rsid w:val="00E243EF"/>
    <w:rsid w:val="00E24AAE"/>
    <w:rsid w:val="00E24EA4"/>
    <w:rsid w:val="00E255CD"/>
    <w:rsid w:val="00E2618A"/>
    <w:rsid w:val="00E26417"/>
    <w:rsid w:val="00E30409"/>
    <w:rsid w:val="00E33D8F"/>
    <w:rsid w:val="00E34720"/>
    <w:rsid w:val="00E37D92"/>
    <w:rsid w:val="00E406A4"/>
    <w:rsid w:val="00E41043"/>
    <w:rsid w:val="00E42772"/>
    <w:rsid w:val="00E43C19"/>
    <w:rsid w:val="00E43DDD"/>
    <w:rsid w:val="00E454F1"/>
    <w:rsid w:val="00E45740"/>
    <w:rsid w:val="00E46309"/>
    <w:rsid w:val="00E46B2E"/>
    <w:rsid w:val="00E47303"/>
    <w:rsid w:val="00E47C44"/>
    <w:rsid w:val="00E5176E"/>
    <w:rsid w:val="00E53448"/>
    <w:rsid w:val="00E53AAF"/>
    <w:rsid w:val="00E54065"/>
    <w:rsid w:val="00E56C95"/>
    <w:rsid w:val="00E56DE2"/>
    <w:rsid w:val="00E611C1"/>
    <w:rsid w:val="00E62429"/>
    <w:rsid w:val="00E6415C"/>
    <w:rsid w:val="00E64FEC"/>
    <w:rsid w:val="00E6714F"/>
    <w:rsid w:val="00E6777A"/>
    <w:rsid w:val="00E7080C"/>
    <w:rsid w:val="00E71D11"/>
    <w:rsid w:val="00E72081"/>
    <w:rsid w:val="00E72FD6"/>
    <w:rsid w:val="00E75870"/>
    <w:rsid w:val="00E768BE"/>
    <w:rsid w:val="00E77349"/>
    <w:rsid w:val="00E77E3B"/>
    <w:rsid w:val="00E80A05"/>
    <w:rsid w:val="00E80E98"/>
    <w:rsid w:val="00E81727"/>
    <w:rsid w:val="00E81FAD"/>
    <w:rsid w:val="00E82D09"/>
    <w:rsid w:val="00E841BF"/>
    <w:rsid w:val="00E84B1A"/>
    <w:rsid w:val="00E84C36"/>
    <w:rsid w:val="00E856A8"/>
    <w:rsid w:val="00E8573D"/>
    <w:rsid w:val="00E85DA4"/>
    <w:rsid w:val="00E87584"/>
    <w:rsid w:val="00E903A4"/>
    <w:rsid w:val="00E90FFF"/>
    <w:rsid w:val="00E91BE8"/>
    <w:rsid w:val="00E92B77"/>
    <w:rsid w:val="00E93332"/>
    <w:rsid w:val="00E93E0D"/>
    <w:rsid w:val="00E94174"/>
    <w:rsid w:val="00E941B7"/>
    <w:rsid w:val="00E94211"/>
    <w:rsid w:val="00E9471A"/>
    <w:rsid w:val="00E95B22"/>
    <w:rsid w:val="00E965BB"/>
    <w:rsid w:val="00E96FF0"/>
    <w:rsid w:val="00EA0078"/>
    <w:rsid w:val="00EA0230"/>
    <w:rsid w:val="00EA213F"/>
    <w:rsid w:val="00EA4B68"/>
    <w:rsid w:val="00EA5791"/>
    <w:rsid w:val="00EA6134"/>
    <w:rsid w:val="00EA7D4F"/>
    <w:rsid w:val="00EB14E5"/>
    <w:rsid w:val="00EB16F7"/>
    <w:rsid w:val="00EB1AC4"/>
    <w:rsid w:val="00EB28C7"/>
    <w:rsid w:val="00EB499B"/>
    <w:rsid w:val="00EB51C4"/>
    <w:rsid w:val="00EB527D"/>
    <w:rsid w:val="00EB78F1"/>
    <w:rsid w:val="00EC01F0"/>
    <w:rsid w:val="00EC0E4A"/>
    <w:rsid w:val="00EC1266"/>
    <w:rsid w:val="00EC2AA6"/>
    <w:rsid w:val="00EC3540"/>
    <w:rsid w:val="00EC3F2A"/>
    <w:rsid w:val="00EC504C"/>
    <w:rsid w:val="00EC51C2"/>
    <w:rsid w:val="00EC58A6"/>
    <w:rsid w:val="00EC76AA"/>
    <w:rsid w:val="00ED04F6"/>
    <w:rsid w:val="00ED164C"/>
    <w:rsid w:val="00ED1D9C"/>
    <w:rsid w:val="00ED37D9"/>
    <w:rsid w:val="00ED3DBB"/>
    <w:rsid w:val="00ED611C"/>
    <w:rsid w:val="00EE1846"/>
    <w:rsid w:val="00EE1914"/>
    <w:rsid w:val="00EE19EE"/>
    <w:rsid w:val="00EE1ECF"/>
    <w:rsid w:val="00EE1F1D"/>
    <w:rsid w:val="00EE2F63"/>
    <w:rsid w:val="00EE67C0"/>
    <w:rsid w:val="00EE68E6"/>
    <w:rsid w:val="00EE6ED5"/>
    <w:rsid w:val="00EE7D89"/>
    <w:rsid w:val="00EF0AC4"/>
    <w:rsid w:val="00EF1231"/>
    <w:rsid w:val="00EF2C14"/>
    <w:rsid w:val="00EF396D"/>
    <w:rsid w:val="00EF40C1"/>
    <w:rsid w:val="00EF550F"/>
    <w:rsid w:val="00EF63A1"/>
    <w:rsid w:val="00EF63F4"/>
    <w:rsid w:val="00EF69C9"/>
    <w:rsid w:val="00EF714B"/>
    <w:rsid w:val="00EF7D4A"/>
    <w:rsid w:val="00F00704"/>
    <w:rsid w:val="00F02512"/>
    <w:rsid w:val="00F035A2"/>
    <w:rsid w:val="00F03F1A"/>
    <w:rsid w:val="00F047B5"/>
    <w:rsid w:val="00F05A84"/>
    <w:rsid w:val="00F06DCA"/>
    <w:rsid w:val="00F07E05"/>
    <w:rsid w:val="00F10317"/>
    <w:rsid w:val="00F12278"/>
    <w:rsid w:val="00F13394"/>
    <w:rsid w:val="00F13E10"/>
    <w:rsid w:val="00F151E1"/>
    <w:rsid w:val="00F160E4"/>
    <w:rsid w:val="00F171BF"/>
    <w:rsid w:val="00F177D5"/>
    <w:rsid w:val="00F2131B"/>
    <w:rsid w:val="00F21BC0"/>
    <w:rsid w:val="00F23ACD"/>
    <w:rsid w:val="00F24408"/>
    <w:rsid w:val="00F24ACA"/>
    <w:rsid w:val="00F24D95"/>
    <w:rsid w:val="00F2642C"/>
    <w:rsid w:val="00F26D4D"/>
    <w:rsid w:val="00F26FC4"/>
    <w:rsid w:val="00F310C7"/>
    <w:rsid w:val="00F31B43"/>
    <w:rsid w:val="00F31DB8"/>
    <w:rsid w:val="00F323A2"/>
    <w:rsid w:val="00F32B04"/>
    <w:rsid w:val="00F33252"/>
    <w:rsid w:val="00F33668"/>
    <w:rsid w:val="00F3371C"/>
    <w:rsid w:val="00F33B70"/>
    <w:rsid w:val="00F33DBF"/>
    <w:rsid w:val="00F34029"/>
    <w:rsid w:val="00F340F1"/>
    <w:rsid w:val="00F345BB"/>
    <w:rsid w:val="00F348C0"/>
    <w:rsid w:val="00F34C20"/>
    <w:rsid w:val="00F351B3"/>
    <w:rsid w:val="00F35246"/>
    <w:rsid w:val="00F35471"/>
    <w:rsid w:val="00F359D3"/>
    <w:rsid w:val="00F371D9"/>
    <w:rsid w:val="00F37B0F"/>
    <w:rsid w:val="00F400E2"/>
    <w:rsid w:val="00F40510"/>
    <w:rsid w:val="00F41B45"/>
    <w:rsid w:val="00F41C79"/>
    <w:rsid w:val="00F41CFA"/>
    <w:rsid w:val="00F4248F"/>
    <w:rsid w:val="00F4282F"/>
    <w:rsid w:val="00F438B0"/>
    <w:rsid w:val="00F43979"/>
    <w:rsid w:val="00F4441B"/>
    <w:rsid w:val="00F44CC7"/>
    <w:rsid w:val="00F46E03"/>
    <w:rsid w:val="00F475EB"/>
    <w:rsid w:val="00F5050C"/>
    <w:rsid w:val="00F50B4F"/>
    <w:rsid w:val="00F52430"/>
    <w:rsid w:val="00F52628"/>
    <w:rsid w:val="00F52902"/>
    <w:rsid w:val="00F52AB1"/>
    <w:rsid w:val="00F5324F"/>
    <w:rsid w:val="00F53CFD"/>
    <w:rsid w:val="00F55143"/>
    <w:rsid w:val="00F55741"/>
    <w:rsid w:val="00F558C7"/>
    <w:rsid w:val="00F566DE"/>
    <w:rsid w:val="00F56B29"/>
    <w:rsid w:val="00F57142"/>
    <w:rsid w:val="00F5783A"/>
    <w:rsid w:val="00F57A50"/>
    <w:rsid w:val="00F57B3F"/>
    <w:rsid w:val="00F60169"/>
    <w:rsid w:val="00F60591"/>
    <w:rsid w:val="00F6303B"/>
    <w:rsid w:val="00F644BF"/>
    <w:rsid w:val="00F65621"/>
    <w:rsid w:val="00F674E5"/>
    <w:rsid w:val="00F711BD"/>
    <w:rsid w:val="00F71651"/>
    <w:rsid w:val="00F716A9"/>
    <w:rsid w:val="00F71803"/>
    <w:rsid w:val="00F723E6"/>
    <w:rsid w:val="00F726E4"/>
    <w:rsid w:val="00F73E09"/>
    <w:rsid w:val="00F75480"/>
    <w:rsid w:val="00F756CF"/>
    <w:rsid w:val="00F75E33"/>
    <w:rsid w:val="00F8016E"/>
    <w:rsid w:val="00F8078A"/>
    <w:rsid w:val="00F81883"/>
    <w:rsid w:val="00F825C9"/>
    <w:rsid w:val="00F82C69"/>
    <w:rsid w:val="00F84B08"/>
    <w:rsid w:val="00F84BE8"/>
    <w:rsid w:val="00F85237"/>
    <w:rsid w:val="00F85754"/>
    <w:rsid w:val="00F85CB1"/>
    <w:rsid w:val="00F86EF9"/>
    <w:rsid w:val="00F87E65"/>
    <w:rsid w:val="00F90A23"/>
    <w:rsid w:val="00F90A25"/>
    <w:rsid w:val="00F90ED8"/>
    <w:rsid w:val="00F9300B"/>
    <w:rsid w:val="00F93525"/>
    <w:rsid w:val="00F939B1"/>
    <w:rsid w:val="00F94ADC"/>
    <w:rsid w:val="00F94C9B"/>
    <w:rsid w:val="00F9594D"/>
    <w:rsid w:val="00F96143"/>
    <w:rsid w:val="00F96FD7"/>
    <w:rsid w:val="00F974DE"/>
    <w:rsid w:val="00FA039C"/>
    <w:rsid w:val="00FA11F4"/>
    <w:rsid w:val="00FA27AC"/>
    <w:rsid w:val="00FA28B6"/>
    <w:rsid w:val="00FA4353"/>
    <w:rsid w:val="00FA4CAE"/>
    <w:rsid w:val="00FA503A"/>
    <w:rsid w:val="00FA6553"/>
    <w:rsid w:val="00FA6CD1"/>
    <w:rsid w:val="00FA73A3"/>
    <w:rsid w:val="00FA7C6E"/>
    <w:rsid w:val="00FB09AD"/>
    <w:rsid w:val="00FB21E6"/>
    <w:rsid w:val="00FB3CED"/>
    <w:rsid w:val="00FB43F1"/>
    <w:rsid w:val="00FB5642"/>
    <w:rsid w:val="00FB580E"/>
    <w:rsid w:val="00FB59AE"/>
    <w:rsid w:val="00FB5CEA"/>
    <w:rsid w:val="00FB7725"/>
    <w:rsid w:val="00FB7928"/>
    <w:rsid w:val="00FC1B9F"/>
    <w:rsid w:val="00FC1FCE"/>
    <w:rsid w:val="00FC2037"/>
    <w:rsid w:val="00FC2177"/>
    <w:rsid w:val="00FC5526"/>
    <w:rsid w:val="00FC67A7"/>
    <w:rsid w:val="00FC7120"/>
    <w:rsid w:val="00FD0201"/>
    <w:rsid w:val="00FD125B"/>
    <w:rsid w:val="00FD22B8"/>
    <w:rsid w:val="00FD305D"/>
    <w:rsid w:val="00FD3553"/>
    <w:rsid w:val="00FD4934"/>
    <w:rsid w:val="00FD5078"/>
    <w:rsid w:val="00FD63A0"/>
    <w:rsid w:val="00FD6E31"/>
    <w:rsid w:val="00FD71D0"/>
    <w:rsid w:val="00FE003B"/>
    <w:rsid w:val="00FE0AAF"/>
    <w:rsid w:val="00FE0DB2"/>
    <w:rsid w:val="00FE1534"/>
    <w:rsid w:val="00FE1E68"/>
    <w:rsid w:val="00FE1FC0"/>
    <w:rsid w:val="00FE3007"/>
    <w:rsid w:val="00FE3B53"/>
    <w:rsid w:val="00FE4024"/>
    <w:rsid w:val="00FE48C4"/>
    <w:rsid w:val="00FE4BD6"/>
    <w:rsid w:val="00FE4FFD"/>
    <w:rsid w:val="00FE57F8"/>
    <w:rsid w:val="00FE59F6"/>
    <w:rsid w:val="00FE5CF9"/>
    <w:rsid w:val="00FE608E"/>
    <w:rsid w:val="00FE61F1"/>
    <w:rsid w:val="00FF0262"/>
    <w:rsid w:val="00FF05DC"/>
    <w:rsid w:val="00FF212E"/>
    <w:rsid w:val="00FF277C"/>
    <w:rsid w:val="00FF296E"/>
    <w:rsid w:val="00FF2E95"/>
    <w:rsid w:val="00FF3FC5"/>
    <w:rsid w:val="00FF4A5F"/>
    <w:rsid w:val="00FF5449"/>
    <w:rsid w:val="00FF5B69"/>
    <w:rsid w:val="00FF5F78"/>
    <w:rsid w:val="00FF6945"/>
    <w:rsid w:val="010B0DA6"/>
    <w:rsid w:val="016B634F"/>
    <w:rsid w:val="019D0CD9"/>
    <w:rsid w:val="01A74273"/>
    <w:rsid w:val="01F8E845"/>
    <w:rsid w:val="034E287D"/>
    <w:rsid w:val="038E7841"/>
    <w:rsid w:val="03E1CE46"/>
    <w:rsid w:val="03F85D5F"/>
    <w:rsid w:val="047233C8"/>
    <w:rsid w:val="04856F4F"/>
    <w:rsid w:val="04BD790E"/>
    <w:rsid w:val="052C1D0E"/>
    <w:rsid w:val="058507E0"/>
    <w:rsid w:val="07094463"/>
    <w:rsid w:val="07196F08"/>
    <w:rsid w:val="0741DAD4"/>
    <w:rsid w:val="07D9E296"/>
    <w:rsid w:val="08074C54"/>
    <w:rsid w:val="081EB86D"/>
    <w:rsid w:val="08DAAA51"/>
    <w:rsid w:val="097A8C34"/>
    <w:rsid w:val="0A016327"/>
    <w:rsid w:val="0A4BAA62"/>
    <w:rsid w:val="0A4F037F"/>
    <w:rsid w:val="0A4FCC0B"/>
    <w:rsid w:val="0A529FBC"/>
    <w:rsid w:val="0A8FE2EF"/>
    <w:rsid w:val="0AC8516D"/>
    <w:rsid w:val="0ADF0DB4"/>
    <w:rsid w:val="0B7791BB"/>
    <w:rsid w:val="0C345C38"/>
    <w:rsid w:val="0C8530E0"/>
    <w:rsid w:val="0CCFB3E2"/>
    <w:rsid w:val="0CF02E74"/>
    <w:rsid w:val="0D22227E"/>
    <w:rsid w:val="0D834B24"/>
    <w:rsid w:val="0D88B08C"/>
    <w:rsid w:val="0DB8C211"/>
    <w:rsid w:val="0DCE018A"/>
    <w:rsid w:val="0DFF14E0"/>
    <w:rsid w:val="0E1679EA"/>
    <w:rsid w:val="0E3D06A6"/>
    <w:rsid w:val="0E7E1925"/>
    <w:rsid w:val="0E91C910"/>
    <w:rsid w:val="0F1F1B85"/>
    <w:rsid w:val="0F7F3F28"/>
    <w:rsid w:val="0F81BCE4"/>
    <w:rsid w:val="0FBAEEDD"/>
    <w:rsid w:val="0FBC1DCD"/>
    <w:rsid w:val="10123E99"/>
    <w:rsid w:val="102D9971"/>
    <w:rsid w:val="10408BBE"/>
    <w:rsid w:val="111D8D45"/>
    <w:rsid w:val="1133EC08"/>
    <w:rsid w:val="1197757D"/>
    <w:rsid w:val="11B04175"/>
    <w:rsid w:val="11C4A624"/>
    <w:rsid w:val="11DA7A6B"/>
    <w:rsid w:val="1229AEA1"/>
    <w:rsid w:val="1241AE33"/>
    <w:rsid w:val="125A79F2"/>
    <w:rsid w:val="128A755F"/>
    <w:rsid w:val="12BB9533"/>
    <w:rsid w:val="1364FCCA"/>
    <w:rsid w:val="1399E1F1"/>
    <w:rsid w:val="147D9DE3"/>
    <w:rsid w:val="152BAA36"/>
    <w:rsid w:val="1577A117"/>
    <w:rsid w:val="16B84CB0"/>
    <w:rsid w:val="16F18186"/>
    <w:rsid w:val="16FE0C61"/>
    <w:rsid w:val="17B8ABCF"/>
    <w:rsid w:val="17C66569"/>
    <w:rsid w:val="17DCF482"/>
    <w:rsid w:val="1834DF70"/>
    <w:rsid w:val="18635138"/>
    <w:rsid w:val="18650AE0"/>
    <w:rsid w:val="18C2617D"/>
    <w:rsid w:val="19E2B04B"/>
    <w:rsid w:val="1A2DC4F2"/>
    <w:rsid w:val="1A55E97B"/>
    <w:rsid w:val="1A56B8EE"/>
    <w:rsid w:val="1AF35C3D"/>
    <w:rsid w:val="1B41CE2A"/>
    <w:rsid w:val="1B950332"/>
    <w:rsid w:val="1BA5EB1C"/>
    <w:rsid w:val="1C10B1B6"/>
    <w:rsid w:val="1CBCF85A"/>
    <w:rsid w:val="1CD699F9"/>
    <w:rsid w:val="1CFF6589"/>
    <w:rsid w:val="1D1794D9"/>
    <w:rsid w:val="1D1F825F"/>
    <w:rsid w:val="1DFC104D"/>
    <w:rsid w:val="1E0EC4F6"/>
    <w:rsid w:val="1E726A5A"/>
    <w:rsid w:val="1EA92662"/>
    <w:rsid w:val="1ED219C1"/>
    <w:rsid w:val="1EFF9613"/>
    <w:rsid w:val="1F1E78B5"/>
    <w:rsid w:val="1F538D5E"/>
    <w:rsid w:val="1F771888"/>
    <w:rsid w:val="1F8019BF"/>
    <w:rsid w:val="20C67093"/>
    <w:rsid w:val="20CB4D39"/>
    <w:rsid w:val="20F431CD"/>
    <w:rsid w:val="212C17FC"/>
    <w:rsid w:val="2130379F"/>
    <w:rsid w:val="21457A26"/>
    <w:rsid w:val="21CE52C5"/>
    <w:rsid w:val="21D1AE4A"/>
    <w:rsid w:val="21F2F382"/>
    <w:rsid w:val="220B11D4"/>
    <w:rsid w:val="22788B42"/>
    <w:rsid w:val="22DCBBF0"/>
    <w:rsid w:val="236A9302"/>
    <w:rsid w:val="241FF775"/>
    <w:rsid w:val="246F5AB7"/>
    <w:rsid w:val="247E067A"/>
    <w:rsid w:val="24B47E03"/>
    <w:rsid w:val="24C28973"/>
    <w:rsid w:val="2514DA92"/>
    <w:rsid w:val="252A9444"/>
    <w:rsid w:val="253C9F16"/>
    <w:rsid w:val="25637B47"/>
    <w:rsid w:val="25B24234"/>
    <w:rsid w:val="2622B1D0"/>
    <w:rsid w:val="281C11F0"/>
    <w:rsid w:val="2839A9CC"/>
    <w:rsid w:val="283DD80D"/>
    <w:rsid w:val="288292CC"/>
    <w:rsid w:val="28DAF183"/>
    <w:rsid w:val="28FBDECF"/>
    <w:rsid w:val="294E0A73"/>
    <w:rsid w:val="297317D0"/>
    <w:rsid w:val="29E33C94"/>
    <w:rsid w:val="2A2262F8"/>
    <w:rsid w:val="2A491E1B"/>
    <w:rsid w:val="2A5BF1E2"/>
    <w:rsid w:val="2A82ABA0"/>
    <w:rsid w:val="2AA32142"/>
    <w:rsid w:val="2B8F8954"/>
    <w:rsid w:val="2BF45678"/>
    <w:rsid w:val="2C0236F2"/>
    <w:rsid w:val="2D939D5B"/>
    <w:rsid w:val="2E2CD646"/>
    <w:rsid w:val="2E5EE443"/>
    <w:rsid w:val="2E8F92B6"/>
    <w:rsid w:val="2EA01A55"/>
    <w:rsid w:val="2EAE0F55"/>
    <w:rsid w:val="2ED625EE"/>
    <w:rsid w:val="2EE4EC99"/>
    <w:rsid w:val="2EF4BC33"/>
    <w:rsid w:val="2EF81A9A"/>
    <w:rsid w:val="2EFEA68D"/>
    <w:rsid w:val="2F272F96"/>
    <w:rsid w:val="2F289091"/>
    <w:rsid w:val="2F83CC68"/>
    <w:rsid w:val="30093904"/>
    <w:rsid w:val="302956CC"/>
    <w:rsid w:val="304A93D4"/>
    <w:rsid w:val="30889F0E"/>
    <w:rsid w:val="316836D1"/>
    <w:rsid w:val="31E4768F"/>
    <w:rsid w:val="32244E6B"/>
    <w:rsid w:val="324446A6"/>
    <w:rsid w:val="325603A4"/>
    <w:rsid w:val="325ED058"/>
    <w:rsid w:val="32D46A63"/>
    <w:rsid w:val="3340D9C6"/>
    <w:rsid w:val="33617127"/>
    <w:rsid w:val="33AB1EC0"/>
    <w:rsid w:val="33C8BC1E"/>
    <w:rsid w:val="33E1946C"/>
    <w:rsid w:val="33ED7D00"/>
    <w:rsid w:val="34584FCB"/>
    <w:rsid w:val="34FCC7EF"/>
    <w:rsid w:val="34FFBD2E"/>
    <w:rsid w:val="3514E510"/>
    <w:rsid w:val="358D9B88"/>
    <w:rsid w:val="363EA593"/>
    <w:rsid w:val="36548811"/>
    <w:rsid w:val="36606055"/>
    <w:rsid w:val="370BE979"/>
    <w:rsid w:val="38375DF0"/>
    <w:rsid w:val="3846E05A"/>
    <w:rsid w:val="3866AB56"/>
    <w:rsid w:val="389B9E79"/>
    <w:rsid w:val="38FF6C7E"/>
    <w:rsid w:val="390B9BAD"/>
    <w:rsid w:val="3952F366"/>
    <w:rsid w:val="396F9A0E"/>
    <w:rsid w:val="39DA32E3"/>
    <w:rsid w:val="3A8097A0"/>
    <w:rsid w:val="3A857DDA"/>
    <w:rsid w:val="3AAAD3A8"/>
    <w:rsid w:val="3AD5BFE3"/>
    <w:rsid w:val="3ADBC2A1"/>
    <w:rsid w:val="3B81761A"/>
    <w:rsid w:val="3B8D9B97"/>
    <w:rsid w:val="3BBF8EF0"/>
    <w:rsid w:val="3BDA9934"/>
    <w:rsid w:val="3D5C04E7"/>
    <w:rsid w:val="3DA0B8B6"/>
    <w:rsid w:val="3DB7D4C8"/>
    <w:rsid w:val="3DE5E80C"/>
    <w:rsid w:val="3E0C004B"/>
    <w:rsid w:val="3EC0DE01"/>
    <w:rsid w:val="3F2B6253"/>
    <w:rsid w:val="3F9FBF3C"/>
    <w:rsid w:val="3FA12DAB"/>
    <w:rsid w:val="400A11F6"/>
    <w:rsid w:val="403AC855"/>
    <w:rsid w:val="40C417C0"/>
    <w:rsid w:val="4100C46E"/>
    <w:rsid w:val="4117AD96"/>
    <w:rsid w:val="417BA582"/>
    <w:rsid w:val="41A5BB8C"/>
    <w:rsid w:val="41A7FAF2"/>
    <w:rsid w:val="41E544C8"/>
    <w:rsid w:val="42ABD5CD"/>
    <w:rsid w:val="434CC9E5"/>
    <w:rsid w:val="435DF2FB"/>
    <w:rsid w:val="4394E7EB"/>
    <w:rsid w:val="43A0DCC2"/>
    <w:rsid w:val="43BAC2B9"/>
    <w:rsid w:val="43D41FC1"/>
    <w:rsid w:val="440DEDEF"/>
    <w:rsid w:val="4498E76C"/>
    <w:rsid w:val="44B8EBB6"/>
    <w:rsid w:val="44BB55C7"/>
    <w:rsid w:val="44EE0D7A"/>
    <w:rsid w:val="4505815F"/>
    <w:rsid w:val="45140D22"/>
    <w:rsid w:val="451D1A4F"/>
    <w:rsid w:val="45A9BE50"/>
    <w:rsid w:val="45CB38C1"/>
    <w:rsid w:val="4665F6EE"/>
    <w:rsid w:val="46CDE13E"/>
    <w:rsid w:val="472411F3"/>
    <w:rsid w:val="47409184"/>
    <w:rsid w:val="47F589A5"/>
    <w:rsid w:val="4807889A"/>
    <w:rsid w:val="4825AE3C"/>
    <w:rsid w:val="4853EEE7"/>
    <w:rsid w:val="4890825A"/>
    <w:rsid w:val="4890EA0A"/>
    <w:rsid w:val="48A0876C"/>
    <w:rsid w:val="4901E7FC"/>
    <w:rsid w:val="49143D6C"/>
    <w:rsid w:val="4925E4A2"/>
    <w:rsid w:val="49493370"/>
    <w:rsid w:val="49BD05C4"/>
    <w:rsid w:val="49D52205"/>
    <w:rsid w:val="49D72E50"/>
    <w:rsid w:val="4B14EE92"/>
    <w:rsid w:val="4B41F059"/>
    <w:rsid w:val="4B937A5E"/>
    <w:rsid w:val="4BC9764A"/>
    <w:rsid w:val="4C9A6607"/>
    <w:rsid w:val="4CE40334"/>
    <w:rsid w:val="4D00E6E3"/>
    <w:rsid w:val="4D930F45"/>
    <w:rsid w:val="4DF1A2C9"/>
    <w:rsid w:val="4E76A546"/>
    <w:rsid w:val="4E9A4A93"/>
    <w:rsid w:val="4EAB8867"/>
    <w:rsid w:val="4F304B46"/>
    <w:rsid w:val="4FD13B29"/>
    <w:rsid w:val="4FF6BEAF"/>
    <w:rsid w:val="502BA6FD"/>
    <w:rsid w:val="5064EC73"/>
    <w:rsid w:val="509EA4BC"/>
    <w:rsid w:val="50B66074"/>
    <w:rsid w:val="50C4E457"/>
    <w:rsid w:val="51277713"/>
    <w:rsid w:val="5161E3A4"/>
    <w:rsid w:val="5162EE3E"/>
    <w:rsid w:val="51A9B262"/>
    <w:rsid w:val="51EBF465"/>
    <w:rsid w:val="51F56387"/>
    <w:rsid w:val="522A22EE"/>
    <w:rsid w:val="53DC07C4"/>
    <w:rsid w:val="54112677"/>
    <w:rsid w:val="545C5F3A"/>
    <w:rsid w:val="549A8F00"/>
    <w:rsid w:val="54B5E723"/>
    <w:rsid w:val="54CE0DAF"/>
    <w:rsid w:val="54CF0F80"/>
    <w:rsid w:val="554A3B22"/>
    <w:rsid w:val="5586646D"/>
    <w:rsid w:val="55B22DB6"/>
    <w:rsid w:val="564A6757"/>
    <w:rsid w:val="568D8EAA"/>
    <w:rsid w:val="56ACAFA2"/>
    <w:rsid w:val="56BBF721"/>
    <w:rsid w:val="56D2BBE5"/>
    <w:rsid w:val="56FFA075"/>
    <w:rsid w:val="57188D17"/>
    <w:rsid w:val="57389983"/>
    <w:rsid w:val="573F6C0A"/>
    <w:rsid w:val="57D22FC2"/>
    <w:rsid w:val="57D7C7FB"/>
    <w:rsid w:val="583AFD92"/>
    <w:rsid w:val="5856D5FB"/>
    <w:rsid w:val="5877AD7A"/>
    <w:rsid w:val="58887AD9"/>
    <w:rsid w:val="58E897FE"/>
    <w:rsid w:val="59017CAD"/>
    <w:rsid w:val="590E9A07"/>
    <w:rsid w:val="593C42F6"/>
    <w:rsid w:val="594AF389"/>
    <w:rsid w:val="599642F9"/>
    <w:rsid w:val="59BE6C06"/>
    <w:rsid w:val="5A281863"/>
    <w:rsid w:val="5A59D0AA"/>
    <w:rsid w:val="5A72FDED"/>
    <w:rsid w:val="5A9489E8"/>
    <w:rsid w:val="5B018FD9"/>
    <w:rsid w:val="5B22D0C1"/>
    <w:rsid w:val="5B81ABE8"/>
    <w:rsid w:val="5B89907F"/>
    <w:rsid w:val="5BA79F1A"/>
    <w:rsid w:val="5CAB391E"/>
    <w:rsid w:val="5CD73C86"/>
    <w:rsid w:val="5D2B38A5"/>
    <w:rsid w:val="5D5F49E1"/>
    <w:rsid w:val="5DAA9EAF"/>
    <w:rsid w:val="5DB9B928"/>
    <w:rsid w:val="5DDF9D71"/>
    <w:rsid w:val="5DFA280A"/>
    <w:rsid w:val="5E4B12C3"/>
    <w:rsid w:val="5EB12501"/>
    <w:rsid w:val="5EEAB73B"/>
    <w:rsid w:val="5F08A5F6"/>
    <w:rsid w:val="5F2D46B3"/>
    <w:rsid w:val="5F6A777C"/>
    <w:rsid w:val="5F728622"/>
    <w:rsid w:val="5F89A200"/>
    <w:rsid w:val="5F925C1D"/>
    <w:rsid w:val="5FE29E7C"/>
    <w:rsid w:val="6061E7E0"/>
    <w:rsid w:val="60A663FD"/>
    <w:rsid w:val="60E83E56"/>
    <w:rsid w:val="612DCC05"/>
    <w:rsid w:val="61372E34"/>
    <w:rsid w:val="614316A8"/>
    <w:rsid w:val="614E1E3E"/>
    <w:rsid w:val="61569C5A"/>
    <w:rsid w:val="61E3BBA6"/>
    <w:rsid w:val="630E5017"/>
    <w:rsid w:val="636A9B75"/>
    <w:rsid w:val="6371B497"/>
    <w:rsid w:val="6371D2C5"/>
    <w:rsid w:val="63AA1314"/>
    <w:rsid w:val="63BF4E27"/>
    <w:rsid w:val="63E00FB3"/>
    <w:rsid w:val="641FF388"/>
    <w:rsid w:val="6423FA14"/>
    <w:rsid w:val="6423FD7F"/>
    <w:rsid w:val="647B6F0C"/>
    <w:rsid w:val="64CCA846"/>
    <w:rsid w:val="64F0BC3C"/>
    <w:rsid w:val="6523922C"/>
    <w:rsid w:val="65ABA2B0"/>
    <w:rsid w:val="662A0D7D"/>
    <w:rsid w:val="66379391"/>
    <w:rsid w:val="667BE228"/>
    <w:rsid w:val="66A42BB2"/>
    <w:rsid w:val="66D73C28"/>
    <w:rsid w:val="6700144A"/>
    <w:rsid w:val="6719BAC8"/>
    <w:rsid w:val="67385898"/>
    <w:rsid w:val="679D6E02"/>
    <w:rsid w:val="67CAA17D"/>
    <w:rsid w:val="682F88B5"/>
    <w:rsid w:val="684ED39F"/>
    <w:rsid w:val="68689427"/>
    <w:rsid w:val="6884BE5C"/>
    <w:rsid w:val="68ABB2FD"/>
    <w:rsid w:val="68F76EA2"/>
    <w:rsid w:val="6926728D"/>
    <w:rsid w:val="69A34B2F"/>
    <w:rsid w:val="69D9DCF9"/>
    <w:rsid w:val="6A63186A"/>
    <w:rsid w:val="6B3F1B90"/>
    <w:rsid w:val="6B5742ED"/>
    <w:rsid w:val="6BAC880D"/>
    <w:rsid w:val="6BEF7DC0"/>
    <w:rsid w:val="6BFA8EE4"/>
    <w:rsid w:val="6CDF0A58"/>
    <w:rsid w:val="6D839823"/>
    <w:rsid w:val="6E1F6DBA"/>
    <w:rsid w:val="6E61B25C"/>
    <w:rsid w:val="6E9ECA39"/>
    <w:rsid w:val="6F735E37"/>
    <w:rsid w:val="6FB1819D"/>
    <w:rsid w:val="704647E9"/>
    <w:rsid w:val="709DD626"/>
    <w:rsid w:val="7216C5D0"/>
    <w:rsid w:val="722E6061"/>
    <w:rsid w:val="72EF6828"/>
    <w:rsid w:val="734E4BDC"/>
    <w:rsid w:val="73BF96E6"/>
    <w:rsid w:val="73C40409"/>
    <w:rsid w:val="74038473"/>
    <w:rsid w:val="743A2149"/>
    <w:rsid w:val="74773093"/>
    <w:rsid w:val="74866E52"/>
    <w:rsid w:val="752F28FE"/>
    <w:rsid w:val="7695341D"/>
    <w:rsid w:val="76B1C9A4"/>
    <w:rsid w:val="76E38422"/>
    <w:rsid w:val="7723172D"/>
    <w:rsid w:val="775D10CC"/>
    <w:rsid w:val="77A3D577"/>
    <w:rsid w:val="77D308D0"/>
    <w:rsid w:val="78137B12"/>
    <w:rsid w:val="7953A404"/>
    <w:rsid w:val="79E250D8"/>
    <w:rsid w:val="7A5BC479"/>
    <w:rsid w:val="7AA0D164"/>
    <w:rsid w:val="7AD9C4B9"/>
    <w:rsid w:val="7AE2F96D"/>
    <w:rsid w:val="7AEA249A"/>
    <w:rsid w:val="7BDD6709"/>
    <w:rsid w:val="7C3BA11A"/>
    <w:rsid w:val="7C57E7D7"/>
    <w:rsid w:val="7C749754"/>
    <w:rsid w:val="7D1666AE"/>
    <w:rsid w:val="7D27E1DC"/>
    <w:rsid w:val="7D62AD8E"/>
    <w:rsid w:val="7D84ECDB"/>
    <w:rsid w:val="7D88132F"/>
    <w:rsid w:val="7DCBAA51"/>
    <w:rsid w:val="7DD7FF42"/>
    <w:rsid w:val="7E33C28C"/>
    <w:rsid w:val="7E94DB0A"/>
    <w:rsid w:val="7F6B9919"/>
    <w:rsid w:val="7F7F41B5"/>
    <w:rsid w:val="7F861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70A42AC7"/>
  <w15:chartTrackingRefBased/>
  <w15:docId w15:val="{A38D74B7-1178-4188-968D-55AADA057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F0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187BB1"/>
    <w:pPr>
      <w:keepNext/>
      <w:keepLines/>
      <w:spacing w:before="240" w:after="240"/>
      <w:jc w:val="center"/>
      <w:outlineLvl w:val="0"/>
    </w:pPr>
    <w:rPr>
      <w:rFonts w:eastAsiaTheme="majorEastAsia" w:cstheme="majorBidi"/>
      <w:b/>
      <w:sz w:val="40"/>
      <w:szCs w:val="40"/>
    </w:rPr>
  </w:style>
  <w:style w:type="paragraph" w:styleId="Heading2">
    <w:name w:val="heading 2"/>
    <w:basedOn w:val="Normal"/>
    <w:next w:val="Normal"/>
    <w:link w:val="Heading2Char"/>
    <w:uiPriority w:val="9"/>
    <w:unhideWhenUsed/>
    <w:qFormat/>
    <w:rsid w:val="00187BB1"/>
    <w:pPr>
      <w:keepNext/>
      <w:keepLines/>
      <w:spacing w:before="240" w:after="24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187BB1"/>
    <w:pPr>
      <w:keepNext/>
      <w:keepLines/>
      <w:spacing w:before="240" w:after="240"/>
      <w:outlineLvl w:val="2"/>
    </w:pPr>
    <w:rPr>
      <w:rFonts w:eastAsiaTheme="majorEastAsia" w:cstheme="majorBidi"/>
      <w:b/>
      <w:sz w:val="32"/>
      <w:szCs w:val="32"/>
    </w:rPr>
  </w:style>
  <w:style w:type="paragraph" w:styleId="Heading4">
    <w:name w:val="heading 4"/>
    <w:basedOn w:val="Normal"/>
    <w:next w:val="Normal"/>
    <w:link w:val="Heading4Char"/>
    <w:uiPriority w:val="9"/>
    <w:unhideWhenUsed/>
    <w:qFormat/>
    <w:rsid w:val="00755405"/>
    <w:pPr>
      <w:keepNext/>
      <w:keepLines/>
      <w:spacing w:before="240" w:after="240"/>
      <w:outlineLvl w:val="3"/>
    </w:pPr>
    <w:rPr>
      <w:rFonts w:eastAsiaTheme="majorEastAsia" w:cstheme="majorBidi"/>
      <w:b/>
      <w:iCs/>
      <w:sz w:val="28"/>
      <w:szCs w:val="28"/>
    </w:rPr>
  </w:style>
  <w:style w:type="paragraph" w:styleId="Heading5">
    <w:name w:val="heading 5"/>
    <w:basedOn w:val="Normal"/>
    <w:next w:val="Normal"/>
    <w:link w:val="Heading5Char"/>
    <w:uiPriority w:val="9"/>
    <w:unhideWhenUsed/>
    <w:qFormat/>
    <w:rsid w:val="0080285A"/>
    <w:pPr>
      <w:keepNext/>
      <w:keepLines/>
      <w:spacing w:before="240" w:after="240"/>
      <w:outlineLvl w:val="4"/>
    </w:pPr>
    <w:rPr>
      <w:rFonts w:eastAsiaTheme="majorEastAsia" w:cstheme="majorBidi"/>
      <w: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7BB1"/>
    <w:rPr>
      <w:rFonts w:ascii="Arial" w:eastAsiaTheme="majorEastAsia" w:hAnsi="Arial" w:cstheme="majorBidi"/>
      <w:b/>
      <w:sz w:val="40"/>
      <w:szCs w:val="40"/>
    </w:rPr>
  </w:style>
  <w:style w:type="character" w:customStyle="1" w:styleId="Heading2Char">
    <w:name w:val="Heading 2 Char"/>
    <w:basedOn w:val="DefaultParagraphFont"/>
    <w:link w:val="Heading2"/>
    <w:uiPriority w:val="9"/>
    <w:rsid w:val="00187BB1"/>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187BB1"/>
    <w:rPr>
      <w:rFonts w:ascii="Arial" w:eastAsiaTheme="majorEastAsia" w:hAnsi="Arial" w:cstheme="majorBidi"/>
      <w:b/>
      <w:sz w:val="32"/>
      <w:szCs w:val="32"/>
    </w:rPr>
  </w:style>
  <w:style w:type="character" w:customStyle="1" w:styleId="Heading4Char">
    <w:name w:val="Heading 4 Char"/>
    <w:basedOn w:val="DefaultParagraphFont"/>
    <w:link w:val="Heading4"/>
    <w:uiPriority w:val="9"/>
    <w:rsid w:val="00755405"/>
    <w:rPr>
      <w:rFonts w:ascii="Arial" w:eastAsiaTheme="majorEastAsia" w:hAnsi="Arial" w:cstheme="majorBidi"/>
      <w:b/>
      <w:iCs/>
      <w:sz w:val="28"/>
      <w:szCs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80285A"/>
    <w:rPr>
      <w:rFonts w:ascii="Arial" w:eastAsiaTheme="majorEastAsia" w:hAnsi="Arial" w:cstheme="majorBidi"/>
      <w:i/>
      <w:sz w:val="24"/>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FootnoteText">
    <w:name w:val="footnote text"/>
    <w:basedOn w:val="Normal"/>
    <w:link w:val="FootnoteTextChar"/>
    <w:uiPriority w:val="99"/>
    <w:rsid w:val="00BD0443"/>
    <w:pPr>
      <w:spacing w:after="240"/>
      <w:ind w:left="720"/>
    </w:pPr>
    <w:rPr>
      <w:sz w:val="20"/>
      <w:szCs w:val="20"/>
    </w:rPr>
  </w:style>
  <w:style w:type="character" w:customStyle="1" w:styleId="FootnoteTextChar">
    <w:name w:val="Footnote Text Char"/>
    <w:basedOn w:val="DefaultParagraphFont"/>
    <w:link w:val="FootnoteText"/>
    <w:uiPriority w:val="99"/>
    <w:rsid w:val="00BD0443"/>
    <w:rPr>
      <w:rFonts w:ascii="Arial" w:eastAsia="Times New Roman" w:hAnsi="Arial" w:cs="Times New Roman"/>
      <w:sz w:val="20"/>
      <w:szCs w:val="20"/>
    </w:rPr>
  </w:style>
  <w:style w:type="character" w:styleId="FootnoteReference">
    <w:name w:val="footnote reference"/>
    <w:uiPriority w:val="99"/>
    <w:rsid w:val="00BD0443"/>
    <w:rPr>
      <w:vertAlign w:val="superscript"/>
    </w:rPr>
  </w:style>
  <w:style w:type="paragraph" w:styleId="PlainText">
    <w:name w:val="Plain Text"/>
    <w:basedOn w:val="Normal"/>
    <w:link w:val="PlainTextChar"/>
    <w:rsid w:val="00BD0443"/>
    <w:pPr>
      <w:spacing w:after="240"/>
      <w:ind w:left="720"/>
    </w:pPr>
    <w:rPr>
      <w:rFonts w:ascii="Courier New" w:hAnsi="Courier New"/>
      <w:sz w:val="20"/>
      <w:szCs w:val="20"/>
    </w:rPr>
  </w:style>
  <w:style w:type="character" w:customStyle="1" w:styleId="PlainTextChar">
    <w:name w:val="Plain Text Char"/>
    <w:basedOn w:val="DefaultParagraphFont"/>
    <w:link w:val="PlainText"/>
    <w:rsid w:val="00BD0443"/>
    <w:rPr>
      <w:rFonts w:ascii="Courier New" w:eastAsia="Times New Roman" w:hAnsi="Courier New" w:cs="Times New Roman"/>
      <w:sz w:val="20"/>
      <w:szCs w:val="20"/>
    </w:rPr>
  </w:style>
  <w:style w:type="paragraph" w:styleId="BodyText">
    <w:name w:val="Body Text"/>
    <w:basedOn w:val="Normal"/>
    <w:link w:val="BodyTextChar"/>
    <w:rsid w:val="00BD0443"/>
    <w:pPr>
      <w:spacing w:after="120"/>
      <w:ind w:left="720"/>
    </w:pPr>
  </w:style>
  <w:style w:type="character" w:customStyle="1" w:styleId="BodyTextChar">
    <w:name w:val="Body Text Char"/>
    <w:basedOn w:val="DefaultParagraphFont"/>
    <w:link w:val="BodyText"/>
    <w:rsid w:val="00BD0443"/>
    <w:rPr>
      <w:rFonts w:ascii="Arial" w:eastAsia="Times New Roman" w:hAnsi="Arial" w:cs="Times New Roman"/>
      <w:sz w:val="24"/>
      <w:szCs w:val="24"/>
    </w:rPr>
  </w:style>
  <w:style w:type="table" w:styleId="GridTable1Light">
    <w:name w:val="Grid Table 1 Light"/>
    <w:basedOn w:val="TableNormal"/>
    <w:uiPriority w:val="46"/>
    <w:rsid w:val="00BD044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italics">
    <w:name w:val="italics"/>
    <w:basedOn w:val="Normal"/>
    <w:rsid w:val="00836858"/>
    <w:pPr>
      <w:spacing w:before="180"/>
      <w:ind w:left="440" w:right="460"/>
    </w:pPr>
    <w:rPr>
      <w:rFonts w:ascii="Times" w:eastAsia="Calibri" w:hAnsi="Times" w:cs="Times"/>
      <w:i/>
      <w:iCs/>
    </w:rPr>
  </w:style>
  <w:style w:type="paragraph" w:customStyle="1" w:styleId="text">
    <w:name w:val="text"/>
    <w:basedOn w:val="Normal"/>
    <w:rsid w:val="00836858"/>
    <w:pPr>
      <w:spacing w:before="160"/>
      <w:jc w:val="both"/>
    </w:pPr>
    <w:rPr>
      <w:rFonts w:ascii="Palatino" w:eastAsia="Calibri" w:hAnsi="Palatino"/>
    </w:rPr>
  </w:style>
  <w:style w:type="character" w:styleId="FollowedHyperlink">
    <w:name w:val="FollowedHyperlink"/>
    <w:basedOn w:val="DefaultParagraphFont"/>
    <w:uiPriority w:val="99"/>
    <w:semiHidden/>
    <w:unhideWhenUsed/>
    <w:rsid w:val="003E55D6"/>
    <w:rPr>
      <w:color w:val="954F72" w:themeColor="followedHyperlink"/>
      <w:u w:val="single"/>
    </w:rPr>
  </w:style>
  <w:style w:type="character" w:customStyle="1" w:styleId="st1">
    <w:name w:val="st1"/>
    <w:basedOn w:val="DefaultParagraphFont"/>
    <w:rsid w:val="00EA213F"/>
  </w:style>
  <w:style w:type="character" w:styleId="CommentReference">
    <w:name w:val="annotation reference"/>
    <w:basedOn w:val="DefaultParagraphFont"/>
    <w:uiPriority w:val="99"/>
    <w:semiHidden/>
    <w:unhideWhenUsed/>
    <w:rsid w:val="00B40AD0"/>
    <w:rPr>
      <w:sz w:val="16"/>
      <w:szCs w:val="16"/>
    </w:rPr>
  </w:style>
  <w:style w:type="paragraph" w:styleId="CommentText">
    <w:name w:val="annotation text"/>
    <w:basedOn w:val="Normal"/>
    <w:link w:val="CommentTextChar"/>
    <w:uiPriority w:val="99"/>
    <w:unhideWhenUsed/>
    <w:rsid w:val="00B40AD0"/>
    <w:rPr>
      <w:sz w:val="20"/>
      <w:szCs w:val="20"/>
    </w:rPr>
  </w:style>
  <w:style w:type="character" w:customStyle="1" w:styleId="CommentTextChar">
    <w:name w:val="Comment Text Char"/>
    <w:basedOn w:val="DefaultParagraphFont"/>
    <w:link w:val="CommentText"/>
    <w:uiPriority w:val="99"/>
    <w:rsid w:val="00B40AD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40AD0"/>
    <w:rPr>
      <w:b/>
      <w:bCs/>
    </w:rPr>
  </w:style>
  <w:style w:type="character" w:customStyle="1" w:styleId="CommentSubjectChar">
    <w:name w:val="Comment Subject Char"/>
    <w:basedOn w:val="CommentTextChar"/>
    <w:link w:val="CommentSubject"/>
    <w:uiPriority w:val="99"/>
    <w:semiHidden/>
    <w:rsid w:val="00B40AD0"/>
    <w:rPr>
      <w:rFonts w:ascii="Arial" w:eastAsia="Times New Roman" w:hAnsi="Arial" w:cs="Times New Roman"/>
      <w:b/>
      <w:bCs/>
      <w:sz w:val="20"/>
      <w:szCs w:val="20"/>
    </w:rPr>
  </w:style>
  <w:style w:type="paragraph" w:customStyle="1" w:styleId="Ind1">
    <w:name w:val="Ind. 1."/>
    <w:basedOn w:val="Normal"/>
    <w:rsid w:val="00050DD7"/>
    <w:pPr>
      <w:suppressAutoHyphens/>
      <w:autoSpaceDE w:val="0"/>
      <w:autoSpaceDN w:val="0"/>
      <w:adjustRightInd w:val="0"/>
      <w:ind w:left="2160" w:hanging="720"/>
    </w:pPr>
    <w:rPr>
      <w:rFonts w:cs="Arial"/>
    </w:rPr>
  </w:style>
  <w:style w:type="paragraph" w:customStyle="1" w:styleId="StyleInd1Left05">
    <w:name w:val="Style Ind. 1. + Left:  0.5&quot;"/>
    <w:basedOn w:val="Ind1"/>
    <w:rsid w:val="00050DD7"/>
    <w:pPr>
      <w:ind w:left="1440"/>
    </w:pPr>
    <w:rPr>
      <w:rFonts w:cs="Times New Roman"/>
      <w:szCs w:val="20"/>
    </w:rPr>
  </w:style>
  <w:style w:type="table" w:styleId="TableGrid">
    <w:name w:val="Table Grid"/>
    <w:basedOn w:val="TableNormal"/>
    <w:uiPriority w:val="39"/>
    <w:rsid w:val="001E4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a">
    <w:name w:val="Ind. a."/>
    <w:basedOn w:val="Ind1"/>
    <w:rsid w:val="00140C36"/>
    <w:pPr>
      <w:tabs>
        <w:tab w:val="left" w:pos="1200"/>
      </w:tabs>
      <w:ind w:left="1200"/>
    </w:pPr>
  </w:style>
  <w:style w:type="character" w:styleId="UnresolvedMention">
    <w:name w:val="Unresolved Mention"/>
    <w:basedOn w:val="DefaultParagraphFont"/>
    <w:uiPriority w:val="99"/>
    <w:semiHidden/>
    <w:unhideWhenUsed/>
    <w:rsid w:val="00AF42B4"/>
    <w:rPr>
      <w:color w:val="605E5C"/>
      <w:shd w:val="clear" w:color="auto" w:fill="E1DFDD"/>
    </w:rPr>
  </w:style>
  <w:style w:type="paragraph" w:styleId="Revision">
    <w:name w:val="Revision"/>
    <w:hidden/>
    <w:uiPriority w:val="99"/>
    <w:semiHidden/>
    <w:rsid w:val="00097B64"/>
    <w:pPr>
      <w:spacing w:after="0" w:line="240" w:lineRule="auto"/>
    </w:pPr>
    <w:rPr>
      <w:rFonts w:ascii="Arial" w:eastAsia="Times New Roman" w:hAnsi="Arial" w:cs="Times New Roman"/>
      <w:sz w:val="24"/>
      <w:szCs w:val="24"/>
    </w:rPr>
  </w:style>
  <w:style w:type="character" w:styleId="Strong">
    <w:name w:val="Strong"/>
    <w:uiPriority w:val="22"/>
    <w:qFormat/>
    <w:rsid w:val="007F5AD1"/>
    <w:rPr>
      <w:b/>
      <w:bCs/>
    </w:rPr>
  </w:style>
  <w:style w:type="paragraph" w:customStyle="1" w:styleId="TableSource">
    <w:name w:val="Table Source"/>
    <w:basedOn w:val="ListParagraph"/>
    <w:qFormat/>
    <w:rsid w:val="007F5AD1"/>
    <w:pPr>
      <w:spacing w:before="120" w:after="240"/>
      <w:ind w:left="360"/>
      <w:contextualSpacing w:val="0"/>
    </w:pPr>
    <w:rPr>
      <w:rFonts w:cs="Arial"/>
      <w:i/>
    </w:rPr>
  </w:style>
  <w:style w:type="table" w:styleId="ListTable3">
    <w:name w:val="List Table 3"/>
    <w:basedOn w:val="TableNormal"/>
    <w:uiPriority w:val="48"/>
    <w:rsid w:val="007F5AD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Emphasis">
    <w:name w:val="Emphasis"/>
    <w:basedOn w:val="DefaultParagraphFont"/>
    <w:uiPriority w:val="20"/>
    <w:qFormat/>
    <w:rsid w:val="007F5AD1"/>
    <w:rPr>
      <w:b/>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98842">
      <w:bodyDiv w:val="1"/>
      <w:marLeft w:val="0"/>
      <w:marRight w:val="0"/>
      <w:marTop w:val="0"/>
      <w:marBottom w:val="0"/>
      <w:divBdr>
        <w:top w:val="none" w:sz="0" w:space="0" w:color="auto"/>
        <w:left w:val="none" w:sz="0" w:space="0" w:color="auto"/>
        <w:bottom w:val="none" w:sz="0" w:space="0" w:color="auto"/>
        <w:right w:val="none" w:sz="0" w:space="0" w:color="auto"/>
      </w:divBdr>
    </w:div>
    <w:div w:id="495146583">
      <w:bodyDiv w:val="1"/>
      <w:marLeft w:val="0"/>
      <w:marRight w:val="0"/>
      <w:marTop w:val="0"/>
      <w:marBottom w:val="0"/>
      <w:divBdr>
        <w:top w:val="none" w:sz="0" w:space="0" w:color="auto"/>
        <w:left w:val="none" w:sz="0" w:space="0" w:color="auto"/>
        <w:bottom w:val="none" w:sz="0" w:space="0" w:color="auto"/>
        <w:right w:val="none" w:sz="0" w:space="0" w:color="auto"/>
      </w:divBdr>
    </w:div>
    <w:div w:id="591402513">
      <w:bodyDiv w:val="1"/>
      <w:marLeft w:val="0"/>
      <w:marRight w:val="0"/>
      <w:marTop w:val="0"/>
      <w:marBottom w:val="0"/>
      <w:divBdr>
        <w:top w:val="none" w:sz="0" w:space="0" w:color="auto"/>
        <w:left w:val="none" w:sz="0" w:space="0" w:color="auto"/>
        <w:bottom w:val="none" w:sz="0" w:space="0" w:color="auto"/>
        <w:right w:val="none" w:sz="0" w:space="0" w:color="auto"/>
      </w:divBdr>
    </w:div>
    <w:div w:id="607664066">
      <w:bodyDiv w:val="1"/>
      <w:marLeft w:val="0"/>
      <w:marRight w:val="0"/>
      <w:marTop w:val="0"/>
      <w:marBottom w:val="0"/>
      <w:divBdr>
        <w:top w:val="none" w:sz="0" w:space="0" w:color="auto"/>
        <w:left w:val="none" w:sz="0" w:space="0" w:color="auto"/>
        <w:bottom w:val="none" w:sz="0" w:space="0" w:color="auto"/>
        <w:right w:val="none" w:sz="0" w:space="0" w:color="auto"/>
      </w:divBdr>
    </w:div>
    <w:div w:id="679354814">
      <w:bodyDiv w:val="1"/>
      <w:marLeft w:val="0"/>
      <w:marRight w:val="0"/>
      <w:marTop w:val="0"/>
      <w:marBottom w:val="0"/>
      <w:divBdr>
        <w:top w:val="none" w:sz="0" w:space="0" w:color="auto"/>
        <w:left w:val="none" w:sz="0" w:space="0" w:color="auto"/>
        <w:bottom w:val="none" w:sz="0" w:space="0" w:color="auto"/>
        <w:right w:val="none" w:sz="0" w:space="0" w:color="auto"/>
      </w:divBdr>
    </w:div>
    <w:div w:id="1249116697">
      <w:bodyDiv w:val="1"/>
      <w:marLeft w:val="0"/>
      <w:marRight w:val="0"/>
      <w:marTop w:val="0"/>
      <w:marBottom w:val="0"/>
      <w:divBdr>
        <w:top w:val="none" w:sz="0" w:space="0" w:color="auto"/>
        <w:left w:val="none" w:sz="0" w:space="0" w:color="auto"/>
        <w:bottom w:val="none" w:sz="0" w:space="0" w:color="auto"/>
        <w:right w:val="none" w:sz="0" w:space="0" w:color="auto"/>
      </w:divBdr>
    </w:div>
    <w:div w:id="1263221479">
      <w:bodyDiv w:val="1"/>
      <w:marLeft w:val="0"/>
      <w:marRight w:val="0"/>
      <w:marTop w:val="0"/>
      <w:marBottom w:val="0"/>
      <w:divBdr>
        <w:top w:val="none" w:sz="0" w:space="0" w:color="auto"/>
        <w:left w:val="none" w:sz="0" w:space="0" w:color="auto"/>
        <w:bottom w:val="none" w:sz="0" w:space="0" w:color="auto"/>
        <w:right w:val="none" w:sz="0" w:space="0" w:color="auto"/>
      </w:divBdr>
    </w:div>
    <w:div w:id="1396588163">
      <w:bodyDiv w:val="1"/>
      <w:marLeft w:val="0"/>
      <w:marRight w:val="0"/>
      <w:marTop w:val="0"/>
      <w:marBottom w:val="0"/>
      <w:divBdr>
        <w:top w:val="none" w:sz="0" w:space="0" w:color="auto"/>
        <w:left w:val="none" w:sz="0" w:space="0" w:color="auto"/>
        <w:bottom w:val="none" w:sz="0" w:space="0" w:color="auto"/>
        <w:right w:val="none" w:sz="0" w:space="0" w:color="auto"/>
      </w:divBdr>
    </w:div>
    <w:div w:id="1712069920">
      <w:bodyDiv w:val="1"/>
      <w:marLeft w:val="0"/>
      <w:marRight w:val="0"/>
      <w:marTop w:val="0"/>
      <w:marBottom w:val="0"/>
      <w:divBdr>
        <w:top w:val="none" w:sz="0" w:space="0" w:color="auto"/>
        <w:left w:val="none" w:sz="0" w:space="0" w:color="auto"/>
        <w:bottom w:val="none" w:sz="0" w:space="0" w:color="auto"/>
        <w:right w:val="none" w:sz="0" w:space="0" w:color="auto"/>
      </w:divBdr>
      <w:divsChild>
        <w:div w:id="691960993">
          <w:marLeft w:val="0"/>
          <w:marRight w:val="0"/>
          <w:marTop w:val="240"/>
          <w:marBottom w:val="0"/>
          <w:divBdr>
            <w:top w:val="none" w:sz="0" w:space="0" w:color="auto"/>
            <w:left w:val="none" w:sz="0" w:space="0" w:color="auto"/>
            <w:bottom w:val="none" w:sz="0" w:space="0" w:color="auto"/>
            <w:right w:val="none" w:sz="0" w:space="0" w:color="auto"/>
          </w:divBdr>
          <w:divsChild>
            <w:div w:id="1109424961">
              <w:marLeft w:val="0"/>
              <w:marRight w:val="0"/>
              <w:marTop w:val="0"/>
              <w:marBottom w:val="0"/>
              <w:divBdr>
                <w:top w:val="none" w:sz="0" w:space="0" w:color="auto"/>
                <w:left w:val="none" w:sz="0" w:space="0" w:color="auto"/>
                <w:bottom w:val="none" w:sz="0" w:space="0" w:color="auto"/>
                <w:right w:val="none" w:sz="0" w:space="0" w:color="auto"/>
              </w:divBdr>
              <w:divsChild>
                <w:div w:id="86043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85650">
          <w:marLeft w:val="0"/>
          <w:marRight w:val="0"/>
          <w:marTop w:val="240"/>
          <w:marBottom w:val="0"/>
          <w:divBdr>
            <w:top w:val="none" w:sz="0" w:space="0" w:color="auto"/>
            <w:left w:val="none" w:sz="0" w:space="0" w:color="auto"/>
            <w:bottom w:val="none" w:sz="0" w:space="0" w:color="auto"/>
            <w:right w:val="none" w:sz="0" w:space="0" w:color="auto"/>
          </w:divBdr>
          <w:divsChild>
            <w:div w:id="1131483349">
              <w:marLeft w:val="0"/>
              <w:marRight w:val="0"/>
              <w:marTop w:val="0"/>
              <w:marBottom w:val="0"/>
              <w:divBdr>
                <w:top w:val="none" w:sz="0" w:space="0" w:color="auto"/>
                <w:left w:val="none" w:sz="0" w:space="0" w:color="auto"/>
                <w:bottom w:val="none" w:sz="0" w:space="0" w:color="auto"/>
                <w:right w:val="none" w:sz="0" w:space="0" w:color="auto"/>
              </w:divBdr>
              <w:divsChild>
                <w:div w:id="165413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80258">
          <w:marLeft w:val="0"/>
          <w:marRight w:val="0"/>
          <w:marTop w:val="240"/>
          <w:marBottom w:val="0"/>
          <w:divBdr>
            <w:top w:val="none" w:sz="0" w:space="0" w:color="auto"/>
            <w:left w:val="none" w:sz="0" w:space="0" w:color="auto"/>
            <w:bottom w:val="none" w:sz="0" w:space="0" w:color="auto"/>
            <w:right w:val="none" w:sz="0" w:space="0" w:color="auto"/>
          </w:divBdr>
          <w:divsChild>
            <w:div w:id="1001733562">
              <w:marLeft w:val="0"/>
              <w:marRight w:val="0"/>
              <w:marTop w:val="0"/>
              <w:marBottom w:val="0"/>
              <w:divBdr>
                <w:top w:val="none" w:sz="0" w:space="0" w:color="auto"/>
                <w:left w:val="none" w:sz="0" w:space="0" w:color="auto"/>
                <w:bottom w:val="none" w:sz="0" w:space="0" w:color="auto"/>
                <w:right w:val="none" w:sz="0" w:space="0" w:color="auto"/>
              </w:divBdr>
              <w:divsChild>
                <w:div w:id="38275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73535">
          <w:marLeft w:val="0"/>
          <w:marRight w:val="0"/>
          <w:marTop w:val="240"/>
          <w:marBottom w:val="0"/>
          <w:divBdr>
            <w:top w:val="none" w:sz="0" w:space="0" w:color="auto"/>
            <w:left w:val="none" w:sz="0" w:space="0" w:color="auto"/>
            <w:bottom w:val="none" w:sz="0" w:space="0" w:color="auto"/>
            <w:right w:val="none" w:sz="0" w:space="0" w:color="auto"/>
          </w:divBdr>
          <w:divsChild>
            <w:div w:id="1039863982">
              <w:marLeft w:val="0"/>
              <w:marRight w:val="0"/>
              <w:marTop w:val="0"/>
              <w:marBottom w:val="0"/>
              <w:divBdr>
                <w:top w:val="none" w:sz="0" w:space="0" w:color="auto"/>
                <w:left w:val="none" w:sz="0" w:space="0" w:color="auto"/>
                <w:bottom w:val="none" w:sz="0" w:space="0" w:color="auto"/>
                <w:right w:val="none" w:sz="0" w:space="0" w:color="auto"/>
              </w:divBdr>
              <w:divsChild>
                <w:div w:id="7524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667875">
          <w:marLeft w:val="0"/>
          <w:marRight w:val="0"/>
          <w:marTop w:val="240"/>
          <w:marBottom w:val="0"/>
          <w:divBdr>
            <w:top w:val="none" w:sz="0" w:space="0" w:color="auto"/>
            <w:left w:val="none" w:sz="0" w:space="0" w:color="auto"/>
            <w:bottom w:val="none" w:sz="0" w:space="0" w:color="auto"/>
            <w:right w:val="none" w:sz="0" w:space="0" w:color="auto"/>
          </w:divBdr>
          <w:divsChild>
            <w:div w:id="967971305">
              <w:marLeft w:val="0"/>
              <w:marRight w:val="0"/>
              <w:marTop w:val="0"/>
              <w:marBottom w:val="0"/>
              <w:divBdr>
                <w:top w:val="none" w:sz="0" w:space="0" w:color="auto"/>
                <w:left w:val="none" w:sz="0" w:space="0" w:color="auto"/>
                <w:bottom w:val="none" w:sz="0" w:space="0" w:color="auto"/>
                <w:right w:val="none" w:sz="0" w:space="0" w:color="auto"/>
              </w:divBdr>
              <w:divsChild>
                <w:div w:id="190093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46493">
          <w:marLeft w:val="0"/>
          <w:marRight w:val="0"/>
          <w:marTop w:val="240"/>
          <w:marBottom w:val="0"/>
          <w:divBdr>
            <w:top w:val="none" w:sz="0" w:space="0" w:color="auto"/>
            <w:left w:val="none" w:sz="0" w:space="0" w:color="auto"/>
            <w:bottom w:val="none" w:sz="0" w:space="0" w:color="auto"/>
            <w:right w:val="none" w:sz="0" w:space="0" w:color="auto"/>
          </w:divBdr>
          <w:divsChild>
            <w:div w:id="267272387">
              <w:marLeft w:val="0"/>
              <w:marRight w:val="0"/>
              <w:marTop w:val="0"/>
              <w:marBottom w:val="0"/>
              <w:divBdr>
                <w:top w:val="none" w:sz="0" w:space="0" w:color="auto"/>
                <w:left w:val="none" w:sz="0" w:space="0" w:color="auto"/>
                <w:bottom w:val="none" w:sz="0" w:space="0" w:color="auto"/>
                <w:right w:val="none" w:sz="0" w:space="0" w:color="auto"/>
              </w:divBdr>
              <w:divsChild>
                <w:div w:id="133680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78099">
          <w:marLeft w:val="0"/>
          <w:marRight w:val="0"/>
          <w:marTop w:val="240"/>
          <w:marBottom w:val="0"/>
          <w:divBdr>
            <w:top w:val="none" w:sz="0" w:space="0" w:color="auto"/>
            <w:left w:val="none" w:sz="0" w:space="0" w:color="auto"/>
            <w:bottom w:val="none" w:sz="0" w:space="0" w:color="auto"/>
            <w:right w:val="none" w:sz="0" w:space="0" w:color="auto"/>
          </w:divBdr>
          <w:divsChild>
            <w:div w:id="1855873226">
              <w:marLeft w:val="0"/>
              <w:marRight w:val="0"/>
              <w:marTop w:val="0"/>
              <w:marBottom w:val="0"/>
              <w:divBdr>
                <w:top w:val="none" w:sz="0" w:space="0" w:color="auto"/>
                <w:left w:val="none" w:sz="0" w:space="0" w:color="auto"/>
                <w:bottom w:val="none" w:sz="0" w:space="0" w:color="auto"/>
                <w:right w:val="none" w:sz="0" w:space="0" w:color="auto"/>
              </w:divBdr>
              <w:divsChild>
                <w:div w:id="182291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398474">
      <w:bodyDiv w:val="1"/>
      <w:marLeft w:val="0"/>
      <w:marRight w:val="0"/>
      <w:marTop w:val="0"/>
      <w:marBottom w:val="0"/>
      <w:divBdr>
        <w:top w:val="none" w:sz="0" w:space="0" w:color="auto"/>
        <w:left w:val="none" w:sz="0" w:space="0" w:color="auto"/>
        <w:bottom w:val="none" w:sz="0" w:space="0" w:color="auto"/>
        <w:right w:val="none" w:sz="0" w:space="0" w:color="auto"/>
      </w:divBdr>
    </w:div>
    <w:div w:id="188444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ED0FF-78D9-4AF8-B8C9-461AEB500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27</Pages>
  <Words>9078</Words>
  <Characters>51745</Characters>
  <DocSecurity>0</DocSecurity>
  <Lines>431</Lines>
  <Paragraphs>121</Paragraphs>
  <ScaleCrop>false</ScaleCrop>
  <HeadingPairs>
    <vt:vector size="2" baseType="variant">
      <vt:variant>
        <vt:lpstr>Title</vt:lpstr>
      </vt:variant>
      <vt:variant>
        <vt:i4>1</vt:i4>
      </vt:variant>
    </vt:vector>
  </HeadingPairs>
  <TitlesOfParts>
    <vt:vector size="1" baseType="lpstr">
      <vt:lpstr>January 2024 Agenda Item 19 - Meeting Agendas (CA State Board of Education)</vt:lpstr>
    </vt:vector>
  </TitlesOfParts>
  <Company>California State Board of Education</Company>
  <LinksUpToDate>false</LinksUpToDate>
  <CharactersWithSpaces>60702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2024 Agenda Item 19 - Meeting Agendas (CA State Board of Education)</dc:title>
  <dc:subject>Appeal of an Action of the Los Angeles County Committee on School District Organization to Approve a Petition to Transfer Territory from the Glendale Unified School District.</dc:subject>
  <cp:keywords/>
  <dc:description/>
  <cp:lastPrinted>2020-03-19T13:44:00Z</cp:lastPrinted>
  <dcterms:created xsi:type="dcterms:W3CDTF">2023-12-29T21:20:00Z</dcterms:created>
  <dcterms:modified xsi:type="dcterms:W3CDTF">2024-01-06T00:27:00Z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-1701637659</vt:i4>
  </property>
</Properties>
</file>