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67" w:rsidRDefault="00BA5729" w:rsidP="00D16D67">
      <w:pPr>
        <w:jc w:val="right"/>
      </w:pPr>
      <w:r>
        <w:t>Item 5</w:t>
      </w:r>
      <w:r w:rsidR="00D16D67">
        <w:t>.A.1</w:t>
      </w:r>
    </w:p>
    <w:p w:rsidR="00D16D67" w:rsidRDefault="00D16D67" w:rsidP="00D16D67">
      <w:pPr>
        <w:jc w:val="right"/>
      </w:pPr>
      <w:r>
        <w:t>Attachment 1</w:t>
      </w:r>
    </w:p>
    <w:p w:rsidR="00D16D67" w:rsidRDefault="00D16D67" w:rsidP="00D16D67">
      <w:pPr>
        <w:jc w:val="right"/>
      </w:pPr>
      <w:r>
        <w:t>History–Social Science SMC</w:t>
      </w:r>
    </w:p>
    <w:p w:rsidR="00D16D67" w:rsidRDefault="00D16D67" w:rsidP="00D16D67">
      <w:pPr>
        <w:jc w:val="right"/>
      </w:pPr>
      <w:r>
        <w:t>May 1</w:t>
      </w:r>
      <w:r w:rsidR="007B4457">
        <w:t>7</w:t>
      </w:r>
      <w:r>
        <w:t>, 2018</w:t>
      </w:r>
    </w:p>
    <w:p w:rsidR="00D16D67" w:rsidRDefault="00D16D67" w:rsidP="00BA5729">
      <w:pPr>
        <w:spacing w:after="480"/>
        <w:jc w:val="right"/>
      </w:pPr>
      <w:r>
        <w:t>Page 1 of 1</w:t>
      </w:r>
    </w:p>
    <w:p w:rsidR="00857BE5" w:rsidRDefault="00857BE5" w:rsidP="00BA5729">
      <w:pPr>
        <w:pStyle w:val="Heading1"/>
        <w:spacing w:after="240"/>
      </w:pPr>
      <w:r w:rsidRPr="00857BE5">
        <w:t xml:space="preserve">Schedule of </w:t>
      </w:r>
      <w:r w:rsidRPr="00877FD0">
        <w:t>Significant</w:t>
      </w:r>
      <w:r w:rsidRPr="00857BE5">
        <w:t xml:space="preserve"> Event</w:t>
      </w:r>
      <w:r w:rsidR="00877FD0">
        <w:t>s</w:t>
      </w:r>
      <w:r w:rsidR="00877FD0">
        <w:br/>
      </w:r>
      <w:r w:rsidRPr="00857BE5">
        <w:t xml:space="preserve">Ethnic </w:t>
      </w:r>
      <w:r w:rsidRPr="00877FD0">
        <w:t>Studies</w:t>
      </w:r>
      <w:r w:rsidRPr="00857BE5">
        <w:t xml:space="preserve"> Model Curriculum</w:t>
      </w:r>
    </w:p>
    <w:p w:rsidR="00857BE5" w:rsidRDefault="00857BE5" w:rsidP="00877FD0">
      <w:pPr>
        <w:spacing w:after="240"/>
      </w:pPr>
      <w:r>
        <w:t>This timeline has not been approved by the Instructional Quality Commission</w:t>
      </w:r>
      <w:r w:rsidR="001E3061">
        <w:t xml:space="preserve"> (IQC)</w:t>
      </w:r>
      <w:r>
        <w:t xml:space="preserve"> or State Board of Education</w:t>
      </w:r>
      <w:r w:rsidR="001E3061">
        <w:t xml:space="preserve"> (SBE)</w:t>
      </w:r>
      <w:r w:rsidR="00505821">
        <w:t>.</w:t>
      </w:r>
      <w:r w:rsidR="002C4181">
        <w:t xml:space="preserve"> </w:t>
      </w:r>
      <w:r w:rsidR="002C4181" w:rsidRPr="002C4181">
        <w:t xml:space="preserve">This timeline </w:t>
      </w:r>
      <w:r w:rsidR="002C4181">
        <w:t xml:space="preserve">is </w:t>
      </w:r>
      <w:r w:rsidR="002C4181" w:rsidRPr="002C4181">
        <w:t xml:space="preserve">subject to change. </w:t>
      </w:r>
      <w:r w:rsidR="002C4181">
        <w:t xml:space="preserve">The </w:t>
      </w:r>
      <w:r w:rsidR="001E3061">
        <w:t>SBE</w:t>
      </w:r>
      <w:r w:rsidR="002C4181" w:rsidRPr="002C4181">
        <w:t xml:space="preserve"> will only </w:t>
      </w:r>
      <w:proofErr w:type="gramStart"/>
      <w:r w:rsidR="002C4181" w:rsidRPr="002C4181">
        <w:t>take action</w:t>
      </w:r>
      <w:proofErr w:type="gramEnd"/>
      <w:r w:rsidR="002C4181" w:rsidRPr="002C4181">
        <w:t xml:space="preserve"> on changes to the approved timeline if they affect </w:t>
      </w:r>
      <w:r w:rsidR="001E3061">
        <w:t>IQC</w:t>
      </w:r>
      <w:r w:rsidR="002C4181" w:rsidRPr="002C4181">
        <w:t xml:space="preserve"> or </w:t>
      </w:r>
      <w:r w:rsidR="001E3061">
        <w:t xml:space="preserve">SBE </w:t>
      </w:r>
      <w:r w:rsidR="002C4181" w:rsidRPr="002C4181">
        <w:t>action dates.</w:t>
      </w:r>
    </w:p>
    <w:tbl>
      <w:tblPr>
        <w:tblStyle w:val="TableGrid"/>
        <w:tblW w:w="9571" w:type="dxa"/>
        <w:tblLayout w:type="fixed"/>
        <w:tblLook w:val="00A0" w:firstRow="1" w:lastRow="0" w:firstColumn="1" w:lastColumn="0" w:noHBand="0" w:noVBand="0"/>
        <w:tblDescription w:val="Ethnic Studies Model Curriculum schedule of significant events"/>
      </w:tblPr>
      <w:tblGrid>
        <w:gridCol w:w="5575"/>
        <w:gridCol w:w="3996"/>
      </w:tblGrid>
      <w:tr w:rsidR="00857BE5" w:rsidRPr="00857BE5" w:rsidTr="001E3061">
        <w:trPr>
          <w:cantSplit/>
          <w:trHeight w:val="872"/>
          <w:tblHeader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b/>
                <w:sz w:val="28"/>
                <w:szCs w:val="20"/>
              </w:rPr>
            </w:pPr>
            <w:bookmarkStart w:id="0" w:name="_GoBack"/>
            <w:bookmarkEnd w:id="0"/>
            <w:r w:rsidRPr="00857BE5">
              <w:rPr>
                <w:rFonts w:eastAsia="Times New Roman" w:cs="Arial"/>
                <w:b/>
                <w:sz w:val="28"/>
                <w:szCs w:val="20"/>
              </w:rPr>
              <w:t>Milestone Event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b/>
                <w:sz w:val="28"/>
                <w:szCs w:val="20"/>
              </w:rPr>
            </w:pPr>
            <w:r w:rsidRPr="00857BE5">
              <w:rPr>
                <w:rFonts w:eastAsia="Times New Roman" w:cs="Arial"/>
                <w:b/>
                <w:sz w:val="28"/>
                <w:szCs w:val="20"/>
              </w:rPr>
              <w:t>Date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Public Input </w:t>
            </w:r>
            <w:r w:rsidR="002C4181">
              <w:rPr>
                <w:rFonts w:eastAsia="Times New Roman" w:cs="Arial"/>
                <w:szCs w:val="20"/>
              </w:rPr>
              <w:t>Webinar</w:t>
            </w:r>
          </w:p>
        </w:tc>
        <w:tc>
          <w:tcPr>
            <w:tcW w:w="3996" w:type="dxa"/>
          </w:tcPr>
          <w:p w:rsidR="00857BE5" w:rsidRPr="00857BE5" w:rsidRDefault="00535D73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January 9, 2018</w:t>
            </w:r>
          </w:p>
        </w:tc>
      </w:tr>
      <w:tr w:rsidR="00857BE5" w:rsidRPr="00857BE5" w:rsidTr="001E3061">
        <w:trPr>
          <w:cantSplit/>
        </w:trPr>
        <w:tc>
          <w:tcPr>
            <w:tcW w:w="5575" w:type="dxa"/>
          </w:tcPr>
          <w:p w:rsidR="00857BE5" w:rsidRPr="00857BE5" w:rsidRDefault="001E3061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IQC</w:t>
            </w:r>
            <w:r w:rsidR="00857BE5" w:rsidRPr="00857BE5"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r</w:t>
            </w:r>
            <w:r w:rsidR="00857BE5">
              <w:rPr>
                <w:rFonts w:eastAsia="Times New Roman" w:cs="Arial"/>
                <w:szCs w:val="20"/>
              </w:rPr>
              <w:t>ecommends</w:t>
            </w:r>
            <w:r w:rsidR="00857BE5" w:rsidRPr="00857BE5">
              <w:rPr>
                <w:rFonts w:eastAsia="Times New Roman" w:cs="Arial"/>
                <w:szCs w:val="20"/>
              </w:rPr>
              <w:t xml:space="preserve"> Timeline, </w:t>
            </w:r>
            <w:r w:rsidR="00857BE5">
              <w:rPr>
                <w:rFonts w:eastAsia="Times New Roman" w:cs="Arial"/>
                <w:szCs w:val="20"/>
              </w:rPr>
              <w:t>Model Curriculum</w:t>
            </w:r>
            <w:r w:rsidR="00857BE5" w:rsidRPr="00857BE5">
              <w:rPr>
                <w:rFonts w:eastAsia="Times New Roman" w:cs="Arial"/>
                <w:szCs w:val="20"/>
              </w:rPr>
              <w:t xml:space="preserve"> Advisory Committee (</w:t>
            </w:r>
            <w:r w:rsidR="00857BE5">
              <w:rPr>
                <w:rFonts w:eastAsia="Times New Roman" w:cs="Arial"/>
                <w:szCs w:val="20"/>
              </w:rPr>
              <w:t>MC</w:t>
            </w:r>
            <w:r w:rsidR="00857BE5" w:rsidRPr="00857BE5">
              <w:rPr>
                <w:rFonts w:eastAsia="Times New Roman" w:cs="Arial"/>
                <w:szCs w:val="20"/>
              </w:rPr>
              <w:t>AC) Application</w:t>
            </w:r>
            <w:r w:rsidR="008B61C6">
              <w:rPr>
                <w:rFonts w:eastAsia="Times New Roman" w:cs="Arial"/>
                <w:szCs w:val="20"/>
              </w:rPr>
              <w:t xml:space="preserve">, </w:t>
            </w:r>
            <w:r>
              <w:rPr>
                <w:rFonts w:eastAsia="Times New Roman" w:cs="Arial"/>
                <w:szCs w:val="20"/>
              </w:rPr>
              <w:t xml:space="preserve">and </w:t>
            </w:r>
            <w:r w:rsidR="008B61C6">
              <w:rPr>
                <w:rFonts w:eastAsia="Times New Roman" w:cs="Arial"/>
                <w:szCs w:val="20"/>
              </w:rPr>
              <w:t>Guidelines</w:t>
            </w:r>
          </w:p>
        </w:tc>
        <w:tc>
          <w:tcPr>
            <w:tcW w:w="3996" w:type="dxa"/>
          </w:tcPr>
          <w:p w:rsidR="00857BE5" w:rsidRPr="00857BE5" w:rsidRDefault="00857BE5" w:rsidP="007B4457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May 17, 2018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204B46" w:rsidP="00FF21F2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</w:t>
            </w:r>
            <w:r w:rsidR="00857BE5">
              <w:rPr>
                <w:rFonts w:eastAsia="Times New Roman" w:cs="Arial"/>
                <w:szCs w:val="20"/>
              </w:rPr>
              <w:t>BE</w:t>
            </w:r>
            <w:r w:rsidR="001E3061">
              <w:rPr>
                <w:rFonts w:eastAsia="Times New Roman" w:cs="Arial"/>
                <w:szCs w:val="20"/>
              </w:rPr>
              <w:t xml:space="preserve"> a</w:t>
            </w:r>
            <w:r w:rsidR="00857BE5">
              <w:rPr>
                <w:rFonts w:eastAsia="Times New Roman" w:cs="Arial"/>
                <w:szCs w:val="20"/>
              </w:rPr>
              <w:t>pproves Timeline, MC</w:t>
            </w:r>
            <w:r w:rsidR="00857BE5" w:rsidRPr="00857BE5">
              <w:rPr>
                <w:rFonts w:eastAsia="Times New Roman" w:cs="Arial"/>
                <w:szCs w:val="20"/>
              </w:rPr>
              <w:t>AC Application</w:t>
            </w:r>
            <w:r w:rsidR="008B61C6">
              <w:rPr>
                <w:rFonts w:eastAsia="Times New Roman" w:cs="Arial"/>
                <w:szCs w:val="20"/>
              </w:rPr>
              <w:t xml:space="preserve">, </w:t>
            </w:r>
            <w:r w:rsidR="001E3061">
              <w:rPr>
                <w:rFonts w:eastAsia="Times New Roman" w:cs="Arial"/>
                <w:szCs w:val="20"/>
              </w:rPr>
              <w:t xml:space="preserve">and </w:t>
            </w:r>
            <w:r w:rsidR="008B61C6">
              <w:rPr>
                <w:rFonts w:eastAsia="Times New Roman" w:cs="Arial"/>
                <w:szCs w:val="20"/>
              </w:rPr>
              <w:t>Guidelines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July</w:t>
            </w:r>
            <w:r w:rsidR="00C74A7E">
              <w:rPr>
                <w:rFonts w:eastAsia="Times New Roman" w:cs="Arial"/>
                <w:szCs w:val="20"/>
              </w:rPr>
              <w:t xml:space="preserve"> 11–12,</w:t>
            </w:r>
            <w:r w:rsidRPr="00857BE5">
              <w:rPr>
                <w:rFonts w:eastAsia="Times New Roman" w:cs="Arial"/>
                <w:szCs w:val="20"/>
              </w:rPr>
              <w:t xml:space="preserve"> 2018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Recruitment of </w:t>
            </w:r>
            <w:r>
              <w:rPr>
                <w:rFonts w:eastAsia="Times New Roman" w:cs="Arial"/>
                <w:szCs w:val="20"/>
              </w:rPr>
              <w:t>MC</w:t>
            </w:r>
            <w:r w:rsidRPr="00857BE5">
              <w:rPr>
                <w:rFonts w:eastAsia="Times New Roman" w:cs="Arial"/>
                <w:szCs w:val="20"/>
              </w:rPr>
              <w:t>AC members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August</w:t>
            </w:r>
            <w:r w:rsidR="00C74A7E">
              <w:rPr>
                <w:rFonts w:eastAsia="Times New Roman" w:cs="Arial"/>
                <w:szCs w:val="20"/>
              </w:rPr>
              <w:t xml:space="preserve"> 1</w:t>
            </w:r>
            <w:r w:rsidRPr="00857BE5">
              <w:rPr>
                <w:rFonts w:eastAsia="Times New Roman" w:cs="Arial"/>
                <w:szCs w:val="20"/>
              </w:rPr>
              <w:t xml:space="preserve"> – October </w:t>
            </w:r>
            <w:r w:rsidR="00C74A7E">
              <w:rPr>
                <w:rFonts w:eastAsia="Times New Roman" w:cs="Arial"/>
                <w:szCs w:val="20"/>
              </w:rPr>
              <w:t xml:space="preserve">17, </w:t>
            </w:r>
            <w:r w:rsidRPr="00857BE5">
              <w:rPr>
                <w:rFonts w:eastAsia="Times New Roman" w:cs="Arial"/>
                <w:szCs w:val="20"/>
              </w:rPr>
              <w:t>2018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1E3061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IQC r</w:t>
            </w:r>
            <w:r w:rsidR="00857BE5">
              <w:rPr>
                <w:rFonts w:eastAsia="Times New Roman" w:cs="Arial"/>
                <w:szCs w:val="20"/>
              </w:rPr>
              <w:t>ecommends MC</w:t>
            </w:r>
            <w:r w:rsidR="00857BE5" w:rsidRPr="00857BE5">
              <w:rPr>
                <w:rFonts w:eastAsia="Times New Roman" w:cs="Arial"/>
                <w:szCs w:val="20"/>
              </w:rPr>
              <w:t>AC members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November 15–16, 2018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1E3061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SBE a</w:t>
            </w:r>
            <w:r w:rsidR="00857BE5" w:rsidRPr="00857BE5">
              <w:rPr>
                <w:rFonts w:eastAsia="Times New Roman" w:cs="Arial"/>
                <w:szCs w:val="20"/>
              </w:rPr>
              <w:t xml:space="preserve">ppoints </w:t>
            </w:r>
            <w:r w:rsidR="00857BE5">
              <w:rPr>
                <w:rFonts w:eastAsia="Times New Roman" w:cs="Arial"/>
                <w:szCs w:val="20"/>
              </w:rPr>
              <w:t>MC</w:t>
            </w:r>
            <w:r w:rsidR="00857BE5" w:rsidRPr="00857BE5">
              <w:rPr>
                <w:rFonts w:eastAsia="Times New Roman" w:cs="Arial"/>
                <w:szCs w:val="20"/>
              </w:rPr>
              <w:t>AC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January </w:t>
            </w:r>
            <w:r w:rsidR="00C74A7E">
              <w:rPr>
                <w:rFonts w:eastAsia="Times New Roman" w:cs="Arial"/>
                <w:szCs w:val="20"/>
              </w:rPr>
              <w:t xml:space="preserve">9–10, </w:t>
            </w:r>
            <w:r w:rsidRPr="00857BE5">
              <w:rPr>
                <w:rFonts w:eastAsia="Times New Roman" w:cs="Arial"/>
                <w:szCs w:val="20"/>
              </w:rPr>
              <w:t>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Three MC</w:t>
            </w:r>
            <w:r w:rsidR="001E3061">
              <w:rPr>
                <w:rFonts w:eastAsia="Times New Roman" w:cs="Arial"/>
                <w:szCs w:val="20"/>
              </w:rPr>
              <w:t>AC m</w:t>
            </w:r>
            <w:r w:rsidRPr="00857BE5">
              <w:rPr>
                <w:rFonts w:eastAsia="Times New Roman" w:cs="Arial"/>
                <w:szCs w:val="20"/>
              </w:rPr>
              <w:t>eetings</w:t>
            </w:r>
          </w:p>
        </w:tc>
        <w:tc>
          <w:tcPr>
            <w:tcW w:w="3996" w:type="dxa"/>
          </w:tcPr>
          <w:p w:rsidR="00C74A7E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February </w:t>
            </w:r>
            <w:r w:rsidR="00C74A7E">
              <w:rPr>
                <w:rFonts w:eastAsia="Times New Roman" w:cs="Arial"/>
                <w:szCs w:val="20"/>
              </w:rPr>
              <w:t>14–15, 2019</w:t>
            </w:r>
          </w:p>
          <w:p w:rsidR="00C74A7E" w:rsidRDefault="00C74A7E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March 21–22, 2019</w:t>
            </w:r>
          </w:p>
          <w:p w:rsidR="00857BE5" w:rsidRPr="00857BE5" w:rsidRDefault="00C74A7E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April 25–26, 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IQC reviews draft </w:t>
            </w:r>
            <w:r>
              <w:rPr>
                <w:rFonts w:eastAsia="Times New Roman" w:cs="Arial"/>
                <w:szCs w:val="20"/>
              </w:rPr>
              <w:t>curriculum</w:t>
            </w:r>
            <w:r w:rsidRPr="00857BE5">
              <w:rPr>
                <w:rFonts w:eastAsia="Times New Roman" w:cs="Arial"/>
                <w:szCs w:val="20"/>
              </w:rPr>
              <w:t xml:space="preserve"> and approves for public review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May </w:t>
            </w:r>
            <w:r w:rsidR="00C74A7E">
              <w:rPr>
                <w:rFonts w:eastAsia="Times New Roman" w:cs="Arial"/>
                <w:szCs w:val="20"/>
              </w:rPr>
              <w:t xml:space="preserve">16–17, </w:t>
            </w:r>
            <w:r w:rsidRPr="00857BE5">
              <w:rPr>
                <w:rFonts w:eastAsia="Times New Roman" w:cs="Arial"/>
                <w:szCs w:val="20"/>
              </w:rPr>
              <w:t>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IQC posts draft </w:t>
            </w:r>
            <w:r>
              <w:rPr>
                <w:rFonts w:eastAsia="Times New Roman" w:cs="Arial"/>
                <w:szCs w:val="20"/>
              </w:rPr>
              <w:t>curriculum</w:t>
            </w:r>
            <w:r w:rsidRPr="00857BE5">
              <w:rPr>
                <w:rFonts w:eastAsia="Times New Roman" w:cs="Arial"/>
                <w:szCs w:val="20"/>
              </w:rPr>
              <w:t xml:space="preserve"> for public feedback 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June – August 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IQC</w:t>
            </w:r>
            <w:r w:rsidRPr="00857BE5">
              <w:rPr>
                <w:rFonts w:eastAsia="Times New Roman" w:cs="Arial"/>
                <w:szCs w:val="20"/>
              </w:rPr>
              <w:t xml:space="preserve"> analyzes field review results and revises draft </w:t>
            </w:r>
            <w:r>
              <w:rPr>
                <w:rFonts w:eastAsia="Times New Roman" w:cs="Arial"/>
                <w:szCs w:val="20"/>
              </w:rPr>
              <w:t>curriculum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September </w:t>
            </w:r>
            <w:r w:rsidR="00C74A7E">
              <w:rPr>
                <w:rFonts w:eastAsia="Times New Roman" w:cs="Arial"/>
                <w:szCs w:val="20"/>
              </w:rPr>
              <w:t xml:space="preserve">19–20, </w:t>
            </w:r>
            <w:r w:rsidRPr="00857BE5">
              <w:rPr>
                <w:rFonts w:eastAsia="Times New Roman" w:cs="Arial"/>
                <w:szCs w:val="20"/>
              </w:rPr>
              <w:t>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857BE5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IQC recommends draft </w:t>
            </w:r>
            <w:r>
              <w:rPr>
                <w:rFonts w:eastAsia="Times New Roman" w:cs="Arial"/>
                <w:szCs w:val="20"/>
              </w:rPr>
              <w:t>curriculum</w:t>
            </w:r>
            <w:r w:rsidRPr="00857BE5">
              <w:rPr>
                <w:rFonts w:eastAsia="Times New Roman" w:cs="Arial"/>
                <w:szCs w:val="20"/>
              </w:rPr>
              <w:t xml:space="preserve"> to the SBE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 xml:space="preserve">November </w:t>
            </w:r>
            <w:r w:rsidR="00C74A7E">
              <w:rPr>
                <w:rFonts w:eastAsia="Times New Roman" w:cs="Arial"/>
                <w:szCs w:val="20"/>
              </w:rPr>
              <w:t xml:space="preserve">14–15, </w:t>
            </w:r>
            <w:r w:rsidRPr="00857BE5">
              <w:rPr>
                <w:rFonts w:eastAsia="Times New Roman" w:cs="Arial"/>
                <w:szCs w:val="20"/>
              </w:rPr>
              <w:t>2019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1E3061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SBE a</w:t>
            </w:r>
            <w:r w:rsidR="00857BE5" w:rsidRPr="00857BE5">
              <w:rPr>
                <w:rFonts w:eastAsia="Times New Roman" w:cs="Arial"/>
                <w:szCs w:val="20"/>
              </w:rPr>
              <w:t xml:space="preserve">ction on draft </w:t>
            </w:r>
            <w:r w:rsidR="00857BE5">
              <w:rPr>
                <w:rFonts w:eastAsia="Times New Roman" w:cs="Arial"/>
                <w:szCs w:val="20"/>
              </w:rPr>
              <w:t>curriculum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January or March 2020</w:t>
            </w:r>
          </w:p>
        </w:tc>
      </w:tr>
      <w:tr w:rsidR="00857BE5" w:rsidRPr="00857BE5" w:rsidTr="00BB325D">
        <w:trPr>
          <w:cantSplit/>
        </w:trPr>
        <w:tc>
          <w:tcPr>
            <w:tcW w:w="5575" w:type="dxa"/>
          </w:tcPr>
          <w:p w:rsidR="00857BE5" w:rsidRPr="00857BE5" w:rsidRDefault="001E3061" w:rsidP="008F11DB">
            <w:pPr>
              <w:spacing w:before="100" w:after="10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Statutory d</w:t>
            </w:r>
            <w:r w:rsidR="00857BE5" w:rsidRPr="00857BE5">
              <w:rPr>
                <w:rFonts w:eastAsia="Times New Roman" w:cs="Arial"/>
                <w:szCs w:val="20"/>
              </w:rPr>
              <w:t>eadline for SBE action</w:t>
            </w:r>
          </w:p>
        </w:tc>
        <w:tc>
          <w:tcPr>
            <w:tcW w:w="3996" w:type="dxa"/>
          </w:tcPr>
          <w:p w:rsidR="00857BE5" w:rsidRPr="00857BE5" w:rsidRDefault="00857BE5" w:rsidP="008F11DB">
            <w:pPr>
              <w:spacing w:before="100" w:after="100"/>
              <w:jc w:val="center"/>
              <w:rPr>
                <w:rFonts w:eastAsia="Times New Roman" w:cs="Arial"/>
                <w:szCs w:val="20"/>
              </w:rPr>
            </w:pPr>
            <w:r w:rsidRPr="00857BE5">
              <w:rPr>
                <w:rFonts w:eastAsia="Times New Roman" w:cs="Arial"/>
                <w:szCs w:val="20"/>
              </w:rPr>
              <w:t>March 31, 2020</w:t>
            </w:r>
          </w:p>
        </w:tc>
      </w:tr>
    </w:tbl>
    <w:p w:rsidR="00DE2906" w:rsidRPr="00D16D67" w:rsidRDefault="00D55963" w:rsidP="00BA5729">
      <w:pPr>
        <w:rPr>
          <w:sz w:val="20"/>
        </w:rPr>
      </w:pPr>
      <w:r>
        <w:rPr>
          <w:rFonts w:cs="Arial"/>
          <w:sz w:val="20"/>
        </w:rPr>
        <w:t>©California Department of Education, May 2018.</w:t>
      </w:r>
    </w:p>
    <w:sectPr w:rsidR="00DE2906" w:rsidRPr="00D16D67" w:rsidSect="00D16D67">
      <w:headerReference w:type="default" r:id="rId7"/>
      <w:footerReference w:type="default" r:id="rId8"/>
      <w:pgSz w:w="12240" w:h="15840"/>
      <w:pgMar w:top="720" w:right="1440" w:bottom="1296" w:left="1440" w:header="8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22" w:rsidRDefault="00D17622" w:rsidP="00AA6424">
      <w:r>
        <w:separator/>
      </w:r>
    </w:p>
  </w:endnote>
  <w:endnote w:type="continuationSeparator" w:id="0">
    <w:p w:rsidR="00D17622" w:rsidRDefault="00D17622" w:rsidP="00AA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B3A" w:rsidRDefault="00F80B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22" w:rsidRDefault="00D17622" w:rsidP="00AA6424">
      <w:r>
        <w:separator/>
      </w:r>
    </w:p>
  </w:footnote>
  <w:footnote w:type="continuationSeparator" w:id="0">
    <w:p w:rsidR="00D17622" w:rsidRDefault="00D17622" w:rsidP="00AA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67" w:rsidRDefault="00D16D67" w:rsidP="008F11DB">
    <w:pPr>
      <w:tabs>
        <w:tab w:val="center" w:pos="4320"/>
        <w:tab w:val="right" w:pos="8640"/>
      </w:tabs>
      <w:jc w:val="right"/>
      <w:rPr>
        <w:rFonts w:eastAsia="Times New Roman" w:cs="Arial"/>
        <w:szCs w:val="24"/>
      </w:rPr>
    </w:pPr>
    <w:r>
      <w:rPr>
        <w:rFonts w:eastAsia="Times New Roman" w:cs="Arial"/>
        <w:szCs w:val="24"/>
      </w:rPr>
      <w:t>Item 4.A.1</w:t>
    </w:r>
  </w:p>
  <w:p w:rsidR="008F11DB" w:rsidRPr="00877FD0" w:rsidRDefault="008F11DB" w:rsidP="008F11DB">
    <w:pPr>
      <w:tabs>
        <w:tab w:val="center" w:pos="4320"/>
        <w:tab w:val="right" w:pos="8640"/>
      </w:tabs>
      <w:jc w:val="right"/>
      <w:rPr>
        <w:rFonts w:eastAsia="Times New Roman" w:cs="Arial"/>
        <w:szCs w:val="24"/>
      </w:rPr>
    </w:pPr>
    <w:r w:rsidRPr="00877FD0">
      <w:rPr>
        <w:rFonts w:eastAsia="Times New Roman" w:cs="Arial"/>
        <w:szCs w:val="24"/>
      </w:rPr>
      <w:t xml:space="preserve">Attachment </w:t>
    </w:r>
    <w:r w:rsidR="00D16D67">
      <w:rPr>
        <w:rFonts w:eastAsia="Times New Roman" w:cs="Arial"/>
        <w:szCs w:val="24"/>
      </w:rPr>
      <w:t>1</w:t>
    </w:r>
  </w:p>
  <w:p w:rsidR="008F11DB" w:rsidRPr="00877FD0" w:rsidRDefault="008F11DB" w:rsidP="008F11DB">
    <w:pPr>
      <w:tabs>
        <w:tab w:val="center" w:pos="4320"/>
        <w:tab w:val="right" w:pos="8640"/>
      </w:tabs>
      <w:jc w:val="right"/>
      <w:rPr>
        <w:rFonts w:eastAsia="Times New Roman" w:cs="Arial"/>
        <w:szCs w:val="24"/>
      </w:rPr>
    </w:pPr>
    <w:r w:rsidRPr="00877FD0">
      <w:rPr>
        <w:rFonts w:eastAsia="Times New Roman" w:cs="Arial"/>
        <w:szCs w:val="24"/>
      </w:rPr>
      <w:t>History–Social Science SMC</w:t>
    </w:r>
  </w:p>
  <w:p w:rsidR="008F11DB" w:rsidRPr="00877FD0" w:rsidRDefault="008F11DB" w:rsidP="008F11DB">
    <w:pPr>
      <w:tabs>
        <w:tab w:val="center" w:pos="4320"/>
        <w:tab w:val="right" w:pos="8640"/>
      </w:tabs>
      <w:jc w:val="right"/>
      <w:rPr>
        <w:rFonts w:eastAsia="Times New Roman" w:cs="Arial"/>
        <w:szCs w:val="24"/>
      </w:rPr>
    </w:pPr>
    <w:r w:rsidRPr="00877FD0">
      <w:rPr>
        <w:rFonts w:eastAsia="Times New Roman" w:cs="Arial"/>
        <w:szCs w:val="24"/>
      </w:rPr>
      <w:t>May 17–18, 2018</w:t>
    </w:r>
  </w:p>
  <w:p w:rsidR="008F11DB" w:rsidRPr="00877FD0" w:rsidRDefault="008F11DB" w:rsidP="00877FD0">
    <w:pPr>
      <w:tabs>
        <w:tab w:val="center" w:pos="4320"/>
        <w:tab w:val="right" w:pos="8640"/>
      </w:tabs>
      <w:spacing w:after="480"/>
      <w:jc w:val="right"/>
      <w:rPr>
        <w:rFonts w:eastAsia="Times New Roman" w:cs="Arial"/>
        <w:szCs w:val="24"/>
      </w:rPr>
    </w:pPr>
    <w:r w:rsidRPr="00877FD0">
      <w:rPr>
        <w:rFonts w:eastAsia="Times New Roman" w:cs="Arial"/>
        <w:szCs w:val="24"/>
      </w:rPr>
      <w:t xml:space="preserve">Page </w:t>
    </w:r>
    <w:r w:rsidRPr="00877FD0">
      <w:rPr>
        <w:rFonts w:eastAsia="Times New Roman" w:cs="Arial"/>
        <w:szCs w:val="24"/>
      </w:rPr>
      <w:fldChar w:fldCharType="begin"/>
    </w:r>
    <w:r w:rsidRPr="00877FD0">
      <w:rPr>
        <w:rFonts w:eastAsia="Times New Roman" w:cs="Arial"/>
        <w:szCs w:val="24"/>
      </w:rPr>
      <w:instrText xml:space="preserve"> PAGE </w:instrText>
    </w:r>
    <w:r w:rsidRPr="00877FD0">
      <w:rPr>
        <w:rFonts w:eastAsia="Times New Roman" w:cs="Arial"/>
        <w:szCs w:val="24"/>
      </w:rPr>
      <w:fldChar w:fldCharType="separate"/>
    </w:r>
    <w:r w:rsidR="00BA5729">
      <w:rPr>
        <w:rFonts w:eastAsia="Times New Roman" w:cs="Arial"/>
        <w:noProof/>
        <w:szCs w:val="24"/>
      </w:rPr>
      <w:t>2</w:t>
    </w:r>
    <w:r w:rsidRPr="00877FD0">
      <w:rPr>
        <w:rFonts w:eastAsia="Times New Roman" w:cs="Arial"/>
        <w:szCs w:val="24"/>
      </w:rPr>
      <w:fldChar w:fldCharType="end"/>
    </w:r>
    <w:r w:rsidRPr="00877FD0">
      <w:rPr>
        <w:rFonts w:eastAsia="Times New Roman" w:cs="Arial"/>
        <w:szCs w:val="24"/>
      </w:rPr>
      <w:t xml:space="preserve"> of </w:t>
    </w:r>
    <w:r w:rsidRPr="00877FD0">
      <w:rPr>
        <w:rFonts w:eastAsia="Times New Roman" w:cs="Arial"/>
        <w:szCs w:val="24"/>
      </w:rPr>
      <w:fldChar w:fldCharType="begin"/>
    </w:r>
    <w:r w:rsidRPr="00877FD0">
      <w:rPr>
        <w:rFonts w:eastAsia="Times New Roman" w:cs="Arial"/>
        <w:szCs w:val="24"/>
      </w:rPr>
      <w:instrText xml:space="preserve"> NUMPAGES </w:instrText>
    </w:r>
    <w:r w:rsidRPr="00877FD0">
      <w:rPr>
        <w:rFonts w:eastAsia="Times New Roman" w:cs="Arial"/>
        <w:szCs w:val="24"/>
      </w:rPr>
      <w:fldChar w:fldCharType="separate"/>
    </w:r>
    <w:r w:rsidR="00BA5729">
      <w:rPr>
        <w:rFonts w:eastAsia="Times New Roman" w:cs="Arial"/>
        <w:noProof/>
        <w:szCs w:val="24"/>
      </w:rPr>
      <w:t>2</w:t>
    </w:r>
    <w:r w:rsidRPr="00877FD0">
      <w:rPr>
        <w:rFonts w:eastAsia="Times New Roman" w:cs="Arial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C58"/>
    <w:multiLevelType w:val="hybridMultilevel"/>
    <w:tmpl w:val="05B6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419"/>
    <w:multiLevelType w:val="hybridMultilevel"/>
    <w:tmpl w:val="4F0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206A8"/>
    <w:multiLevelType w:val="hybridMultilevel"/>
    <w:tmpl w:val="BA0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774F5"/>
    <w:multiLevelType w:val="hybridMultilevel"/>
    <w:tmpl w:val="7122B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24"/>
    <w:rsid w:val="00106820"/>
    <w:rsid w:val="001523D8"/>
    <w:rsid w:val="00194B4A"/>
    <w:rsid w:val="001B5F06"/>
    <w:rsid w:val="001E3061"/>
    <w:rsid w:val="00204B46"/>
    <w:rsid w:val="002B0673"/>
    <w:rsid w:val="002C4181"/>
    <w:rsid w:val="002E3076"/>
    <w:rsid w:val="002F5137"/>
    <w:rsid w:val="002F75AE"/>
    <w:rsid w:val="003F023F"/>
    <w:rsid w:val="00505821"/>
    <w:rsid w:val="00535D73"/>
    <w:rsid w:val="00550E6B"/>
    <w:rsid w:val="00582BF0"/>
    <w:rsid w:val="005A3DDE"/>
    <w:rsid w:val="005D1FC1"/>
    <w:rsid w:val="00642772"/>
    <w:rsid w:val="00646591"/>
    <w:rsid w:val="00662D93"/>
    <w:rsid w:val="00685A10"/>
    <w:rsid w:val="007B1D80"/>
    <w:rsid w:val="007B4457"/>
    <w:rsid w:val="00810FDA"/>
    <w:rsid w:val="00857BE5"/>
    <w:rsid w:val="00877FD0"/>
    <w:rsid w:val="008A094D"/>
    <w:rsid w:val="008B61C6"/>
    <w:rsid w:val="008F11DB"/>
    <w:rsid w:val="00965457"/>
    <w:rsid w:val="009C0D2E"/>
    <w:rsid w:val="00A83B4B"/>
    <w:rsid w:val="00A84B8A"/>
    <w:rsid w:val="00AA4A9D"/>
    <w:rsid w:val="00AA6424"/>
    <w:rsid w:val="00AC1197"/>
    <w:rsid w:val="00AD490A"/>
    <w:rsid w:val="00B21DE4"/>
    <w:rsid w:val="00B660D1"/>
    <w:rsid w:val="00BA5729"/>
    <w:rsid w:val="00BB325D"/>
    <w:rsid w:val="00BF7AA7"/>
    <w:rsid w:val="00C45012"/>
    <w:rsid w:val="00C729C7"/>
    <w:rsid w:val="00C74A7E"/>
    <w:rsid w:val="00D16D67"/>
    <w:rsid w:val="00D17622"/>
    <w:rsid w:val="00D55963"/>
    <w:rsid w:val="00DE2906"/>
    <w:rsid w:val="00E001BC"/>
    <w:rsid w:val="00F20F2B"/>
    <w:rsid w:val="00F53052"/>
    <w:rsid w:val="00F57940"/>
    <w:rsid w:val="00F70F1A"/>
    <w:rsid w:val="00F80B3A"/>
    <w:rsid w:val="00F9002C"/>
    <w:rsid w:val="00F934C6"/>
    <w:rsid w:val="00FB181F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CE9E7-075C-4CCE-810B-EEC7DEB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94D"/>
    <w:pPr>
      <w:ind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FD0"/>
    <w:p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FD0"/>
    <w:pPr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2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6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2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D2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C119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1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C11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77FD0"/>
    <w:rPr>
      <w:rFonts w:ascii="Arial" w:hAnsi="Arial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7FD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Schedule of Significant Events (CA Dept of Education)</dc:title>
  <dc:subject>Schedule of Significant Events.</dc:subject>
  <dc:creator>Kenneth McDonald</dc:creator>
  <cp:keywords/>
  <dc:description/>
  <cp:lastModifiedBy>Astrid Berrios</cp:lastModifiedBy>
  <cp:revision>5</cp:revision>
  <cp:lastPrinted>2018-02-21T17:46:00Z</cp:lastPrinted>
  <dcterms:created xsi:type="dcterms:W3CDTF">2018-04-27T13:30:00Z</dcterms:created>
  <dcterms:modified xsi:type="dcterms:W3CDTF">2022-06-29T22:59:00Z</dcterms:modified>
</cp:coreProperties>
</file>