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3C" w:rsidRPr="005749F3" w:rsidRDefault="006C2D39" w:rsidP="009470C8">
      <w:pPr>
        <w:pStyle w:val="Heading1"/>
        <w:spacing w:after="480"/>
      </w:pPr>
      <w:bookmarkStart w:id="0" w:name="OLE_LINK1"/>
      <w:bookmarkStart w:id="1" w:name="OLE_LINK2"/>
      <w:r w:rsidRPr="005749F3">
        <w:t>Draft</w:t>
      </w:r>
      <w:r w:rsidR="00826B3C" w:rsidRPr="005749F3">
        <w:t xml:space="preserve"> Guidelines for </w:t>
      </w:r>
      <w:r w:rsidRPr="005749F3">
        <w:t xml:space="preserve">the 2020 Ethnic </w:t>
      </w:r>
      <w:r w:rsidRPr="009470C8">
        <w:t>Studies</w:t>
      </w:r>
      <w:r w:rsidRPr="005749F3">
        <w:t xml:space="preserve"> Model Curriculum</w:t>
      </w:r>
    </w:p>
    <w:p w:rsidR="00826B3C" w:rsidRPr="005749F3" w:rsidRDefault="00826B3C" w:rsidP="009470C8">
      <w:pPr>
        <w:spacing w:after="240"/>
        <w:rPr>
          <w:rFonts w:cs="Arial"/>
        </w:rPr>
      </w:pPr>
      <w:r w:rsidRPr="005749F3">
        <w:rPr>
          <w:rFonts w:cs="Arial"/>
        </w:rPr>
        <w:t>The following guidelines are based on requirements</w:t>
      </w:r>
      <w:r w:rsidR="006C2D39" w:rsidRPr="005749F3">
        <w:rPr>
          <w:rFonts w:cs="Arial"/>
        </w:rPr>
        <w:t xml:space="preserve"> in the authorizing statute (Assembly Bill 2016, Chapter 327 of the Statutes of 2016), feedback collected from the public at the Webinar held on January 9, 2018, a</w:t>
      </w:r>
      <w:r w:rsidRPr="005749F3">
        <w:rPr>
          <w:rFonts w:cs="Arial"/>
        </w:rPr>
        <w:t xml:space="preserve">nd </w:t>
      </w:r>
      <w:r w:rsidR="006C2D39" w:rsidRPr="005749F3">
        <w:rPr>
          <w:rFonts w:cs="Arial"/>
        </w:rPr>
        <w:t>other public comment.</w:t>
      </w:r>
    </w:p>
    <w:p w:rsidR="00826B3C" w:rsidRPr="005749F3" w:rsidRDefault="00826B3C" w:rsidP="009470C8">
      <w:pPr>
        <w:spacing w:after="240"/>
        <w:rPr>
          <w:rFonts w:cs="Arial"/>
        </w:rPr>
      </w:pPr>
      <w:r w:rsidRPr="005749F3">
        <w:rPr>
          <w:rFonts w:cs="Arial"/>
        </w:rPr>
        <w:t xml:space="preserve">The guidelines recommended by the </w:t>
      </w:r>
      <w:r w:rsidR="006C2D39" w:rsidRPr="005749F3">
        <w:rPr>
          <w:rFonts w:cs="Arial"/>
        </w:rPr>
        <w:t xml:space="preserve">Instructional Quality </w:t>
      </w:r>
      <w:r w:rsidRPr="005749F3">
        <w:rPr>
          <w:rFonts w:cs="Arial"/>
        </w:rPr>
        <w:t xml:space="preserve">Commission </w:t>
      </w:r>
      <w:r w:rsidR="006C2D39" w:rsidRPr="005749F3">
        <w:rPr>
          <w:rFonts w:cs="Arial"/>
        </w:rPr>
        <w:t xml:space="preserve">(IQC) </w:t>
      </w:r>
      <w:r w:rsidRPr="005749F3">
        <w:rPr>
          <w:rFonts w:cs="Arial"/>
        </w:rPr>
        <w:t xml:space="preserve">and approved by the </w:t>
      </w:r>
      <w:r w:rsidR="006C2D39" w:rsidRPr="005749F3">
        <w:rPr>
          <w:rFonts w:cs="Arial"/>
        </w:rPr>
        <w:t>State Board of Education (</w:t>
      </w:r>
      <w:r w:rsidRPr="005749F3">
        <w:rPr>
          <w:rFonts w:cs="Arial"/>
        </w:rPr>
        <w:t>SBE</w:t>
      </w:r>
      <w:r w:rsidR="006C2D39" w:rsidRPr="005749F3">
        <w:rPr>
          <w:rFonts w:cs="Arial"/>
        </w:rPr>
        <w:t>)</w:t>
      </w:r>
      <w:r w:rsidRPr="005749F3">
        <w:rPr>
          <w:rFonts w:cs="Arial"/>
        </w:rPr>
        <w:t xml:space="preserve"> </w:t>
      </w:r>
      <w:r w:rsidR="006C2D39" w:rsidRPr="005749F3">
        <w:rPr>
          <w:rFonts w:cs="Arial"/>
        </w:rPr>
        <w:t>will direct the work of the contracted primary writer(s) and the Model Curriculum Advisory Committee when it convenes in February–April 2019 to create a first draft of the curriculum. The model curriculum will undergo a public review and editing by the IQC prior to being recommended to the SBE</w:t>
      </w:r>
      <w:r w:rsidRPr="005749F3">
        <w:rPr>
          <w:rFonts w:cs="Arial"/>
        </w:rPr>
        <w:t>.</w:t>
      </w:r>
    </w:p>
    <w:p w:rsidR="006C2D39" w:rsidRPr="005749F3" w:rsidRDefault="006C2D39" w:rsidP="00C41315">
      <w:pPr>
        <w:pStyle w:val="Heading2"/>
      </w:pPr>
      <w:r w:rsidRPr="00C41315">
        <w:t>Statutory</w:t>
      </w:r>
      <w:r w:rsidRPr="005749F3">
        <w:t xml:space="preserve"> Requirements</w:t>
      </w:r>
    </w:p>
    <w:p w:rsidR="006C2D39" w:rsidRPr="005749F3" w:rsidRDefault="006C2D39" w:rsidP="009470C8">
      <w:pPr>
        <w:spacing w:after="240"/>
        <w:ind w:left="360"/>
        <w:rPr>
          <w:rFonts w:cs="Arial"/>
        </w:rPr>
      </w:pPr>
      <w:r w:rsidRPr="005749F3">
        <w:rPr>
          <w:rFonts w:cs="Arial"/>
        </w:rPr>
        <w:t>The Ethnic Studies Model Curriculum must reflect the requirem</w:t>
      </w:r>
      <w:r w:rsidR="009470C8">
        <w:rPr>
          <w:rFonts w:cs="Arial"/>
        </w:rPr>
        <w:t>ents in the authorizing statute</w:t>
      </w:r>
      <w:r w:rsidRPr="005749F3">
        <w:rPr>
          <w:rFonts w:cs="Arial"/>
        </w:rPr>
        <w:t xml:space="preserve"> as well as other legal requirements for curriculum in California. These include, but are not necessarily li</w:t>
      </w:r>
      <w:r w:rsidR="009470C8">
        <w:rPr>
          <w:rFonts w:cs="Arial"/>
        </w:rPr>
        <w:t>mited to, the following topics:</w:t>
      </w:r>
    </w:p>
    <w:p w:rsidR="00416401" w:rsidRPr="005749F3" w:rsidRDefault="00416401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>The model curriculum shall be written as a guide to allow school districts to adapt their courses to reflect the pupil demographics in their communities.</w:t>
      </w:r>
    </w:p>
    <w:p w:rsidR="006C2D39" w:rsidRPr="005749F3" w:rsidRDefault="00416401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>The model curriculum shall include examples of courses offered by local educational agencies that have been approved as meeting the A</w:t>
      </w:r>
      <w:r w:rsidR="005749F3">
        <w:rPr>
          <w:rFonts w:cs="Arial"/>
        </w:rPr>
        <w:t>–</w:t>
      </w:r>
      <w:r w:rsidRPr="005749F3">
        <w:rPr>
          <w:rFonts w:cs="Arial"/>
        </w:rPr>
        <w:t>G admissions requirements of the University of California and the California State University, including, to the extent possible, course outlines for those courses.</w:t>
      </w:r>
    </w:p>
    <w:p w:rsidR="006C2D39" w:rsidRPr="005749F3" w:rsidRDefault="006C2D39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>The model curriculum must meet federal accessibility requirements pursuant to Section 508 of the U</w:t>
      </w:r>
      <w:r w:rsidR="00CC72CB" w:rsidRPr="005749F3">
        <w:rPr>
          <w:rFonts w:cs="Arial"/>
        </w:rPr>
        <w:t>nited States</w:t>
      </w:r>
      <w:r w:rsidRPr="005749F3">
        <w:rPr>
          <w:rFonts w:cs="Arial"/>
        </w:rPr>
        <w:t xml:space="preserve"> Workforce Rehabilitation Act. Content that cannot be </w:t>
      </w:r>
      <w:r w:rsidR="008C2992" w:rsidRPr="005749F3">
        <w:rPr>
          <w:rFonts w:cs="Arial"/>
        </w:rPr>
        <w:t>made</w:t>
      </w:r>
      <w:r w:rsidRPr="005749F3">
        <w:rPr>
          <w:rFonts w:cs="Arial"/>
        </w:rPr>
        <w:t xml:space="preserve"> accessible </w:t>
      </w:r>
      <w:r w:rsidR="008C2992" w:rsidRPr="005749F3">
        <w:rPr>
          <w:rFonts w:cs="Arial"/>
        </w:rPr>
        <w:t>may not</w:t>
      </w:r>
      <w:r w:rsidRPr="005749F3">
        <w:rPr>
          <w:rFonts w:cs="Arial"/>
        </w:rPr>
        <w:t xml:space="preserve"> be included in the </w:t>
      </w:r>
      <w:r w:rsidR="00CC72CB" w:rsidRPr="005749F3">
        <w:rPr>
          <w:rFonts w:cs="Arial"/>
        </w:rPr>
        <w:t>document</w:t>
      </w:r>
      <w:r w:rsidRPr="005749F3">
        <w:rPr>
          <w:rFonts w:cs="Arial"/>
        </w:rPr>
        <w:t>.</w:t>
      </w:r>
    </w:p>
    <w:p w:rsidR="00826B3C" w:rsidRPr="005749F3" w:rsidRDefault="00826B3C" w:rsidP="00C41315">
      <w:pPr>
        <w:pStyle w:val="Heading2"/>
      </w:pPr>
      <w:r w:rsidRPr="005749F3">
        <w:t xml:space="preserve">General principles. The </w:t>
      </w:r>
      <w:r w:rsidR="006C2D39" w:rsidRPr="005749F3">
        <w:t>Ethnic Studies Model Curriculum</w:t>
      </w:r>
      <w:r w:rsidRPr="005749F3">
        <w:rPr>
          <w:i/>
        </w:rPr>
        <w:t xml:space="preserve"> </w:t>
      </w:r>
      <w:r w:rsidRPr="005749F3">
        <w:t>shall:</w:t>
      </w:r>
    </w:p>
    <w:p w:rsidR="00826B3C" w:rsidRPr="005749F3" w:rsidRDefault="00826B3C" w:rsidP="005749F3">
      <w:pPr>
        <w:numPr>
          <w:ilvl w:val="0"/>
          <w:numId w:val="15"/>
        </w:numPr>
        <w:spacing w:after="240"/>
        <w:rPr>
          <w:rFonts w:cs="Arial"/>
          <w:b/>
        </w:rPr>
      </w:pPr>
      <w:r w:rsidRPr="005749F3">
        <w:rPr>
          <w:rFonts w:cs="Arial"/>
        </w:rPr>
        <w:t>Include accurate information based on</w:t>
      </w:r>
      <w:r w:rsidR="009470C8">
        <w:rPr>
          <w:rFonts w:cs="Arial"/>
        </w:rPr>
        <w:t xml:space="preserve"> current and confirmed research;</w:t>
      </w:r>
    </w:p>
    <w:p w:rsidR="00826B3C" w:rsidRPr="005749F3" w:rsidRDefault="00826B3C" w:rsidP="005749F3">
      <w:pPr>
        <w:numPr>
          <w:ilvl w:val="0"/>
          <w:numId w:val="15"/>
        </w:numPr>
        <w:spacing w:after="240"/>
        <w:rPr>
          <w:rFonts w:cs="Arial"/>
          <w:b/>
        </w:rPr>
      </w:pPr>
      <w:r w:rsidRPr="005749F3">
        <w:rPr>
          <w:rFonts w:cs="Arial"/>
        </w:rPr>
        <w:t xml:space="preserve">When appropriate, </w:t>
      </w:r>
      <w:r w:rsidR="006C2D39" w:rsidRPr="005749F3">
        <w:rPr>
          <w:rFonts w:cs="Arial"/>
        </w:rPr>
        <w:t xml:space="preserve">be consistent with the content and instructional shifts in the 2016 </w:t>
      </w:r>
      <w:r w:rsidR="006C2D39" w:rsidRPr="005749F3">
        <w:rPr>
          <w:rFonts w:cs="Arial"/>
          <w:i/>
        </w:rPr>
        <w:t>History–Social Science Framework</w:t>
      </w:r>
      <w:r w:rsidR="005749F3">
        <w:rPr>
          <w:rFonts w:cs="Arial"/>
          <w:i/>
        </w:rPr>
        <w:t xml:space="preserve">, </w:t>
      </w:r>
      <w:r w:rsidR="005749F3">
        <w:rPr>
          <w:rFonts w:cs="Arial"/>
        </w:rPr>
        <w:t>in particular the emphasis upon stude</w:t>
      </w:r>
      <w:r w:rsidR="009470C8">
        <w:rPr>
          <w:rFonts w:cs="Arial"/>
        </w:rPr>
        <w:t>nt-based inquiry in instruction;</w:t>
      </w:r>
    </w:p>
    <w:p w:rsidR="00826B3C" w:rsidRPr="005749F3" w:rsidRDefault="00826B3C" w:rsidP="005749F3">
      <w:pPr>
        <w:numPr>
          <w:ilvl w:val="0"/>
          <w:numId w:val="15"/>
        </w:numPr>
        <w:spacing w:after="240"/>
        <w:rPr>
          <w:rFonts w:cs="Arial"/>
          <w:b/>
        </w:rPr>
      </w:pPr>
      <w:r w:rsidRPr="005749F3">
        <w:rPr>
          <w:rFonts w:cs="Arial"/>
        </w:rPr>
        <w:t>Promote the values of civic enga</w:t>
      </w:r>
      <w:r w:rsidR="009470C8">
        <w:rPr>
          <w:rFonts w:cs="Arial"/>
        </w:rPr>
        <w:t>gement and civic responsibility;</w:t>
      </w:r>
    </w:p>
    <w:p w:rsidR="00A8569C" w:rsidRPr="005749F3" w:rsidRDefault="00826B3C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lastRenderedPageBreak/>
        <w:t xml:space="preserve">Align to the Literacy Standards for History–Social Studies within the </w:t>
      </w:r>
      <w:r w:rsidRPr="005749F3">
        <w:rPr>
          <w:rFonts w:cs="Arial"/>
          <w:i/>
        </w:rPr>
        <w:t xml:space="preserve">California Common Core State Standards </w:t>
      </w:r>
      <w:r w:rsidRPr="008A1FB8">
        <w:rPr>
          <w:rFonts w:cs="Arial"/>
        </w:rPr>
        <w:t>for English Language Arts and Literacy in History–Social Studies, Science, and Technical Subjects</w:t>
      </w:r>
      <w:r w:rsidR="009470C8">
        <w:rPr>
          <w:rFonts w:cs="Arial"/>
        </w:rPr>
        <w:t>, as appropriate;</w:t>
      </w:r>
    </w:p>
    <w:p w:rsidR="00756BF9" w:rsidRPr="005749F3" w:rsidRDefault="00756BF9" w:rsidP="00756BF9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Promote </w:t>
      </w:r>
      <w:r w:rsidR="009470C8">
        <w:rPr>
          <w:rFonts w:cs="Arial"/>
        </w:rPr>
        <w:t>self and collective empowerment;</w:t>
      </w:r>
    </w:p>
    <w:p w:rsidR="00E17FE2" w:rsidRPr="005749F3" w:rsidRDefault="00E17FE2" w:rsidP="00E17FE2">
      <w:pPr>
        <w:numPr>
          <w:ilvl w:val="0"/>
          <w:numId w:val="15"/>
        </w:numPr>
        <w:spacing w:after="160" w:line="259" w:lineRule="auto"/>
        <w:rPr>
          <w:rFonts w:cs="Arial"/>
        </w:rPr>
      </w:pPr>
      <w:r w:rsidRPr="005749F3">
        <w:rPr>
          <w:rFonts w:cs="Arial"/>
        </w:rPr>
        <w:t>Be written in language that is inclusive and supportive of multiple</w:t>
      </w:r>
      <w:r w:rsidR="00756BF9" w:rsidRPr="005749F3">
        <w:rPr>
          <w:rFonts w:cs="Arial"/>
        </w:rPr>
        <w:t xml:space="preserve"> users</w:t>
      </w:r>
      <w:r w:rsidR="009470C8">
        <w:rPr>
          <w:rFonts w:cs="Arial"/>
        </w:rPr>
        <w:t>,</w:t>
      </w:r>
      <w:r w:rsidR="00756BF9" w:rsidRPr="005749F3">
        <w:rPr>
          <w:rFonts w:cs="Arial"/>
        </w:rPr>
        <w:t xml:space="preserve"> including teachers (single and multiple-subject), </w:t>
      </w:r>
      <w:r w:rsidRPr="005749F3">
        <w:rPr>
          <w:rFonts w:cs="Arial"/>
        </w:rPr>
        <w:t>support staff, administrators, and the community</w:t>
      </w:r>
      <w:r w:rsidR="009470C8">
        <w:rPr>
          <w:rFonts w:cs="Arial"/>
        </w:rPr>
        <w:t>;</w:t>
      </w:r>
    </w:p>
    <w:p w:rsidR="00AB6FDE" w:rsidRPr="005749F3" w:rsidRDefault="00AB6FDE" w:rsidP="00AB6FDE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Encourage cultural understanding of how different groups have struggled and worked together, highlighting core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 xml:space="preserve">studies </w:t>
      </w:r>
      <w:r w:rsidR="009470C8">
        <w:rPr>
          <w:rFonts w:cs="Arial"/>
        </w:rPr>
        <w:t>concepts such as</w:t>
      </w:r>
      <w:r w:rsidRPr="005749F3">
        <w:rPr>
          <w:rFonts w:cs="Arial"/>
        </w:rPr>
        <w:t xml:space="preserve"> equality, justice, </w:t>
      </w:r>
      <w:r w:rsidR="00756BF9" w:rsidRPr="005749F3">
        <w:rPr>
          <w:rFonts w:cs="Arial"/>
        </w:rPr>
        <w:t xml:space="preserve">race, ethnicity, </w:t>
      </w:r>
      <w:r w:rsidR="005749F3">
        <w:rPr>
          <w:rFonts w:cs="Arial"/>
        </w:rPr>
        <w:t>indigeneity, etc.</w:t>
      </w:r>
      <w:r w:rsidR="009470C8">
        <w:rPr>
          <w:rFonts w:cs="Arial"/>
        </w:rPr>
        <w:t>;</w:t>
      </w:r>
    </w:p>
    <w:p w:rsidR="0081467E" w:rsidRPr="005749F3" w:rsidRDefault="0081467E" w:rsidP="00AB6FDE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Include information on </w:t>
      </w:r>
      <w:r w:rsidR="00756BF9" w:rsidRPr="005749F3">
        <w:rPr>
          <w:rFonts w:cs="Arial"/>
        </w:rPr>
        <w:t xml:space="preserve">the </w:t>
      </w:r>
      <w:r w:rsidR="008A1FB8" w:rsidRPr="005749F3">
        <w:rPr>
          <w:rFonts w:cs="Arial"/>
        </w:rPr>
        <w:t xml:space="preserve">ethnic studies </w:t>
      </w:r>
      <w:r w:rsidR="00756BF9" w:rsidRPr="005749F3">
        <w:rPr>
          <w:rFonts w:cs="Arial"/>
        </w:rPr>
        <w:t>m</w:t>
      </w:r>
      <w:r w:rsidRPr="005749F3">
        <w:rPr>
          <w:rFonts w:cs="Arial"/>
        </w:rPr>
        <w:t xml:space="preserve">ovement, specifically the Third World </w:t>
      </w:r>
      <w:r w:rsidR="00C26249" w:rsidRPr="005749F3">
        <w:rPr>
          <w:rFonts w:cs="Arial"/>
        </w:rPr>
        <w:t>Liberation</w:t>
      </w:r>
      <w:r w:rsidRPr="005749F3">
        <w:rPr>
          <w:rFonts w:cs="Arial"/>
        </w:rPr>
        <w:t xml:space="preserve"> Front (TWLF), and its significance in the establishment of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</w:t>
      </w:r>
      <w:r w:rsidR="008A1FB8" w:rsidRPr="005749F3">
        <w:rPr>
          <w:rFonts w:cs="Arial"/>
        </w:rPr>
        <w:t>tudies</w:t>
      </w:r>
      <w:r w:rsidRPr="005749F3">
        <w:rPr>
          <w:rFonts w:cs="Arial"/>
        </w:rPr>
        <w:t xml:space="preserve"> as a discipline</w:t>
      </w:r>
      <w:r w:rsidR="00C26249" w:rsidRPr="005749F3">
        <w:rPr>
          <w:rFonts w:cs="Arial"/>
        </w:rPr>
        <w:t xml:space="preserve"> and work in promoting diversity and inclusion within higher educati</w:t>
      </w:r>
      <w:r w:rsidR="009470C8">
        <w:rPr>
          <w:rFonts w:cs="Arial"/>
        </w:rPr>
        <w:t>on;</w:t>
      </w:r>
    </w:p>
    <w:p w:rsidR="00756BF9" w:rsidRPr="005749F3" w:rsidRDefault="00756BF9" w:rsidP="00756BF9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Promote critical thinking and rigorous analysis of history, systems of oppression, and the status quo in an effort </w:t>
      </w:r>
      <w:r w:rsidR="009470C8">
        <w:rPr>
          <w:rFonts w:cs="Arial"/>
        </w:rPr>
        <w:t xml:space="preserve">to </w:t>
      </w:r>
      <w:r w:rsidRPr="005749F3">
        <w:rPr>
          <w:rFonts w:cs="Arial"/>
        </w:rPr>
        <w:t>generate discussions on futurity, and imagi</w:t>
      </w:r>
      <w:r w:rsidR="009470C8">
        <w:rPr>
          <w:rFonts w:cs="Arial"/>
        </w:rPr>
        <w:t>ne new possibilities.</w:t>
      </w:r>
    </w:p>
    <w:p w:rsidR="00826B3C" w:rsidRPr="005749F3" w:rsidRDefault="00CA0612" w:rsidP="00C41315">
      <w:pPr>
        <w:pStyle w:val="Heading2"/>
      </w:pPr>
      <w:r w:rsidRPr="005749F3">
        <w:t>Course Outlines</w:t>
      </w:r>
      <w:r w:rsidR="00826B3C" w:rsidRPr="005749F3">
        <w:t>.</w:t>
      </w:r>
      <w:r w:rsidRPr="005749F3">
        <w:t xml:space="preserve"> The Ethnic Studies Model Curriculum shall:</w:t>
      </w:r>
    </w:p>
    <w:p w:rsidR="00826B3C" w:rsidRPr="005749F3" w:rsidRDefault="00B60A50" w:rsidP="005749F3">
      <w:pPr>
        <w:numPr>
          <w:ilvl w:val="0"/>
          <w:numId w:val="11"/>
        </w:numPr>
        <w:spacing w:after="240"/>
        <w:rPr>
          <w:rFonts w:cs="Arial"/>
        </w:rPr>
      </w:pPr>
      <w:r w:rsidRPr="005749F3">
        <w:rPr>
          <w:rFonts w:cs="Arial"/>
        </w:rPr>
        <w:t>Include course outlines that offer a thematic approach to</w:t>
      </w:r>
      <w:r w:rsidR="00E17FE2" w:rsidRPr="005749F3">
        <w:rPr>
          <w:rFonts w:cs="Arial"/>
        </w:rPr>
        <w:t xml:space="preserve">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</w:t>
      </w:r>
      <w:r w:rsidR="008A1FB8" w:rsidRPr="005749F3">
        <w:rPr>
          <w:rFonts w:cs="Arial"/>
        </w:rPr>
        <w:t xml:space="preserve">tudies </w:t>
      </w:r>
      <w:r w:rsidRPr="005749F3">
        <w:rPr>
          <w:rFonts w:cs="Arial"/>
        </w:rPr>
        <w:t>with concepts that provi</w:t>
      </w:r>
      <w:r w:rsidR="009470C8">
        <w:rPr>
          <w:rFonts w:cs="Arial"/>
        </w:rPr>
        <w:t xml:space="preserve">de space for educators to build </w:t>
      </w:r>
      <w:r w:rsidRPr="005749F3">
        <w:rPr>
          <w:rFonts w:cs="Arial"/>
        </w:rPr>
        <w:t>in example</w:t>
      </w:r>
      <w:r w:rsidR="00756BF9" w:rsidRPr="005749F3">
        <w:rPr>
          <w:rFonts w:cs="Arial"/>
        </w:rPr>
        <w:t xml:space="preserve">s and case studies from diverse </w:t>
      </w:r>
      <w:r w:rsidR="009470C8">
        <w:rPr>
          <w:rFonts w:cs="Arial"/>
        </w:rPr>
        <w:t>backgrounds;</w:t>
      </w:r>
    </w:p>
    <w:p w:rsidR="00826B3C" w:rsidRPr="005749F3" w:rsidRDefault="00B528AF" w:rsidP="005749F3">
      <w:pPr>
        <w:numPr>
          <w:ilvl w:val="0"/>
          <w:numId w:val="11"/>
        </w:numPr>
        <w:spacing w:after="240"/>
        <w:rPr>
          <w:rFonts w:cs="Arial"/>
        </w:rPr>
      </w:pPr>
      <w:r w:rsidRPr="005749F3">
        <w:rPr>
          <w:rFonts w:cs="Arial"/>
        </w:rPr>
        <w:t>Include course out</w:t>
      </w:r>
      <w:r w:rsidR="00E17FE2" w:rsidRPr="005749F3">
        <w:rPr>
          <w:rFonts w:cs="Arial"/>
        </w:rPr>
        <w:t>lines</w:t>
      </w:r>
      <w:r w:rsidRPr="005749F3">
        <w:rPr>
          <w:rFonts w:cs="Arial"/>
        </w:rPr>
        <w:t xml:space="preserve"> that </w:t>
      </w:r>
      <w:r w:rsidR="00E17FE2" w:rsidRPr="005749F3">
        <w:rPr>
          <w:rFonts w:cs="Arial"/>
        </w:rPr>
        <w:t xml:space="preserve">allow for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</w:t>
      </w:r>
      <w:r w:rsidR="008A1FB8" w:rsidRPr="005749F3">
        <w:rPr>
          <w:rFonts w:cs="Arial"/>
        </w:rPr>
        <w:t xml:space="preserve">tudies </w:t>
      </w:r>
      <w:r w:rsidR="00E17FE2" w:rsidRPr="005749F3">
        <w:rPr>
          <w:rFonts w:cs="Arial"/>
        </w:rPr>
        <w:t>to be taught as a stand-alone</w:t>
      </w:r>
      <w:r w:rsidRPr="005749F3">
        <w:rPr>
          <w:rFonts w:cs="Arial"/>
        </w:rPr>
        <w:t xml:space="preserve"> elective or integrated into an existing</w:t>
      </w:r>
      <w:r w:rsidR="00E17FE2" w:rsidRPr="005749F3">
        <w:rPr>
          <w:rFonts w:cs="Arial"/>
        </w:rPr>
        <w:t xml:space="preserve"> course (e.g.</w:t>
      </w:r>
      <w:r w:rsidR="009470C8">
        <w:rPr>
          <w:rFonts w:cs="Arial"/>
        </w:rPr>
        <w:t>,</w:t>
      </w:r>
      <w:r w:rsidRPr="005749F3">
        <w:rPr>
          <w:rFonts w:cs="Arial"/>
        </w:rPr>
        <w:t xml:space="preserve"> </w:t>
      </w:r>
      <w:r w:rsidR="008A1FB8">
        <w:rPr>
          <w:rFonts w:cs="Arial"/>
        </w:rPr>
        <w:t>sociology, E</w:t>
      </w:r>
      <w:r w:rsidR="008A1FB8" w:rsidRPr="005749F3">
        <w:rPr>
          <w:rFonts w:cs="Arial"/>
        </w:rPr>
        <w:t>nglish language</w:t>
      </w:r>
      <w:r w:rsidR="008A1FB8">
        <w:rPr>
          <w:rFonts w:cs="Arial"/>
        </w:rPr>
        <w:t xml:space="preserve"> arts, and history</w:t>
      </w:r>
      <w:r w:rsidR="009470C8">
        <w:rPr>
          <w:rFonts w:cs="Arial"/>
        </w:rPr>
        <w:t>);</w:t>
      </w:r>
    </w:p>
    <w:p w:rsidR="00441CA5" w:rsidRPr="005749F3" w:rsidRDefault="00441CA5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Include course outlines that allow for local, state-specific, national, and global </w:t>
      </w:r>
      <w:r w:rsidR="009470C8">
        <w:rPr>
          <w:rFonts w:cs="Arial"/>
        </w:rPr>
        <w:t>inquiry</w:t>
      </w:r>
      <w:r w:rsidRPr="005749F3">
        <w:rPr>
          <w:rFonts w:cs="Arial"/>
        </w:rPr>
        <w:t xml:space="preserve"> into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studies</w:t>
      </w:r>
      <w:r w:rsidR="009470C8">
        <w:rPr>
          <w:rFonts w:cs="Arial"/>
        </w:rPr>
        <w:t>;</w:t>
      </w:r>
    </w:p>
    <w:p w:rsidR="00441CA5" w:rsidRPr="005749F3" w:rsidRDefault="00441CA5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>Have the capability t</w:t>
      </w:r>
      <w:r w:rsidR="00756BF9" w:rsidRPr="005749F3">
        <w:rPr>
          <w:rFonts w:cs="Arial"/>
        </w:rPr>
        <w:t>o engage multiple languages and</w:t>
      </w:r>
      <w:r w:rsidR="009470C8">
        <w:rPr>
          <w:rFonts w:cs="Arial"/>
        </w:rPr>
        <w:t xml:space="preserve"> genealogies;</w:t>
      </w:r>
    </w:p>
    <w:p w:rsidR="00826B3C" w:rsidRDefault="00441CA5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Engage a range of disciplines beyond traditional history and social sciences, including but not limited to: </w:t>
      </w:r>
      <w:r w:rsidR="008A1FB8" w:rsidRPr="005749F3">
        <w:rPr>
          <w:rFonts w:cs="Arial"/>
        </w:rPr>
        <w:t xml:space="preserve">visual and performing arts, </w:t>
      </w:r>
      <w:r w:rsidR="004D6DC2">
        <w:rPr>
          <w:rFonts w:cs="Arial"/>
        </w:rPr>
        <w:t>E</w:t>
      </w:r>
      <w:r w:rsidR="008A1FB8" w:rsidRPr="005749F3">
        <w:rPr>
          <w:rFonts w:cs="Arial"/>
        </w:rPr>
        <w:t xml:space="preserve">nglish language arts, economics, biology, gender &amp; sexuality </w:t>
      </w:r>
      <w:r w:rsidR="008A1FB8">
        <w:rPr>
          <w:rFonts w:cs="Arial"/>
        </w:rPr>
        <w:t>s</w:t>
      </w:r>
      <w:r w:rsidR="008A1FB8" w:rsidRPr="005749F3">
        <w:rPr>
          <w:rFonts w:cs="Arial"/>
        </w:rPr>
        <w:t>tudies</w:t>
      </w:r>
      <w:r w:rsidRPr="005749F3">
        <w:rPr>
          <w:rFonts w:cs="Arial"/>
        </w:rPr>
        <w:t>, etc.</w:t>
      </w:r>
    </w:p>
    <w:p w:rsidR="00BE6839" w:rsidRDefault="00BE6839" w:rsidP="00C41315">
      <w:pPr>
        <w:pStyle w:val="Heading2"/>
        <w:sectPr w:rsidR="00BE6839" w:rsidSect="00BE6839">
          <w:headerReference w:type="default" r:id="rId7"/>
          <w:headerReference w:type="first" r:id="rId8"/>
          <w:pgSz w:w="12240" w:h="15840" w:code="1"/>
          <w:pgMar w:top="720" w:right="1440" w:bottom="1440" w:left="1440" w:header="720" w:footer="720" w:gutter="0"/>
          <w:pgNumType w:start="1"/>
          <w:cols w:space="720"/>
          <w:docGrid w:linePitch="360"/>
        </w:sectPr>
      </w:pPr>
    </w:p>
    <w:p w:rsidR="00826B3C" w:rsidRPr="005749F3" w:rsidRDefault="00E17FE2" w:rsidP="00C41315">
      <w:pPr>
        <w:pStyle w:val="Heading2"/>
      </w:pPr>
      <w:r w:rsidRPr="005749F3">
        <w:lastRenderedPageBreak/>
        <w:t>Audience. The Ethnic Studies Model Curriculum shall:</w:t>
      </w:r>
    </w:p>
    <w:p w:rsidR="0027745C" w:rsidRPr="005749F3" w:rsidRDefault="00CA0612" w:rsidP="005749F3">
      <w:pPr>
        <w:numPr>
          <w:ilvl w:val="0"/>
          <w:numId w:val="12"/>
        </w:numPr>
        <w:spacing w:after="240"/>
        <w:rPr>
          <w:rFonts w:cs="Arial"/>
        </w:rPr>
      </w:pPr>
      <w:r w:rsidRPr="005749F3">
        <w:rPr>
          <w:rFonts w:cs="Arial"/>
        </w:rPr>
        <w:t xml:space="preserve">Be sensitive to the needs of all grade levels and </w:t>
      </w:r>
      <w:r w:rsidR="00E17FE2" w:rsidRPr="005749F3">
        <w:rPr>
          <w:rFonts w:cs="Arial"/>
        </w:rPr>
        <w:t>incorporated</w:t>
      </w:r>
      <w:r w:rsidRPr="005749F3">
        <w:rPr>
          <w:rFonts w:cs="Arial"/>
        </w:rPr>
        <w:t xml:space="preserve"> disciplines, providing balance and guidance to the field</w:t>
      </w:r>
      <w:r w:rsidR="009470C8">
        <w:rPr>
          <w:rFonts w:cs="Arial"/>
        </w:rPr>
        <w:t>;</w:t>
      </w:r>
    </w:p>
    <w:p w:rsidR="00826B3C" w:rsidRDefault="002F3EB7" w:rsidP="005749F3">
      <w:pPr>
        <w:numPr>
          <w:ilvl w:val="0"/>
          <w:numId w:val="12"/>
        </w:numPr>
        <w:spacing w:after="240"/>
        <w:rPr>
          <w:rFonts w:cs="Arial"/>
        </w:rPr>
      </w:pPr>
      <w:r w:rsidRPr="005749F3">
        <w:rPr>
          <w:rFonts w:cs="Arial"/>
        </w:rPr>
        <w:t>Engage pedagogies that allow for student and community responsiveness, validate students’ lived experience, and add</w:t>
      </w:r>
      <w:r w:rsidR="009470C8">
        <w:rPr>
          <w:rFonts w:cs="Arial"/>
        </w:rPr>
        <w:t>ress socioemotional development;</w:t>
      </w:r>
    </w:p>
    <w:p w:rsidR="009056D6" w:rsidRPr="005749F3" w:rsidRDefault="00B3403F" w:rsidP="00B3403F">
      <w:pPr>
        <w:numPr>
          <w:ilvl w:val="0"/>
          <w:numId w:val="12"/>
        </w:numPr>
        <w:spacing w:after="240"/>
        <w:rPr>
          <w:rFonts w:cs="Arial"/>
        </w:rPr>
      </w:pPr>
      <w:r w:rsidRPr="00B3403F">
        <w:rPr>
          <w:rFonts w:cs="Arial"/>
        </w:rPr>
        <w:t>Be inclusive, creating space for all students regardless of race, ethnicity, class, gender, sexuality, or citizenship, to learn different perspectives.</w:t>
      </w:r>
    </w:p>
    <w:p w:rsidR="00826B3C" w:rsidRPr="005749F3" w:rsidRDefault="00CA0612" w:rsidP="00C41315">
      <w:pPr>
        <w:pStyle w:val="Heading2"/>
      </w:pPr>
      <w:r w:rsidRPr="005749F3">
        <w:t>Administrative and Teacher Support. The Ethnic Studies Model Curriculum shall:</w:t>
      </w:r>
    </w:p>
    <w:p w:rsidR="00594ABE" w:rsidRPr="005749F3" w:rsidRDefault="00594ABE" w:rsidP="005749F3">
      <w:pPr>
        <w:numPr>
          <w:ilvl w:val="0"/>
          <w:numId w:val="15"/>
        </w:numPr>
        <w:spacing w:after="240"/>
        <w:rPr>
          <w:rFonts w:cs="Arial"/>
          <w:b/>
        </w:rPr>
      </w:pPr>
      <w:r w:rsidRPr="005749F3">
        <w:rPr>
          <w:rFonts w:cs="Arial"/>
        </w:rPr>
        <w:t>Be easy to use both for teachers w</w:t>
      </w:r>
      <w:r w:rsidR="00E17FE2" w:rsidRPr="005749F3">
        <w:rPr>
          <w:rFonts w:cs="Arial"/>
        </w:rPr>
        <w:t xml:space="preserve">ith educational backgrounds in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</w:t>
      </w:r>
      <w:r w:rsidR="008A1FB8" w:rsidRPr="005749F3">
        <w:rPr>
          <w:rFonts w:cs="Arial"/>
        </w:rPr>
        <w:t>tudies</w:t>
      </w:r>
      <w:r w:rsidRPr="005749F3">
        <w:rPr>
          <w:rFonts w:cs="Arial"/>
        </w:rPr>
        <w:t>, an</w:t>
      </w:r>
      <w:r w:rsidR="009470C8">
        <w:rPr>
          <w:rFonts w:cs="Arial"/>
        </w:rPr>
        <w:t>d those without such experience;</w:t>
      </w:r>
    </w:p>
    <w:p w:rsidR="00D91F03" w:rsidRPr="005749F3" w:rsidRDefault="00D91F03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Provide resources on professional development </w:t>
      </w:r>
      <w:r w:rsidR="009470C8">
        <w:rPr>
          <w:rFonts w:cs="Arial"/>
        </w:rPr>
        <w:t>opportunities;</w:t>
      </w:r>
    </w:p>
    <w:p w:rsidR="00D91F03" w:rsidRPr="005749F3" w:rsidRDefault="00D91F03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 xml:space="preserve">Provide information for district and school administrators to support the Ethnic </w:t>
      </w:r>
      <w:r w:rsidR="005749F3">
        <w:rPr>
          <w:rFonts w:cs="Arial"/>
        </w:rPr>
        <w:t>S</w:t>
      </w:r>
      <w:r w:rsidRPr="005749F3">
        <w:rPr>
          <w:rFonts w:cs="Arial"/>
        </w:rPr>
        <w:t xml:space="preserve">tudies </w:t>
      </w:r>
      <w:r w:rsidR="008A1FB8" w:rsidRPr="005749F3">
        <w:rPr>
          <w:rFonts w:cs="Arial"/>
        </w:rPr>
        <w:t>M</w:t>
      </w:r>
      <w:r w:rsidR="008A1FB8">
        <w:rPr>
          <w:rFonts w:cs="Arial"/>
        </w:rPr>
        <w:t xml:space="preserve">odel Curriculum </w:t>
      </w:r>
      <w:r w:rsidR="009470C8">
        <w:rPr>
          <w:rFonts w:cs="Arial"/>
        </w:rPr>
        <w:t>and instruction;</w:t>
      </w:r>
    </w:p>
    <w:p w:rsidR="00826B3C" w:rsidRPr="005749F3" w:rsidRDefault="00D91F03" w:rsidP="005749F3">
      <w:pPr>
        <w:numPr>
          <w:ilvl w:val="0"/>
          <w:numId w:val="15"/>
        </w:numPr>
        <w:spacing w:after="240"/>
        <w:rPr>
          <w:rFonts w:cs="Arial"/>
        </w:rPr>
      </w:pPr>
      <w:r w:rsidRPr="005749F3">
        <w:rPr>
          <w:rFonts w:cs="Arial"/>
        </w:rPr>
        <w:t>Provide examples of different methods of instruction and pedagogical approach</w:t>
      </w:r>
      <w:r w:rsidR="009056D6">
        <w:rPr>
          <w:rFonts w:cs="Arial"/>
        </w:rPr>
        <w:t>es</w:t>
      </w:r>
      <w:r w:rsidR="009470C8">
        <w:rPr>
          <w:rFonts w:cs="Arial"/>
        </w:rPr>
        <w:t>;</w:t>
      </w:r>
    </w:p>
    <w:p w:rsidR="00D91F03" w:rsidRPr="005749F3" w:rsidRDefault="00D91F03" w:rsidP="005749F3">
      <w:pPr>
        <w:numPr>
          <w:ilvl w:val="0"/>
          <w:numId w:val="13"/>
        </w:numPr>
        <w:spacing w:after="240"/>
        <w:rPr>
          <w:rFonts w:cs="Arial"/>
        </w:rPr>
      </w:pPr>
      <w:r w:rsidRPr="005749F3">
        <w:rPr>
          <w:rFonts w:cs="Arial"/>
        </w:rPr>
        <w:t xml:space="preserve">Provide support for a collaborative teaching model that encourages teachers to work with colleagues across disciplines, </w:t>
      </w:r>
      <w:r w:rsidR="00756BF9" w:rsidRPr="005749F3">
        <w:rPr>
          <w:rFonts w:cs="Arial"/>
        </w:rPr>
        <w:t xml:space="preserve">further </w:t>
      </w:r>
      <w:r w:rsidRPr="005749F3">
        <w:rPr>
          <w:rFonts w:cs="Arial"/>
        </w:rPr>
        <w:t xml:space="preserve">highlighting the interdisciplinarity of </w:t>
      </w:r>
      <w:r w:rsidR="008A1FB8" w:rsidRPr="005749F3">
        <w:rPr>
          <w:rFonts w:cs="Arial"/>
        </w:rPr>
        <w:t xml:space="preserve">ethnic </w:t>
      </w:r>
      <w:r w:rsidR="008A1FB8">
        <w:rPr>
          <w:rFonts w:cs="Arial"/>
        </w:rPr>
        <w:t>studies</w:t>
      </w:r>
      <w:r w:rsidR="009470C8">
        <w:rPr>
          <w:rFonts w:cs="Arial"/>
        </w:rPr>
        <w:t>;</w:t>
      </w:r>
    </w:p>
    <w:p w:rsidR="0081467E" w:rsidRPr="009056D6" w:rsidRDefault="0081467E" w:rsidP="005749F3">
      <w:pPr>
        <w:numPr>
          <w:ilvl w:val="0"/>
          <w:numId w:val="13"/>
        </w:numPr>
        <w:spacing w:after="240"/>
        <w:rPr>
          <w:rFonts w:cs="Arial"/>
        </w:rPr>
      </w:pPr>
      <w:r w:rsidRPr="009056D6">
        <w:rPr>
          <w:rFonts w:cs="Arial"/>
        </w:rPr>
        <w:t>Provide support for the use of technology and multimed</w:t>
      </w:r>
      <w:r w:rsidR="009470C8">
        <w:rPr>
          <w:rFonts w:cs="Arial"/>
        </w:rPr>
        <w:t>ia resources during instruction;</w:t>
      </w:r>
    </w:p>
    <w:p w:rsidR="002706B2" w:rsidRDefault="002706B2" w:rsidP="005749F3">
      <w:pPr>
        <w:numPr>
          <w:ilvl w:val="0"/>
          <w:numId w:val="13"/>
        </w:numPr>
        <w:spacing w:after="240"/>
        <w:rPr>
          <w:rFonts w:cs="Arial"/>
        </w:rPr>
      </w:pPr>
      <w:r w:rsidRPr="00B56CAA">
        <w:rPr>
          <w:rFonts w:cs="Arial"/>
        </w:rPr>
        <w:t>Include access to resources for instruction (e.g.</w:t>
      </w:r>
      <w:r w:rsidR="009470C8" w:rsidRPr="00B56CAA">
        <w:rPr>
          <w:rFonts w:cs="Arial"/>
        </w:rPr>
        <w:t>,</w:t>
      </w:r>
      <w:r w:rsidR="00B56CAA">
        <w:rPr>
          <w:rFonts w:cs="Arial"/>
        </w:rPr>
        <w:t xml:space="preserve"> lesson plans, </w:t>
      </w:r>
      <w:r w:rsidRPr="00B56CAA">
        <w:rPr>
          <w:rFonts w:cs="Arial"/>
        </w:rPr>
        <w:t>curricula</w:t>
      </w:r>
      <w:r w:rsidR="00B56CAA">
        <w:rPr>
          <w:rFonts w:cs="Arial"/>
        </w:rPr>
        <w:t>, primary source documents, and other resources) that are currently being used by districts.</w:t>
      </w:r>
      <w:bookmarkEnd w:id="0"/>
      <w:bookmarkEnd w:id="1"/>
    </w:p>
    <w:p w:rsidR="008C7D86" w:rsidRPr="009056D6" w:rsidRDefault="008C7D86" w:rsidP="008C7D86">
      <w:pPr>
        <w:spacing w:after="240"/>
        <w:rPr>
          <w:rFonts w:cs="Arial"/>
        </w:rPr>
      </w:pPr>
      <w:r>
        <w:rPr>
          <w:rFonts w:cs="Arial"/>
        </w:rPr>
        <w:t>©California Department of Education, May 2018.</w:t>
      </w:r>
      <w:bookmarkStart w:id="2" w:name="_GoBack"/>
      <w:bookmarkEnd w:id="2"/>
    </w:p>
    <w:sectPr w:rsidR="008C7D86" w:rsidRPr="009056D6" w:rsidSect="00C435A1">
      <w:headerReference w:type="default" r:id="rId9"/>
      <w:pgSz w:w="12240" w:h="15840" w:code="1"/>
      <w:pgMar w:top="72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F0" w:rsidRDefault="00FE3DF0" w:rsidP="00826B3C">
      <w:r>
        <w:separator/>
      </w:r>
    </w:p>
  </w:endnote>
  <w:endnote w:type="continuationSeparator" w:id="0">
    <w:p w:rsidR="00FE3DF0" w:rsidRDefault="00FE3DF0" w:rsidP="008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F0" w:rsidRDefault="00FE3DF0" w:rsidP="00826B3C">
      <w:r>
        <w:separator/>
      </w:r>
    </w:p>
  </w:footnote>
  <w:footnote w:type="continuationSeparator" w:id="0">
    <w:p w:rsidR="00FE3DF0" w:rsidRDefault="00FE3DF0" w:rsidP="0082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A1" w:rsidRPr="000C4698" w:rsidRDefault="00C435A1" w:rsidP="00C435A1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Item 5</w:t>
    </w:r>
    <w:r w:rsidRPr="000C4698">
      <w:rPr>
        <w:rFonts w:ascii="Arial" w:hAnsi="Arial" w:cs="Arial"/>
        <w:szCs w:val="24"/>
      </w:rPr>
      <w:t>.A.3</w:t>
    </w:r>
  </w:p>
  <w:p w:rsidR="00C435A1" w:rsidRDefault="00C435A1" w:rsidP="00C435A1">
    <w:pPr>
      <w:pStyle w:val="Header"/>
      <w:jc w:val="right"/>
      <w:rPr>
        <w:rFonts w:ascii="Arial" w:hAnsi="Arial" w:cs="Arial"/>
        <w:szCs w:val="24"/>
      </w:rPr>
    </w:pPr>
    <w:r w:rsidRPr="000C4698">
      <w:rPr>
        <w:rFonts w:ascii="Arial" w:hAnsi="Arial" w:cs="Arial"/>
        <w:szCs w:val="24"/>
      </w:rPr>
      <w:t>Attachment 3</w:t>
    </w:r>
  </w:p>
  <w:p w:rsidR="00C435A1" w:rsidRPr="009470C8" w:rsidRDefault="00C435A1" w:rsidP="00C435A1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History–Social Science SMC</w:t>
    </w:r>
  </w:p>
  <w:p w:rsidR="00C435A1" w:rsidRPr="009470C8" w:rsidRDefault="00C435A1" w:rsidP="00C435A1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May 17, 2018</w:t>
    </w:r>
  </w:p>
  <w:p w:rsidR="00C435A1" w:rsidRDefault="00C435A1" w:rsidP="00C435A1">
    <w:pPr>
      <w:pStyle w:val="Header"/>
      <w:spacing w:after="480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 xml:space="preserve">Page </w:t>
    </w:r>
    <w:r w:rsidRPr="00BE6839">
      <w:rPr>
        <w:rFonts w:ascii="Arial" w:hAnsi="Arial" w:cs="Arial"/>
        <w:szCs w:val="24"/>
      </w:rPr>
      <w:fldChar w:fldCharType="begin"/>
    </w:r>
    <w:r w:rsidRPr="00BE6839">
      <w:rPr>
        <w:rFonts w:ascii="Arial" w:hAnsi="Arial" w:cs="Arial"/>
        <w:szCs w:val="24"/>
      </w:rPr>
      <w:instrText xml:space="preserve"> PAGE   \* MERGEFORMAT </w:instrText>
    </w:r>
    <w:r w:rsidRPr="00BE6839">
      <w:rPr>
        <w:rFonts w:ascii="Arial" w:hAnsi="Arial" w:cs="Arial"/>
        <w:szCs w:val="24"/>
      </w:rPr>
      <w:fldChar w:fldCharType="separate"/>
    </w:r>
    <w:r w:rsidR="008C7D86">
      <w:rPr>
        <w:rFonts w:ascii="Arial" w:hAnsi="Arial" w:cs="Arial"/>
        <w:noProof/>
        <w:szCs w:val="24"/>
      </w:rPr>
      <w:t>2</w:t>
    </w:r>
    <w:r w:rsidRPr="00BE6839">
      <w:rPr>
        <w:rFonts w:ascii="Arial" w:hAnsi="Arial" w:cs="Arial"/>
        <w:noProof/>
        <w:szCs w:val="24"/>
      </w:rPr>
      <w:fldChar w:fldCharType="end"/>
    </w:r>
    <w:r w:rsidRPr="009470C8">
      <w:rPr>
        <w:rFonts w:ascii="Arial" w:hAnsi="Arial" w:cs="Arial"/>
        <w:szCs w:val="24"/>
      </w:rPr>
      <w:t xml:space="preserve"> of </w:t>
    </w:r>
    <w:r w:rsidRPr="009470C8">
      <w:rPr>
        <w:rFonts w:ascii="Arial" w:hAnsi="Arial" w:cs="Arial"/>
        <w:szCs w:val="24"/>
      </w:rPr>
      <w:fldChar w:fldCharType="begin"/>
    </w:r>
    <w:r w:rsidRPr="009470C8">
      <w:rPr>
        <w:rFonts w:ascii="Arial" w:hAnsi="Arial" w:cs="Arial"/>
        <w:szCs w:val="24"/>
      </w:rPr>
      <w:instrText xml:space="preserve"> NUMPAGES </w:instrText>
    </w:r>
    <w:r w:rsidRPr="009470C8">
      <w:rPr>
        <w:rFonts w:ascii="Arial" w:hAnsi="Arial" w:cs="Arial"/>
        <w:szCs w:val="24"/>
      </w:rPr>
      <w:fldChar w:fldCharType="separate"/>
    </w:r>
    <w:r w:rsidR="008C7D86">
      <w:rPr>
        <w:rFonts w:ascii="Arial" w:hAnsi="Arial" w:cs="Arial"/>
        <w:noProof/>
        <w:szCs w:val="24"/>
      </w:rPr>
      <w:t>3</w:t>
    </w:r>
    <w:r w:rsidRPr="009470C8">
      <w:rPr>
        <w:rFonts w:ascii="Arial" w:hAnsi="Arial" w:cs="Arial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39" w:rsidRPr="000C4698" w:rsidRDefault="00BE6839" w:rsidP="00BE6839">
    <w:pPr>
      <w:pStyle w:val="Header"/>
      <w:jc w:val="right"/>
      <w:rPr>
        <w:rFonts w:ascii="Arial" w:hAnsi="Arial" w:cs="Arial"/>
        <w:szCs w:val="24"/>
      </w:rPr>
    </w:pPr>
    <w:r w:rsidRPr="000C4698">
      <w:rPr>
        <w:rFonts w:ascii="Arial" w:hAnsi="Arial" w:cs="Arial"/>
        <w:szCs w:val="24"/>
      </w:rPr>
      <w:t>Item 4.A.3</w:t>
    </w:r>
  </w:p>
  <w:p w:rsidR="00BE6839" w:rsidRDefault="00BE6839" w:rsidP="00BE6839">
    <w:pPr>
      <w:pStyle w:val="Header"/>
      <w:jc w:val="right"/>
      <w:rPr>
        <w:rFonts w:ascii="Arial" w:hAnsi="Arial" w:cs="Arial"/>
        <w:szCs w:val="24"/>
      </w:rPr>
    </w:pPr>
    <w:r w:rsidRPr="000C4698">
      <w:rPr>
        <w:rFonts w:ascii="Arial" w:hAnsi="Arial" w:cs="Arial"/>
        <w:szCs w:val="24"/>
      </w:rPr>
      <w:t>Attachment 3</w:t>
    </w:r>
  </w:p>
  <w:p w:rsidR="00BE6839" w:rsidRPr="009470C8" w:rsidRDefault="00BE6839" w:rsidP="00BE6839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History–Social Science SMC</w:t>
    </w:r>
  </w:p>
  <w:p w:rsidR="00BE6839" w:rsidRPr="009470C8" w:rsidRDefault="00BE6839" w:rsidP="00BE6839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May 17, 2018</w:t>
    </w:r>
  </w:p>
  <w:p w:rsidR="00BE6839" w:rsidRDefault="00BE6839" w:rsidP="00BE6839">
    <w:pPr>
      <w:pStyle w:val="Header"/>
      <w:spacing w:after="480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 xml:space="preserve">Page </w:t>
    </w:r>
    <w:r w:rsidRPr="009470C8">
      <w:rPr>
        <w:rFonts w:ascii="Arial" w:hAnsi="Arial" w:cs="Arial"/>
        <w:szCs w:val="24"/>
      </w:rPr>
      <w:fldChar w:fldCharType="begin"/>
    </w:r>
    <w:r w:rsidRPr="009470C8">
      <w:rPr>
        <w:rFonts w:ascii="Arial" w:hAnsi="Arial" w:cs="Arial"/>
        <w:szCs w:val="24"/>
      </w:rPr>
      <w:instrText xml:space="preserve"> PAGE </w:instrText>
    </w:r>
    <w:r w:rsidRPr="009470C8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noProof/>
        <w:szCs w:val="24"/>
      </w:rPr>
      <w:t>1</w:t>
    </w:r>
    <w:r w:rsidRPr="009470C8">
      <w:rPr>
        <w:rFonts w:ascii="Arial" w:hAnsi="Arial" w:cs="Arial"/>
        <w:szCs w:val="24"/>
      </w:rPr>
      <w:fldChar w:fldCharType="end"/>
    </w:r>
    <w:r w:rsidRPr="009470C8">
      <w:rPr>
        <w:rFonts w:ascii="Arial" w:hAnsi="Arial" w:cs="Arial"/>
        <w:szCs w:val="24"/>
      </w:rPr>
      <w:t xml:space="preserve"> of </w:t>
    </w:r>
    <w:r w:rsidRPr="009470C8">
      <w:rPr>
        <w:rFonts w:ascii="Arial" w:hAnsi="Arial" w:cs="Arial"/>
        <w:szCs w:val="24"/>
      </w:rPr>
      <w:fldChar w:fldCharType="begin"/>
    </w:r>
    <w:r w:rsidRPr="009470C8">
      <w:rPr>
        <w:rFonts w:ascii="Arial" w:hAnsi="Arial" w:cs="Arial"/>
        <w:szCs w:val="24"/>
      </w:rPr>
      <w:instrText xml:space="preserve"> NUMPAGES </w:instrText>
    </w:r>
    <w:r w:rsidRPr="009470C8">
      <w:rPr>
        <w:rFonts w:ascii="Arial" w:hAnsi="Arial" w:cs="Arial"/>
        <w:szCs w:val="24"/>
      </w:rPr>
      <w:fldChar w:fldCharType="separate"/>
    </w:r>
    <w:r>
      <w:rPr>
        <w:rFonts w:ascii="Arial" w:hAnsi="Arial" w:cs="Arial"/>
        <w:noProof/>
        <w:szCs w:val="24"/>
      </w:rPr>
      <w:t>3</w:t>
    </w:r>
    <w:r w:rsidRPr="009470C8">
      <w:rPr>
        <w:rFonts w:ascii="Arial" w:hAnsi="Arial" w:cs="Arial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A1" w:rsidRPr="000C4698" w:rsidRDefault="00C435A1" w:rsidP="00C435A1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Item 5</w:t>
    </w:r>
    <w:r w:rsidRPr="000C4698">
      <w:rPr>
        <w:rFonts w:ascii="Arial" w:hAnsi="Arial" w:cs="Arial"/>
        <w:szCs w:val="24"/>
      </w:rPr>
      <w:t>.A.3</w:t>
    </w:r>
  </w:p>
  <w:p w:rsidR="00C435A1" w:rsidRDefault="00C435A1" w:rsidP="00C435A1">
    <w:pPr>
      <w:pStyle w:val="Header"/>
      <w:jc w:val="right"/>
      <w:rPr>
        <w:rFonts w:ascii="Arial" w:hAnsi="Arial" w:cs="Arial"/>
        <w:szCs w:val="24"/>
      </w:rPr>
    </w:pPr>
    <w:r w:rsidRPr="000C4698">
      <w:rPr>
        <w:rFonts w:ascii="Arial" w:hAnsi="Arial" w:cs="Arial"/>
        <w:szCs w:val="24"/>
      </w:rPr>
      <w:t>Attachment 3</w:t>
    </w:r>
  </w:p>
  <w:p w:rsidR="00C435A1" w:rsidRPr="009470C8" w:rsidRDefault="00C435A1" w:rsidP="00C435A1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History–Social Science SMC</w:t>
    </w:r>
  </w:p>
  <w:p w:rsidR="00C435A1" w:rsidRPr="009470C8" w:rsidRDefault="00C435A1" w:rsidP="00C435A1">
    <w:pPr>
      <w:pStyle w:val="Header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>May 17, 2018</w:t>
    </w:r>
  </w:p>
  <w:p w:rsidR="00C435A1" w:rsidRDefault="00C435A1" w:rsidP="00C435A1">
    <w:pPr>
      <w:pStyle w:val="Header"/>
      <w:spacing w:after="480"/>
      <w:jc w:val="right"/>
      <w:rPr>
        <w:rFonts w:ascii="Arial" w:hAnsi="Arial" w:cs="Arial"/>
        <w:szCs w:val="24"/>
      </w:rPr>
    </w:pPr>
    <w:r w:rsidRPr="009470C8">
      <w:rPr>
        <w:rFonts w:ascii="Arial" w:hAnsi="Arial" w:cs="Arial"/>
        <w:szCs w:val="24"/>
      </w:rPr>
      <w:t xml:space="preserve">Page </w:t>
    </w:r>
    <w:r w:rsidRPr="00C435A1">
      <w:rPr>
        <w:rFonts w:ascii="Arial" w:hAnsi="Arial" w:cs="Arial"/>
        <w:szCs w:val="24"/>
      </w:rPr>
      <w:fldChar w:fldCharType="begin"/>
    </w:r>
    <w:r w:rsidRPr="00C435A1">
      <w:rPr>
        <w:rFonts w:ascii="Arial" w:hAnsi="Arial" w:cs="Arial"/>
        <w:szCs w:val="24"/>
      </w:rPr>
      <w:instrText xml:space="preserve"> PAGE   \* MERGEFORMAT </w:instrText>
    </w:r>
    <w:r w:rsidRPr="00C435A1">
      <w:rPr>
        <w:rFonts w:ascii="Arial" w:hAnsi="Arial" w:cs="Arial"/>
        <w:szCs w:val="24"/>
      </w:rPr>
      <w:fldChar w:fldCharType="separate"/>
    </w:r>
    <w:r w:rsidR="008C7D86">
      <w:rPr>
        <w:rFonts w:ascii="Arial" w:hAnsi="Arial" w:cs="Arial"/>
        <w:noProof/>
        <w:szCs w:val="24"/>
      </w:rPr>
      <w:t>3</w:t>
    </w:r>
    <w:r w:rsidRPr="00C435A1">
      <w:rPr>
        <w:rFonts w:ascii="Arial" w:hAnsi="Arial" w:cs="Arial"/>
        <w:noProof/>
        <w:szCs w:val="24"/>
      </w:rPr>
      <w:fldChar w:fldCharType="end"/>
    </w:r>
    <w:r w:rsidRPr="009470C8">
      <w:rPr>
        <w:rFonts w:ascii="Arial" w:hAnsi="Arial" w:cs="Arial"/>
        <w:szCs w:val="24"/>
      </w:rPr>
      <w:t xml:space="preserve"> of </w:t>
    </w:r>
    <w:r w:rsidRPr="009470C8">
      <w:rPr>
        <w:rFonts w:ascii="Arial" w:hAnsi="Arial" w:cs="Arial"/>
        <w:szCs w:val="24"/>
      </w:rPr>
      <w:fldChar w:fldCharType="begin"/>
    </w:r>
    <w:r w:rsidRPr="009470C8">
      <w:rPr>
        <w:rFonts w:ascii="Arial" w:hAnsi="Arial" w:cs="Arial"/>
        <w:szCs w:val="24"/>
      </w:rPr>
      <w:instrText xml:space="preserve"> NUMPAGES </w:instrText>
    </w:r>
    <w:r w:rsidRPr="009470C8">
      <w:rPr>
        <w:rFonts w:ascii="Arial" w:hAnsi="Arial" w:cs="Arial"/>
        <w:szCs w:val="24"/>
      </w:rPr>
      <w:fldChar w:fldCharType="separate"/>
    </w:r>
    <w:r w:rsidR="008C7D86">
      <w:rPr>
        <w:rFonts w:ascii="Arial" w:hAnsi="Arial" w:cs="Arial"/>
        <w:noProof/>
        <w:szCs w:val="24"/>
      </w:rPr>
      <w:t>3</w:t>
    </w:r>
    <w:r w:rsidRPr="009470C8">
      <w:rPr>
        <w:rFonts w:ascii="Arial" w:hAnsi="Arial" w:cs="Arial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FA9"/>
    <w:multiLevelType w:val="hybridMultilevel"/>
    <w:tmpl w:val="02BC3EDE"/>
    <w:lvl w:ilvl="0" w:tplc="4A283C9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DCF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46A0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2A1"/>
    <w:multiLevelType w:val="hybridMultilevel"/>
    <w:tmpl w:val="B02E4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4A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4F3146"/>
    <w:multiLevelType w:val="hybridMultilevel"/>
    <w:tmpl w:val="0B483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222E"/>
    <w:multiLevelType w:val="hybridMultilevel"/>
    <w:tmpl w:val="DA462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458E0"/>
    <w:multiLevelType w:val="hybridMultilevel"/>
    <w:tmpl w:val="911ED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47451"/>
    <w:multiLevelType w:val="hybridMultilevel"/>
    <w:tmpl w:val="F82672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615F"/>
    <w:multiLevelType w:val="hybridMultilevel"/>
    <w:tmpl w:val="6F429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F369F"/>
    <w:multiLevelType w:val="hybridMultilevel"/>
    <w:tmpl w:val="C1FC5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1276"/>
    <w:multiLevelType w:val="hybridMultilevel"/>
    <w:tmpl w:val="448657EA"/>
    <w:lvl w:ilvl="0" w:tplc="1AE2B2B4">
      <w:start w:val="1"/>
      <w:numFmt w:val="bullet"/>
      <w:pStyle w:val="Bullet1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236C6"/>
    <w:multiLevelType w:val="hybridMultilevel"/>
    <w:tmpl w:val="0AF24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77E1"/>
    <w:multiLevelType w:val="hybridMultilevel"/>
    <w:tmpl w:val="6DA25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177EC"/>
    <w:multiLevelType w:val="hybridMultilevel"/>
    <w:tmpl w:val="B686A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80681"/>
    <w:multiLevelType w:val="hybridMultilevel"/>
    <w:tmpl w:val="A9E06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F0569"/>
    <w:multiLevelType w:val="hybridMultilevel"/>
    <w:tmpl w:val="9BF0D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0B4093"/>
    <w:multiLevelType w:val="hybridMultilevel"/>
    <w:tmpl w:val="01440FA4"/>
    <w:lvl w:ilvl="0" w:tplc="7480E826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0"/>
  </w:num>
  <w:num w:numId="5">
    <w:abstractNumId w:val="0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C"/>
    <w:rsid w:val="000C4698"/>
    <w:rsid w:val="000D0E6C"/>
    <w:rsid w:val="000D138E"/>
    <w:rsid w:val="000E3BFF"/>
    <w:rsid w:val="000F4B02"/>
    <w:rsid w:val="00120E0E"/>
    <w:rsid w:val="0020189C"/>
    <w:rsid w:val="002706B2"/>
    <w:rsid w:val="0027745C"/>
    <w:rsid w:val="002B04D4"/>
    <w:rsid w:val="002F3EB7"/>
    <w:rsid w:val="003A173A"/>
    <w:rsid w:val="003E030D"/>
    <w:rsid w:val="00402B5F"/>
    <w:rsid w:val="00416401"/>
    <w:rsid w:val="00441CA5"/>
    <w:rsid w:val="004D6DC2"/>
    <w:rsid w:val="005749F3"/>
    <w:rsid w:val="005909A6"/>
    <w:rsid w:val="00594ABE"/>
    <w:rsid w:val="00646A6E"/>
    <w:rsid w:val="006C2D39"/>
    <w:rsid w:val="006C5231"/>
    <w:rsid w:val="00747910"/>
    <w:rsid w:val="00756BF9"/>
    <w:rsid w:val="0076418B"/>
    <w:rsid w:val="0077159F"/>
    <w:rsid w:val="00790A67"/>
    <w:rsid w:val="0081467E"/>
    <w:rsid w:val="00826B3C"/>
    <w:rsid w:val="008A1FB8"/>
    <w:rsid w:val="008C2992"/>
    <w:rsid w:val="008C7D86"/>
    <w:rsid w:val="008D6D41"/>
    <w:rsid w:val="009056D6"/>
    <w:rsid w:val="00923A46"/>
    <w:rsid w:val="00923DE8"/>
    <w:rsid w:val="009470C8"/>
    <w:rsid w:val="009E40CA"/>
    <w:rsid w:val="00A8569C"/>
    <w:rsid w:val="00AB6FDE"/>
    <w:rsid w:val="00B3403F"/>
    <w:rsid w:val="00B45B68"/>
    <w:rsid w:val="00B528AF"/>
    <w:rsid w:val="00B56CAA"/>
    <w:rsid w:val="00B60A50"/>
    <w:rsid w:val="00B61177"/>
    <w:rsid w:val="00BE6839"/>
    <w:rsid w:val="00C03F3D"/>
    <w:rsid w:val="00C26249"/>
    <w:rsid w:val="00C41315"/>
    <w:rsid w:val="00C435A1"/>
    <w:rsid w:val="00CA0612"/>
    <w:rsid w:val="00CC72CB"/>
    <w:rsid w:val="00D3592B"/>
    <w:rsid w:val="00D91F03"/>
    <w:rsid w:val="00E17FE2"/>
    <w:rsid w:val="00E44191"/>
    <w:rsid w:val="00ED38DC"/>
    <w:rsid w:val="00F11C60"/>
    <w:rsid w:val="00F506DE"/>
    <w:rsid w:val="00F93F34"/>
    <w:rsid w:val="00FD1A50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A2AA53-F719-49BE-9FD1-36D98E6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3C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0C8"/>
    <w:pPr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315"/>
    <w:pPr>
      <w:numPr>
        <w:numId w:val="16"/>
      </w:numPr>
      <w:spacing w:after="240"/>
      <w:outlineLvl w:val="1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link w:val="Body1Char"/>
    <w:qFormat/>
    <w:rsid w:val="002B04D4"/>
    <w:rPr>
      <w:rFonts w:ascii="Cambria" w:hAnsi="Cambria"/>
    </w:rPr>
  </w:style>
  <w:style w:type="character" w:customStyle="1" w:styleId="Body1Char">
    <w:name w:val="Body1 Char"/>
    <w:link w:val="Body1"/>
    <w:rsid w:val="002B04D4"/>
    <w:rPr>
      <w:rFonts w:ascii="Cambria" w:eastAsia="Times New Roman" w:hAnsi="Cambria"/>
      <w:sz w:val="24"/>
      <w:szCs w:val="24"/>
    </w:rPr>
  </w:style>
  <w:style w:type="paragraph" w:customStyle="1" w:styleId="BODYIND">
    <w:name w:val="BODY IND"/>
    <w:basedOn w:val="Normal"/>
    <w:link w:val="BODYINDChar"/>
    <w:qFormat/>
    <w:rsid w:val="002B04D4"/>
    <w:pPr>
      <w:ind w:left="720"/>
    </w:pPr>
    <w:rPr>
      <w:rFonts w:eastAsia="Cambria"/>
      <w:color w:val="000000"/>
      <w:szCs w:val="20"/>
    </w:rPr>
  </w:style>
  <w:style w:type="character" w:customStyle="1" w:styleId="BODYINDChar">
    <w:name w:val="BODY IND Char"/>
    <w:link w:val="BODYIND"/>
    <w:rsid w:val="002B04D4"/>
    <w:rPr>
      <w:rFonts w:eastAsia="Cambria"/>
      <w:color w:val="000000"/>
      <w:sz w:val="24"/>
    </w:rPr>
  </w:style>
  <w:style w:type="paragraph" w:customStyle="1" w:styleId="Bullet1">
    <w:name w:val="Bullet1"/>
    <w:basedOn w:val="Normal"/>
    <w:link w:val="Bullet1Char"/>
    <w:qFormat/>
    <w:rsid w:val="000D138E"/>
    <w:pPr>
      <w:numPr>
        <w:numId w:val="5"/>
      </w:numPr>
      <w:spacing w:after="60"/>
    </w:pPr>
    <w:rPr>
      <w:rFonts w:eastAsia="Cambria"/>
    </w:rPr>
  </w:style>
  <w:style w:type="character" w:customStyle="1" w:styleId="Bullet1Char">
    <w:name w:val="Bullet1 Char"/>
    <w:link w:val="Bullet1"/>
    <w:rsid w:val="000D138E"/>
    <w:rPr>
      <w:rFonts w:ascii="Arial" w:eastAsia="Cambria" w:hAnsi="Arial"/>
      <w:sz w:val="24"/>
      <w:szCs w:val="24"/>
    </w:rPr>
  </w:style>
  <w:style w:type="paragraph" w:customStyle="1" w:styleId="Bullet3">
    <w:name w:val="Bullet3"/>
    <w:basedOn w:val="Normal"/>
    <w:qFormat/>
    <w:rsid w:val="000D138E"/>
    <w:pPr>
      <w:numPr>
        <w:ilvl w:val="2"/>
        <w:numId w:val="7"/>
      </w:numPr>
      <w:spacing w:after="60"/>
    </w:pPr>
    <w:rPr>
      <w:rFonts w:eastAsia="Cambria"/>
    </w:rPr>
  </w:style>
  <w:style w:type="paragraph" w:customStyle="1" w:styleId="HeadsubTable">
    <w:name w:val="Headsub Table"/>
    <w:basedOn w:val="Normal"/>
    <w:link w:val="HeadsubTableChar"/>
    <w:qFormat/>
    <w:rsid w:val="002B04D4"/>
    <w:pPr>
      <w:spacing w:after="120"/>
    </w:pPr>
    <w:rPr>
      <w:rFonts w:eastAsia="Cambria"/>
      <w:b/>
      <w:sz w:val="20"/>
    </w:rPr>
  </w:style>
  <w:style w:type="character" w:customStyle="1" w:styleId="HeadsubTableChar">
    <w:name w:val="Headsub Table Char"/>
    <w:link w:val="HeadsubTable"/>
    <w:rsid w:val="002B04D4"/>
    <w:rPr>
      <w:rFonts w:eastAsia="Cambria"/>
      <w:b/>
      <w:szCs w:val="24"/>
    </w:rPr>
  </w:style>
  <w:style w:type="paragraph" w:customStyle="1" w:styleId="HeadTable">
    <w:name w:val="Head Table"/>
    <w:basedOn w:val="Normal"/>
    <w:link w:val="HeadTableChar"/>
    <w:qFormat/>
    <w:rsid w:val="002B04D4"/>
    <w:pPr>
      <w:spacing w:after="120"/>
    </w:pPr>
    <w:rPr>
      <w:rFonts w:eastAsia="Cambria"/>
      <w:b/>
    </w:rPr>
  </w:style>
  <w:style w:type="character" w:customStyle="1" w:styleId="HeadTableChar">
    <w:name w:val="Head Table Char"/>
    <w:link w:val="HeadTable"/>
    <w:rsid w:val="002B04D4"/>
    <w:rPr>
      <w:rFonts w:eastAsia="Cambria"/>
      <w:b/>
      <w:sz w:val="24"/>
      <w:szCs w:val="24"/>
    </w:rPr>
  </w:style>
  <w:style w:type="paragraph" w:customStyle="1" w:styleId="Bullet1Table">
    <w:name w:val="Bullet1 Table"/>
    <w:basedOn w:val="Normal"/>
    <w:qFormat/>
    <w:rsid w:val="002B04D4"/>
    <w:pPr>
      <w:numPr>
        <w:numId w:val="6"/>
      </w:numPr>
    </w:pPr>
    <w:rPr>
      <w:rFonts w:eastAsia="Cambria"/>
      <w:sz w:val="20"/>
    </w:rPr>
  </w:style>
  <w:style w:type="paragraph" w:customStyle="1" w:styleId="Table">
    <w:name w:val="# Table"/>
    <w:basedOn w:val="Normal"/>
    <w:qFormat/>
    <w:rsid w:val="002B04D4"/>
    <w:pPr>
      <w:tabs>
        <w:tab w:val="left" w:pos="243"/>
      </w:tabs>
      <w:ind w:left="243" w:hanging="243"/>
    </w:pPr>
    <w:rPr>
      <w:rFonts w:eastAsia="Cambria"/>
      <w:sz w:val="20"/>
    </w:rPr>
  </w:style>
  <w:style w:type="paragraph" w:customStyle="1" w:styleId="Body">
    <w:name w:val="Body"/>
    <w:basedOn w:val="Normal"/>
    <w:qFormat/>
    <w:rsid w:val="002B04D4"/>
    <w:pPr>
      <w:spacing w:after="120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B04D4"/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B04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4D4"/>
  </w:style>
  <w:style w:type="paragraph" w:styleId="Header">
    <w:name w:val="header"/>
    <w:basedOn w:val="Normal"/>
    <w:link w:val="HeaderChar"/>
    <w:uiPriority w:val="99"/>
    <w:rsid w:val="00826B3C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6B3C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6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3C"/>
    <w:rPr>
      <w:rFonts w:ascii="Arial" w:eastAsia="Times New Roman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0C8"/>
    <w:rPr>
      <w:rFonts w:ascii="Arial" w:eastAsia="Times New Roman" w:hAnsi="Arial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1315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ESMC Guidelines</vt:lpstr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ESMC Guidelines (CA Dept of Education)</dc:title>
  <dc:subject>Draft Guidelines for the 2020 Ethnic Studies Model Curriculum.</dc:subject>
  <dc:creator>Ken McDonald</dc:creator>
  <cp:lastModifiedBy>Toua Her</cp:lastModifiedBy>
  <cp:revision>4</cp:revision>
  <cp:lastPrinted>2018-02-07T00:22:00Z</cp:lastPrinted>
  <dcterms:created xsi:type="dcterms:W3CDTF">2018-04-27T13:32:00Z</dcterms:created>
  <dcterms:modified xsi:type="dcterms:W3CDTF">2019-03-12T18:39:00Z</dcterms:modified>
</cp:coreProperties>
</file>