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32931" w14:textId="6F2F6891" w:rsidR="00AC56DB" w:rsidRDefault="00AC56DB" w:rsidP="00E25878">
      <w:pPr>
        <w:pStyle w:val="Heading1"/>
      </w:pPr>
      <w:r w:rsidRPr="00E25878">
        <w:t>202</w:t>
      </w:r>
      <w:r w:rsidR="00B10425" w:rsidRPr="00E25878">
        <w:t>5</w:t>
      </w:r>
      <w:r w:rsidRPr="00E25878">
        <w:t xml:space="preserve"> </w:t>
      </w:r>
      <w:r w:rsidR="00944CC9" w:rsidRPr="00E25878">
        <w:t xml:space="preserve">California </w:t>
      </w:r>
      <w:r w:rsidR="003010DD" w:rsidRPr="00E25878">
        <w:t>Mathematics</w:t>
      </w:r>
      <w:r w:rsidRPr="00E25878">
        <w:t xml:space="preserve"> </w:t>
      </w:r>
      <w:r w:rsidR="00E25878" w:rsidRPr="00E25878">
        <w:t xml:space="preserve">Adoption of </w:t>
      </w:r>
      <w:r w:rsidR="003010DD" w:rsidRPr="00E25878">
        <w:t xml:space="preserve">Instructional Materials </w:t>
      </w:r>
      <w:r w:rsidRPr="00E25878">
        <w:t>Schedule</w:t>
      </w:r>
      <w:r w:rsidR="00944CC9" w:rsidRPr="00E25878">
        <w:t xml:space="preserve"> of Significant Events</w:t>
      </w:r>
    </w:p>
    <w:p w14:paraId="44C3EEC7" w14:textId="77777777" w:rsidR="00D10DD4" w:rsidRDefault="00D10DD4" w:rsidP="00D10DD4">
      <w:pPr>
        <w:spacing w:after="240"/>
        <w:ind w:left="720" w:hanging="720"/>
        <w:jc w:val="center"/>
        <w:rPr>
          <w:rFonts w:ascii="Arial" w:hAnsi="Arial" w:cs="Arial"/>
          <w:bCs/>
        </w:rPr>
      </w:pPr>
      <w:r w:rsidRPr="00D10DD4">
        <w:rPr>
          <w:rFonts w:ascii="Arial" w:hAnsi="Arial" w:cs="Arial"/>
          <w:bCs/>
        </w:rPr>
        <w:t>Draft—pending State Board of Education approval</w:t>
      </w:r>
    </w:p>
    <w:tbl>
      <w:tblPr>
        <w:tblStyle w:val="TableGrid"/>
        <w:tblW w:w="9357" w:type="dxa"/>
        <w:tblLook w:val="04A0" w:firstRow="1" w:lastRow="0" w:firstColumn="1" w:lastColumn="0" w:noHBand="0" w:noVBand="1"/>
        <w:tblDescription w:val="2025 Mathematics Adoption of Instructional Materials Schedule of Significant Events."/>
      </w:tblPr>
      <w:tblGrid>
        <w:gridCol w:w="6385"/>
        <w:gridCol w:w="2972"/>
      </w:tblGrid>
      <w:tr w:rsidR="00D10DD4" w:rsidRPr="002830AF" w14:paraId="47034A30" w14:textId="4D611D90" w:rsidTr="000200C9">
        <w:trPr>
          <w:cantSplit/>
          <w:trHeight w:val="170"/>
          <w:tblHeader/>
        </w:trPr>
        <w:tc>
          <w:tcPr>
            <w:tcW w:w="6385" w:type="dxa"/>
            <w:hideMark/>
          </w:tcPr>
          <w:p w14:paraId="432EDBE8" w14:textId="77777777" w:rsidR="00AA0ED2" w:rsidRPr="002830AF" w:rsidRDefault="00AA0ED2" w:rsidP="000200C9">
            <w:pPr>
              <w:spacing w:beforeLines="60" w:before="144" w:afterLines="60" w:after="14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830AF">
              <w:rPr>
                <w:rFonts w:ascii="Arial" w:eastAsia="Times New Roman" w:hAnsi="Arial" w:cs="Arial"/>
                <w:b/>
                <w:bCs/>
              </w:rPr>
              <w:t>Event</w:t>
            </w:r>
          </w:p>
        </w:tc>
        <w:tc>
          <w:tcPr>
            <w:tcW w:w="2972" w:type="dxa"/>
            <w:hideMark/>
          </w:tcPr>
          <w:p w14:paraId="77B71DE8" w14:textId="5F4FF94C" w:rsidR="00AA0ED2" w:rsidRPr="002830AF" w:rsidRDefault="20910A12" w:rsidP="000200C9">
            <w:pPr>
              <w:spacing w:beforeLines="60" w:before="144" w:afterLines="60" w:after="144"/>
              <w:ind w:left="1800" w:hanging="180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830AF">
              <w:rPr>
                <w:rFonts w:ascii="Arial" w:eastAsia="Times New Roman" w:hAnsi="Arial" w:cs="Arial"/>
                <w:b/>
                <w:bCs/>
              </w:rPr>
              <w:t>Date</w:t>
            </w:r>
          </w:p>
        </w:tc>
      </w:tr>
      <w:tr w:rsidR="00AA0ED2" w:rsidRPr="002830AF" w14:paraId="22AD9D24" w14:textId="6FF85AC5" w:rsidTr="00A175F0">
        <w:trPr>
          <w:cantSplit/>
        </w:trPr>
        <w:tc>
          <w:tcPr>
            <w:tcW w:w="6385" w:type="dxa"/>
            <w:hideMark/>
          </w:tcPr>
          <w:p w14:paraId="1938FDFD" w14:textId="3946DA79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State Board of Education (SBE) adoption of the</w:t>
            </w:r>
            <w:r w:rsidR="00BA359A">
              <w:rPr>
                <w:rFonts w:ascii="Arial" w:eastAsia="Times New Roman" w:hAnsi="Arial" w:cs="Arial"/>
              </w:rPr>
              <w:t xml:space="preserve"> </w:t>
            </w:r>
            <w:r w:rsidR="00F57231" w:rsidRPr="002830AF">
              <w:rPr>
                <w:rFonts w:ascii="Arial" w:eastAsia="Times New Roman" w:hAnsi="Arial" w:cs="Arial"/>
                <w:i/>
                <w:iCs/>
              </w:rPr>
              <w:t>Mathematics Framework for California Public Schools: Kindergarten Through Grade Twelve</w:t>
            </w:r>
            <w:r w:rsidR="00F57231" w:rsidRPr="002830AF" w:rsidDel="00F57231">
              <w:rPr>
                <w:rFonts w:ascii="Arial" w:eastAsia="Times New Roman" w:hAnsi="Arial" w:cs="Arial"/>
              </w:rPr>
              <w:t xml:space="preserve"> </w:t>
            </w:r>
            <w:r w:rsidRPr="002830AF">
              <w:rPr>
                <w:rFonts w:ascii="Arial" w:eastAsia="Times New Roman" w:hAnsi="Arial" w:cs="Arial"/>
              </w:rPr>
              <w:t>(</w:t>
            </w:r>
            <w:r w:rsidR="00BA359A">
              <w:rPr>
                <w:rFonts w:ascii="Arial" w:eastAsia="Times New Roman" w:hAnsi="Arial" w:cs="Arial"/>
              </w:rPr>
              <w:t xml:space="preserve">California </w:t>
            </w:r>
            <w:r w:rsidRPr="00BA359A">
              <w:rPr>
                <w:rFonts w:ascii="Arial" w:eastAsia="Times New Roman" w:hAnsi="Arial" w:cs="Arial"/>
                <w:i/>
                <w:iCs/>
              </w:rPr>
              <w:t>Education Code</w:t>
            </w:r>
            <w:r w:rsidR="00BA359A">
              <w:rPr>
                <w:rFonts w:ascii="Arial" w:eastAsia="Times New Roman" w:hAnsi="Arial" w:cs="Arial"/>
              </w:rPr>
              <w:t xml:space="preserve"> </w:t>
            </w:r>
            <w:r w:rsidR="0088609C" w:rsidRPr="002830AF">
              <w:rPr>
                <w:rFonts w:ascii="Arial" w:eastAsia="Times New Roman" w:hAnsi="Arial" w:cs="Arial"/>
              </w:rPr>
              <w:t>(</w:t>
            </w:r>
            <w:r w:rsidRPr="00BA359A">
              <w:rPr>
                <w:rFonts w:ascii="Arial" w:eastAsia="Times New Roman" w:hAnsi="Arial" w:cs="Arial"/>
                <w:i/>
                <w:iCs/>
              </w:rPr>
              <w:t>EC</w:t>
            </w:r>
            <w:r w:rsidR="0088609C" w:rsidRPr="002830AF">
              <w:rPr>
                <w:rFonts w:ascii="Arial" w:eastAsia="Times New Roman" w:hAnsi="Arial" w:cs="Arial"/>
              </w:rPr>
              <w:t>)</w:t>
            </w:r>
            <w:r w:rsidRPr="002830AF">
              <w:rPr>
                <w:rFonts w:ascii="Arial" w:eastAsia="Times New Roman" w:hAnsi="Arial" w:cs="Arial"/>
              </w:rPr>
              <w:t xml:space="preserve"> Section 60200[b][1])</w:t>
            </w:r>
          </w:p>
        </w:tc>
        <w:tc>
          <w:tcPr>
            <w:tcW w:w="2972" w:type="dxa"/>
            <w:hideMark/>
          </w:tcPr>
          <w:p w14:paraId="3A74820A" w14:textId="50E29A53" w:rsidR="00AA0ED2" w:rsidRPr="002830AF" w:rsidRDefault="00F12D57" w:rsidP="000200C9">
            <w:pPr>
              <w:spacing w:beforeLines="60" w:before="144" w:afterLines="60" w:after="144"/>
              <w:rPr>
                <w:rFonts w:ascii="Arial" w:eastAsia="Times New Roman" w:hAnsi="Arial" w:cs="Arial"/>
                <w:strike/>
              </w:rPr>
            </w:pPr>
            <w:r w:rsidRPr="002830AF">
              <w:rPr>
                <w:rFonts w:ascii="Arial" w:eastAsia="Times New Roman" w:hAnsi="Arial" w:cs="Arial"/>
              </w:rPr>
              <w:t xml:space="preserve">July 12, </w:t>
            </w:r>
            <w:r w:rsidR="00AA0ED2" w:rsidRPr="002830AF">
              <w:rPr>
                <w:rFonts w:ascii="Arial" w:eastAsia="Times New Roman" w:hAnsi="Arial" w:cs="Arial"/>
              </w:rPr>
              <w:t>202</w:t>
            </w:r>
            <w:r w:rsidR="00465486" w:rsidRPr="002830AF">
              <w:rPr>
                <w:rFonts w:ascii="Arial" w:eastAsia="Times New Roman" w:hAnsi="Arial" w:cs="Arial"/>
              </w:rPr>
              <w:t>3</w:t>
            </w:r>
          </w:p>
        </w:tc>
      </w:tr>
      <w:tr w:rsidR="00AA0ED2" w:rsidRPr="002830AF" w14:paraId="58233FFD" w14:textId="3AB7123B" w:rsidTr="00A175F0">
        <w:trPr>
          <w:cantSplit/>
        </w:trPr>
        <w:tc>
          <w:tcPr>
            <w:tcW w:w="6385" w:type="dxa"/>
            <w:hideMark/>
          </w:tcPr>
          <w:p w14:paraId="638DB86D" w14:textId="6BF87382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Instructional Quality Commission (IQC) recommends:</w:t>
            </w:r>
          </w:p>
          <w:p w14:paraId="326C731D" w14:textId="7F438181" w:rsidR="00AA0ED2" w:rsidRPr="002830AF" w:rsidRDefault="00AA0ED2" w:rsidP="000200C9">
            <w:pPr>
              <w:pStyle w:val="ListParagraph"/>
              <w:numPr>
                <w:ilvl w:val="0"/>
                <w:numId w:val="1"/>
              </w:numPr>
              <w:spacing w:beforeLines="60" w:before="144" w:afterLines="60" w:after="144"/>
              <w:contextualSpacing w:val="0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Schedule of Significant Events</w:t>
            </w:r>
          </w:p>
          <w:p w14:paraId="0B9E99E7" w14:textId="251E8D21" w:rsidR="00AA0ED2" w:rsidRPr="002830AF" w:rsidRDefault="00AA0ED2" w:rsidP="000200C9">
            <w:pPr>
              <w:pStyle w:val="ListParagraph"/>
              <w:numPr>
                <w:ilvl w:val="0"/>
                <w:numId w:val="1"/>
              </w:numPr>
              <w:spacing w:beforeLines="60" w:before="144" w:afterLines="60" w:after="144"/>
              <w:contextualSpacing w:val="0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 xml:space="preserve">Reviewer application </w:t>
            </w:r>
            <w:r w:rsidR="000C7231">
              <w:rPr>
                <w:rFonts w:ascii="Arial" w:eastAsia="Times New Roman" w:hAnsi="Arial" w:cs="Arial"/>
              </w:rPr>
              <w:t>questions</w:t>
            </w:r>
          </w:p>
          <w:p w14:paraId="6441E57B" w14:textId="65462F66" w:rsidR="00AA0ED2" w:rsidRPr="002830AF" w:rsidRDefault="00AA0ED2" w:rsidP="000200C9">
            <w:pPr>
              <w:pStyle w:val="ListParagraph"/>
              <w:numPr>
                <w:ilvl w:val="0"/>
                <w:numId w:val="1"/>
              </w:numPr>
              <w:spacing w:beforeLines="60" w:before="144" w:afterLines="60" w:after="144"/>
              <w:contextualSpacing w:val="0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Evaluation criteria map and standards maps</w:t>
            </w:r>
          </w:p>
        </w:tc>
        <w:tc>
          <w:tcPr>
            <w:tcW w:w="2972" w:type="dxa"/>
            <w:hideMark/>
          </w:tcPr>
          <w:p w14:paraId="4F0D9BEA" w14:textId="740F737A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hAnsi="Arial" w:cs="Arial"/>
                <w:color w:val="000000"/>
                <w:shd w:val="clear" w:color="auto" w:fill="FFFFFF"/>
              </w:rPr>
              <w:t>November 1</w:t>
            </w:r>
            <w:r w:rsidR="00465486" w:rsidRPr="002830AF"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  <w:r w:rsidR="00083B54">
              <w:rPr>
                <w:rFonts w:ascii="Arial" w:hAnsi="Arial" w:cs="Arial"/>
                <w:color w:val="000000"/>
                <w:shd w:val="clear" w:color="auto" w:fill="FFFFFF"/>
              </w:rPr>
              <w:t>, 2023</w:t>
            </w:r>
          </w:p>
        </w:tc>
      </w:tr>
      <w:tr w:rsidR="00AA0ED2" w:rsidRPr="002830AF" w14:paraId="3270E8DF" w14:textId="3A357790" w:rsidTr="00A175F0">
        <w:trPr>
          <w:cantSplit/>
        </w:trPr>
        <w:tc>
          <w:tcPr>
            <w:tcW w:w="6385" w:type="dxa"/>
          </w:tcPr>
          <w:p w14:paraId="00F70F46" w14:textId="46585C6E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SBE approves:</w:t>
            </w:r>
          </w:p>
          <w:p w14:paraId="7F3A5B77" w14:textId="4711B30A" w:rsidR="0083191D" w:rsidRPr="002830AF" w:rsidRDefault="0083191D" w:rsidP="000200C9">
            <w:pPr>
              <w:pStyle w:val="ListParagraph"/>
              <w:numPr>
                <w:ilvl w:val="0"/>
                <w:numId w:val="2"/>
              </w:numPr>
              <w:spacing w:beforeLines="60" w:before="144" w:afterLines="60" w:after="144"/>
              <w:contextualSpacing w:val="0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Notice of Intent to Hold Adoption (</w:t>
            </w:r>
            <w:r w:rsidR="0088609C" w:rsidRPr="002830AF">
              <w:rPr>
                <w:rFonts w:ascii="Arial" w:eastAsia="Times New Roman" w:hAnsi="Arial" w:cs="Arial"/>
              </w:rPr>
              <w:t xml:space="preserve">Title 5, </w:t>
            </w:r>
            <w:r w:rsidR="0088609C" w:rsidRPr="006A3296">
              <w:rPr>
                <w:rFonts w:ascii="Arial" w:eastAsia="Times New Roman" w:hAnsi="Arial" w:cs="Arial"/>
                <w:i/>
                <w:iCs/>
              </w:rPr>
              <w:t>California Code of Regulations</w:t>
            </w:r>
            <w:r w:rsidR="0088609C" w:rsidRPr="002830AF">
              <w:rPr>
                <w:rFonts w:ascii="Arial" w:eastAsia="Times New Roman" w:hAnsi="Arial" w:cs="Arial"/>
              </w:rPr>
              <w:t xml:space="preserve"> (5 </w:t>
            </w:r>
            <w:r w:rsidR="0088609C" w:rsidRPr="006A3296">
              <w:rPr>
                <w:rFonts w:ascii="Arial" w:eastAsia="Times New Roman" w:hAnsi="Arial" w:cs="Arial"/>
                <w:i/>
                <w:iCs/>
              </w:rPr>
              <w:t>CCR</w:t>
            </w:r>
            <w:r w:rsidR="0088609C" w:rsidRPr="002830AF">
              <w:rPr>
                <w:rFonts w:ascii="Arial" w:eastAsia="Times New Roman" w:hAnsi="Arial" w:cs="Arial"/>
              </w:rPr>
              <w:t xml:space="preserve">) </w:t>
            </w:r>
            <w:r w:rsidR="006A3296">
              <w:rPr>
                <w:rFonts w:ascii="Arial" w:eastAsia="Times New Roman" w:hAnsi="Arial" w:cs="Arial"/>
              </w:rPr>
              <w:t xml:space="preserve">Section </w:t>
            </w:r>
            <w:r w:rsidRPr="002830AF">
              <w:rPr>
                <w:rFonts w:ascii="Arial" w:eastAsia="Times New Roman" w:hAnsi="Arial" w:cs="Arial"/>
              </w:rPr>
              <w:t>9517.3)</w:t>
            </w:r>
          </w:p>
          <w:p w14:paraId="2C833EE5" w14:textId="084CF205" w:rsidR="00AA0ED2" w:rsidRPr="000023B8" w:rsidRDefault="00AA0ED2" w:rsidP="000200C9">
            <w:pPr>
              <w:pStyle w:val="ListParagraph"/>
              <w:numPr>
                <w:ilvl w:val="0"/>
                <w:numId w:val="2"/>
              </w:numPr>
              <w:spacing w:beforeLines="60" w:before="144" w:afterLines="60" w:after="144"/>
              <w:contextualSpacing w:val="0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 xml:space="preserve">Schedule of Significant </w:t>
            </w:r>
            <w:r w:rsidRPr="000023B8">
              <w:rPr>
                <w:rFonts w:ascii="Arial" w:eastAsia="Times New Roman" w:hAnsi="Arial" w:cs="Arial"/>
              </w:rPr>
              <w:t>Events (5</w:t>
            </w:r>
            <w:r w:rsidR="00E70D6C" w:rsidRPr="000023B8">
              <w:rPr>
                <w:rFonts w:ascii="Arial" w:eastAsia="Times New Roman" w:hAnsi="Arial" w:cs="Arial"/>
              </w:rPr>
              <w:t xml:space="preserve"> </w:t>
            </w:r>
            <w:r w:rsidRPr="000023B8">
              <w:rPr>
                <w:rFonts w:ascii="Arial" w:eastAsia="Times New Roman" w:hAnsi="Arial" w:cs="Arial"/>
                <w:i/>
                <w:iCs/>
              </w:rPr>
              <w:t>CCR</w:t>
            </w:r>
            <w:r w:rsidR="00E70D6C" w:rsidRPr="000023B8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r w:rsidRPr="000023B8">
              <w:rPr>
                <w:rFonts w:ascii="Arial" w:eastAsia="Times New Roman" w:hAnsi="Arial" w:cs="Arial"/>
              </w:rPr>
              <w:t>Section 951</w:t>
            </w:r>
            <w:r w:rsidR="0083191D" w:rsidRPr="000023B8">
              <w:rPr>
                <w:rFonts w:ascii="Arial" w:eastAsia="Times New Roman" w:hAnsi="Arial" w:cs="Arial"/>
              </w:rPr>
              <w:t>7.3</w:t>
            </w:r>
            <w:r w:rsidRPr="000023B8">
              <w:rPr>
                <w:rFonts w:ascii="Arial" w:eastAsia="Times New Roman" w:hAnsi="Arial" w:cs="Arial"/>
              </w:rPr>
              <w:t>)</w:t>
            </w:r>
          </w:p>
          <w:p w14:paraId="3A9D5510" w14:textId="61DEE5CF" w:rsidR="00AA0ED2" w:rsidRPr="002830AF" w:rsidRDefault="00AA0ED2" w:rsidP="000200C9">
            <w:pPr>
              <w:pStyle w:val="ListParagraph"/>
              <w:numPr>
                <w:ilvl w:val="0"/>
                <w:numId w:val="2"/>
              </w:numPr>
              <w:spacing w:beforeLines="60" w:before="144" w:afterLines="60" w:after="144"/>
              <w:contextualSpacing w:val="0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Reviewer application</w:t>
            </w:r>
            <w:r w:rsidR="00EB31E7">
              <w:rPr>
                <w:rFonts w:ascii="Arial" w:eastAsia="Times New Roman" w:hAnsi="Arial" w:cs="Arial"/>
              </w:rPr>
              <w:t xml:space="preserve"> questions</w:t>
            </w:r>
            <w:r w:rsidRPr="002830AF">
              <w:rPr>
                <w:rFonts w:ascii="Arial" w:eastAsia="Times New Roman" w:hAnsi="Arial" w:cs="Arial"/>
              </w:rPr>
              <w:t xml:space="preserve"> (5</w:t>
            </w:r>
            <w:r w:rsidR="00E70D6C">
              <w:rPr>
                <w:rFonts w:ascii="Arial" w:eastAsia="Times New Roman" w:hAnsi="Arial" w:cs="Arial"/>
              </w:rPr>
              <w:t xml:space="preserve"> </w:t>
            </w:r>
            <w:r w:rsidRPr="00E70D6C">
              <w:rPr>
                <w:rFonts w:ascii="Arial" w:eastAsia="Times New Roman" w:hAnsi="Arial" w:cs="Arial"/>
                <w:i/>
                <w:iCs/>
              </w:rPr>
              <w:t>CCR</w:t>
            </w:r>
            <w:r w:rsidR="00E70D6C">
              <w:rPr>
                <w:rFonts w:ascii="Arial" w:eastAsia="Times New Roman" w:hAnsi="Arial" w:cs="Arial"/>
              </w:rPr>
              <w:t xml:space="preserve"> </w:t>
            </w:r>
            <w:r w:rsidRPr="002830AF">
              <w:rPr>
                <w:rFonts w:ascii="Arial" w:eastAsia="Times New Roman" w:hAnsi="Arial" w:cs="Arial"/>
              </w:rPr>
              <w:t>Section 9513[a])</w:t>
            </w:r>
          </w:p>
          <w:p w14:paraId="6C71FA5A" w14:textId="1FAA2192" w:rsidR="00AA0ED2" w:rsidRPr="002830AF" w:rsidRDefault="00AA0ED2" w:rsidP="000200C9">
            <w:pPr>
              <w:pStyle w:val="ListParagraph"/>
              <w:numPr>
                <w:ilvl w:val="0"/>
                <w:numId w:val="2"/>
              </w:numPr>
              <w:spacing w:beforeLines="60" w:before="144" w:afterLines="60" w:after="144"/>
              <w:contextualSpacing w:val="0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 xml:space="preserve">Evaluation criteria map and standards maps </w:t>
            </w:r>
            <w:r w:rsidRPr="002830AF">
              <w:rPr>
                <w:rFonts w:ascii="Arial" w:hAnsi="Arial" w:cs="Arial"/>
              </w:rPr>
              <w:br/>
            </w:r>
            <w:r w:rsidRPr="002830AF">
              <w:rPr>
                <w:rFonts w:ascii="Arial" w:eastAsia="Times New Roman" w:hAnsi="Arial" w:cs="Arial"/>
              </w:rPr>
              <w:t>(5</w:t>
            </w:r>
            <w:r w:rsidR="000023B8">
              <w:rPr>
                <w:rFonts w:ascii="Arial" w:eastAsia="Times New Roman" w:hAnsi="Arial" w:cs="Arial"/>
              </w:rPr>
              <w:t xml:space="preserve"> </w:t>
            </w:r>
            <w:r w:rsidRPr="000023B8">
              <w:rPr>
                <w:rFonts w:ascii="Arial" w:eastAsia="Times New Roman" w:hAnsi="Arial" w:cs="Arial"/>
                <w:i/>
                <w:iCs/>
              </w:rPr>
              <w:t>CCR</w:t>
            </w:r>
            <w:r w:rsidR="000023B8">
              <w:rPr>
                <w:rFonts w:ascii="Arial" w:eastAsia="Times New Roman" w:hAnsi="Arial" w:cs="Arial"/>
              </w:rPr>
              <w:t xml:space="preserve"> </w:t>
            </w:r>
            <w:r w:rsidRPr="002830AF">
              <w:rPr>
                <w:rFonts w:ascii="Arial" w:eastAsia="Times New Roman" w:hAnsi="Arial" w:cs="Arial"/>
              </w:rPr>
              <w:t>Section 9510[u])</w:t>
            </w:r>
          </w:p>
        </w:tc>
        <w:tc>
          <w:tcPr>
            <w:tcW w:w="2972" w:type="dxa"/>
          </w:tcPr>
          <w:p w14:paraId="6B9E495A" w14:textId="3AD64C31" w:rsidR="00AA0ED2" w:rsidRPr="002830AF" w:rsidRDefault="00AA0ED2" w:rsidP="000200C9">
            <w:pPr>
              <w:shd w:val="clear" w:color="auto" w:fill="FFFFFF" w:themeFill="background1"/>
              <w:spacing w:beforeLines="60" w:before="144" w:afterLines="60" w:after="144"/>
              <w:rPr>
                <w:rFonts w:ascii="Arial" w:hAnsi="Arial" w:cs="Arial"/>
                <w:color w:val="000000" w:themeColor="text1"/>
              </w:rPr>
            </w:pPr>
            <w:r w:rsidRPr="002830AF">
              <w:rPr>
                <w:rFonts w:ascii="Arial" w:hAnsi="Arial" w:cs="Arial"/>
                <w:color w:val="000000" w:themeColor="text1"/>
              </w:rPr>
              <w:t xml:space="preserve">January </w:t>
            </w:r>
            <w:r w:rsidR="00170C75" w:rsidRPr="002830AF">
              <w:rPr>
                <w:rFonts w:ascii="Arial" w:hAnsi="Arial" w:cs="Arial"/>
                <w:color w:val="000000" w:themeColor="text1"/>
              </w:rPr>
              <w:t xml:space="preserve">18–19, </w:t>
            </w:r>
            <w:r w:rsidRPr="002830AF">
              <w:rPr>
                <w:rFonts w:ascii="Arial" w:hAnsi="Arial" w:cs="Arial"/>
                <w:color w:val="000000" w:themeColor="text1"/>
              </w:rPr>
              <w:t>202</w:t>
            </w:r>
            <w:r w:rsidR="00465486" w:rsidRPr="002830AF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AA0ED2" w:rsidRPr="002830AF" w14:paraId="0F2F06E3" w14:textId="0D55B5FE" w:rsidTr="00A175F0">
        <w:trPr>
          <w:cantSplit/>
        </w:trPr>
        <w:tc>
          <w:tcPr>
            <w:tcW w:w="6385" w:type="dxa"/>
            <w:hideMark/>
          </w:tcPr>
          <w:p w14:paraId="54C5C1FC" w14:textId="00A81DB7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Reviewer application period (5</w:t>
            </w:r>
            <w:r w:rsidR="00DC4A2A">
              <w:rPr>
                <w:rFonts w:ascii="Arial" w:eastAsia="Times New Roman" w:hAnsi="Arial" w:cs="Arial"/>
              </w:rPr>
              <w:t xml:space="preserve"> </w:t>
            </w:r>
            <w:r w:rsidRPr="00DC4A2A">
              <w:rPr>
                <w:rFonts w:ascii="Arial" w:eastAsia="Times New Roman" w:hAnsi="Arial" w:cs="Arial"/>
                <w:i/>
                <w:iCs/>
              </w:rPr>
              <w:t>CCR</w:t>
            </w:r>
            <w:r w:rsidR="00DC4A2A">
              <w:rPr>
                <w:rFonts w:ascii="Arial" w:eastAsia="Times New Roman" w:hAnsi="Arial" w:cs="Arial"/>
              </w:rPr>
              <w:t xml:space="preserve"> </w:t>
            </w:r>
            <w:r w:rsidRPr="002830AF">
              <w:rPr>
                <w:rFonts w:ascii="Arial" w:eastAsia="Times New Roman" w:hAnsi="Arial" w:cs="Arial"/>
              </w:rPr>
              <w:t>Section 9513[a])</w:t>
            </w:r>
          </w:p>
        </w:tc>
        <w:tc>
          <w:tcPr>
            <w:tcW w:w="2972" w:type="dxa"/>
            <w:hideMark/>
          </w:tcPr>
          <w:p w14:paraId="41AFC540" w14:textId="33D550A8" w:rsidR="00AA0ED2" w:rsidRPr="002830AF" w:rsidRDefault="00C031F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April</w:t>
            </w:r>
            <w:r w:rsidR="00AA0ED2" w:rsidRPr="002830AF">
              <w:rPr>
                <w:rFonts w:ascii="Arial" w:eastAsia="Times New Roman" w:hAnsi="Arial" w:cs="Arial"/>
              </w:rPr>
              <w:t>–September 202</w:t>
            </w:r>
            <w:r w:rsidR="00465486" w:rsidRPr="002830AF">
              <w:rPr>
                <w:rFonts w:ascii="Arial" w:eastAsia="Times New Roman" w:hAnsi="Arial" w:cs="Arial"/>
              </w:rPr>
              <w:t>4</w:t>
            </w:r>
          </w:p>
        </w:tc>
      </w:tr>
      <w:tr w:rsidR="00AA0ED2" w:rsidRPr="002830AF" w14:paraId="7BC34B06" w14:textId="0804E5FD" w:rsidTr="00A175F0">
        <w:trPr>
          <w:cantSplit/>
        </w:trPr>
        <w:tc>
          <w:tcPr>
            <w:tcW w:w="6385" w:type="dxa"/>
            <w:hideMark/>
          </w:tcPr>
          <w:p w14:paraId="1A27F5C1" w14:textId="0219E8B5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 xml:space="preserve">Small publisher fee </w:t>
            </w:r>
            <w:r w:rsidR="00766182" w:rsidRPr="002830AF">
              <w:rPr>
                <w:rFonts w:ascii="Arial" w:eastAsia="Times New Roman" w:hAnsi="Arial" w:cs="Arial"/>
              </w:rPr>
              <w:t xml:space="preserve">reduction </w:t>
            </w:r>
            <w:r w:rsidRPr="002830AF">
              <w:rPr>
                <w:rFonts w:ascii="Arial" w:eastAsia="Times New Roman" w:hAnsi="Arial" w:cs="Arial"/>
              </w:rPr>
              <w:t>requests due (</w:t>
            </w:r>
            <w:r w:rsidRPr="009B5EAF">
              <w:rPr>
                <w:rFonts w:ascii="Arial" w:eastAsia="Times New Roman" w:hAnsi="Arial" w:cs="Arial"/>
                <w:i/>
                <w:iCs/>
              </w:rPr>
              <w:t>EC</w:t>
            </w:r>
            <w:r w:rsidR="009B5EAF">
              <w:rPr>
                <w:rFonts w:ascii="Arial" w:eastAsia="Times New Roman" w:hAnsi="Arial" w:cs="Arial"/>
              </w:rPr>
              <w:t xml:space="preserve"> </w:t>
            </w:r>
            <w:r w:rsidRPr="002830AF">
              <w:rPr>
                <w:rFonts w:ascii="Arial" w:eastAsia="Times New Roman" w:hAnsi="Arial" w:cs="Arial"/>
              </w:rPr>
              <w:t>Section 60213)</w:t>
            </w:r>
          </w:p>
        </w:tc>
        <w:tc>
          <w:tcPr>
            <w:tcW w:w="2972" w:type="dxa"/>
            <w:hideMark/>
          </w:tcPr>
          <w:p w14:paraId="0A0BA4F0" w14:textId="4E32940A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 xml:space="preserve">November </w:t>
            </w:r>
            <w:r w:rsidR="00465486" w:rsidRPr="002830AF">
              <w:rPr>
                <w:rFonts w:ascii="Arial" w:eastAsia="Times New Roman" w:hAnsi="Arial" w:cs="Arial"/>
              </w:rPr>
              <w:t>1</w:t>
            </w:r>
            <w:r w:rsidRPr="002830AF">
              <w:rPr>
                <w:rFonts w:ascii="Arial" w:eastAsia="Times New Roman" w:hAnsi="Arial" w:cs="Arial"/>
              </w:rPr>
              <w:t>, 202</w:t>
            </w:r>
            <w:r w:rsidR="00465486" w:rsidRPr="002830AF">
              <w:rPr>
                <w:rFonts w:ascii="Arial" w:eastAsia="Times New Roman" w:hAnsi="Arial" w:cs="Arial"/>
              </w:rPr>
              <w:t>4</w:t>
            </w:r>
          </w:p>
        </w:tc>
      </w:tr>
      <w:tr w:rsidR="00AA0ED2" w:rsidRPr="002830AF" w14:paraId="0842D640" w14:textId="5339695C" w:rsidTr="00A175F0">
        <w:trPr>
          <w:cantSplit/>
        </w:trPr>
        <w:tc>
          <w:tcPr>
            <w:tcW w:w="6385" w:type="dxa"/>
            <w:hideMark/>
          </w:tcPr>
          <w:p w14:paraId="0E221C18" w14:textId="52CB99B0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IQC recommends reviewers (5</w:t>
            </w:r>
            <w:r w:rsidR="009B5EAF">
              <w:rPr>
                <w:rFonts w:ascii="Arial" w:eastAsia="Times New Roman" w:hAnsi="Arial" w:cs="Arial"/>
              </w:rPr>
              <w:t xml:space="preserve"> </w:t>
            </w:r>
            <w:r w:rsidRPr="009B5EAF">
              <w:rPr>
                <w:rFonts w:ascii="Arial" w:eastAsia="Times New Roman" w:hAnsi="Arial" w:cs="Arial"/>
                <w:i/>
                <w:iCs/>
              </w:rPr>
              <w:t>CCR</w:t>
            </w:r>
            <w:r w:rsidR="009B5EAF">
              <w:rPr>
                <w:rFonts w:ascii="Arial" w:eastAsia="Times New Roman" w:hAnsi="Arial" w:cs="Arial"/>
              </w:rPr>
              <w:t xml:space="preserve"> </w:t>
            </w:r>
            <w:r w:rsidRPr="002830AF">
              <w:rPr>
                <w:rFonts w:ascii="Arial" w:eastAsia="Times New Roman" w:hAnsi="Arial" w:cs="Arial"/>
              </w:rPr>
              <w:t>Section 9512[b])</w:t>
            </w:r>
          </w:p>
        </w:tc>
        <w:tc>
          <w:tcPr>
            <w:tcW w:w="2972" w:type="dxa"/>
            <w:hideMark/>
          </w:tcPr>
          <w:p w14:paraId="4D9C8262" w14:textId="45F4A7E4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hAnsi="Arial" w:cs="Arial"/>
                <w:color w:val="000000"/>
                <w:shd w:val="clear" w:color="auto" w:fill="FFFFFF"/>
              </w:rPr>
              <w:t xml:space="preserve">November </w:t>
            </w:r>
            <w:r w:rsidR="00465486" w:rsidRPr="002830AF">
              <w:rPr>
                <w:rFonts w:ascii="Arial" w:hAnsi="Arial" w:cs="Arial"/>
                <w:color w:val="000000"/>
                <w:shd w:val="clear" w:color="auto" w:fill="FFFFFF"/>
              </w:rPr>
              <w:t>20</w:t>
            </w:r>
            <w:r w:rsidRPr="002830AF">
              <w:rPr>
                <w:rFonts w:ascii="Arial" w:hAnsi="Arial" w:cs="Arial"/>
                <w:color w:val="000000"/>
                <w:shd w:val="clear" w:color="auto" w:fill="FFFFFF"/>
              </w:rPr>
              <w:t>–</w:t>
            </w:r>
            <w:r w:rsidR="00465486" w:rsidRPr="002830AF">
              <w:rPr>
                <w:rFonts w:ascii="Arial" w:hAnsi="Arial" w:cs="Arial"/>
                <w:color w:val="000000"/>
                <w:shd w:val="clear" w:color="auto" w:fill="FFFFFF"/>
              </w:rPr>
              <w:t>21</w:t>
            </w:r>
            <w:r w:rsidRPr="002830AF">
              <w:rPr>
                <w:rFonts w:ascii="Arial" w:hAnsi="Arial" w:cs="Arial"/>
                <w:color w:val="000000"/>
                <w:shd w:val="clear" w:color="auto" w:fill="FFFFFF"/>
              </w:rPr>
              <w:t>, 202</w:t>
            </w:r>
            <w:r w:rsidR="00465486" w:rsidRPr="002830AF">
              <w:rPr>
                <w:rFonts w:ascii="Arial" w:hAnsi="Arial" w:cs="Arial"/>
                <w:color w:val="000000"/>
                <w:shd w:val="clear" w:color="auto" w:fill="FFFFFF"/>
              </w:rPr>
              <w:t>4</w:t>
            </w:r>
          </w:p>
        </w:tc>
      </w:tr>
      <w:tr w:rsidR="00AA0ED2" w:rsidRPr="002830AF" w14:paraId="79CB7E91" w14:textId="53E3F1A1" w:rsidTr="00A175F0">
        <w:trPr>
          <w:cantSplit/>
        </w:trPr>
        <w:tc>
          <w:tcPr>
            <w:tcW w:w="6385" w:type="dxa"/>
            <w:hideMark/>
          </w:tcPr>
          <w:p w14:paraId="07221744" w14:textId="3ACB3213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SBE appoints reviewers (5</w:t>
            </w:r>
            <w:r w:rsidR="009B5EAF">
              <w:rPr>
                <w:rFonts w:ascii="Arial" w:eastAsia="Times New Roman" w:hAnsi="Arial" w:cs="Arial"/>
              </w:rPr>
              <w:t xml:space="preserve"> </w:t>
            </w:r>
            <w:r w:rsidRPr="009B5EAF">
              <w:rPr>
                <w:rFonts w:ascii="Arial" w:eastAsia="Times New Roman" w:hAnsi="Arial" w:cs="Arial"/>
                <w:i/>
                <w:iCs/>
              </w:rPr>
              <w:t>CCR</w:t>
            </w:r>
            <w:r w:rsidR="009B5EAF">
              <w:rPr>
                <w:rFonts w:ascii="Arial" w:eastAsia="Times New Roman" w:hAnsi="Arial" w:cs="Arial"/>
              </w:rPr>
              <w:t xml:space="preserve"> </w:t>
            </w:r>
            <w:r w:rsidRPr="002830AF">
              <w:rPr>
                <w:rFonts w:ascii="Arial" w:eastAsia="Times New Roman" w:hAnsi="Arial" w:cs="Arial"/>
              </w:rPr>
              <w:t>Section 9512[a])</w:t>
            </w:r>
          </w:p>
          <w:p w14:paraId="0BC300AA" w14:textId="77777777" w:rsidR="00001D45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 xml:space="preserve">SBE </w:t>
            </w:r>
            <w:r w:rsidR="00766182" w:rsidRPr="002830AF">
              <w:rPr>
                <w:rFonts w:ascii="Arial" w:eastAsia="Times New Roman" w:hAnsi="Arial" w:cs="Arial"/>
              </w:rPr>
              <w:t xml:space="preserve">considers </w:t>
            </w:r>
            <w:r w:rsidRPr="002830AF">
              <w:rPr>
                <w:rFonts w:ascii="Arial" w:eastAsia="Times New Roman" w:hAnsi="Arial" w:cs="Arial"/>
              </w:rPr>
              <w:t xml:space="preserve">small publisher fee </w:t>
            </w:r>
            <w:r w:rsidR="00766182" w:rsidRPr="002830AF">
              <w:rPr>
                <w:rFonts w:ascii="Arial" w:eastAsia="Times New Roman" w:hAnsi="Arial" w:cs="Arial"/>
              </w:rPr>
              <w:t xml:space="preserve">reduction </w:t>
            </w:r>
            <w:r w:rsidRPr="002830AF">
              <w:rPr>
                <w:rFonts w:ascii="Arial" w:eastAsia="Times New Roman" w:hAnsi="Arial" w:cs="Arial"/>
              </w:rPr>
              <w:t>requests</w:t>
            </w:r>
          </w:p>
          <w:p w14:paraId="41E34027" w14:textId="48A56290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(</w:t>
            </w:r>
            <w:r w:rsidRPr="00001D45">
              <w:rPr>
                <w:rFonts w:ascii="Arial" w:eastAsia="Times New Roman" w:hAnsi="Arial" w:cs="Arial"/>
                <w:i/>
                <w:iCs/>
              </w:rPr>
              <w:t>EC</w:t>
            </w:r>
            <w:r w:rsidR="00001D45">
              <w:rPr>
                <w:rFonts w:ascii="Arial" w:eastAsia="Times New Roman" w:hAnsi="Arial" w:cs="Arial"/>
              </w:rPr>
              <w:t xml:space="preserve"> </w:t>
            </w:r>
            <w:r w:rsidRPr="002830AF">
              <w:rPr>
                <w:rFonts w:ascii="Arial" w:eastAsia="Times New Roman" w:hAnsi="Arial" w:cs="Arial"/>
              </w:rPr>
              <w:t>Section 60213[d][1])</w:t>
            </w:r>
          </w:p>
        </w:tc>
        <w:tc>
          <w:tcPr>
            <w:tcW w:w="2972" w:type="dxa"/>
            <w:hideMark/>
          </w:tcPr>
          <w:p w14:paraId="4620F7B4" w14:textId="36A8AC33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January 202</w:t>
            </w:r>
            <w:r w:rsidR="00413458" w:rsidRPr="002830AF">
              <w:rPr>
                <w:rFonts w:ascii="Arial" w:eastAsia="Times New Roman" w:hAnsi="Arial" w:cs="Arial"/>
              </w:rPr>
              <w:t>5</w:t>
            </w:r>
          </w:p>
        </w:tc>
      </w:tr>
      <w:tr w:rsidR="00AA0ED2" w:rsidRPr="002830AF" w14:paraId="0B9B8040" w14:textId="0BE74B95" w:rsidTr="00A175F0">
        <w:trPr>
          <w:cantSplit/>
        </w:trPr>
        <w:tc>
          <w:tcPr>
            <w:tcW w:w="6385" w:type="dxa"/>
            <w:hideMark/>
          </w:tcPr>
          <w:p w14:paraId="0EC37A23" w14:textId="24A335F4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lastRenderedPageBreak/>
              <w:t>Publisher Invitation to Submit meeting (5</w:t>
            </w:r>
            <w:r w:rsidR="00001D45">
              <w:rPr>
                <w:rFonts w:ascii="Arial" w:eastAsia="Times New Roman" w:hAnsi="Arial" w:cs="Arial"/>
              </w:rPr>
              <w:t xml:space="preserve"> </w:t>
            </w:r>
            <w:r w:rsidRPr="00001D45">
              <w:rPr>
                <w:rFonts w:ascii="Arial" w:eastAsia="Times New Roman" w:hAnsi="Arial" w:cs="Arial"/>
                <w:i/>
                <w:iCs/>
              </w:rPr>
              <w:t>CCR</w:t>
            </w:r>
            <w:r w:rsidR="00001D45">
              <w:rPr>
                <w:rFonts w:ascii="Arial" w:eastAsia="Times New Roman" w:hAnsi="Arial" w:cs="Arial"/>
              </w:rPr>
              <w:t xml:space="preserve"> </w:t>
            </w:r>
            <w:r w:rsidRPr="002830AF">
              <w:rPr>
                <w:rFonts w:ascii="Arial" w:eastAsia="Times New Roman" w:hAnsi="Arial" w:cs="Arial"/>
              </w:rPr>
              <w:t>Section 9517)</w:t>
            </w:r>
          </w:p>
        </w:tc>
        <w:tc>
          <w:tcPr>
            <w:tcW w:w="2972" w:type="dxa"/>
            <w:hideMark/>
          </w:tcPr>
          <w:p w14:paraId="7C31551F" w14:textId="259C37FA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January 202</w:t>
            </w:r>
            <w:r w:rsidR="002900E9" w:rsidRPr="002830AF">
              <w:rPr>
                <w:rFonts w:ascii="Arial" w:eastAsia="Times New Roman" w:hAnsi="Arial" w:cs="Arial"/>
              </w:rPr>
              <w:t>5</w:t>
            </w:r>
          </w:p>
        </w:tc>
      </w:tr>
      <w:tr w:rsidR="00AA0ED2" w:rsidRPr="002830AF" w14:paraId="679AD318" w14:textId="3B82AA11" w:rsidTr="00A175F0">
        <w:trPr>
          <w:cantSplit/>
        </w:trPr>
        <w:tc>
          <w:tcPr>
            <w:tcW w:w="6385" w:type="dxa"/>
            <w:hideMark/>
          </w:tcPr>
          <w:p w14:paraId="6793BFA2" w14:textId="1DFBEC28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Publisher intent to submit forms due (5</w:t>
            </w:r>
            <w:r w:rsidR="00001D45">
              <w:rPr>
                <w:rFonts w:ascii="Arial" w:eastAsia="Times New Roman" w:hAnsi="Arial" w:cs="Arial"/>
              </w:rPr>
              <w:t xml:space="preserve"> </w:t>
            </w:r>
            <w:r w:rsidRPr="00001D45">
              <w:rPr>
                <w:rFonts w:ascii="Arial" w:eastAsia="Times New Roman" w:hAnsi="Arial" w:cs="Arial"/>
                <w:i/>
                <w:iCs/>
              </w:rPr>
              <w:t>CCR</w:t>
            </w:r>
            <w:r w:rsidR="00001D45">
              <w:rPr>
                <w:rFonts w:ascii="Arial" w:eastAsia="Times New Roman" w:hAnsi="Arial" w:cs="Arial"/>
              </w:rPr>
              <w:t xml:space="preserve"> </w:t>
            </w:r>
            <w:r w:rsidRPr="002830AF">
              <w:rPr>
                <w:rFonts w:ascii="Arial" w:eastAsia="Times New Roman" w:hAnsi="Arial" w:cs="Arial"/>
              </w:rPr>
              <w:t>Section 9517.3[a][3])</w:t>
            </w:r>
          </w:p>
        </w:tc>
        <w:tc>
          <w:tcPr>
            <w:tcW w:w="2972" w:type="dxa"/>
            <w:hideMark/>
          </w:tcPr>
          <w:p w14:paraId="2A2BA662" w14:textId="3EDC1A9A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 xml:space="preserve">February </w:t>
            </w:r>
            <w:r w:rsidR="00170C75" w:rsidRPr="002830AF">
              <w:rPr>
                <w:rFonts w:ascii="Arial" w:eastAsia="Times New Roman" w:hAnsi="Arial" w:cs="Arial"/>
              </w:rPr>
              <w:t>4</w:t>
            </w:r>
            <w:r w:rsidRPr="002830AF">
              <w:rPr>
                <w:rFonts w:ascii="Arial" w:eastAsia="Times New Roman" w:hAnsi="Arial" w:cs="Arial"/>
              </w:rPr>
              <w:t>, 202</w:t>
            </w:r>
            <w:r w:rsidR="002900E9" w:rsidRPr="002830AF">
              <w:rPr>
                <w:rFonts w:ascii="Arial" w:eastAsia="Times New Roman" w:hAnsi="Arial" w:cs="Arial"/>
              </w:rPr>
              <w:t>5</w:t>
            </w:r>
          </w:p>
        </w:tc>
      </w:tr>
      <w:tr w:rsidR="00AA0ED2" w:rsidRPr="002830AF" w14:paraId="556817DC" w14:textId="51615032" w:rsidTr="00A175F0">
        <w:trPr>
          <w:cantSplit/>
        </w:trPr>
        <w:tc>
          <w:tcPr>
            <w:tcW w:w="6385" w:type="dxa"/>
            <w:hideMark/>
          </w:tcPr>
          <w:p w14:paraId="1D9EE9E3" w14:textId="08FCBFD1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Publisher submission forms due (5</w:t>
            </w:r>
            <w:r w:rsidR="000200C9">
              <w:rPr>
                <w:rFonts w:ascii="Arial" w:eastAsia="Times New Roman" w:hAnsi="Arial" w:cs="Arial"/>
              </w:rPr>
              <w:t xml:space="preserve"> </w:t>
            </w:r>
            <w:r w:rsidRPr="000200C9">
              <w:rPr>
                <w:rFonts w:ascii="Arial" w:eastAsia="Times New Roman" w:hAnsi="Arial" w:cs="Arial"/>
                <w:i/>
                <w:iCs/>
              </w:rPr>
              <w:t>CCR</w:t>
            </w:r>
            <w:r w:rsidR="000200C9">
              <w:rPr>
                <w:rFonts w:ascii="Arial" w:eastAsia="Times New Roman" w:hAnsi="Arial" w:cs="Arial"/>
              </w:rPr>
              <w:t xml:space="preserve"> </w:t>
            </w:r>
            <w:r w:rsidRPr="002830AF">
              <w:rPr>
                <w:rFonts w:ascii="Arial" w:eastAsia="Times New Roman" w:hAnsi="Arial" w:cs="Arial"/>
              </w:rPr>
              <w:t>Section 9517[c])</w:t>
            </w:r>
          </w:p>
        </w:tc>
        <w:tc>
          <w:tcPr>
            <w:tcW w:w="2972" w:type="dxa"/>
            <w:hideMark/>
          </w:tcPr>
          <w:p w14:paraId="747F5EE3" w14:textId="7D6BB837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 xml:space="preserve">March </w:t>
            </w:r>
            <w:r w:rsidR="00196A9D" w:rsidRPr="002830AF">
              <w:rPr>
                <w:rFonts w:ascii="Arial" w:eastAsia="Times New Roman" w:hAnsi="Arial" w:cs="Arial"/>
              </w:rPr>
              <w:t>12</w:t>
            </w:r>
            <w:r w:rsidRPr="002830AF">
              <w:rPr>
                <w:rFonts w:ascii="Arial" w:eastAsia="Times New Roman" w:hAnsi="Arial" w:cs="Arial"/>
              </w:rPr>
              <w:t>, 202</w:t>
            </w:r>
            <w:r w:rsidR="002900E9" w:rsidRPr="002830AF">
              <w:rPr>
                <w:rFonts w:ascii="Arial" w:eastAsia="Times New Roman" w:hAnsi="Arial" w:cs="Arial"/>
              </w:rPr>
              <w:t>5</w:t>
            </w:r>
          </w:p>
        </w:tc>
      </w:tr>
      <w:tr w:rsidR="00AA0ED2" w:rsidRPr="002830AF" w14:paraId="3C315068" w14:textId="6F947C30" w:rsidTr="00A175F0">
        <w:trPr>
          <w:cantSplit/>
        </w:trPr>
        <w:tc>
          <w:tcPr>
            <w:tcW w:w="6385" w:type="dxa"/>
            <w:hideMark/>
          </w:tcPr>
          <w:p w14:paraId="5569C470" w14:textId="17932476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Publisher fees due (</w:t>
            </w:r>
            <w:r w:rsidRPr="000200C9">
              <w:rPr>
                <w:rFonts w:ascii="Arial" w:eastAsia="Times New Roman" w:hAnsi="Arial" w:cs="Arial"/>
                <w:i/>
                <w:iCs/>
              </w:rPr>
              <w:t>EC</w:t>
            </w:r>
            <w:r w:rsidR="000200C9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r w:rsidRPr="002830AF">
              <w:rPr>
                <w:rFonts w:ascii="Arial" w:eastAsia="Times New Roman" w:hAnsi="Arial" w:cs="Arial"/>
              </w:rPr>
              <w:t>Section 60213)</w:t>
            </w:r>
          </w:p>
        </w:tc>
        <w:tc>
          <w:tcPr>
            <w:tcW w:w="2972" w:type="dxa"/>
            <w:hideMark/>
          </w:tcPr>
          <w:p w14:paraId="55A1D33B" w14:textId="0DCBD5ED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 xml:space="preserve">April </w:t>
            </w:r>
            <w:r w:rsidR="00170C75" w:rsidRPr="002830AF">
              <w:rPr>
                <w:rFonts w:ascii="Arial" w:eastAsia="Times New Roman" w:hAnsi="Arial" w:cs="Arial"/>
              </w:rPr>
              <w:t>9</w:t>
            </w:r>
            <w:r w:rsidRPr="002830AF">
              <w:rPr>
                <w:rFonts w:ascii="Arial" w:eastAsia="Times New Roman" w:hAnsi="Arial" w:cs="Arial"/>
              </w:rPr>
              <w:t>, 202</w:t>
            </w:r>
            <w:r w:rsidR="006A6690" w:rsidRPr="002830AF">
              <w:rPr>
                <w:rFonts w:ascii="Arial" w:eastAsia="Times New Roman" w:hAnsi="Arial" w:cs="Arial"/>
              </w:rPr>
              <w:t>5</w:t>
            </w:r>
          </w:p>
        </w:tc>
      </w:tr>
      <w:tr w:rsidR="00AA0ED2" w:rsidRPr="002830AF" w14:paraId="2BE0A876" w14:textId="2A795169" w:rsidTr="00A175F0">
        <w:trPr>
          <w:cantSplit/>
        </w:trPr>
        <w:tc>
          <w:tcPr>
            <w:tcW w:w="6385" w:type="dxa"/>
            <w:hideMark/>
          </w:tcPr>
          <w:p w14:paraId="66F1956E" w14:textId="673C1AED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Reviewer training week (5</w:t>
            </w:r>
            <w:r w:rsidR="000200C9">
              <w:rPr>
                <w:rFonts w:ascii="Arial" w:eastAsia="Times New Roman" w:hAnsi="Arial" w:cs="Arial"/>
              </w:rPr>
              <w:t xml:space="preserve"> </w:t>
            </w:r>
            <w:r w:rsidRPr="000200C9">
              <w:rPr>
                <w:rFonts w:ascii="Arial" w:eastAsia="Times New Roman" w:hAnsi="Arial" w:cs="Arial"/>
                <w:i/>
                <w:iCs/>
              </w:rPr>
              <w:t>CCR</w:t>
            </w:r>
            <w:r w:rsidR="000200C9">
              <w:rPr>
                <w:rFonts w:ascii="Arial" w:eastAsia="Times New Roman" w:hAnsi="Arial" w:cs="Arial"/>
              </w:rPr>
              <w:t xml:space="preserve"> </w:t>
            </w:r>
            <w:r w:rsidRPr="002830AF">
              <w:rPr>
                <w:rFonts w:ascii="Arial" w:eastAsia="Times New Roman" w:hAnsi="Arial" w:cs="Arial"/>
              </w:rPr>
              <w:t>Section 9512[h])</w:t>
            </w:r>
          </w:p>
        </w:tc>
        <w:tc>
          <w:tcPr>
            <w:tcW w:w="2972" w:type="dxa"/>
            <w:hideMark/>
          </w:tcPr>
          <w:p w14:paraId="5CFE8928" w14:textId="44053A8F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 xml:space="preserve">April </w:t>
            </w:r>
            <w:r w:rsidR="00F845DC" w:rsidRPr="002830AF">
              <w:rPr>
                <w:rFonts w:ascii="Arial" w:eastAsia="Times New Roman" w:hAnsi="Arial" w:cs="Arial"/>
              </w:rPr>
              <w:t>14–18</w:t>
            </w:r>
            <w:r w:rsidRPr="002830AF">
              <w:rPr>
                <w:rFonts w:ascii="Arial" w:eastAsia="Times New Roman" w:hAnsi="Arial" w:cs="Arial"/>
              </w:rPr>
              <w:t>, 202</w:t>
            </w:r>
            <w:r w:rsidR="00B10425" w:rsidRPr="002830AF">
              <w:rPr>
                <w:rFonts w:ascii="Arial" w:eastAsia="Times New Roman" w:hAnsi="Arial" w:cs="Arial"/>
              </w:rPr>
              <w:t>5</w:t>
            </w:r>
          </w:p>
        </w:tc>
      </w:tr>
      <w:tr w:rsidR="00AA0ED2" w:rsidRPr="002830AF" w14:paraId="3DEDE477" w14:textId="2392E252" w:rsidTr="00A175F0">
        <w:trPr>
          <w:cantSplit/>
        </w:trPr>
        <w:tc>
          <w:tcPr>
            <w:tcW w:w="6385" w:type="dxa"/>
            <w:hideMark/>
          </w:tcPr>
          <w:p w14:paraId="64AB840B" w14:textId="57F56FEA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 xml:space="preserve">Publisher complete instructional programs due </w:t>
            </w:r>
            <w:r w:rsidR="0088609C" w:rsidRPr="002830AF">
              <w:rPr>
                <w:rFonts w:ascii="Arial" w:eastAsia="Times New Roman" w:hAnsi="Arial" w:cs="Arial"/>
              </w:rPr>
              <w:br/>
            </w:r>
            <w:r w:rsidRPr="002830AF">
              <w:rPr>
                <w:rFonts w:ascii="Arial" w:eastAsia="Times New Roman" w:hAnsi="Arial" w:cs="Arial"/>
              </w:rPr>
              <w:t>(5</w:t>
            </w:r>
            <w:r w:rsidR="000200C9">
              <w:rPr>
                <w:rFonts w:ascii="Arial" w:eastAsia="Times New Roman" w:hAnsi="Arial" w:cs="Arial"/>
              </w:rPr>
              <w:t xml:space="preserve"> </w:t>
            </w:r>
            <w:r w:rsidRPr="000200C9">
              <w:rPr>
                <w:rFonts w:ascii="Arial" w:eastAsia="Times New Roman" w:hAnsi="Arial" w:cs="Arial"/>
                <w:i/>
                <w:iCs/>
              </w:rPr>
              <w:t>CCR</w:t>
            </w:r>
            <w:r w:rsidR="000200C9">
              <w:rPr>
                <w:rFonts w:ascii="Arial" w:eastAsia="Times New Roman" w:hAnsi="Arial" w:cs="Arial"/>
              </w:rPr>
              <w:t xml:space="preserve"> </w:t>
            </w:r>
            <w:r w:rsidRPr="002830AF">
              <w:rPr>
                <w:rFonts w:ascii="Arial" w:eastAsia="Times New Roman" w:hAnsi="Arial" w:cs="Arial"/>
              </w:rPr>
              <w:t>Section 9517[e])</w:t>
            </w:r>
          </w:p>
        </w:tc>
        <w:tc>
          <w:tcPr>
            <w:tcW w:w="2972" w:type="dxa"/>
            <w:hideMark/>
          </w:tcPr>
          <w:p w14:paraId="22F57749" w14:textId="7CD433C0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 xml:space="preserve">May </w:t>
            </w:r>
            <w:r w:rsidR="00FE02A3" w:rsidRPr="002830AF">
              <w:rPr>
                <w:rFonts w:ascii="Arial" w:eastAsia="Times New Roman" w:hAnsi="Arial" w:cs="Arial"/>
              </w:rPr>
              <w:t>7</w:t>
            </w:r>
            <w:r w:rsidRPr="002830AF">
              <w:rPr>
                <w:rFonts w:ascii="Arial" w:eastAsia="Times New Roman" w:hAnsi="Arial" w:cs="Arial"/>
              </w:rPr>
              <w:t>, 202</w:t>
            </w:r>
            <w:r w:rsidR="00B10425" w:rsidRPr="002830AF">
              <w:rPr>
                <w:rFonts w:ascii="Arial" w:eastAsia="Times New Roman" w:hAnsi="Arial" w:cs="Arial"/>
              </w:rPr>
              <w:t>5</w:t>
            </w:r>
          </w:p>
        </w:tc>
      </w:tr>
      <w:tr w:rsidR="00710B22" w:rsidRPr="002830AF" w14:paraId="67E3FCA6" w14:textId="77777777" w:rsidTr="00A175F0">
        <w:trPr>
          <w:cantSplit/>
        </w:trPr>
        <w:tc>
          <w:tcPr>
            <w:tcW w:w="6385" w:type="dxa"/>
            <w:hideMark/>
          </w:tcPr>
          <w:p w14:paraId="6CD618A2" w14:textId="60AAA3A5" w:rsidR="00710B22" w:rsidRPr="002830AF" w:rsidRDefault="00710B2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Reviewer deliberations week one; review panels make program adoption recommendations (5</w:t>
            </w:r>
            <w:r w:rsidR="000200C9">
              <w:rPr>
                <w:rFonts w:ascii="Arial" w:eastAsia="Times New Roman" w:hAnsi="Arial" w:cs="Arial"/>
              </w:rPr>
              <w:t xml:space="preserve"> </w:t>
            </w:r>
            <w:r w:rsidRPr="000200C9">
              <w:rPr>
                <w:rFonts w:ascii="Arial" w:eastAsia="Times New Roman" w:hAnsi="Arial" w:cs="Arial"/>
                <w:i/>
                <w:iCs/>
              </w:rPr>
              <w:t>CCR</w:t>
            </w:r>
            <w:r w:rsidR="000200C9">
              <w:rPr>
                <w:rFonts w:ascii="Arial" w:eastAsia="Times New Roman" w:hAnsi="Arial" w:cs="Arial"/>
              </w:rPr>
              <w:t xml:space="preserve"> </w:t>
            </w:r>
            <w:r w:rsidRPr="002830AF">
              <w:rPr>
                <w:rFonts w:ascii="Arial" w:eastAsia="Times New Roman" w:hAnsi="Arial" w:cs="Arial"/>
              </w:rPr>
              <w:t>Section 9519[i])</w:t>
            </w:r>
          </w:p>
        </w:tc>
        <w:tc>
          <w:tcPr>
            <w:tcW w:w="2972" w:type="dxa"/>
            <w:hideMark/>
          </w:tcPr>
          <w:p w14:paraId="6C7BE3ED" w14:textId="048DE1D4" w:rsidR="00710B22" w:rsidRPr="002830AF" w:rsidRDefault="002801BF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July 21–25, 2025</w:t>
            </w:r>
          </w:p>
        </w:tc>
      </w:tr>
      <w:tr w:rsidR="00AA0ED2" w:rsidRPr="002830AF" w14:paraId="12F9AD63" w14:textId="6F925A86" w:rsidTr="00A175F0">
        <w:trPr>
          <w:cantSplit/>
        </w:trPr>
        <w:tc>
          <w:tcPr>
            <w:tcW w:w="6385" w:type="dxa"/>
            <w:hideMark/>
          </w:tcPr>
          <w:p w14:paraId="6A6284DE" w14:textId="5D3A890B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Reviewer deliberations week</w:t>
            </w:r>
            <w:r w:rsidR="00710B22" w:rsidRPr="002830AF">
              <w:rPr>
                <w:rFonts w:ascii="Arial" w:eastAsia="Times New Roman" w:hAnsi="Arial" w:cs="Arial"/>
              </w:rPr>
              <w:t xml:space="preserve"> two</w:t>
            </w:r>
            <w:r w:rsidRPr="002830AF">
              <w:rPr>
                <w:rFonts w:ascii="Arial" w:eastAsia="Times New Roman" w:hAnsi="Arial" w:cs="Arial"/>
              </w:rPr>
              <w:t xml:space="preserve">; review panels make program adoption recommendations </w:t>
            </w:r>
            <w:r w:rsidR="0088609C" w:rsidRPr="002830AF">
              <w:rPr>
                <w:rFonts w:ascii="Arial" w:eastAsia="Times New Roman" w:hAnsi="Arial" w:cs="Arial"/>
              </w:rPr>
              <w:br/>
            </w:r>
            <w:r w:rsidRPr="002830AF">
              <w:rPr>
                <w:rFonts w:ascii="Arial" w:eastAsia="Times New Roman" w:hAnsi="Arial" w:cs="Arial"/>
              </w:rPr>
              <w:t>(5</w:t>
            </w:r>
            <w:r w:rsidR="000200C9">
              <w:rPr>
                <w:rFonts w:ascii="Arial" w:eastAsia="Times New Roman" w:hAnsi="Arial" w:cs="Arial"/>
              </w:rPr>
              <w:t xml:space="preserve"> </w:t>
            </w:r>
            <w:r w:rsidRPr="000200C9">
              <w:rPr>
                <w:rFonts w:ascii="Arial" w:eastAsia="Times New Roman" w:hAnsi="Arial" w:cs="Arial"/>
                <w:i/>
                <w:iCs/>
              </w:rPr>
              <w:t>CCR</w:t>
            </w:r>
            <w:r w:rsidR="000200C9">
              <w:rPr>
                <w:rFonts w:ascii="Arial" w:eastAsia="Times New Roman" w:hAnsi="Arial" w:cs="Arial"/>
              </w:rPr>
              <w:t xml:space="preserve"> </w:t>
            </w:r>
            <w:r w:rsidRPr="002830AF">
              <w:rPr>
                <w:rFonts w:ascii="Arial" w:eastAsia="Times New Roman" w:hAnsi="Arial" w:cs="Arial"/>
              </w:rPr>
              <w:t>Section 9519[i])</w:t>
            </w:r>
          </w:p>
        </w:tc>
        <w:tc>
          <w:tcPr>
            <w:tcW w:w="2972" w:type="dxa"/>
            <w:hideMark/>
          </w:tcPr>
          <w:p w14:paraId="6090181B" w14:textId="30FC7BEF" w:rsidR="00AA0ED2" w:rsidRPr="002830AF" w:rsidRDefault="002801BF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July 28–August 1, 2025</w:t>
            </w:r>
          </w:p>
        </w:tc>
      </w:tr>
      <w:tr w:rsidR="00AA0ED2" w:rsidRPr="002830AF" w14:paraId="24A2CA6D" w14:textId="6BE748C2" w:rsidTr="00A175F0">
        <w:trPr>
          <w:cantSplit/>
        </w:trPr>
        <w:tc>
          <w:tcPr>
            <w:tcW w:w="6385" w:type="dxa"/>
            <w:hideMark/>
          </w:tcPr>
          <w:p w14:paraId="0F7D5FD2" w14:textId="35693FD1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 xml:space="preserve">IQC holds public meeting to receive comment </w:t>
            </w:r>
            <w:r w:rsidR="0088609C" w:rsidRPr="002830AF">
              <w:rPr>
                <w:rFonts w:ascii="Arial" w:eastAsia="Times New Roman" w:hAnsi="Arial" w:cs="Arial"/>
              </w:rPr>
              <w:br/>
            </w:r>
            <w:r w:rsidRPr="002830AF">
              <w:rPr>
                <w:rFonts w:ascii="Arial" w:eastAsia="Times New Roman" w:hAnsi="Arial" w:cs="Arial"/>
              </w:rPr>
              <w:t>(5</w:t>
            </w:r>
            <w:r w:rsidR="000200C9">
              <w:rPr>
                <w:rFonts w:ascii="Arial" w:eastAsia="Times New Roman" w:hAnsi="Arial" w:cs="Arial"/>
              </w:rPr>
              <w:t xml:space="preserve"> </w:t>
            </w:r>
            <w:r w:rsidRPr="000200C9">
              <w:rPr>
                <w:rFonts w:ascii="Arial" w:eastAsia="Times New Roman" w:hAnsi="Arial" w:cs="Arial"/>
                <w:i/>
                <w:iCs/>
              </w:rPr>
              <w:t>CCR</w:t>
            </w:r>
            <w:r w:rsidR="000200C9">
              <w:rPr>
                <w:rFonts w:ascii="Arial" w:eastAsia="Times New Roman" w:hAnsi="Arial" w:cs="Arial"/>
              </w:rPr>
              <w:t xml:space="preserve"> </w:t>
            </w:r>
            <w:r w:rsidRPr="002830AF">
              <w:rPr>
                <w:rFonts w:ascii="Arial" w:eastAsia="Times New Roman" w:hAnsi="Arial" w:cs="Arial"/>
              </w:rPr>
              <w:t>Section 9524[a][1])</w:t>
            </w:r>
          </w:p>
        </w:tc>
        <w:tc>
          <w:tcPr>
            <w:tcW w:w="2972" w:type="dxa"/>
            <w:hideMark/>
          </w:tcPr>
          <w:p w14:paraId="57D1BF3F" w14:textId="0CB2FDFE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August 202</w:t>
            </w:r>
            <w:r w:rsidR="00B10425" w:rsidRPr="002830AF">
              <w:rPr>
                <w:rFonts w:ascii="Arial" w:eastAsia="Times New Roman" w:hAnsi="Arial" w:cs="Arial"/>
              </w:rPr>
              <w:t>5</w:t>
            </w:r>
          </w:p>
        </w:tc>
      </w:tr>
      <w:tr w:rsidR="00AA0ED2" w:rsidRPr="002830AF" w14:paraId="7C8DEDE4" w14:textId="675208DE" w:rsidTr="00A175F0">
        <w:trPr>
          <w:cantSplit/>
        </w:trPr>
        <w:tc>
          <w:tcPr>
            <w:tcW w:w="6385" w:type="dxa"/>
            <w:hideMark/>
          </w:tcPr>
          <w:p w14:paraId="143C78B7" w14:textId="56F22B20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 xml:space="preserve">IQC makes program adoption recommendations </w:t>
            </w:r>
            <w:r w:rsidR="0088609C" w:rsidRPr="002830AF">
              <w:rPr>
                <w:rFonts w:ascii="Arial" w:eastAsia="Times New Roman" w:hAnsi="Arial" w:cs="Arial"/>
              </w:rPr>
              <w:br/>
            </w:r>
            <w:r w:rsidRPr="002830AF">
              <w:rPr>
                <w:rFonts w:ascii="Arial" w:eastAsia="Times New Roman" w:hAnsi="Arial" w:cs="Arial"/>
              </w:rPr>
              <w:t>(5</w:t>
            </w:r>
            <w:r w:rsidR="000200C9">
              <w:rPr>
                <w:rFonts w:ascii="Arial" w:eastAsia="Times New Roman" w:hAnsi="Arial" w:cs="Arial"/>
              </w:rPr>
              <w:t xml:space="preserve"> </w:t>
            </w:r>
            <w:r w:rsidRPr="000200C9">
              <w:rPr>
                <w:rFonts w:ascii="Arial" w:eastAsia="Times New Roman" w:hAnsi="Arial" w:cs="Arial"/>
                <w:i/>
                <w:iCs/>
              </w:rPr>
              <w:t>CCR</w:t>
            </w:r>
            <w:r w:rsidR="000200C9">
              <w:rPr>
                <w:rFonts w:ascii="Arial" w:eastAsia="Times New Roman" w:hAnsi="Arial" w:cs="Arial"/>
              </w:rPr>
              <w:t xml:space="preserve"> </w:t>
            </w:r>
            <w:r w:rsidRPr="002830AF">
              <w:rPr>
                <w:rFonts w:ascii="Arial" w:eastAsia="Times New Roman" w:hAnsi="Arial" w:cs="Arial"/>
              </w:rPr>
              <w:t>Section 9524[a][5])</w:t>
            </w:r>
          </w:p>
        </w:tc>
        <w:tc>
          <w:tcPr>
            <w:tcW w:w="2972" w:type="dxa"/>
            <w:hideMark/>
          </w:tcPr>
          <w:p w14:paraId="6EEFB209" w14:textId="55D9BC41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hAnsi="Arial" w:cs="Arial"/>
                <w:color w:val="000000"/>
                <w:shd w:val="clear" w:color="auto" w:fill="FFFFFF"/>
              </w:rPr>
              <w:t>September 202</w:t>
            </w:r>
            <w:r w:rsidR="00B10425" w:rsidRPr="002830AF"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</w:p>
        </w:tc>
      </w:tr>
      <w:tr w:rsidR="00AA0ED2" w:rsidRPr="002830AF" w14:paraId="73EE232C" w14:textId="6D5E9E1B" w:rsidTr="00A175F0">
        <w:trPr>
          <w:cantSplit/>
        </w:trPr>
        <w:tc>
          <w:tcPr>
            <w:tcW w:w="6385" w:type="dxa"/>
            <w:hideMark/>
          </w:tcPr>
          <w:p w14:paraId="6BEC2FF3" w14:textId="77777777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SBE holds public meeting to receive comment</w:t>
            </w:r>
          </w:p>
          <w:p w14:paraId="5EF85B50" w14:textId="30D18773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 xml:space="preserve">SBE </w:t>
            </w:r>
            <w:proofErr w:type="gramStart"/>
            <w:r w:rsidRPr="002830AF">
              <w:rPr>
                <w:rFonts w:ascii="Arial" w:eastAsia="Times New Roman" w:hAnsi="Arial" w:cs="Arial"/>
              </w:rPr>
              <w:t>takes action</w:t>
            </w:r>
            <w:proofErr w:type="gramEnd"/>
            <w:r w:rsidRPr="002830AF">
              <w:rPr>
                <w:rFonts w:ascii="Arial" w:eastAsia="Times New Roman" w:hAnsi="Arial" w:cs="Arial"/>
              </w:rPr>
              <w:t xml:space="preserve"> on program recommendations </w:t>
            </w:r>
            <w:r w:rsidRPr="002830AF">
              <w:rPr>
                <w:rFonts w:ascii="Arial" w:hAnsi="Arial" w:cs="Arial"/>
              </w:rPr>
              <w:br/>
            </w:r>
            <w:r w:rsidRPr="002830AF">
              <w:rPr>
                <w:rFonts w:ascii="Arial" w:eastAsia="Times New Roman" w:hAnsi="Arial" w:cs="Arial"/>
              </w:rPr>
              <w:t>(</w:t>
            </w:r>
            <w:r w:rsidRPr="000200C9">
              <w:rPr>
                <w:rFonts w:ascii="Arial" w:eastAsia="Times New Roman" w:hAnsi="Arial" w:cs="Arial"/>
                <w:i/>
                <w:iCs/>
              </w:rPr>
              <w:t>EC</w:t>
            </w:r>
            <w:r w:rsidR="000200C9">
              <w:rPr>
                <w:rFonts w:ascii="Arial" w:eastAsia="Times New Roman" w:hAnsi="Arial" w:cs="Arial"/>
              </w:rPr>
              <w:t xml:space="preserve"> </w:t>
            </w:r>
            <w:r w:rsidRPr="002830AF">
              <w:rPr>
                <w:rFonts w:ascii="Arial" w:eastAsia="Times New Roman" w:hAnsi="Arial" w:cs="Arial"/>
              </w:rPr>
              <w:t>Section 60200)</w:t>
            </w:r>
          </w:p>
        </w:tc>
        <w:tc>
          <w:tcPr>
            <w:tcW w:w="2972" w:type="dxa"/>
            <w:hideMark/>
          </w:tcPr>
          <w:p w14:paraId="78D3E466" w14:textId="49B40BE2" w:rsidR="00AA0ED2" w:rsidRPr="002830AF" w:rsidRDefault="00AA0ED2" w:rsidP="000200C9">
            <w:pPr>
              <w:spacing w:beforeLines="60" w:before="144" w:afterLines="60" w:after="144"/>
              <w:rPr>
                <w:rFonts w:ascii="Arial" w:eastAsia="Times New Roman" w:hAnsi="Arial" w:cs="Arial"/>
              </w:rPr>
            </w:pPr>
            <w:r w:rsidRPr="002830AF">
              <w:rPr>
                <w:rFonts w:ascii="Arial" w:eastAsia="Times New Roman" w:hAnsi="Arial" w:cs="Arial"/>
              </w:rPr>
              <w:t>November 202</w:t>
            </w:r>
            <w:r w:rsidR="00B10425" w:rsidRPr="002830AF">
              <w:rPr>
                <w:rFonts w:ascii="Arial" w:eastAsia="Times New Roman" w:hAnsi="Arial" w:cs="Arial"/>
              </w:rPr>
              <w:t>5</w:t>
            </w:r>
          </w:p>
        </w:tc>
      </w:tr>
    </w:tbl>
    <w:p w14:paraId="11C85496" w14:textId="540E70B0" w:rsidR="00AC56DB" w:rsidRPr="00B10425" w:rsidRDefault="00AC56DB" w:rsidP="0080019B">
      <w:pPr>
        <w:shd w:val="clear" w:color="auto" w:fill="FFFFFF"/>
        <w:spacing w:before="240" w:after="720"/>
        <w:rPr>
          <w:rFonts w:ascii="Arial" w:eastAsia="Times New Roman" w:hAnsi="Arial" w:cs="Arial"/>
          <w:color w:val="000000"/>
        </w:rPr>
      </w:pPr>
      <w:r w:rsidRPr="00B10425">
        <w:rPr>
          <w:rFonts w:ascii="Arial" w:eastAsia="Times New Roman" w:hAnsi="Arial" w:cs="Arial"/>
          <w:color w:val="000000"/>
        </w:rPr>
        <w:t xml:space="preserve">This timeline is subject to change. The State Board of Education will </w:t>
      </w:r>
      <w:proofErr w:type="gramStart"/>
      <w:r w:rsidRPr="00B10425">
        <w:rPr>
          <w:rFonts w:ascii="Arial" w:eastAsia="Times New Roman" w:hAnsi="Arial" w:cs="Arial"/>
          <w:color w:val="000000"/>
        </w:rPr>
        <w:t>take action</w:t>
      </w:r>
      <w:proofErr w:type="gramEnd"/>
      <w:r w:rsidRPr="00B10425">
        <w:rPr>
          <w:rFonts w:ascii="Arial" w:eastAsia="Times New Roman" w:hAnsi="Arial" w:cs="Arial"/>
          <w:color w:val="000000"/>
        </w:rPr>
        <w:t xml:space="preserve"> on changes to the approved timeline </w:t>
      </w:r>
      <w:r w:rsidR="0005698C">
        <w:rPr>
          <w:rFonts w:ascii="Arial" w:eastAsia="Times New Roman" w:hAnsi="Arial" w:cs="Arial"/>
          <w:color w:val="000000"/>
        </w:rPr>
        <w:t xml:space="preserve">only </w:t>
      </w:r>
      <w:r w:rsidRPr="00B10425">
        <w:rPr>
          <w:rFonts w:ascii="Arial" w:eastAsia="Times New Roman" w:hAnsi="Arial" w:cs="Arial"/>
          <w:color w:val="000000"/>
        </w:rPr>
        <w:t>if they affect Instructional Quality Commission or State Board of Education action dates.</w:t>
      </w:r>
    </w:p>
    <w:p w14:paraId="08ECEA03" w14:textId="34D6FCB5" w:rsidR="00927A97" w:rsidRPr="002830AF" w:rsidRDefault="002830AF">
      <w:pPr>
        <w:rPr>
          <w:rFonts w:ascii="Arial" w:hAnsi="Arial" w:cs="Arial"/>
        </w:rPr>
      </w:pPr>
      <w:r>
        <w:rPr>
          <w:rFonts w:ascii="Arial" w:hAnsi="Arial" w:cs="Arial"/>
        </w:rPr>
        <w:t>California Department of Education, November 2023</w:t>
      </w:r>
    </w:p>
    <w:sectPr w:rsidR="00927A97" w:rsidRPr="002830AF" w:rsidSect="007B2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56222" w14:textId="77777777" w:rsidR="00160C4E" w:rsidRDefault="00160C4E" w:rsidP="004E3B35">
      <w:r>
        <w:separator/>
      </w:r>
    </w:p>
  </w:endnote>
  <w:endnote w:type="continuationSeparator" w:id="0">
    <w:p w14:paraId="42135649" w14:textId="77777777" w:rsidR="00160C4E" w:rsidRDefault="00160C4E" w:rsidP="004E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3B278" w14:textId="77777777" w:rsidR="00160C4E" w:rsidRDefault="00160C4E" w:rsidP="004E3B35">
      <w:r>
        <w:separator/>
      </w:r>
    </w:p>
  </w:footnote>
  <w:footnote w:type="continuationSeparator" w:id="0">
    <w:p w14:paraId="508A74BE" w14:textId="77777777" w:rsidR="00160C4E" w:rsidRDefault="00160C4E" w:rsidP="004E3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C4C97"/>
    <w:multiLevelType w:val="hybridMultilevel"/>
    <w:tmpl w:val="0A6E7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E6C12"/>
    <w:multiLevelType w:val="hybridMultilevel"/>
    <w:tmpl w:val="85C07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0326E"/>
    <w:multiLevelType w:val="multilevel"/>
    <w:tmpl w:val="BA50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831429">
    <w:abstractNumId w:val="0"/>
  </w:num>
  <w:num w:numId="2" w16cid:durableId="218782679">
    <w:abstractNumId w:val="1"/>
  </w:num>
  <w:num w:numId="3" w16cid:durableId="1117943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DB"/>
    <w:rsid w:val="00001D45"/>
    <w:rsid w:val="000023B8"/>
    <w:rsid w:val="000200C9"/>
    <w:rsid w:val="000362A7"/>
    <w:rsid w:val="00044FD9"/>
    <w:rsid w:val="0005698C"/>
    <w:rsid w:val="00065186"/>
    <w:rsid w:val="00083B54"/>
    <w:rsid w:val="000A7804"/>
    <w:rsid w:val="000C7231"/>
    <w:rsid w:val="000F365C"/>
    <w:rsid w:val="00142A6D"/>
    <w:rsid w:val="00160C4E"/>
    <w:rsid w:val="00164DC6"/>
    <w:rsid w:val="00170C75"/>
    <w:rsid w:val="00196A9D"/>
    <w:rsid w:val="002801BF"/>
    <w:rsid w:val="002830AF"/>
    <w:rsid w:val="002900E9"/>
    <w:rsid w:val="003010DD"/>
    <w:rsid w:val="00310762"/>
    <w:rsid w:val="00315F3C"/>
    <w:rsid w:val="003558C7"/>
    <w:rsid w:val="0036472B"/>
    <w:rsid w:val="00383AB6"/>
    <w:rsid w:val="003A4E14"/>
    <w:rsid w:val="003E42CB"/>
    <w:rsid w:val="00413458"/>
    <w:rsid w:val="00462821"/>
    <w:rsid w:val="00465486"/>
    <w:rsid w:val="0047650C"/>
    <w:rsid w:val="004777ED"/>
    <w:rsid w:val="004934CD"/>
    <w:rsid w:val="004E3B35"/>
    <w:rsid w:val="005522C3"/>
    <w:rsid w:val="00560284"/>
    <w:rsid w:val="005D63C5"/>
    <w:rsid w:val="006302B7"/>
    <w:rsid w:val="006856A6"/>
    <w:rsid w:val="006A2F05"/>
    <w:rsid w:val="006A3296"/>
    <w:rsid w:val="006A6690"/>
    <w:rsid w:val="006C1757"/>
    <w:rsid w:val="006E3250"/>
    <w:rsid w:val="00710B22"/>
    <w:rsid w:val="00766182"/>
    <w:rsid w:val="00790494"/>
    <w:rsid w:val="007B282E"/>
    <w:rsid w:val="0080019B"/>
    <w:rsid w:val="0080239C"/>
    <w:rsid w:val="00824791"/>
    <w:rsid w:val="0083191D"/>
    <w:rsid w:val="0088609C"/>
    <w:rsid w:val="00892442"/>
    <w:rsid w:val="008F2448"/>
    <w:rsid w:val="00904971"/>
    <w:rsid w:val="0091629A"/>
    <w:rsid w:val="00927A97"/>
    <w:rsid w:val="00944CC9"/>
    <w:rsid w:val="009B5EAF"/>
    <w:rsid w:val="009D6124"/>
    <w:rsid w:val="00A001FF"/>
    <w:rsid w:val="00A175F0"/>
    <w:rsid w:val="00A37E16"/>
    <w:rsid w:val="00A629CF"/>
    <w:rsid w:val="00AA0ED2"/>
    <w:rsid w:val="00AB1267"/>
    <w:rsid w:val="00AC56DB"/>
    <w:rsid w:val="00B10425"/>
    <w:rsid w:val="00B43749"/>
    <w:rsid w:val="00B633E3"/>
    <w:rsid w:val="00BA359A"/>
    <w:rsid w:val="00BE34E4"/>
    <w:rsid w:val="00C031F2"/>
    <w:rsid w:val="00C064FF"/>
    <w:rsid w:val="00C06510"/>
    <w:rsid w:val="00C726B5"/>
    <w:rsid w:val="00CB4BD5"/>
    <w:rsid w:val="00CD78D6"/>
    <w:rsid w:val="00CF07FD"/>
    <w:rsid w:val="00D10DD4"/>
    <w:rsid w:val="00D33599"/>
    <w:rsid w:val="00DC4A2A"/>
    <w:rsid w:val="00E25878"/>
    <w:rsid w:val="00E43BA5"/>
    <w:rsid w:val="00E70D6C"/>
    <w:rsid w:val="00E728D8"/>
    <w:rsid w:val="00EA1AD0"/>
    <w:rsid w:val="00EB31E7"/>
    <w:rsid w:val="00EB7067"/>
    <w:rsid w:val="00F12D57"/>
    <w:rsid w:val="00F57231"/>
    <w:rsid w:val="00F845DC"/>
    <w:rsid w:val="00FE02A3"/>
    <w:rsid w:val="00FE1352"/>
    <w:rsid w:val="01BA36E8"/>
    <w:rsid w:val="025007AA"/>
    <w:rsid w:val="043E2138"/>
    <w:rsid w:val="058C5569"/>
    <w:rsid w:val="08C736B4"/>
    <w:rsid w:val="0973D5B8"/>
    <w:rsid w:val="0A3C9006"/>
    <w:rsid w:val="0B238C0B"/>
    <w:rsid w:val="0D43D35F"/>
    <w:rsid w:val="0D49A015"/>
    <w:rsid w:val="10AF68EE"/>
    <w:rsid w:val="11313BCB"/>
    <w:rsid w:val="1249954E"/>
    <w:rsid w:val="160C34D2"/>
    <w:rsid w:val="17EEE03C"/>
    <w:rsid w:val="19C74E1C"/>
    <w:rsid w:val="1AC135DC"/>
    <w:rsid w:val="1AEA8300"/>
    <w:rsid w:val="1C4AD75F"/>
    <w:rsid w:val="1C8BB50E"/>
    <w:rsid w:val="1D80A6F1"/>
    <w:rsid w:val="1DD2330B"/>
    <w:rsid w:val="1F01D077"/>
    <w:rsid w:val="1FA9870B"/>
    <w:rsid w:val="20910A12"/>
    <w:rsid w:val="223AEFB7"/>
    <w:rsid w:val="225FBCA8"/>
    <w:rsid w:val="22B16DC3"/>
    <w:rsid w:val="249C4480"/>
    <w:rsid w:val="25729079"/>
    <w:rsid w:val="2661CE8A"/>
    <w:rsid w:val="29180427"/>
    <w:rsid w:val="2C3B7099"/>
    <w:rsid w:val="2C834413"/>
    <w:rsid w:val="2F4691C6"/>
    <w:rsid w:val="302566E0"/>
    <w:rsid w:val="30CED44D"/>
    <w:rsid w:val="338D6CA9"/>
    <w:rsid w:val="33F3090F"/>
    <w:rsid w:val="35773C15"/>
    <w:rsid w:val="36C44F69"/>
    <w:rsid w:val="39DD5FE8"/>
    <w:rsid w:val="3B55F457"/>
    <w:rsid w:val="3BF6C6D7"/>
    <w:rsid w:val="3C5AA79F"/>
    <w:rsid w:val="3F0A011E"/>
    <w:rsid w:val="40DB78B2"/>
    <w:rsid w:val="41E911F7"/>
    <w:rsid w:val="4257CF4F"/>
    <w:rsid w:val="42C9E923"/>
    <w:rsid w:val="44DDA242"/>
    <w:rsid w:val="459557EB"/>
    <w:rsid w:val="463978B4"/>
    <w:rsid w:val="48EFAE51"/>
    <w:rsid w:val="4918256C"/>
    <w:rsid w:val="4BE237DF"/>
    <w:rsid w:val="4C338735"/>
    <w:rsid w:val="4DA83E92"/>
    <w:rsid w:val="4E8C720E"/>
    <w:rsid w:val="510B466C"/>
    <w:rsid w:val="5296F2B1"/>
    <w:rsid w:val="548A886F"/>
    <w:rsid w:val="562658D0"/>
    <w:rsid w:val="573DC9F4"/>
    <w:rsid w:val="574E2F43"/>
    <w:rsid w:val="59573BF7"/>
    <w:rsid w:val="59C66EC1"/>
    <w:rsid w:val="5A760333"/>
    <w:rsid w:val="5D423473"/>
    <w:rsid w:val="5DA9519D"/>
    <w:rsid w:val="5E1184BD"/>
    <w:rsid w:val="5E4E6C3C"/>
    <w:rsid w:val="61029D01"/>
    <w:rsid w:val="614675A8"/>
    <w:rsid w:val="615652F4"/>
    <w:rsid w:val="6247F662"/>
    <w:rsid w:val="65F82B81"/>
    <w:rsid w:val="6716C655"/>
    <w:rsid w:val="67BCE958"/>
    <w:rsid w:val="6AE917FD"/>
    <w:rsid w:val="6C2FE4E4"/>
    <w:rsid w:val="6D7E315E"/>
    <w:rsid w:val="6DCBB545"/>
    <w:rsid w:val="6E39BD04"/>
    <w:rsid w:val="722ECCDB"/>
    <w:rsid w:val="725AE770"/>
    <w:rsid w:val="733A65CD"/>
    <w:rsid w:val="75E96D5F"/>
    <w:rsid w:val="7714A09F"/>
    <w:rsid w:val="778FFBD0"/>
    <w:rsid w:val="78A92563"/>
    <w:rsid w:val="79210E21"/>
    <w:rsid w:val="7932E019"/>
    <w:rsid w:val="7C37B961"/>
    <w:rsid w:val="7C58AEE3"/>
    <w:rsid w:val="7CEDB175"/>
    <w:rsid w:val="7D45E9AB"/>
    <w:rsid w:val="7EFBF9A3"/>
    <w:rsid w:val="7F18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556B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5878"/>
    <w:pPr>
      <w:spacing w:before="100" w:beforeAutospacing="1" w:after="100" w:afterAutospacing="1"/>
      <w:jc w:val="center"/>
      <w:outlineLvl w:val="0"/>
    </w:pPr>
    <w:rPr>
      <w:rFonts w:ascii="Arial" w:eastAsia="Times New Roman" w:hAnsi="Arial" w:cs="Arial"/>
      <w:b/>
      <w:bCs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878"/>
    <w:rPr>
      <w:rFonts w:ascii="Arial" w:eastAsia="Times New Roman" w:hAnsi="Arial" w:cs="Arial"/>
      <w:b/>
      <w:bCs/>
      <w:kern w:val="36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C56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AC56DB"/>
    <w:rPr>
      <w:i/>
      <w:iCs/>
    </w:rPr>
  </w:style>
  <w:style w:type="paragraph" w:styleId="ListParagraph">
    <w:name w:val="List Paragraph"/>
    <w:basedOn w:val="Normal"/>
    <w:uiPriority w:val="34"/>
    <w:qFormat/>
    <w:rsid w:val="00A629C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E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ED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777ED"/>
  </w:style>
  <w:style w:type="character" w:customStyle="1" w:styleId="eop">
    <w:name w:val="eop"/>
    <w:basedOn w:val="DefaultParagraphFont"/>
    <w:rsid w:val="00477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18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5878"/>
  </w:style>
  <w:style w:type="table" w:styleId="TableGrid">
    <w:name w:val="Table Grid"/>
    <w:basedOn w:val="TableNormal"/>
    <w:uiPriority w:val="39"/>
    <w:rsid w:val="00283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B35"/>
  </w:style>
  <w:style w:type="paragraph" w:styleId="Footer">
    <w:name w:val="footer"/>
    <w:basedOn w:val="Normal"/>
    <w:link w:val="FooterChar"/>
    <w:uiPriority w:val="99"/>
    <w:unhideWhenUsed/>
    <w:rsid w:val="004E3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2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448AB-426C-4165-8693-46C4555F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Materials Schedule of Significant Events - Instructional Quality Commission (CA Department of Education)</dc:title>
  <dc:subject>2025 California Mathematics Adoption of Instructional Materials Schedule of Significant Events being provided at the November 15, 2023 IQC meeting.</dc:subject>
  <dc:creator/>
  <cp:keywords/>
  <dc:description/>
  <cp:lastModifiedBy/>
  <cp:revision>1</cp:revision>
  <dcterms:created xsi:type="dcterms:W3CDTF">2023-11-03T22:03:00Z</dcterms:created>
  <dcterms:modified xsi:type="dcterms:W3CDTF">2023-11-03T22:04:00Z</dcterms:modified>
</cp:coreProperties>
</file>