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3D65" w14:textId="77777777" w:rsidR="00D04C27" w:rsidRPr="00D04C27" w:rsidRDefault="00D04C27" w:rsidP="00D04C27">
      <w:pPr>
        <w:pStyle w:val="Header"/>
        <w:tabs>
          <w:tab w:val="left" w:pos="3330"/>
          <w:tab w:val="left" w:pos="10170"/>
        </w:tabs>
        <w:jc w:val="right"/>
        <w:rPr>
          <w:rFonts w:ascii="Arial" w:hAnsi="Arial" w:cs="Arial"/>
          <w:sz w:val="24"/>
          <w:szCs w:val="24"/>
        </w:rPr>
      </w:pPr>
      <w:r w:rsidRPr="00D04C27">
        <w:rPr>
          <w:rFonts w:ascii="Arial" w:hAnsi="Arial" w:cs="Arial"/>
          <w:sz w:val="24"/>
          <w:szCs w:val="24"/>
        </w:rPr>
        <w:t>Attachment 3.A.1</w:t>
      </w:r>
    </w:p>
    <w:p w14:paraId="365E2515" w14:textId="77777777" w:rsidR="00D04C27" w:rsidRPr="00D04C27" w:rsidRDefault="00D04C27" w:rsidP="00D04C27">
      <w:pPr>
        <w:pStyle w:val="Header"/>
        <w:tabs>
          <w:tab w:val="left" w:pos="3330"/>
        </w:tabs>
        <w:jc w:val="right"/>
        <w:rPr>
          <w:rFonts w:ascii="Arial" w:hAnsi="Arial" w:cs="Arial"/>
          <w:sz w:val="24"/>
          <w:szCs w:val="24"/>
        </w:rPr>
      </w:pPr>
      <w:r w:rsidRPr="00D04C27">
        <w:rPr>
          <w:rFonts w:ascii="Arial" w:hAnsi="Arial" w:cs="Arial"/>
          <w:sz w:val="24"/>
          <w:szCs w:val="24"/>
        </w:rPr>
        <w:t>Personal Finance Subject Matter Committee</w:t>
      </w:r>
    </w:p>
    <w:p w14:paraId="54C164DA" w14:textId="1FD5E667" w:rsidR="00D04C27" w:rsidRPr="00D04C27" w:rsidRDefault="00D04C27" w:rsidP="00D04C27">
      <w:pPr>
        <w:pStyle w:val="Header"/>
        <w:tabs>
          <w:tab w:val="left" w:pos="3330"/>
        </w:tabs>
        <w:jc w:val="right"/>
        <w:rPr>
          <w:rFonts w:ascii="Arial" w:hAnsi="Arial" w:cs="Arial"/>
          <w:sz w:val="24"/>
          <w:szCs w:val="24"/>
        </w:rPr>
      </w:pPr>
      <w:r w:rsidRPr="00D04C27">
        <w:rPr>
          <w:rFonts w:ascii="Arial" w:hAnsi="Arial" w:cs="Arial"/>
          <w:sz w:val="24"/>
          <w:szCs w:val="24"/>
        </w:rPr>
        <w:t>December 4, 2025</w:t>
      </w:r>
    </w:p>
    <w:p w14:paraId="1A46F150" w14:textId="179D4FF1" w:rsidR="00D04C27" w:rsidRPr="00D04C27" w:rsidRDefault="00D04C27" w:rsidP="00D04C27">
      <w:pPr>
        <w:pStyle w:val="Header"/>
        <w:tabs>
          <w:tab w:val="left" w:pos="3330"/>
        </w:tabs>
        <w:spacing w:after="360"/>
        <w:jc w:val="right"/>
        <w:rPr>
          <w:rFonts w:ascii="Arial" w:hAnsi="Arial" w:cs="Arial"/>
          <w:bCs/>
          <w:sz w:val="24"/>
          <w:szCs w:val="24"/>
        </w:rPr>
      </w:pPr>
      <w:r w:rsidRPr="00D04C27">
        <w:rPr>
          <w:rFonts w:ascii="Arial" w:hAnsi="Arial" w:cs="Arial"/>
          <w:sz w:val="24"/>
          <w:szCs w:val="24"/>
        </w:rPr>
        <w:t xml:space="preserve">Page </w:t>
      </w:r>
      <w:r w:rsidRPr="00D04C27">
        <w:rPr>
          <w:rFonts w:ascii="Arial" w:hAnsi="Arial" w:cs="Arial"/>
          <w:bCs/>
          <w:sz w:val="24"/>
          <w:szCs w:val="24"/>
        </w:rPr>
        <w:fldChar w:fldCharType="begin"/>
      </w:r>
      <w:r w:rsidRPr="00D04C27">
        <w:rPr>
          <w:rFonts w:ascii="Arial" w:hAnsi="Arial" w:cs="Arial"/>
          <w:bCs/>
          <w:sz w:val="24"/>
          <w:szCs w:val="24"/>
        </w:rPr>
        <w:instrText xml:space="preserve"> PAGE  \* Arabic  \* MERGEFORMAT </w:instrText>
      </w:r>
      <w:r w:rsidRPr="00D04C27">
        <w:rPr>
          <w:rFonts w:ascii="Arial" w:hAnsi="Arial" w:cs="Arial"/>
          <w:bCs/>
          <w:sz w:val="24"/>
          <w:szCs w:val="24"/>
        </w:rPr>
        <w:fldChar w:fldCharType="separate"/>
      </w:r>
      <w:r w:rsidRPr="00D04C27">
        <w:rPr>
          <w:rFonts w:ascii="Arial" w:hAnsi="Arial" w:cs="Arial"/>
          <w:bCs/>
          <w:sz w:val="24"/>
          <w:szCs w:val="24"/>
        </w:rPr>
        <w:t>1</w:t>
      </w:r>
      <w:r w:rsidRPr="00D04C27">
        <w:rPr>
          <w:rFonts w:ascii="Arial" w:hAnsi="Arial" w:cs="Arial"/>
          <w:bCs/>
          <w:sz w:val="24"/>
          <w:szCs w:val="24"/>
        </w:rPr>
        <w:fldChar w:fldCharType="end"/>
      </w:r>
      <w:r w:rsidRPr="00D04C27">
        <w:rPr>
          <w:rFonts w:ascii="Arial" w:hAnsi="Arial" w:cs="Arial"/>
          <w:sz w:val="24"/>
          <w:szCs w:val="24"/>
        </w:rPr>
        <w:t xml:space="preserve"> of </w:t>
      </w:r>
      <w:r w:rsidRPr="00D04C27">
        <w:rPr>
          <w:rFonts w:ascii="Arial" w:hAnsi="Arial" w:cs="Arial"/>
          <w:bCs/>
          <w:sz w:val="24"/>
          <w:szCs w:val="24"/>
        </w:rPr>
        <w:fldChar w:fldCharType="begin"/>
      </w:r>
      <w:r w:rsidRPr="00D04C27">
        <w:rPr>
          <w:rFonts w:ascii="Arial" w:hAnsi="Arial" w:cs="Arial"/>
          <w:bCs/>
          <w:sz w:val="24"/>
          <w:szCs w:val="24"/>
        </w:rPr>
        <w:instrText xml:space="preserve"> NUMPAGES  \* Arabic  \* MERGEFORMAT </w:instrText>
      </w:r>
      <w:r w:rsidRPr="00D04C27">
        <w:rPr>
          <w:rFonts w:ascii="Arial" w:hAnsi="Arial" w:cs="Arial"/>
          <w:bCs/>
          <w:sz w:val="24"/>
          <w:szCs w:val="24"/>
        </w:rPr>
        <w:fldChar w:fldCharType="separate"/>
      </w:r>
      <w:r w:rsidR="00DC7CC4">
        <w:rPr>
          <w:rFonts w:ascii="Arial" w:hAnsi="Arial" w:cs="Arial"/>
          <w:bCs/>
          <w:noProof/>
          <w:sz w:val="24"/>
          <w:szCs w:val="24"/>
        </w:rPr>
        <w:t>39</w:t>
      </w:r>
      <w:r w:rsidRPr="00D04C27">
        <w:rPr>
          <w:rFonts w:ascii="Arial" w:hAnsi="Arial" w:cs="Arial"/>
          <w:bCs/>
          <w:sz w:val="24"/>
          <w:szCs w:val="24"/>
        </w:rPr>
        <w:fldChar w:fldCharType="end"/>
      </w:r>
    </w:p>
    <w:p w14:paraId="2C8059C2" w14:textId="13FA2CC8" w:rsidR="00AA5F63" w:rsidRPr="00CE2AF4" w:rsidRDefault="00CE3627" w:rsidP="00CE1BCF">
      <w:pPr>
        <w:pStyle w:val="Heading1"/>
      </w:pPr>
      <w:r w:rsidRPr="00CE2AF4">
        <w:t xml:space="preserve">Summary Table of Public Comments from </w:t>
      </w:r>
      <w:r w:rsidR="00A36E21" w:rsidRPr="00CE2AF4">
        <w:t>30</w:t>
      </w:r>
      <w:r w:rsidRPr="00CE2AF4">
        <w:t>-Day Review</w:t>
      </w:r>
      <w:r w:rsidR="00CE1BCF">
        <w:br/>
      </w:r>
      <w:r w:rsidRPr="00CE2AF4">
        <w:t>on</w:t>
      </w:r>
      <w:r w:rsidR="00AA5F63" w:rsidRPr="00CE2AF4">
        <w:t xml:space="preserve"> the Draft </w:t>
      </w:r>
      <w:r w:rsidR="00A36E21" w:rsidRPr="00CE1BCF">
        <w:t>Personal</w:t>
      </w:r>
      <w:r w:rsidR="00A36E21" w:rsidRPr="00CE2AF4">
        <w:t xml:space="preserve"> Finance Curriculum Guide</w:t>
      </w:r>
    </w:p>
    <w:p w14:paraId="3BB67643" w14:textId="46DEBD60" w:rsidR="00D05BEB" w:rsidRDefault="00CE3627" w:rsidP="00B6742A">
      <w:pPr>
        <w:tabs>
          <w:tab w:val="left" w:pos="3330"/>
        </w:tabs>
        <w:spacing w:after="240"/>
        <w:rPr>
          <w:rFonts w:ascii="Arial" w:hAnsi="Arial"/>
          <w:sz w:val="24"/>
          <w:szCs w:val="24"/>
        </w:rPr>
      </w:pPr>
      <w:r w:rsidRPr="634A4DB2">
        <w:rPr>
          <w:rFonts w:ascii="Arial" w:eastAsia="Calibri" w:hAnsi="Arial" w:cs="Arial"/>
          <w:sz w:val="24"/>
          <w:szCs w:val="24"/>
        </w:rPr>
        <w:t xml:space="preserve">This table provides a summary of the public comments </w:t>
      </w:r>
      <w:r w:rsidR="00562F51">
        <w:rPr>
          <w:rFonts w:ascii="Arial" w:eastAsia="Calibri" w:hAnsi="Arial" w:cs="Arial"/>
          <w:sz w:val="24"/>
          <w:szCs w:val="24"/>
        </w:rPr>
        <w:t>o</w:t>
      </w:r>
      <w:r w:rsidRPr="634A4DB2">
        <w:rPr>
          <w:rFonts w:ascii="Arial" w:eastAsia="Calibri" w:hAnsi="Arial" w:cs="Arial"/>
          <w:sz w:val="24"/>
          <w:szCs w:val="24"/>
        </w:rPr>
        <w:t>n</w:t>
      </w:r>
      <w:r w:rsidR="00D04C27">
        <w:rPr>
          <w:rFonts w:ascii="Arial" w:eastAsia="Calibri" w:hAnsi="Arial" w:cs="Arial"/>
          <w:sz w:val="24"/>
          <w:szCs w:val="24"/>
        </w:rPr>
        <w:t xml:space="preserve"> the</w:t>
      </w:r>
      <w:r w:rsidRPr="634A4DB2">
        <w:rPr>
          <w:rFonts w:ascii="Arial" w:eastAsia="Calibri" w:hAnsi="Arial" w:cs="Arial"/>
          <w:sz w:val="24"/>
          <w:szCs w:val="24"/>
        </w:rPr>
        <w:t xml:space="preserve"> </w:t>
      </w:r>
      <w:hyperlink r:id="rId8" w:history="1">
        <w:r w:rsidRPr="00D05BEB">
          <w:rPr>
            <w:rStyle w:val="Hyperlink"/>
            <w:rFonts w:eastAsia="Calibri" w:cs="Arial"/>
            <w:szCs w:val="24"/>
          </w:rPr>
          <w:t xml:space="preserve">current draft </w:t>
        </w:r>
        <w:r w:rsidR="00A36E21" w:rsidRPr="00D05BEB">
          <w:rPr>
            <w:rStyle w:val="Hyperlink"/>
            <w:rFonts w:eastAsia="Calibri" w:cs="Arial"/>
            <w:szCs w:val="24"/>
          </w:rPr>
          <w:t>of the Personal Finance Curriculum Guide</w:t>
        </w:r>
      </w:hyperlink>
      <w:r w:rsidRPr="634A4DB2">
        <w:rPr>
          <w:rFonts w:ascii="Arial" w:eastAsia="Calibri" w:hAnsi="Arial" w:cs="Arial"/>
          <w:sz w:val="24"/>
          <w:szCs w:val="24"/>
        </w:rPr>
        <w:t xml:space="preserve"> </w:t>
      </w:r>
      <w:r w:rsidR="0049380D" w:rsidRPr="634A4DB2">
        <w:rPr>
          <w:rFonts w:ascii="Arial" w:eastAsia="Calibri" w:hAnsi="Arial" w:cs="Arial"/>
          <w:sz w:val="24"/>
          <w:szCs w:val="24"/>
        </w:rPr>
        <w:t xml:space="preserve">received </w:t>
      </w:r>
      <w:r w:rsidR="00B4242F">
        <w:rPr>
          <w:rFonts w:ascii="Arial" w:eastAsia="Calibri" w:hAnsi="Arial" w:cs="Arial"/>
          <w:sz w:val="24"/>
          <w:szCs w:val="24"/>
        </w:rPr>
        <w:t xml:space="preserve">by email during the public comment period from </w:t>
      </w:r>
      <w:r w:rsidR="00A36E21">
        <w:rPr>
          <w:rFonts w:ascii="Arial" w:eastAsia="Calibri" w:hAnsi="Arial" w:cs="Arial"/>
          <w:sz w:val="24"/>
          <w:szCs w:val="24"/>
        </w:rPr>
        <w:t>October 1</w:t>
      </w:r>
      <w:r w:rsidR="002A0121">
        <w:rPr>
          <w:rFonts w:ascii="Arial" w:eastAsia="Calibri" w:hAnsi="Arial" w:cs="Arial"/>
          <w:sz w:val="24"/>
          <w:szCs w:val="24"/>
        </w:rPr>
        <w:t xml:space="preserve"> through </w:t>
      </w:r>
      <w:r w:rsidR="00A36E21">
        <w:rPr>
          <w:rFonts w:ascii="Arial" w:eastAsia="Calibri" w:hAnsi="Arial" w:cs="Arial"/>
          <w:sz w:val="24"/>
          <w:szCs w:val="24"/>
        </w:rPr>
        <w:t>31</w:t>
      </w:r>
      <w:r w:rsidR="002A0121">
        <w:rPr>
          <w:rFonts w:ascii="Arial" w:eastAsia="Calibri" w:hAnsi="Arial" w:cs="Arial"/>
          <w:sz w:val="24"/>
          <w:szCs w:val="24"/>
        </w:rPr>
        <w:t>, 202</w:t>
      </w:r>
      <w:r w:rsidR="00A36E21">
        <w:rPr>
          <w:rFonts w:ascii="Arial" w:eastAsia="Calibri" w:hAnsi="Arial" w:cs="Arial"/>
          <w:sz w:val="24"/>
          <w:szCs w:val="24"/>
        </w:rPr>
        <w:t>5</w:t>
      </w:r>
      <w:r w:rsidR="00B4242F">
        <w:rPr>
          <w:rFonts w:ascii="Arial" w:eastAsia="Calibri" w:hAnsi="Arial" w:cs="Arial"/>
          <w:sz w:val="24"/>
          <w:szCs w:val="24"/>
        </w:rPr>
        <w:t xml:space="preserve">. </w:t>
      </w:r>
      <w:r w:rsidR="00D05BEB">
        <w:rPr>
          <w:rFonts w:ascii="Arial" w:hAnsi="Arial"/>
          <w:sz w:val="24"/>
          <w:szCs w:val="24"/>
        </w:rPr>
        <w:t>C</w:t>
      </w:r>
      <w:r w:rsidR="009322EF">
        <w:rPr>
          <w:rFonts w:ascii="Arial" w:hAnsi="Arial"/>
          <w:sz w:val="24"/>
          <w:szCs w:val="24"/>
        </w:rPr>
        <w:t xml:space="preserve">omments </w:t>
      </w:r>
      <w:r w:rsidR="00E16A14">
        <w:rPr>
          <w:rFonts w:ascii="Arial" w:hAnsi="Arial"/>
          <w:sz w:val="24"/>
          <w:szCs w:val="24"/>
        </w:rPr>
        <w:t>are</w:t>
      </w:r>
      <w:r w:rsidR="009322EF">
        <w:rPr>
          <w:rFonts w:ascii="Arial" w:hAnsi="Arial"/>
          <w:sz w:val="24"/>
          <w:szCs w:val="24"/>
        </w:rPr>
        <w:t xml:space="preserve"> excerpted </w:t>
      </w:r>
      <w:proofErr w:type="gramStart"/>
      <w:r w:rsidR="009322EF">
        <w:rPr>
          <w:rFonts w:ascii="Arial" w:hAnsi="Arial"/>
          <w:sz w:val="24"/>
          <w:szCs w:val="24"/>
        </w:rPr>
        <w:t>in</w:t>
      </w:r>
      <w:proofErr w:type="gramEnd"/>
      <w:r w:rsidR="009322EF">
        <w:rPr>
          <w:rFonts w:ascii="Arial" w:hAnsi="Arial"/>
          <w:sz w:val="24"/>
          <w:szCs w:val="24"/>
        </w:rPr>
        <w:t xml:space="preserve"> </w:t>
      </w:r>
      <w:r w:rsidR="00562F51" w:rsidRPr="00562F51">
        <w:rPr>
          <w:rFonts w:ascii="Arial" w:hAnsi="Arial"/>
          <w:sz w:val="24"/>
          <w:szCs w:val="24"/>
        </w:rPr>
        <w:t>the table</w:t>
      </w:r>
      <w:r w:rsidR="00976BEB">
        <w:rPr>
          <w:rFonts w:ascii="Arial" w:hAnsi="Arial"/>
          <w:sz w:val="24"/>
          <w:szCs w:val="24"/>
        </w:rPr>
        <w:t>. F</w:t>
      </w:r>
      <w:r w:rsidR="00562F51" w:rsidRPr="00562F51">
        <w:rPr>
          <w:rFonts w:ascii="Arial" w:hAnsi="Arial"/>
          <w:sz w:val="24"/>
          <w:szCs w:val="24"/>
        </w:rPr>
        <w:t>ull comment</w:t>
      </w:r>
      <w:r w:rsidR="00B4242F">
        <w:rPr>
          <w:rFonts w:ascii="Arial" w:hAnsi="Arial"/>
          <w:sz w:val="24"/>
          <w:szCs w:val="24"/>
        </w:rPr>
        <w:t>s have</w:t>
      </w:r>
      <w:r w:rsidR="00562F51" w:rsidRPr="00562F51">
        <w:rPr>
          <w:rFonts w:ascii="Arial" w:hAnsi="Arial"/>
          <w:sz w:val="24"/>
          <w:szCs w:val="24"/>
        </w:rPr>
        <w:t xml:space="preserve"> </w:t>
      </w:r>
      <w:r w:rsidR="006F1032">
        <w:rPr>
          <w:rFonts w:ascii="Arial" w:hAnsi="Arial"/>
          <w:sz w:val="24"/>
          <w:szCs w:val="24"/>
        </w:rPr>
        <w:t>been</w:t>
      </w:r>
      <w:r w:rsidR="00562F51" w:rsidRPr="00562F51">
        <w:rPr>
          <w:rFonts w:ascii="Arial" w:hAnsi="Arial"/>
          <w:sz w:val="24"/>
          <w:szCs w:val="24"/>
        </w:rPr>
        <w:t xml:space="preserve"> posted to</w:t>
      </w:r>
      <w:r w:rsidR="00D04C27">
        <w:rPr>
          <w:rFonts w:ascii="Arial" w:hAnsi="Arial"/>
          <w:sz w:val="24"/>
          <w:szCs w:val="24"/>
        </w:rPr>
        <w:t xml:space="preserve"> the</w:t>
      </w:r>
      <w:r w:rsidR="00562F51" w:rsidRPr="00562F51">
        <w:rPr>
          <w:rFonts w:ascii="Arial" w:hAnsi="Arial"/>
          <w:sz w:val="24"/>
          <w:szCs w:val="24"/>
        </w:rPr>
        <w:t xml:space="preserve"> </w:t>
      </w:r>
      <w:hyperlink r:id="rId9" w:history="1">
        <w:r w:rsidR="000C3CFC" w:rsidRPr="00D05BEB">
          <w:rPr>
            <w:rStyle w:val="Hyperlink"/>
            <w:szCs w:val="24"/>
          </w:rPr>
          <w:t>California Department of Education (</w:t>
        </w:r>
        <w:r w:rsidR="00562F51" w:rsidRPr="00D05BEB">
          <w:rPr>
            <w:rStyle w:val="Hyperlink"/>
            <w:szCs w:val="24"/>
          </w:rPr>
          <w:t>CDE</w:t>
        </w:r>
        <w:r w:rsidR="000C3CFC" w:rsidRPr="00D05BEB">
          <w:rPr>
            <w:rStyle w:val="Hyperlink"/>
            <w:szCs w:val="24"/>
          </w:rPr>
          <w:t>)</w:t>
        </w:r>
        <w:r w:rsidR="00562F51" w:rsidRPr="00D05BEB">
          <w:rPr>
            <w:rStyle w:val="Hyperlink"/>
            <w:szCs w:val="24"/>
          </w:rPr>
          <w:t xml:space="preserve"> Box.com account</w:t>
        </w:r>
      </w:hyperlink>
      <w:r w:rsidR="00562F51" w:rsidRPr="00562F51">
        <w:rPr>
          <w:rFonts w:ascii="Arial" w:hAnsi="Arial"/>
          <w:sz w:val="24"/>
          <w:szCs w:val="24"/>
        </w:rPr>
        <w:t xml:space="preserve"> </w:t>
      </w:r>
      <w:bookmarkStart w:id="0" w:name="_Hlk66270762"/>
      <w:r w:rsidR="00976BEB" w:rsidRPr="00562F51">
        <w:rPr>
          <w:rFonts w:ascii="Arial" w:hAnsi="Arial"/>
          <w:sz w:val="24"/>
          <w:szCs w:val="24"/>
        </w:rPr>
        <w:t>and provided to the Instructional Quality Commission</w:t>
      </w:r>
      <w:r w:rsidR="00976BEB">
        <w:rPr>
          <w:rFonts w:ascii="Arial" w:hAnsi="Arial"/>
          <w:sz w:val="24"/>
          <w:szCs w:val="24"/>
        </w:rPr>
        <w:t xml:space="preserve"> (IQC).</w:t>
      </w:r>
      <w:r w:rsidR="00976BEB" w:rsidRPr="00562F51">
        <w:rPr>
          <w:rFonts w:ascii="Arial" w:hAnsi="Arial"/>
          <w:sz w:val="24"/>
          <w:szCs w:val="24"/>
        </w:rPr>
        <w:t xml:space="preserve"> Personal contact information was redacted from the posted comments</w:t>
      </w:r>
      <w:r w:rsidR="00976BEB">
        <w:rPr>
          <w:rFonts w:ascii="Arial" w:hAnsi="Arial"/>
          <w:sz w:val="24"/>
          <w:szCs w:val="24"/>
        </w:rPr>
        <w:t>,</w:t>
      </w:r>
      <w:r w:rsidR="00976BEB" w:rsidRPr="00562F51">
        <w:rPr>
          <w:rFonts w:ascii="Arial" w:hAnsi="Arial"/>
          <w:sz w:val="24"/>
          <w:szCs w:val="24"/>
        </w:rPr>
        <w:t xml:space="preserve"> but they were not otherwise edited.</w:t>
      </w:r>
    </w:p>
    <w:p w14:paraId="17E7EE3E" w14:textId="61E3AAF3" w:rsidR="00B6742A" w:rsidRDefault="00976BEB" w:rsidP="00B6742A">
      <w:pPr>
        <w:tabs>
          <w:tab w:val="left" w:pos="3330"/>
        </w:tabs>
        <w:spacing w:after="240"/>
        <w:rPr>
          <w:rFonts w:ascii="Arial" w:hAnsi="Arial"/>
          <w:sz w:val="24"/>
          <w:szCs w:val="24"/>
        </w:rPr>
      </w:pPr>
      <w:r w:rsidRPr="634A4DB2">
        <w:rPr>
          <w:rFonts w:ascii="Arial" w:hAnsi="Arial"/>
          <w:sz w:val="24"/>
          <w:szCs w:val="24"/>
        </w:rPr>
        <w:t>The “</w:t>
      </w:r>
      <w:r>
        <w:rPr>
          <w:rFonts w:ascii="Arial" w:hAnsi="Arial"/>
          <w:sz w:val="24"/>
          <w:szCs w:val="24"/>
        </w:rPr>
        <w:t>Recommend</w:t>
      </w:r>
      <w:r w:rsidRPr="634A4DB2">
        <w:rPr>
          <w:rFonts w:ascii="Arial" w:hAnsi="Arial"/>
          <w:sz w:val="24"/>
          <w:szCs w:val="24"/>
        </w:rPr>
        <w:t xml:space="preserve"> Action” column </w:t>
      </w:r>
      <w:r>
        <w:rPr>
          <w:rFonts w:ascii="Arial" w:hAnsi="Arial"/>
          <w:sz w:val="24"/>
          <w:szCs w:val="24"/>
        </w:rPr>
        <w:t xml:space="preserve">contains recommendations by the staff and writers for the </w:t>
      </w:r>
      <w:r w:rsidRPr="634A4DB2">
        <w:rPr>
          <w:rFonts w:ascii="Arial" w:hAnsi="Arial"/>
          <w:sz w:val="24"/>
          <w:szCs w:val="24"/>
        </w:rPr>
        <w:t xml:space="preserve">IQC </w:t>
      </w:r>
      <w:r>
        <w:rPr>
          <w:rFonts w:ascii="Arial" w:hAnsi="Arial"/>
          <w:sz w:val="24"/>
          <w:szCs w:val="24"/>
        </w:rPr>
        <w:t>to consider</w:t>
      </w:r>
      <w:r w:rsidRPr="634A4DB2">
        <w:rPr>
          <w:rFonts w:ascii="Arial" w:hAnsi="Arial"/>
          <w:sz w:val="24"/>
          <w:szCs w:val="24"/>
        </w:rPr>
        <w:t xml:space="preserve"> at its </w:t>
      </w:r>
      <w:r>
        <w:rPr>
          <w:rFonts w:ascii="Arial" w:hAnsi="Arial"/>
          <w:sz w:val="24"/>
          <w:szCs w:val="24"/>
        </w:rPr>
        <w:t>December 4</w:t>
      </w:r>
      <w:r w:rsidRPr="00E44341">
        <w:rPr>
          <w:rFonts w:ascii="Arial" w:hAnsi="Arial"/>
          <w:sz w:val="24"/>
          <w:szCs w:val="24"/>
        </w:rPr>
        <w:t>, 202</w:t>
      </w:r>
      <w:r>
        <w:rPr>
          <w:rFonts w:ascii="Arial" w:hAnsi="Arial"/>
          <w:sz w:val="24"/>
          <w:szCs w:val="24"/>
        </w:rPr>
        <w:t>5,</w:t>
      </w:r>
      <w:r w:rsidRPr="634A4DB2">
        <w:rPr>
          <w:rFonts w:ascii="Arial" w:hAnsi="Arial"/>
          <w:sz w:val="24"/>
          <w:szCs w:val="24"/>
        </w:rPr>
        <w:t xml:space="preserve"> meeting.</w:t>
      </w:r>
      <w:r>
        <w:rPr>
          <w:rFonts w:ascii="Arial" w:hAnsi="Arial"/>
          <w:sz w:val="24"/>
          <w:szCs w:val="24"/>
        </w:rPr>
        <w:t xml:space="preserve"> </w:t>
      </w:r>
      <w:r w:rsidR="001F30C8">
        <w:rPr>
          <w:rFonts w:ascii="Arial" w:hAnsi="Arial"/>
          <w:sz w:val="24"/>
          <w:szCs w:val="24"/>
        </w:rPr>
        <w:t>C</w:t>
      </w:r>
      <w:r w:rsidR="0020228B" w:rsidRPr="634A4DB2">
        <w:rPr>
          <w:rFonts w:ascii="Arial" w:hAnsi="Arial"/>
          <w:sz w:val="24"/>
          <w:szCs w:val="24"/>
        </w:rPr>
        <w:t xml:space="preserve">omments </w:t>
      </w:r>
      <w:r w:rsidR="00E16A14">
        <w:rPr>
          <w:rFonts w:ascii="Arial" w:hAnsi="Arial"/>
          <w:sz w:val="24"/>
          <w:szCs w:val="24"/>
        </w:rPr>
        <w:t>are</w:t>
      </w:r>
      <w:r w:rsidR="0020228B" w:rsidRPr="634A4DB2">
        <w:rPr>
          <w:rFonts w:ascii="Arial" w:hAnsi="Arial"/>
          <w:sz w:val="24"/>
          <w:szCs w:val="24"/>
        </w:rPr>
        <w:t xml:space="preserve"> </w:t>
      </w:r>
      <w:r w:rsidR="00854095">
        <w:rPr>
          <w:rFonts w:ascii="Arial" w:hAnsi="Arial"/>
          <w:sz w:val="24"/>
          <w:szCs w:val="24"/>
        </w:rPr>
        <w:t>listed</w:t>
      </w:r>
      <w:r w:rsidR="00E16A14">
        <w:rPr>
          <w:rFonts w:ascii="Arial" w:hAnsi="Arial"/>
          <w:sz w:val="24"/>
          <w:szCs w:val="24"/>
        </w:rPr>
        <w:t xml:space="preserve"> </w:t>
      </w:r>
      <w:r>
        <w:rPr>
          <w:rFonts w:ascii="Arial" w:hAnsi="Arial"/>
          <w:sz w:val="24"/>
          <w:szCs w:val="24"/>
        </w:rPr>
        <w:t>in</w:t>
      </w:r>
      <w:r w:rsidR="00854095">
        <w:rPr>
          <w:rFonts w:ascii="Arial" w:hAnsi="Arial"/>
          <w:sz w:val="24"/>
          <w:szCs w:val="24"/>
        </w:rPr>
        <w:t xml:space="preserve"> the order they were received.</w:t>
      </w:r>
      <w:bookmarkEnd w:id="0"/>
    </w:p>
    <w:p w14:paraId="29598598" w14:textId="77777777" w:rsidR="00B6742A" w:rsidRPr="00D42211" w:rsidRDefault="00B6742A" w:rsidP="00B6742A">
      <w:pPr>
        <w:tabs>
          <w:tab w:val="left" w:pos="3330"/>
        </w:tabs>
        <w:spacing w:after="240"/>
        <w:rPr>
          <w:rFonts w:ascii="Arial" w:hAnsi="Arial" w:cs="Arial"/>
          <w:b/>
          <w:sz w:val="24"/>
          <w:szCs w:val="24"/>
        </w:rPr>
      </w:pPr>
      <w:r w:rsidRPr="00D42211">
        <w:rPr>
          <w:rFonts w:ascii="Arial" w:hAnsi="Arial" w:cs="Arial"/>
          <w:b/>
          <w:sz w:val="24"/>
          <w:szCs w:val="24"/>
        </w:rPr>
        <w:t>The following definitions clarify the recommended actions provided throughout this document:</w:t>
      </w:r>
    </w:p>
    <w:p w14:paraId="6A66E23F" w14:textId="3CDE81C7" w:rsidR="00B6742A" w:rsidRPr="00D42211" w:rsidRDefault="00B6742A" w:rsidP="00B6742A">
      <w:pPr>
        <w:pStyle w:val="ListParagraph"/>
        <w:numPr>
          <w:ilvl w:val="0"/>
          <w:numId w:val="15"/>
        </w:numPr>
        <w:tabs>
          <w:tab w:val="left" w:pos="3330"/>
        </w:tabs>
        <w:spacing w:after="240"/>
        <w:contextualSpacing w:val="0"/>
        <w:rPr>
          <w:rFonts w:ascii="Arial" w:hAnsi="Arial" w:cs="Arial"/>
          <w:sz w:val="24"/>
          <w:szCs w:val="24"/>
        </w:rPr>
      </w:pPr>
      <w:r>
        <w:rPr>
          <w:rFonts w:ascii="Arial" w:hAnsi="Arial" w:cs="Arial"/>
          <w:b/>
          <w:bCs/>
          <w:sz w:val="24"/>
          <w:szCs w:val="24"/>
        </w:rPr>
        <w:t xml:space="preserve">Actionable, </w:t>
      </w:r>
      <w:r w:rsidRPr="45372DEE">
        <w:rPr>
          <w:rFonts w:ascii="Arial" w:hAnsi="Arial" w:cs="Arial"/>
          <w:b/>
          <w:bCs/>
          <w:sz w:val="24"/>
          <w:szCs w:val="24"/>
        </w:rPr>
        <w:t xml:space="preserve">Recommended </w:t>
      </w:r>
      <w:r w:rsidRPr="45372DEE">
        <w:rPr>
          <w:rFonts w:ascii="Arial" w:hAnsi="Arial" w:cs="Arial"/>
          <w:sz w:val="24"/>
          <w:szCs w:val="24"/>
        </w:rPr>
        <w:t xml:space="preserve">= </w:t>
      </w:r>
      <w:r w:rsidR="000E2326">
        <w:rPr>
          <w:rFonts w:ascii="Arial" w:hAnsi="Arial" w:cs="Arial"/>
          <w:sz w:val="24"/>
          <w:szCs w:val="24"/>
        </w:rPr>
        <w:t xml:space="preserve">the </w:t>
      </w:r>
      <w:r w:rsidRPr="45372DEE">
        <w:rPr>
          <w:rFonts w:ascii="Arial" w:hAnsi="Arial" w:cs="Arial"/>
          <w:sz w:val="24"/>
          <w:szCs w:val="24"/>
        </w:rPr>
        <w:t xml:space="preserve">CDE recommends that the </w:t>
      </w:r>
      <w:r>
        <w:rPr>
          <w:rFonts w:ascii="Arial" w:hAnsi="Arial" w:cs="Arial"/>
          <w:sz w:val="24"/>
          <w:szCs w:val="24"/>
        </w:rPr>
        <w:t>Personal Finance</w:t>
      </w:r>
      <w:r w:rsidRPr="45372DEE">
        <w:rPr>
          <w:rFonts w:ascii="Arial" w:hAnsi="Arial" w:cs="Arial"/>
          <w:sz w:val="24"/>
          <w:szCs w:val="24"/>
        </w:rPr>
        <w:t xml:space="preserve"> Subject Matter Committee (SMC) include the additions, edits, and/or changes as stated in the public comment.</w:t>
      </w:r>
    </w:p>
    <w:p w14:paraId="0802766A" w14:textId="2120132F" w:rsidR="00B6742A" w:rsidRPr="00D42211" w:rsidRDefault="00B6742A" w:rsidP="00B6742A">
      <w:pPr>
        <w:pStyle w:val="ListParagraph"/>
        <w:numPr>
          <w:ilvl w:val="0"/>
          <w:numId w:val="15"/>
        </w:numPr>
        <w:tabs>
          <w:tab w:val="left" w:pos="3330"/>
        </w:tabs>
        <w:spacing w:after="240"/>
        <w:contextualSpacing w:val="0"/>
        <w:rPr>
          <w:rFonts w:ascii="Arial" w:hAnsi="Arial" w:cs="Arial"/>
          <w:sz w:val="24"/>
          <w:szCs w:val="24"/>
        </w:rPr>
      </w:pPr>
      <w:r>
        <w:rPr>
          <w:rFonts w:ascii="Arial" w:hAnsi="Arial" w:cs="Arial"/>
          <w:b/>
          <w:bCs/>
          <w:sz w:val="24"/>
          <w:szCs w:val="24"/>
        </w:rPr>
        <w:t xml:space="preserve">Actionable, </w:t>
      </w:r>
      <w:r w:rsidRPr="45372DEE">
        <w:rPr>
          <w:rFonts w:ascii="Arial" w:hAnsi="Arial" w:cs="Arial"/>
          <w:b/>
          <w:bCs/>
          <w:sz w:val="24"/>
          <w:szCs w:val="24"/>
        </w:rPr>
        <w:t>Not Recommended</w:t>
      </w:r>
      <w:r w:rsidRPr="45372DEE">
        <w:rPr>
          <w:rFonts w:ascii="Arial" w:hAnsi="Arial" w:cs="Arial"/>
          <w:sz w:val="24"/>
          <w:szCs w:val="24"/>
        </w:rPr>
        <w:t xml:space="preserve"> = </w:t>
      </w:r>
      <w:r w:rsidR="000E2326">
        <w:rPr>
          <w:rFonts w:ascii="Arial" w:hAnsi="Arial" w:cs="Arial"/>
          <w:sz w:val="24"/>
          <w:szCs w:val="24"/>
        </w:rPr>
        <w:t xml:space="preserve">the </w:t>
      </w:r>
      <w:r w:rsidRPr="45372DEE">
        <w:rPr>
          <w:rFonts w:ascii="Arial" w:hAnsi="Arial" w:cs="Arial"/>
          <w:sz w:val="24"/>
          <w:szCs w:val="24"/>
        </w:rPr>
        <w:t xml:space="preserve">CDE recommends that the </w:t>
      </w:r>
      <w:r>
        <w:rPr>
          <w:rFonts w:ascii="Arial" w:hAnsi="Arial" w:cs="Arial"/>
          <w:sz w:val="24"/>
          <w:szCs w:val="24"/>
        </w:rPr>
        <w:t xml:space="preserve">Personal Finance </w:t>
      </w:r>
      <w:r w:rsidRPr="45372DEE">
        <w:rPr>
          <w:rFonts w:ascii="Arial" w:hAnsi="Arial" w:cs="Arial"/>
          <w:sz w:val="24"/>
          <w:szCs w:val="24"/>
        </w:rPr>
        <w:t>SMC does not include the additions, edits, and/or changes as stated in the public comment.</w:t>
      </w:r>
    </w:p>
    <w:p w14:paraId="55C2931C" w14:textId="547FA780" w:rsidR="00B6742A" w:rsidRPr="00B4242F" w:rsidRDefault="00B6742A" w:rsidP="00B6742A">
      <w:pPr>
        <w:pStyle w:val="ListParagraph"/>
        <w:numPr>
          <w:ilvl w:val="0"/>
          <w:numId w:val="15"/>
        </w:numPr>
        <w:tabs>
          <w:tab w:val="left" w:pos="3330"/>
        </w:tabs>
        <w:spacing w:after="240"/>
        <w:contextualSpacing w:val="0"/>
        <w:rPr>
          <w:rFonts w:ascii="Arial" w:hAnsi="Arial" w:cs="Arial"/>
          <w:sz w:val="24"/>
          <w:szCs w:val="24"/>
        </w:rPr>
      </w:pPr>
      <w:bookmarkStart w:id="1" w:name="_Hlk213406531"/>
      <w:r>
        <w:rPr>
          <w:rFonts w:ascii="Arial" w:hAnsi="Arial" w:cs="Arial"/>
          <w:b/>
          <w:bCs/>
          <w:sz w:val="24"/>
          <w:szCs w:val="24"/>
        </w:rPr>
        <w:t xml:space="preserve">Actionable, </w:t>
      </w:r>
      <w:r w:rsidRPr="45372DEE">
        <w:rPr>
          <w:rFonts w:ascii="Arial" w:hAnsi="Arial" w:cs="Arial"/>
          <w:b/>
          <w:bCs/>
          <w:sz w:val="24"/>
          <w:szCs w:val="24"/>
        </w:rPr>
        <w:t xml:space="preserve">Writers’ Discretion </w:t>
      </w:r>
      <w:r w:rsidRPr="45372DEE">
        <w:rPr>
          <w:rFonts w:ascii="Arial" w:hAnsi="Arial" w:cs="Arial"/>
          <w:sz w:val="24"/>
          <w:szCs w:val="24"/>
        </w:rPr>
        <w:t xml:space="preserve">= </w:t>
      </w:r>
      <w:r w:rsidR="000E2326">
        <w:rPr>
          <w:rFonts w:ascii="Arial" w:hAnsi="Arial" w:cs="Arial"/>
          <w:sz w:val="24"/>
          <w:szCs w:val="24"/>
        </w:rPr>
        <w:t xml:space="preserve">the </w:t>
      </w:r>
      <w:r w:rsidRPr="45372DEE">
        <w:rPr>
          <w:rFonts w:ascii="Arial" w:hAnsi="Arial" w:cs="Arial"/>
          <w:sz w:val="24"/>
          <w:szCs w:val="24"/>
        </w:rPr>
        <w:t xml:space="preserve">CDE recommends that the </w:t>
      </w:r>
      <w:r>
        <w:rPr>
          <w:rFonts w:ascii="Arial" w:hAnsi="Arial" w:cs="Arial"/>
          <w:sz w:val="24"/>
          <w:szCs w:val="24"/>
        </w:rPr>
        <w:t>Personal Finance</w:t>
      </w:r>
      <w:r w:rsidRPr="45372DEE">
        <w:rPr>
          <w:rFonts w:ascii="Arial" w:hAnsi="Arial" w:cs="Arial"/>
          <w:sz w:val="24"/>
          <w:szCs w:val="24"/>
        </w:rPr>
        <w:t xml:space="preserve"> SMC permit the </w:t>
      </w:r>
      <w:r>
        <w:rPr>
          <w:rFonts w:ascii="Arial" w:hAnsi="Arial" w:cs="Arial"/>
          <w:sz w:val="24"/>
          <w:szCs w:val="24"/>
        </w:rPr>
        <w:t xml:space="preserve">Personal Finance Curriculum </w:t>
      </w:r>
      <w:r w:rsidRPr="00B4242F">
        <w:rPr>
          <w:rFonts w:ascii="Arial" w:hAnsi="Arial" w:cs="Arial"/>
          <w:sz w:val="24"/>
          <w:szCs w:val="24"/>
        </w:rPr>
        <w:t>Guide writers and CDE staff to determine</w:t>
      </w:r>
      <w:r w:rsidR="0057307A">
        <w:rPr>
          <w:rFonts w:ascii="Arial" w:hAnsi="Arial" w:cs="Arial"/>
          <w:sz w:val="24"/>
          <w:szCs w:val="24"/>
        </w:rPr>
        <w:t xml:space="preserve"> whether and</w:t>
      </w:r>
      <w:r w:rsidRPr="00B4242F">
        <w:rPr>
          <w:rFonts w:ascii="Arial" w:hAnsi="Arial" w:cs="Arial"/>
          <w:sz w:val="24"/>
          <w:szCs w:val="24"/>
        </w:rPr>
        <w:t xml:space="preserve"> how to include the additions, edits, and/or changes as stated in the public comment.</w:t>
      </w:r>
    </w:p>
    <w:bookmarkEnd w:id="1"/>
    <w:p w14:paraId="486B71B4" w14:textId="3FC961FB" w:rsidR="00B6742A" w:rsidRPr="00B4242F" w:rsidRDefault="00B6742A" w:rsidP="00B4242F">
      <w:pPr>
        <w:pStyle w:val="ListParagraph"/>
        <w:numPr>
          <w:ilvl w:val="0"/>
          <w:numId w:val="15"/>
        </w:numPr>
        <w:tabs>
          <w:tab w:val="left" w:pos="3330"/>
        </w:tabs>
        <w:spacing w:after="240"/>
        <w:rPr>
          <w:rFonts w:ascii="Arial" w:hAnsi="Arial" w:cs="Arial"/>
          <w:sz w:val="24"/>
          <w:szCs w:val="24"/>
        </w:rPr>
      </w:pPr>
      <w:r w:rsidRPr="00B4242F">
        <w:rPr>
          <w:rFonts w:ascii="Arial" w:hAnsi="Arial" w:cs="Arial"/>
          <w:b/>
          <w:sz w:val="24"/>
          <w:szCs w:val="24"/>
        </w:rPr>
        <w:t>Not Actionable</w:t>
      </w:r>
      <w:r w:rsidRPr="00B4242F">
        <w:rPr>
          <w:rFonts w:ascii="Arial" w:hAnsi="Arial" w:cs="Arial"/>
          <w:sz w:val="24"/>
          <w:szCs w:val="24"/>
        </w:rPr>
        <w:t xml:space="preserve"> = the public comment does not include actionable edits that include specific additions, edits, and/or changes that can be applied to the curriculum </w:t>
      </w:r>
      <w:r w:rsidR="00976BEB" w:rsidRPr="00B4242F">
        <w:rPr>
          <w:rFonts w:ascii="Arial" w:hAnsi="Arial" w:cs="Arial"/>
          <w:sz w:val="24"/>
          <w:szCs w:val="24"/>
        </w:rPr>
        <w:t>guide,</w:t>
      </w:r>
      <w:r w:rsidRPr="00B4242F">
        <w:rPr>
          <w:rFonts w:ascii="Arial" w:hAnsi="Arial" w:cs="Arial"/>
          <w:sz w:val="24"/>
          <w:szCs w:val="24"/>
        </w:rPr>
        <w:t xml:space="preserve"> and no action is needed.</w:t>
      </w:r>
    </w:p>
    <w:tbl>
      <w:tblPr>
        <w:tblStyle w:val="TableGrid"/>
        <w:tblW w:w="14305" w:type="dxa"/>
        <w:tblLayout w:type="fixed"/>
        <w:tblLook w:val="04A0" w:firstRow="1" w:lastRow="0" w:firstColumn="1" w:lastColumn="0" w:noHBand="0" w:noVBand="1"/>
        <w:tblDescription w:val="Public comments and CDE-recommended action."/>
      </w:tblPr>
      <w:tblGrid>
        <w:gridCol w:w="805"/>
        <w:gridCol w:w="2070"/>
        <w:gridCol w:w="1620"/>
        <w:gridCol w:w="4860"/>
        <w:gridCol w:w="4950"/>
      </w:tblGrid>
      <w:tr w:rsidR="00B6742A" w:rsidRPr="000D770C" w14:paraId="70A8BBAC" w14:textId="14B6A99A" w:rsidTr="008F1215">
        <w:trPr>
          <w:cantSplit/>
          <w:tblHeader/>
        </w:trPr>
        <w:tc>
          <w:tcPr>
            <w:tcW w:w="805" w:type="dxa"/>
            <w:shd w:val="clear" w:color="auto" w:fill="D9D9D9" w:themeFill="background1" w:themeFillShade="D9"/>
          </w:tcPr>
          <w:p w14:paraId="5AFC7B24" w14:textId="77777777" w:rsidR="00B6742A" w:rsidRPr="000D770C" w:rsidRDefault="00B6742A" w:rsidP="00E9214E">
            <w:pPr>
              <w:tabs>
                <w:tab w:val="left" w:pos="3330"/>
              </w:tabs>
              <w:spacing w:after="240"/>
              <w:rPr>
                <w:rFonts w:ascii="Arial" w:hAnsi="Arial" w:cs="Arial"/>
                <w:b/>
                <w:bCs/>
                <w:sz w:val="24"/>
                <w:szCs w:val="24"/>
              </w:rPr>
            </w:pPr>
            <w:r w:rsidRPr="000D770C">
              <w:rPr>
                <w:rFonts w:ascii="Arial" w:hAnsi="Arial" w:cs="Arial"/>
                <w:b/>
                <w:bCs/>
                <w:sz w:val="24"/>
                <w:szCs w:val="24"/>
              </w:rPr>
              <w:lastRenderedPageBreak/>
              <w:t>#</w:t>
            </w:r>
          </w:p>
        </w:tc>
        <w:tc>
          <w:tcPr>
            <w:tcW w:w="2070" w:type="dxa"/>
            <w:shd w:val="clear" w:color="auto" w:fill="D9D9D9" w:themeFill="background1" w:themeFillShade="D9"/>
          </w:tcPr>
          <w:p w14:paraId="67D63D4F" w14:textId="77777777" w:rsidR="00B6742A" w:rsidRPr="000D770C" w:rsidRDefault="00B6742A" w:rsidP="00E9214E">
            <w:pPr>
              <w:tabs>
                <w:tab w:val="left" w:pos="3330"/>
              </w:tabs>
              <w:spacing w:after="240"/>
              <w:rPr>
                <w:rFonts w:ascii="Arial" w:hAnsi="Arial" w:cs="Arial"/>
                <w:b/>
                <w:bCs/>
                <w:sz w:val="24"/>
                <w:szCs w:val="24"/>
              </w:rPr>
            </w:pPr>
            <w:r w:rsidRPr="000D770C">
              <w:rPr>
                <w:rFonts w:ascii="Arial" w:hAnsi="Arial" w:cs="Arial"/>
                <w:b/>
                <w:bCs/>
                <w:sz w:val="24"/>
                <w:szCs w:val="24"/>
              </w:rPr>
              <w:t>Source</w:t>
            </w:r>
          </w:p>
        </w:tc>
        <w:tc>
          <w:tcPr>
            <w:tcW w:w="1620" w:type="dxa"/>
            <w:shd w:val="clear" w:color="auto" w:fill="D9D9D9" w:themeFill="background1" w:themeFillShade="D9"/>
          </w:tcPr>
          <w:p w14:paraId="6D74EAC0" w14:textId="17619775" w:rsidR="00B6742A" w:rsidRPr="000D770C" w:rsidRDefault="00B6742A" w:rsidP="006474AB">
            <w:pPr>
              <w:tabs>
                <w:tab w:val="left" w:pos="3330"/>
              </w:tabs>
              <w:spacing w:after="120"/>
              <w:rPr>
                <w:rFonts w:ascii="Arial" w:hAnsi="Arial" w:cs="Arial"/>
                <w:b/>
                <w:bCs/>
                <w:sz w:val="24"/>
                <w:szCs w:val="24"/>
              </w:rPr>
            </w:pPr>
            <w:r w:rsidRPr="000D770C">
              <w:rPr>
                <w:rFonts w:ascii="Arial" w:hAnsi="Arial" w:cs="Arial"/>
                <w:b/>
                <w:bCs/>
                <w:sz w:val="24"/>
                <w:szCs w:val="24"/>
              </w:rPr>
              <w:t xml:space="preserve">Type and/or </w:t>
            </w:r>
            <w:r w:rsidR="006474AB">
              <w:rPr>
                <w:rFonts w:ascii="Arial" w:hAnsi="Arial" w:cs="Arial"/>
                <w:b/>
                <w:bCs/>
                <w:sz w:val="24"/>
                <w:szCs w:val="24"/>
              </w:rPr>
              <w:t>L</w:t>
            </w:r>
            <w:r w:rsidRPr="000D770C">
              <w:rPr>
                <w:rFonts w:ascii="Arial" w:hAnsi="Arial" w:cs="Arial"/>
                <w:b/>
                <w:bCs/>
                <w:sz w:val="24"/>
                <w:szCs w:val="24"/>
              </w:rPr>
              <w:t>ocation</w:t>
            </w:r>
          </w:p>
        </w:tc>
        <w:tc>
          <w:tcPr>
            <w:tcW w:w="4860" w:type="dxa"/>
            <w:shd w:val="clear" w:color="auto" w:fill="D9D9D9" w:themeFill="background1" w:themeFillShade="D9"/>
          </w:tcPr>
          <w:p w14:paraId="63083D73" w14:textId="4F099B25" w:rsidR="00B6742A" w:rsidRPr="000D770C" w:rsidRDefault="00B6742A" w:rsidP="00E9214E">
            <w:pPr>
              <w:tabs>
                <w:tab w:val="left" w:pos="3330"/>
              </w:tabs>
              <w:spacing w:after="240"/>
              <w:rPr>
                <w:rFonts w:ascii="Arial" w:hAnsi="Arial" w:cs="Arial"/>
                <w:b/>
                <w:bCs/>
                <w:sz w:val="24"/>
                <w:szCs w:val="24"/>
              </w:rPr>
            </w:pPr>
            <w:r w:rsidRPr="000D770C">
              <w:rPr>
                <w:rFonts w:ascii="Arial" w:hAnsi="Arial" w:cs="Arial"/>
                <w:b/>
                <w:bCs/>
                <w:sz w:val="24"/>
                <w:szCs w:val="24"/>
              </w:rPr>
              <w:t>Comments</w:t>
            </w:r>
          </w:p>
        </w:tc>
        <w:tc>
          <w:tcPr>
            <w:tcW w:w="4950" w:type="dxa"/>
            <w:shd w:val="clear" w:color="auto" w:fill="D9D9D9" w:themeFill="background1" w:themeFillShade="D9"/>
          </w:tcPr>
          <w:p w14:paraId="1487C474" w14:textId="15FC1FE6" w:rsidR="00B6742A" w:rsidRPr="000D770C" w:rsidRDefault="002422D5" w:rsidP="00E9214E">
            <w:pPr>
              <w:tabs>
                <w:tab w:val="left" w:pos="3330"/>
              </w:tabs>
              <w:spacing w:after="240"/>
              <w:rPr>
                <w:rFonts w:ascii="Arial" w:hAnsi="Arial" w:cs="Arial"/>
                <w:b/>
                <w:bCs/>
                <w:sz w:val="24"/>
                <w:szCs w:val="24"/>
              </w:rPr>
            </w:pPr>
            <w:r w:rsidRPr="000D770C">
              <w:rPr>
                <w:rFonts w:ascii="Arial" w:hAnsi="Arial" w:cs="Arial"/>
                <w:b/>
                <w:bCs/>
                <w:sz w:val="24"/>
                <w:szCs w:val="24"/>
              </w:rPr>
              <w:t>Recommend</w:t>
            </w:r>
            <w:r w:rsidR="00976BEB" w:rsidRPr="000D770C">
              <w:rPr>
                <w:rFonts w:ascii="Arial" w:hAnsi="Arial" w:cs="Arial"/>
                <w:b/>
                <w:bCs/>
                <w:sz w:val="24"/>
                <w:szCs w:val="24"/>
              </w:rPr>
              <w:t>ed Action</w:t>
            </w:r>
          </w:p>
        </w:tc>
      </w:tr>
      <w:tr w:rsidR="00B6742A" w:rsidRPr="000D770C" w14:paraId="15598309" w14:textId="7E3D213A" w:rsidTr="008F1215">
        <w:trPr>
          <w:cantSplit/>
        </w:trPr>
        <w:tc>
          <w:tcPr>
            <w:tcW w:w="805" w:type="dxa"/>
          </w:tcPr>
          <w:p w14:paraId="1841F329" w14:textId="7A86F181" w:rsidR="00B6742A" w:rsidRPr="000D770C" w:rsidRDefault="00B6742A" w:rsidP="00E9214E">
            <w:pPr>
              <w:tabs>
                <w:tab w:val="left" w:pos="3330"/>
              </w:tabs>
              <w:rPr>
                <w:rFonts w:ascii="Arial" w:hAnsi="Arial" w:cs="Arial"/>
                <w:sz w:val="24"/>
                <w:szCs w:val="24"/>
              </w:rPr>
            </w:pPr>
            <w:r w:rsidRPr="000D770C">
              <w:rPr>
                <w:rFonts w:ascii="Arial" w:hAnsi="Arial" w:cs="Arial"/>
                <w:sz w:val="24"/>
                <w:szCs w:val="24"/>
              </w:rPr>
              <w:t>1</w:t>
            </w:r>
          </w:p>
        </w:tc>
        <w:tc>
          <w:tcPr>
            <w:tcW w:w="2070" w:type="dxa"/>
          </w:tcPr>
          <w:p w14:paraId="0BBD3E5D" w14:textId="1EC01235" w:rsidR="00B6742A" w:rsidRPr="000D770C" w:rsidRDefault="00B6742A" w:rsidP="00E9214E">
            <w:pPr>
              <w:tabs>
                <w:tab w:val="left" w:pos="3330"/>
              </w:tabs>
              <w:rPr>
                <w:rFonts w:ascii="Arial" w:hAnsi="Arial" w:cs="Arial"/>
                <w:sz w:val="24"/>
                <w:szCs w:val="24"/>
              </w:rPr>
            </w:pPr>
            <w:r w:rsidRPr="000D770C">
              <w:rPr>
                <w:rFonts w:ascii="Arial" w:hAnsi="Arial" w:cs="Arial"/>
                <w:sz w:val="24"/>
                <w:szCs w:val="24"/>
              </w:rPr>
              <w:t>10-9-25 Gildea (Economics teacher)</w:t>
            </w:r>
          </w:p>
        </w:tc>
        <w:tc>
          <w:tcPr>
            <w:tcW w:w="1620" w:type="dxa"/>
          </w:tcPr>
          <w:p w14:paraId="4106CB10" w14:textId="77D86F78" w:rsidR="00B6742A" w:rsidRPr="000D770C" w:rsidRDefault="00CE2AF4" w:rsidP="00E9214E">
            <w:pPr>
              <w:tabs>
                <w:tab w:val="left" w:pos="3330"/>
              </w:tabs>
              <w:rPr>
                <w:rFonts w:ascii="Arial" w:hAnsi="Arial" w:cs="Arial"/>
                <w:sz w:val="24"/>
                <w:szCs w:val="24"/>
              </w:rPr>
            </w:pPr>
            <w:r>
              <w:rPr>
                <w:rFonts w:ascii="Arial" w:hAnsi="Arial" w:cs="Arial"/>
                <w:sz w:val="24"/>
                <w:szCs w:val="24"/>
              </w:rPr>
              <w:t>Not provided</w:t>
            </w:r>
          </w:p>
        </w:tc>
        <w:tc>
          <w:tcPr>
            <w:tcW w:w="4860" w:type="dxa"/>
          </w:tcPr>
          <w:p w14:paraId="0ACA6677" w14:textId="77777777" w:rsidR="00B6742A" w:rsidRPr="000D770C" w:rsidRDefault="00B6742A" w:rsidP="00E9214E">
            <w:pPr>
              <w:spacing w:after="240"/>
              <w:rPr>
                <w:rFonts w:ascii="Arial" w:hAnsi="Arial" w:cs="Arial"/>
                <w:color w:val="000000"/>
                <w:sz w:val="24"/>
                <w:szCs w:val="24"/>
              </w:rPr>
            </w:pPr>
            <w:r w:rsidRPr="000D770C">
              <w:rPr>
                <w:rFonts w:ascii="Arial" w:hAnsi="Arial" w:cs="Arial"/>
                <w:color w:val="000000"/>
                <w:sz w:val="24"/>
                <w:szCs w:val="24"/>
              </w:rPr>
              <w:t>Since the Personal Finance course will be a “semester” course, time is limited, and the topics should be financial categories that are relevant to students age and accessibility to what they need in their early financial lives. Investing and building wealth is not relevant to this age group. They need a “survival” guide to personal finance not a portfolio of investments. Students at this age do not have the monetary capital to participate in stocks and bonds. The list below are the extremely important topics.</w:t>
            </w:r>
          </w:p>
          <w:p w14:paraId="7DAA4F4B" w14:textId="03AD87FD" w:rsidR="00B6742A" w:rsidRPr="000D770C" w:rsidRDefault="00B6742A" w:rsidP="00E9214E">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#1 Banking Basics </w:t>
            </w:r>
            <w:r w:rsidRPr="000D770C">
              <w:rPr>
                <w:rFonts w:ascii="Arial" w:hAnsi="Arial" w:cs="Arial"/>
                <w:color w:val="000000"/>
                <w:sz w:val="24"/>
                <w:szCs w:val="24"/>
              </w:rPr>
              <w:t>…</w:t>
            </w:r>
          </w:p>
          <w:p w14:paraId="09B0EBE2" w14:textId="77777777" w:rsidR="00B6742A" w:rsidRPr="000D770C" w:rsidRDefault="00B6742A" w:rsidP="00E9214E">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#2 Budgeting </w:t>
            </w:r>
            <w:r w:rsidRPr="000D770C">
              <w:rPr>
                <w:rFonts w:ascii="Arial" w:hAnsi="Arial" w:cs="Arial"/>
                <w:color w:val="000000"/>
                <w:sz w:val="24"/>
                <w:szCs w:val="24"/>
              </w:rPr>
              <w:t>– …</w:t>
            </w:r>
          </w:p>
          <w:p w14:paraId="6355E57C" w14:textId="2FB910FD" w:rsidR="00B6742A" w:rsidRPr="000D770C" w:rsidRDefault="00B6742A" w:rsidP="00E9214E">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#3 – Credit and Debt Management </w:t>
            </w:r>
            <w:r w:rsidRPr="000D770C">
              <w:rPr>
                <w:rFonts w:ascii="Arial" w:hAnsi="Arial" w:cs="Arial"/>
                <w:color w:val="000000"/>
                <w:sz w:val="24"/>
                <w:szCs w:val="24"/>
              </w:rPr>
              <w:t>–</w:t>
            </w:r>
            <w:r w:rsidR="005E6569">
              <w:rPr>
                <w:rFonts w:ascii="Arial" w:hAnsi="Arial" w:cs="Arial"/>
                <w:color w:val="000000"/>
                <w:sz w:val="24"/>
                <w:szCs w:val="24"/>
              </w:rPr>
              <w:t xml:space="preserve"> </w:t>
            </w:r>
            <w:r w:rsidRPr="000D770C">
              <w:rPr>
                <w:rFonts w:ascii="Arial" w:hAnsi="Arial" w:cs="Arial"/>
                <w:color w:val="000000"/>
                <w:sz w:val="24"/>
                <w:szCs w:val="24"/>
              </w:rPr>
              <w:t>This is the most important unit in the entire course. Students must understand how a FICO score works, how to establish their credit to maintain a high FICO score and what options they have when they cannot pay their debts. Understand your rights if a bill collector contacts you. Understanding how bankruptcy works and why it may be an option. Most of the adult world know nothing about this topic.</w:t>
            </w:r>
          </w:p>
          <w:p w14:paraId="7151C293" w14:textId="73680EA1" w:rsidR="00B6742A" w:rsidRPr="005E6569" w:rsidRDefault="00B6742A" w:rsidP="00E9214E">
            <w:pPr>
              <w:autoSpaceDE w:val="0"/>
              <w:autoSpaceDN w:val="0"/>
              <w:adjustRightInd w:val="0"/>
              <w:rPr>
                <w:rFonts w:ascii="Arial" w:hAnsi="Arial" w:cs="Arial"/>
                <w:b/>
                <w:bCs/>
                <w:color w:val="000000"/>
                <w:sz w:val="24"/>
                <w:szCs w:val="24"/>
              </w:rPr>
            </w:pPr>
            <w:r w:rsidRPr="005E6569">
              <w:rPr>
                <w:rFonts w:ascii="Arial" w:hAnsi="Arial" w:cs="Arial"/>
                <w:b/>
                <w:bCs/>
                <w:color w:val="000000"/>
                <w:sz w:val="24"/>
                <w:szCs w:val="24"/>
              </w:rPr>
              <w:t>#4 – Loans and Student Debt – ….</w:t>
            </w:r>
          </w:p>
          <w:p w14:paraId="68A27D42" w14:textId="04607D78" w:rsidR="00B6742A" w:rsidRPr="005E6569" w:rsidRDefault="00B6742A" w:rsidP="00E9214E">
            <w:pPr>
              <w:autoSpaceDE w:val="0"/>
              <w:autoSpaceDN w:val="0"/>
              <w:adjustRightInd w:val="0"/>
              <w:rPr>
                <w:rFonts w:ascii="Arial" w:hAnsi="Arial" w:cs="Arial"/>
                <w:b/>
                <w:bCs/>
                <w:color w:val="000000"/>
                <w:sz w:val="24"/>
                <w:szCs w:val="24"/>
              </w:rPr>
            </w:pPr>
            <w:r w:rsidRPr="005E6569">
              <w:rPr>
                <w:rFonts w:ascii="Arial" w:hAnsi="Arial" w:cs="Arial"/>
                <w:b/>
                <w:bCs/>
                <w:color w:val="000000"/>
                <w:sz w:val="24"/>
                <w:szCs w:val="24"/>
              </w:rPr>
              <w:t>#5 – Insurance – …</w:t>
            </w:r>
          </w:p>
          <w:p w14:paraId="3CAC308F" w14:textId="04BA1FF1" w:rsidR="00B6742A" w:rsidRPr="005E6569" w:rsidRDefault="00B6742A" w:rsidP="00E9214E">
            <w:pPr>
              <w:autoSpaceDE w:val="0"/>
              <w:autoSpaceDN w:val="0"/>
              <w:adjustRightInd w:val="0"/>
              <w:rPr>
                <w:rFonts w:ascii="Arial" w:hAnsi="Arial" w:cs="Arial"/>
                <w:b/>
                <w:bCs/>
                <w:color w:val="000000"/>
                <w:sz w:val="24"/>
                <w:szCs w:val="24"/>
              </w:rPr>
            </w:pPr>
            <w:r w:rsidRPr="005E6569">
              <w:rPr>
                <w:rFonts w:ascii="Arial" w:hAnsi="Arial" w:cs="Arial"/>
                <w:b/>
                <w:bCs/>
                <w:color w:val="000000"/>
                <w:sz w:val="24"/>
                <w:szCs w:val="24"/>
              </w:rPr>
              <w:t>#6 – Taxes – …</w:t>
            </w:r>
          </w:p>
          <w:p w14:paraId="616E1174" w14:textId="34CFA0C9" w:rsidR="00B6742A" w:rsidRPr="000D770C" w:rsidRDefault="00B6742A" w:rsidP="00E9214E">
            <w:pPr>
              <w:rPr>
                <w:rFonts w:ascii="Arial" w:hAnsi="Arial" w:cs="Arial"/>
                <w:sz w:val="24"/>
                <w:szCs w:val="24"/>
              </w:rPr>
            </w:pPr>
            <w:r w:rsidRPr="005E6569">
              <w:rPr>
                <w:rFonts w:ascii="Arial" w:hAnsi="Arial" w:cs="Arial"/>
                <w:b/>
                <w:bCs/>
                <w:color w:val="000000"/>
                <w:sz w:val="24"/>
                <w:szCs w:val="24"/>
              </w:rPr>
              <w:t>#7 –</w:t>
            </w:r>
            <w:r w:rsidRPr="000D770C">
              <w:rPr>
                <w:rFonts w:ascii="Arial" w:hAnsi="Arial" w:cs="Arial"/>
                <w:b/>
                <w:bCs/>
                <w:color w:val="000000"/>
                <w:sz w:val="24"/>
                <w:szCs w:val="24"/>
              </w:rPr>
              <w:t xml:space="preserve"> Predatory Lending </w:t>
            </w:r>
            <w:r w:rsidRPr="000D770C">
              <w:rPr>
                <w:rFonts w:ascii="Arial" w:hAnsi="Arial" w:cs="Arial"/>
                <w:color w:val="000000"/>
                <w:sz w:val="24"/>
                <w:szCs w:val="24"/>
              </w:rPr>
              <w:t>– …</w:t>
            </w:r>
          </w:p>
        </w:tc>
        <w:tc>
          <w:tcPr>
            <w:tcW w:w="4950" w:type="dxa"/>
          </w:tcPr>
          <w:p w14:paraId="66113E6B" w14:textId="03981F0D" w:rsidR="00B6742A" w:rsidRPr="000D770C" w:rsidRDefault="00B6742A" w:rsidP="00E9214E">
            <w:pPr>
              <w:rPr>
                <w:rFonts w:ascii="Arial" w:hAnsi="Arial" w:cs="Arial"/>
                <w:sz w:val="24"/>
                <w:szCs w:val="24"/>
              </w:rPr>
            </w:pPr>
            <w:r w:rsidRPr="000D770C">
              <w:rPr>
                <w:rFonts w:ascii="Arial" w:hAnsi="Arial" w:cs="Arial"/>
                <w:sz w:val="24"/>
                <w:szCs w:val="24"/>
              </w:rPr>
              <w:t>Not Actionable</w:t>
            </w:r>
          </w:p>
          <w:p w14:paraId="057C818B" w14:textId="5A538E94" w:rsidR="00B6742A" w:rsidRPr="000D770C" w:rsidRDefault="009A26FA" w:rsidP="00E9214E">
            <w:pPr>
              <w:rPr>
                <w:rFonts w:ascii="Arial" w:hAnsi="Arial" w:cs="Arial"/>
                <w:sz w:val="24"/>
                <w:szCs w:val="24"/>
              </w:rPr>
            </w:pPr>
            <w:r w:rsidRPr="000D770C">
              <w:rPr>
                <w:rFonts w:ascii="Arial" w:hAnsi="Arial" w:cs="Arial"/>
                <w:sz w:val="24"/>
                <w:szCs w:val="24"/>
              </w:rPr>
              <w:t>Topics are enshrined in legislation.</w:t>
            </w:r>
          </w:p>
        </w:tc>
      </w:tr>
      <w:tr w:rsidR="00CE2AF4" w:rsidRPr="000D770C" w14:paraId="30A64B1B" w14:textId="089A852E" w:rsidTr="008F1215">
        <w:trPr>
          <w:cantSplit/>
        </w:trPr>
        <w:tc>
          <w:tcPr>
            <w:tcW w:w="805" w:type="dxa"/>
          </w:tcPr>
          <w:p w14:paraId="01AC4574" w14:textId="4C0604A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w:t>
            </w:r>
          </w:p>
        </w:tc>
        <w:tc>
          <w:tcPr>
            <w:tcW w:w="2070" w:type="dxa"/>
          </w:tcPr>
          <w:p w14:paraId="48F1178E" w14:textId="4D55185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10-9-25 Cuevas (CTE Business and Finance teacher)</w:t>
            </w:r>
          </w:p>
        </w:tc>
        <w:tc>
          <w:tcPr>
            <w:tcW w:w="1620" w:type="dxa"/>
          </w:tcPr>
          <w:p w14:paraId="754777E8" w14:textId="63F6CA47"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1CFEC3A" w14:textId="5493B6DE" w:rsidR="00CE2AF4" w:rsidRPr="000D770C" w:rsidRDefault="00CE2AF4" w:rsidP="00CE2AF4">
            <w:pPr>
              <w:rPr>
                <w:rFonts w:ascii="Arial" w:hAnsi="Arial" w:cs="Arial"/>
                <w:sz w:val="24"/>
                <w:szCs w:val="24"/>
              </w:rPr>
            </w:pPr>
            <w:r w:rsidRPr="000D770C">
              <w:rPr>
                <w:rFonts w:ascii="Arial" w:eastAsia="Times New Roman" w:hAnsi="Arial" w:cs="Arial"/>
                <w:color w:val="000000"/>
                <w:sz w:val="24"/>
                <w:szCs w:val="24"/>
              </w:rPr>
              <w:t>“I am writing to respectfully request that the California Department of Education expand the credential eligibility parameters under AB 2927 to allow teachers holding a Career Technical Education (CTE) Business and Finance credential to teach the new Personal Finance graduation requirement.”</w:t>
            </w:r>
          </w:p>
        </w:tc>
        <w:tc>
          <w:tcPr>
            <w:tcW w:w="4950" w:type="dxa"/>
          </w:tcPr>
          <w:p w14:paraId="15A53FC9" w14:textId="3FACB32C"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6B2BC1D3" w14:textId="7F8CB1F8" w:rsidR="00CE2AF4" w:rsidRPr="000D770C" w:rsidRDefault="00CE2AF4" w:rsidP="00CE2AF4">
            <w:pPr>
              <w:rPr>
                <w:rFonts w:ascii="Arial" w:hAnsi="Arial" w:cs="Arial"/>
                <w:sz w:val="24"/>
                <w:szCs w:val="24"/>
              </w:rPr>
            </w:pPr>
            <w:r w:rsidRPr="000D770C">
              <w:rPr>
                <w:rFonts w:ascii="Arial" w:hAnsi="Arial" w:cs="Arial"/>
                <w:sz w:val="24"/>
                <w:szCs w:val="24"/>
              </w:rPr>
              <w:t>Requires legislation</w:t>
            </w:r>
          </w:p>
        </w:tc>
      </w:tr>
      <w:tr w:rsidR="00CE2AF4" w:rsidRPr="000D770C" w14:paraId="0A7ACDCC" w14:textId="6B3FBCDB" w:rsidTr="008F1215">
        <w:trPr>
          <w:cantSplit/>
        </w:trPr>
        <w:tc>
          <w:tcPr>
            <w:tcW w:w="805" w:type="dxa"/>
          </w:tcPr>
          <w:p w14:paraId="78909DD9" w14:textId="77F06BD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3</w:t>
            </w:r>
          </w:p>
        </w:tc>
        <w:tc>
          <w:tcPr>
            <w:tcW w:w="2070" w:type="dxa"/>
          </w:tcPr>
          <w:p w14:paraId="7C817019"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10-9-25</w:t>
            </w:r>
          </w:p>
          <w:p w14:paraId="5F049095" w14:textId="4109D62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Russo (Business teacher)</w:t>
            </w:r>
          </w:p>
        </w:tc>
        <w:tc>
          <w:tcPr>
            <w:tcW w:w="1620" w:type="dxa"/>
          </w:tcPr>
          <w:p w14:paraId="1858A719" w14:textId="3D09DC60"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1C0F1A90" w14:textId="41DB46C1"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color w:val="000000"/>
                <w:sz w:val="24"/>
                <w:szCs w:val="24"/>
              </w:rPr>
              <w:t>“We must add the CTE business credential to the list of teachers allowed to teach the required personal finance course.“</w:t>
            </w:r>
          </w:p>
        </w:tc>
        <w:tc>
          <w:tcPr>
            <w:tcW w:w="4950" w:type="dxa"/>
          </w:tcPr>
          <w:p w14:paraId="6446FA21" w14:textId="54EFFD05"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06A3EC74" w14:textId="3DA43918" w:rsidR="00CE2AF4" w:rsidRPr="000D770C" w:rsidRDefault="00CE2AF4" w:rsidP="00CE2AF4">
            <w:pPr>
              <w:rPr>
                <w:rFonts w:ascii="Arial" w:hAnsi="Arial" w:cs="Arial"/>
                <w:sz w:val="24"/>
                <w:szCs w:val="24"/>
              </w:rPr>
            </w:pPr>
            <w:r w:rsidRPr="000D770C">
              <w:rPr>
                <w:rFonts w:ascii="Arial" w:hAnsi="Arial" w:cs="Arial"/>
                <w:sz w:val="24"/>
                <w:szCs w:val="24"/>
              </w:rPr>
              <w:t>Requires legislation</w:t>
            </w:r>
          </w:p>
        </w:tc>
      </w:tr>
      <w:tr w:rsidR="00CE2AF4" w:rsidRPr="000D770C" w14:paraId="6F191BB6" w14:textId="4C9D8B2E" w:rsidTr="008F1215">
        <w:trPr>
          <w:cantSplit/>
        </w:trPr>
        <w:tc>
          <w:tcPr>
            <w:tcW w:w="805" w:type="dxa"/>
          </w:tcPr>
          <w:p w14:paraId="455F75F4" w14:textId="5D66AE7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4</w:t>
            </w:r>
          </w:p>
        </w:tc>
        <w:tc>
          <w:tcPr>
            <w:tcW w:w="2070" w:type="dxa"/>
          </w:tcPr>
          <w:p w14:paraId="66A87CF2"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10-9-25</w:t>
            </w:r>
          </w:p>
          <w:p w14:paraId="7A3CEF39" w14:textId="3A786F2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Elliott (Business teacher)</w:t>
            </w:r>
          </w:p>
        </w:tc>
        <w:tc>
          <w:tcPr>
            <w:tcW w:w="1620" w:type="dxa"/>
          </w:tcPr>
          <w:p w14:paraId="6B08EDFB" w14:textId="0D45B770"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09E9724" w14:textId="1436275E"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color w:val="000000"/>
                <w:sz w:val="24"/>
                <w:szCs w:val="24"/>
              </w:rPr>
              <w:t>“We must add the CTE business credential to the list of teachers allowed to teach the required personal finance course.“</w:t>
            </w:r>
          </w:p>
        </w:tc>
        <w:tc>
          <w:tcPr>
            <w:tcW w:w="4950" w:type="dxa"/>
          </w:tcPr>
          <w:p w14:paraId="3FFEFEE0" w14:textId="15CA825C"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39BC279E" w14:textId="61250170" w:rsidR="00CE2AF4" w:rsidRPr="000D770C" w:rsidRDefault="00CE2AF4" w:rsidP="00CE2AF4">
            <w:pPr>
              <w:rPr>
                <w:rFonts w:ascii="Arial" w:hAnsi="Arial" w:cs="Arial"/>
                <w:sz w:val="24"/>
                <w:szCs w:val="24"/>
              </w:rPr>
            </w:pPr>
            <w:r w:rsidRPr="000D770C">
              <w:rPr>
                <w:rFonts w:ascii="Arial" w:hAnsi="Arial" w:cs="Arial"/>
                <w:sz w:val="24"/>
                <w:szCs w:val="24"/>
              </w:rPr>
              <w:t>Requires legislation</w:t>
            </w:r>
          </w:p>
        </w:tc>
      </w:tr>
      <w:tr w:rsidR="00CE2AF4" w:rsidRPr="000D770C" w14:paraId="7D4C8BE1" w14:textId="09CAD34E" w:rsidTr="008F1215">
        <w:trPr>
          <w:cantSplit/>
        </w:trPr>
        <w:tc>
          <w:tcPr>
            <w:tcW w:w="805" w:type="dxa"/>
          </w:tcPr>
          <w:p w14:paraId="3CA032A4" w14:textId="473EDE8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5</w:t>
            </w:r>
          </w:p>
        </w:tc>
        <w:tc>
          <w:tcPr>
            <w:tcW w:w="2070" w:type="dxa"/>
          </w:tcPr>
          <w:p w14:paraId="6101166D"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10-10-25</w:t>
            </w:r>
          </w:p>
          <w:p w14:paraId="68C38EA6" w14:textId="3F1FDCE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Miller (Principal, ROP)</w:t>
            </w:r>
          </w:p>
        </w:tc>
        <w:tc>
          <w:tcPr>
            <w:tcW w:w="1620" w:type="dxa"/>
          </w:tcPr>
          <w:p w14:paraId="27D709AE" w14:textId="1ADFEFA6"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7F9B20F6" w14:textId="74E3C914" w:rsidR="00CE2AF4" w:rsidRPr="000D770C" w:rsidRDefault="00CE2AF4" w:rsidP="00CE2AF4">
            <w:pPr>
              <w:rPr>
                <w:rFonts w:ascii="Arial" w:hAnsi="Arial" w:cs="Arial"/>
                <w:sz w:val="24"/>
                <w:szCs w:val="24"/>
              </w:rPr>
            </w:pPr>
            <w:r w:rsidRPr="000D770C">
              <w:rPr>
                <w:rFonts w:ascii="Arial" w:hAnsi="Arial" w:cs="Arial"/>
                <w:color w:val="000000"/>
                <w:sz w:val="24"/>
                <w:szCs w:val="24"/>
              </w:rPr>
              <w:t>“… writing to respectfully request that the Commission on Teacher Credentialing expand the list of authorized credentials to include teachers holding a Designated Subjects Career Technical Education (CTE) credential in the Business and Finance sector</w:t>
            </w:r>
            <w:r>
              <w:rPr>
                <w:rFonts w:ascii="Arial" w:hAnsi="Arial" w:cs="Arial"/>
                <w:color w:val="000000"/>
                <w:sz w:val="24"/>
                <w:szCs w:val="24"/>
              </w:rPr>
              <w:t xml:space="preserve"> </w:t>
            </w:r>
            <w:r w:rsidRPr="000D770C">
              <w:rPr>
                <w:rFonts w:ascii="Arial" w:hAnsi="Arial" w:cs="Arial"/>
                <w:color w:val="000000"/>
                <w:sz w:val="24"/>
                <w:szCs w:val="24"/>
              </w:rPr>
              <w:t>as eligible to teach the new Personal Finance</w:t>
            </w:r>
            <w:r>
              <w:rPr>
                <w:rFonts w:ascii="Arial" w:hAnsi="Arial" w:cs="Arial"/>
                <w:color w:val="000000"/>
                <w:sz w:val="24"/>
                <w:szCs w:val="24"/>
              </w:rPr>
              <w:t xml:space="preserve"> </w:t>
            </w:r>
            <w:r w:rsidRPr="000D770C">
              <w:rPr>
                <w:rFonts w:ascii="Arial" w:hAnsi="Arial" w:cs="Arial"/>
                <w:color w:val="000000"/>
                <w:sz w:val="24"/>
                <w:szCs w:val="24"/>
              </w:rPr>
              <w:t>course established under Assembly Bill 2927.”</w:t>
            </w:r>
          </w:p>
        </w:tc>
        <w:tc>
          <w:tcPr>
            <w:tcW w:w="4950" w:type="dxa"/>
          </w:tcPr>
          <w:p w14:paraId="10FDCC2A" w14:textId="14F7B939"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392A087F" w14:textId="2BE6E404" w:rsidR="00CE2AF4" w:rsidRPr="000D770C" w:rsidRDefault="00CE2AF4" w:rsidP="00CE2AF4">
            <w:pPr>
              <w:rPr>
                <w:rFonts w:ascii="Arial" w:hAnsi="Arial" w:cs="Arial"/>
                <w:sz w:val="24"/>
                <w:szCs w:val="24"/>
              </w:rPr>
            </w:pPr>
            <w:r w:rsidRPr="000D770C">
              <w:rPr>
                <w:rFonts w:ascii="Arial" w:hAnsi="Arial" w:cs="Arial"/>
                <w:sz w:val="24"/>
                <w:szCs w:val="24"/>
              </w:rPr>
              <w:t>Requires legislation</w:t>
            </w:r>
          </w:p>
        </w:tc>
      </w:tr>
      <w:tr w:rsidR="00CE2AF4" w:rsidRPr="000D770C" w14:paraId="5E79AA0E" w14:textId="6F3BE2A7" w:rsidTr="008F1215">
        <w:trPr>
          <w:cantSplit/>
        </w:trPr>
        <w:tc>
          <w:tcPr>
            <w:tcW w:w="805" w:type="dxa"/>
          </w:tcPr>
          <w:p w14:paraId="146C1EDB" w14:textId="51EB7A5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6</w:t>
            </w:r>
          </w:p>
        </w:tc>
        <w:tc>
          <w:tcPr>
            <w:tcW w:w="2070" w:type="dxa"/>
          </w:tcPr>
          <w:p w14:paraId="3672A1A7"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10-14-25</w:t>
            </w:r>
          </w:p>
          <w:p w14:paraId="12E86F88" w14:textId="5637C76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Sawhill (Personal Finance teacher)</w:t>
            </w:r>
          </w:p>
        </w:tc>
        <w:tc>
          <w:tcPr>
            <w:tcW w:w="1620" w:type="dxa"/>
          </w:tcPr>
          <w:p w14:paraId="00730C2A" w14:textId="77777777" w:rsidR="00CE2AF4" w:rsidRDefault="00CE2AF4" w:rsidP="00CE2AF4">
            <w:pPr>
              <w:tabs>
                <w:tab w:val="left" w:pos="3330"/>
              </w:tabs>
              <w:rPr>
                <w:rFonts w:ascii="Arial" w:hAnsi="Arial" w:cs="Arial"/>
                <w:sz w:val="24"/>
                <w:szCs w:val="24"/>
              </w:rPr>
            </w:pPr>
            <w:r w:rsidRPr="000D770C">
              <w:rPr>
                <w:rFonts w:ascii="Arial" w:hAnsi="Arial" w:cs="Arial"/>
                <w:sz w:val="24"/>
                <w:szCs w:val="24"/>
              </w:rPr>
              <w:t>Ch 2; Topic 4</w:t>
            </w:r>
          </w:p>
          <w:p w14:paraId="0D683A8A" w14:textId="57EED520" w:rsidR="00CE2AF4" w:rsidRPr="000D770C" w:rsidRDefault="00CE2AF4" w:rsidP="00CE2AF4">
            <w:pPr>
              <w:tabs>
                <w:tab w:val="left" w:pos="3330"/>
              </w:tabs>
              <w:spacing w:after="240"/>
              <w:rPr>
                <w:rFonts w:ascii="Arial" w:hAnsi="Arial" w:cs="Arial"/>
                <w:sz w:val="24"/>
                <w:szCs w:val="24"/>
              </w:rPr>
            </w:pPr>
            <w:r w:rsidRPr="000D770C">
              <w:rPr>
                <w:rFonts w:ascii="Arial" w:hAnsi="Arial" w:cs="Arial"/>
                <w:sz w:val="24"/>
                <w:szCs w:val="24"/>
              </w:rPr>
              <w:t>(p</w:t>
            </w:r>
            <w:r>
              <w:rPr>
                <w:rFonts w:ascii="Arial" w:hAnsi="Arial" w:cs="Arial"/>
                <w:sz w:val="24"/>
                <w:szCs w:val="24"/>
              </w:rPr>
              <w:t>p</w:t>
            </w:r>
            <w:r w:rsidRPr="000D770C">
              <w:rPr>
                <w:rFonts w:ascii="Arial" w:hAnsi="Arial" w:cs="Arial"/>
                <w:sz w:val="24"/>
                <w:szCs w:val="24"/>
              </w:rPr>
              <w:t>.</w:t>
            </w:r>
            <w:r>
              <w:rPr>
                <w:rFonts w:ascii="Arial" w:hAnsi="Arial" w:cs="Arial"/>
                <w:sz w:val="24"/>
                <w:szCs w:val="24"/>
              </w:rPr>
              <w:t> </w:t>
            </w:r>
            <w:r w:rsidRPr="000D770C">
              <w:rPr>
                <w:rFonts w:ascii="Arial" w:hAnsi="Arial" w:cs="Arial"/>
                <w:sz w:val="24"/>
                <w:szCs w:val="24"/>
              </w:rPr>
              <w:t>23–24)</w:t>
            </w:r>
          </w:p>
          <w:p w14:paraId="61DA2E7C" w14:textId="4C1BDF38" w:rsidR="00CE2AF4" w:rsidRPr="000D770C" w:rsidRDefault="00CE2AF4" w:rsidP="00CE2AF4">
            <w:pPr>
              <w:tabs>
                <w:tab w:val="left" w:pos="3330"/>
              </w:tabs>
              <w:spacing w:after="240"/>
              <w:rPr>
                <w:rFonts w:ascii="Arial" w:hAnsi="Arial" w:cs="Arial"/>
                <w:sz w:val="24"/>
                <w:szCs w:val="24"/>
              </w:rPr>
            </w:pPr>
            <w:r w:rsidRPr="000D770C">
              <w:rPr>
                <w:rFonts w:ascii="Arial" w:hAnsi="Arial" w:cs="Arial"/>
                <w:sz w:val="24"/>
                <w:szCs w:val="24"/>
              </w:rPr>
              <w:t>and</w:t>
            </w:r>
          </w:p>
          <w:p w14:paraId="268E0D62" w14:textId="7EAEABC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Other possible locations</w:t>
            </w:r>
          </w:p>
        </w:tc>
        <w:tc>
          <w:tcPr>
            <w:tcW w:w="4860" w:type="dxa"/>
          </w:tcPr>
          <w:p w14:paraId="5C646D33" w14:textId="18D4904E" w:rsidR="00CE2AF4" w:rsidRPr="000D770C" w:rsidRDefault="00CE2AF4" w:rsidP="00CE2AF4">
            <w:pPr>
              <w:tabs>
                <w:tab w:val="left" w:pos="3330"/>
              </w:tabs>
              <w:spacing w:after="240"/>
              <w:rPr>
                <w:rFonts w:ascii="Arial" w:hAnsi="Arial" w:cs="Arial"/>
                <w:sz w:val="24"/>
                <w:szCs w:val="24"/>
              </w:rPr>
            </w:pPr>
            <w:r w:rsidRPr="000D770C">
              <w:rPr>
                <w:rFonts w:ascii="Arial" w:hAnsi="Arial" w:cs="Arial"/>
                <w:sz w:val="24"/>
                <w:szCs w:val="24"/>
              </w:rPr>
              <w:t>“… I want to acknowledge and appreciate the thoughtful work that has gone into creating this guide.  Even if no changes are made, it will serve future generations well.</w:t>
            </w:r>
          </w:p>
          <w:p w14:paraId="3D25E94B" w14:textId="2DB0B0BE" w:rsidR="00CE2AF4" w:rsidRPr="000D770C" w:rsidRDefault="00CE2AF4" w:rsidP="00CE2AF4">
            <w:pPr>
              <w:tabs>
                <w:tab w:val="left" w:pos="3330"/>
              </w:tabs>
              <w:spacing w:after="240"/>
              <w:rPr>
                <w:rFonts w:ascii="Arial" w:hAnsi="Arial" w:cs="Arial"/>
                <w:sz w:val="24"/>
                <w:szCs w:val="24"/>
              </w:rPr>
            </w:pPr>
            <w:r w:rsidRPr="000D770C">
              <w:rPr>
                <w:rFonts w:ascii="Arial" w:hAnsi="Arial" w:cs="Arial"/>
                <w:sz w:val="24"/>
                <w:szCs w:val="24"/>
              </w:rPr>
              <w:t>“ … I believe an important topic is missing, "wills and trusts".  Students should understand not only how these tools protect assets, but also how to help their families organize important information such as assets, liabilities, and account access in the event of a loss.</w:t>
            </w:r>
          </w:p>
          <w:p w14:paraId="5D344777" w14:textId="6E792989" w:rsidR="00CE2AF4" w:rsidRPr="000D770C" w:rsidRDefault="00CE2AF4" w:rsidP="00CE2AF4">
            <w:pPr>
              <w:tabs>
                <w:tab w:val="left" w:pos="3330"/>
              </w:tabs>
              <w:spacing w:after="240"/>
              <w:rPr>
                <w:rFonts w:ascii="Arial" w:hAnsi="Arial" w:cs="Arial"/>
                <w:sz w:val="24"/>
                <w:szCs w:val="24"/>
              </w:rPr>
            </w:pPr>
            <w:r w:rsidRPr="000D770C">
              <w:rPr>
                <w:rFonts w:ascii="Arial" w:hAnsi="Arial" w:cs="Arial"/>
                <w:sz w:val="24"/>
                <w:szCs w:val="24"/>
              </w:rPr>
              <w:t>“… Given the widespread issue of credit card debt, I recommend that credit card education be explicitly referenced in Section (4), alongside managing credit scores, debt, and interest.</w:t>
            </w:r>
          </w:p>
          <w:p w14:paraId="32A42705" w14:textId="7C4B947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 the journey of personal finance begins with employment.  It may be helpful to start the curriculum with practical skills such as interview preparation, professional dress, greetings, applications, and resume writing.</w:t>
            </w:r>
          </w:p>
        </w:tc>
        <w:tc>
          <w:tcPr>
            <w:tcW w:w="4950" w:type="dxa"/>
          </w:tcPr>
          <w:p w14:paraId="14267836" w14:textId="1C0FC9D4"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75BB2C98" w14:textId="426E2EA0" w:rsidTr="008F1215">
        <w:trPr>
          <w:cantSplit/>
        </w:trPr>
        <w:tc>
          <w:tcPr>
            <w:tcW w:w="805" w:type="dxa"/>
          </w:tcPr>
          <w:p w14:paraId="27E0501E" w14:textId="51C2511F"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7</w:t>
            </w:r>
          </w:p>
        </w:tc>
        <w:tc>
          <w:tcPr>
            <w:tcW w:w="2070" w:type="dxa"/>
          </w:tcPr>
          <w:p w14:paraId="437118B3" w14:textId="64CD67DD" w:rsidR="00CE2AF4" w:rsidRDefault="00CE2AF4" w:rsidP="00CE2AF4">
            <w:pPr>
              <w:tabs>
                <w:tab w:val="left" w:pos="3330"/>
              </w:tabs>
              <w:rPr>
                <w:rFonts w:ascii="Arial" w:hAnsi="Arial" w:cs="Arial"/>
                <w:sz w:val="24"/>
                <w:szCs w:val="24"/>
              </w:rPr>
            </w:pPr>
            <w:r w:rsidRPr="000D770C">
              <w:rPr>
                <w:rFonts w:ascii="Arial" w:hAnsi="Arial" w:cs="Arial"/>
                <w:sz w:val="24"/>
                <w:szCs w:val="24"/>
              </w:rPr>
              <w:t>10-20-25</w:t>
            </w:r>
          </w:p>
          <w:p w14:paraId="636E5A6D" w14:textId="76A56DC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Krause (Superintendent)</w:t>
            </w:r>
          </w:p>
        </w:tc>
        <w:tc>
          <w:tcPr>
            <w:tcW w:w="1620" w:type="dxa"/>
          </w:tcPr>
          <w:p w14:paraId="7A525126" w14:textId="267A5795"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28525B9B" w14:textId="6105086B" w:rsidR="00CE2AF4" w:rsidRPr="000D770C" w:rsidRDefault="00CE2AF4" w:rsidP="00CE2AF4">
            <w:pPr>
              <w:pStyle w:val="NormalWeb"/>
              <w:rPr>
                <w:rFonts w:ascii="Arial" w:hAnsi="Arial" w:cs="Arial"/>
                <w:sz w:val="24"/>
                <w:szCs w:val="24"/>
              </w:rPr>
            </w:pPr>
            <w:r w:rsidRPr="000D770C">
              <w:rPr>
                <w:rFonts w:ascii="Arial" w:hAnsi="Arial" w:cs="Arial"/>
                <w:sz w:val="24"/>
                <w:szCs w:val="24"/>
              </w:rPr>
              <w:t>“ … I believe this content can and should be effectively embedded within the existing Economics course. Economics, when taught comprehensively, allows students to understand financial concepts both on a global and personal scale within a one-semester framework.</w:t>
            </w:r>
          </w:p>
          <w:p w14:paraId="7A91168E" w14:textId="6C322626" w:rsidR="00CE2AF4" w:rsidRPr="000D770C" w:rsidRDefault="00CE2AF4" w:rsidP="00CE2AF4">
            <w:pPr>
              <w:pStyle w:val="NormalWeb"/>
              <w:rPr>
                <w:rFonts w:ascii="Arial" w:hAnsi="Arial" w:cs="Arial"/>
                <w:sz w:val="24"/>
                <w:szCs w:val="24"/>
              </w:rPr>
            </w:pPr>
            <w:r w:rsidRPr="000D770C">
              <w:rPr>
                <w:rFonts w:ascii="Arial" w:hAnsi="Arial" w:cs="Arial"/>
                <w:sz w:val="24"/>
                <w:szCs w:val="24"/>
              </w:rPr>
              <w:t>“For small to mid-sized high schools, creating a standalone Personal Finance course would likely require the removal of another course offering. This could lead students and families to view the new requirement as burdensome rather than beneficial. Integrating personal finance within Economics would ensure students gain these essential skills while maintaining a balanced curriculum.</w:t>
            </w:r>
          </w:p>
          <w:p w14:paraId="43001890" w14:textId="3452665A" w:rsidR="00CE2AF4" w:rsidRPr="000D770C" w:rsidRDefault="00CE2AF4" w:rsidP="00CE2AF4">
            <w:pPr>
              <w:pStyle w:val="NormalWeb"/>
              <w:rPr>
                <w:rFonts w:ascii="Arial" w:hAnsi="Arial" w:cs="Arial"/>
                <w:sz w:val="24"/>
                <w:szCs w:val="24"/>
              </w:rPr>
            </w:pPr>
            <w:r w:rsidRPr="000D770C">
              <w:rPr>
                <w:rFonts w:ascii="Arial" w:hAnsi="Arial" w:cs="Arial"/>
                <w:sz w:val="24"/>
                <w:szCs w:val="24"/>
              </w:rPr>
              <w:t>“I respectfully urge reconsideration of this proposal so that Personal Finance instruction is incorporated into the high school Economics curriculum.”</w:t>
            </w:r>
          </w:p>
        </w:tc>
        <w:tc>
          <w:tcPr>
            <w:tcW w:w="4950" w:type="dxa"/>
          </w:tcPr>
          <w:p w14:paraId="6A5658E7"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4BB13D2E" w14:textId="680D0B70" w:rsidR="00CE2AF4" w:rsidRPr="000D770C" w:rsidRDefault="00CE2AF4" w:rsidP="00CE2AF4">
            <w:pPr>
              <w:rPr>
                <w:rFonts w:ascii="Arial" w:hAnsi="Arial" w:cs="Arial"/>
                <w:sz w:val="24"/>
                <w:szCs w:val="24"/>
              </w:rPr>
            </w:pPr>
            <w:r w:rsidRPr="000D770C">
              <w:rPr>
                <w:rFonts w:ascii="Arial" w:hAnsi="Arial" w:cs="Arial"/>
                <w:sz w:val="24"/>
                <w:szCs w:val="24"/>
              </w:rPr>
              <w:t>Requires change to language in AB 2927</w:t>
            </w:r>
          </w:p>
        </w:tc>
      </w:tr>
      <w:tr w:rsidR="00CE2AF4" w:rsidRPr="000D770C" w14:paraId="0273C4D9" w14:textId="3FB04DAC" w:rsidTr="008F1215">
        <w:trPr>
          <w:cantSplit/>
        </w:trPr>
        <w:tc>
          <w:tcPr>
            <w:tcW w:w="805" w:type="dxa"/>
          </w:tcPr>
          <w:p w14:paraId="7954FF56" w14:textId="26AEFE7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8</w:t>
            </w:r>
          </w:p>
        </w:tc>
        <w:tc>
          <w:tcPr>
            <w:tcW w:w="2070" w:type="dxa"/>
          </w:tcPr>
          <w:p w14:paraId="4CD46F11" w14:textId="3408996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10-20-25 Hernandez (CTE Personal Finance teacher)</w:t>
            </w:r>
          </w:p>
        </w:tc>
        <w:tc>
          <w:tcPr>
            <w:tcW w:w="1620" w:type="dxa"/>
          </w:tcPr>
          <w:p w14:paraId="3334185E" w14:textId="0B18A865"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70979674" w14:textId="37166526" w:rsidR="00CE2AF4" w:rsidRPr="000D770C" w:rsidRDefault="00CE2AF4" w:rsidP="00CE2AF4">
            <w:pPr>
              <w:spacing w:after="160"/>
              <w:rPr>
                <w:rFonts w:ascii="Arial" w:hAnsi="Arial" w:cs="Arial"/>
                <w:sz w:val="24"/>
                <w:szCs w:val="24"/>
              </w:rPr>
            </w:pPr>
            <w:r w:rsidRPr="000D770C">
              <w:rPr>
                <w:rFonts w:ascii="Arial" w:hAnsi="Arial" w:cs="Arial"/>
                <w:sz w:val="24"/>
                <w:szCs w:val="24"/>
              </w:rPr>
              <w:t>“I respectfully urge the California Department of Education to amend AB2927 to include CTE Business credentials among those authorized to teach the required personal finance course. Allowing teachers with CTE Business credentials to teach personal finance ensures students across California continue to receive high-quality financial education from educators with professional experience and a deep understanding of real-world financial concepts.”</w:t>
            </w:r>
          </w:p>
        </w:tc>
        <w:tc>
          <w:tcPr>
            <w:tcW w:w="4950" w:type="dxa"/>
          </w:tcPr>
          <w:p w14:paraId="72CEF8FA"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2A2FA3D8" w14:textId="303F7327" w:rsidR="00CE2AF4" w:rsidRPr="000D770C" w:rsidRDefault="00CE2AF4" w:rsidP="00CE2AF4">
            <w:pPr>
              <w:rPr>
                <w:rFonts w:ascii="Arial" w:hAnsi="Arial" w:cs="Arial"/>
                <w:sz w:val="24"/>
                <w:szCs w:val="24"/>
              </w:rPr>
            </w:pPr>
            <w:r w:rsidRPr="000D770C">
              <w:rPr>
                <w:rFonts w:ascii="Arial" w:hAnsi="Arial" w:cs="Arial"/>
                <w:sz w:val="24"/>
                <w:szCs w:val="24"/>
              </w:rPr>
              <w:t>Requires legislation</w:t>
            </w:r>
          </w:p>
        </w:tc>
      </w:tr>
      <w:tr w:rsidR="00CE2AF4" w:rsidRPr="000D770C" w14:paraId="29E08A99" w14:textId="511E3736" w:rsidTr="008F1215">
        <w:trPr>
          <w:cantSplit/>
        </w:trPr>
        <w:tc>
          <w:tcPr>
            <w:tcW w:w="805" w:type="dxa"/>
          </w:tcPr>
          <w:p w14:paraId="3EE82667" w14:textId="2264B36F"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9</w:t>
            </w:r>
          </w:p>
        </w:tc>
        <w:tc>
          <w:tcPr>
            <w:tcW w:w="2070" w:type="dxa"/>
          </w:tcPr>
          <w:p w14:paraId="6B161C21" w14:textId="1175B41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10-21-25 Kolluri (Professor of Social Studies Education)</w:t>
            </w:r>
          </w:p>
        </w:tc>
        <w:tc>
          <w:tcPr>
            <w:tcW w:w="1620" w:type="dxa"/>
          </w:tcPr>
          <w:p w14:paraId="60E9E508" w14:textId="3F92AC89"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4AE0758D" w14:textId="33EF4D5E" w:rsidR="00CE2AF4" w:rsidRPr="000D770C" w:rsidRDefault="00CE2AF4" w:rsidP="00CE2AF4">
            <w:pPr>
              <w:spacing w:after="240"/>
              <w:rPr>
                <w:rFonts w:ascii="Arial" w:eastAsia="Times New Roman" w:hAnsi="Arial" w:cs="Arial"/>
                <w:sz w:val="24"/>
                <w:szCs w:val="24"/>
              </w:rPr>
            </w:pPr>
            <w:r w:rsidRPr="000D770C">
              <w:rPr>
                <w:rFonts w:ascii="Arial" w:eastAsia="Times New Roman" w:hAnsi="Arial" w:cs="Arial"/>
                <w:sz w:val="24"/>
                <w:szCs w:val="24"/>
              </w:rPr>
              <w:t>“But Economics matters too. How might important economics concepts that could address policies to combat economic inequality be worked back into the course?</w:t>
            </w:r>
          </w:p>
          <w:p w14:paraId="75CAF3AC" w14:textId="5D49BAFB" w:rsidR="00CE2AF4" w:rsidRPr="000D770C" w:rsidRDefault="00CE2AF4" w:rsidP="00CE2AF4">
            <w:pPr>
              <w:spacing w:after="240"/>
              <w:rPr>
                <w:rFonts w:ascii="Arial" w:eastAsia="Times New Roman" w:hAnsi="Arial" w:cs="Arial"/>
                <w:sz w:val="24"/>
                <w:szCs w:val="24"/>
              </w:rPr>
            </w:pPr>
            <w:r w:rsidRPr="000D770C">
              <w:rPr>
                <w:rFonts w:ascii="Arial" w:eastAsia="Times New Roman" w:hAnsi="Arial" w:cs="Arial"/>
                <w:sz w:val="24"/>
                <w:szCs w:val="24"/>
              </w:rPr>
              <w:t>“The current momentum for personal finance curriculum suggests state leaders have little interest in helping students consider the economic policies that impact poverty. Instead, they will only learn personal finance. …</w:t>
            </w:r>
          </w:p>
          <w:p w14:paraId="76E551D5" w14:textId="05F306F2" w:rsidR="00CE2AF4" w:rsidRPr="000D770C" w:rsidRDefault="00CE2AF4" w:rsidP="00CE2AF4">
            <w:pPr>
              <w:spacing w:after="240"/>
              <w:rPr>
                <w:rFonts w:ascii="Arial" w:eastAsia="Times New Roman" w:hAnsi="Arial" w:cs="Arial"/>
                <w:sz w:val="24"/>
                <w:szCs w:val="24"/>
              </w:rPr>
            </w:pPr>
            <w:r w:rsidRPr="000D770C">
              <w:rPr>
                <w:rFonts w:ascii="Arial" w:eastAsia="Times New Roman" w:hAnsi="Arial" w:cs="Arial"/>
                <w:sz w:val="24"/>
                <w:szCs w:val="24"/>
              </w:rPr>
              <w:t>“To combat poverty solely with personal finance suggests that poverty is a personal failure rather than a policy one. This is dangerous. With the personal finance curriculum as currently written, California will discourage support for the types of policies implemented during the pandemic that effectively reduced poverty, and it will encourage the messaging of “personal responsibility” that has long shown to worsen it.</w:t>
            </w:r>
          </w:p>
          <w:p w14:paraId="0804593F" w14:textId="0D3DC14E" w:rsidR="00CE2AF4" w:rsidRPr="000D770C" w:rsidRDefault="00CE2AF4" w:rsidP="00CE2AF4">
            <w:pPr>
              <w:spacing w:after="240"/>
              <w:rPr>
                <w:rFonts w:ascii="Arial" w:eastAsia="Times New Roman" w:hAnsi="Arial" w:cs="Arial"/>
                <w:sz w:val="24"/>
                <w:szCs w:val="24"/>
              </w:rPr>
            </w:pPr>
            <w:r w:rsidRPr="000D770C">
              <w:rPr>
                <w:rFonts w:ascii="Arial" w:eastAsia="Times New Roman" w:hAnsi="Arial" w:cs="Arial"/>
                <w:sz w:val="24"/>
                <w:szCs w:val="24"/>
              </w:rPr>
              <w:t>“As a poverty program, personal finance is profoundly misguided. This curriculum as currently written will perpetuate policies that exacerbate the economic inequality that has come to define our state.”</w:t>
            </w:r>
          </w:p>
        </w:tc>
        <w:tc>
          <w:tcPr>
            <w:tcW w:w="4950" w:type="dxa"/>
          </w:tcPr>
          <w:p w14:paraId="06CA77B1"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182C8008" w14:textId="61C71291" w:rsidR="00CE2AF4" w:rsidRPr="000D770C" w:rsidRDefault="00CE2AF4" w:rsidP="00CE2AF4">
            <w:pPr>
              <w:rPr>
                <w:rFonts w:ascii="Arial" w:hAnsi="Arial" w:cs="Arial"/>
                <w:sz w:val="24"/>
                <w:szCs w:val="24"/>
              </w:rPr>
            </w:pPr>
            <w:r w:rsidRPr="000D770C">
              <w:rPr>
                <w:rFonts w:ascii="Arial" w:hAnsi="Arial" w:cs="Arial"/>
                <w:sz w:val="24"/>
                <w:szCs w:val="24"/>
              </w:rPr>
              <w:t>Requires change to language in AB 2927</w:t>
            </w:r>
          </w:p>
        </w:tc>
      </w:tr>
      <w:tr w:rsidR="00CE2AF4" w:rsidRPr="000D770C" w14:paraId="0E131AC5" w14:textId="179D219E" w:rsidTr="008F1215">
        <w:trPr>
          <w:cantSplit/>
        </w:trPr>
        <w:tc>
          <w:tcPr>
            <w:tcW w:w="805" w:type="dxa"/>
          </w:tcPr>
          <w:p w14:paraId="635015DA" w14:textId="3982E9C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10</w:t>
            </w:r>
          </w:p>
        </w:tc>
        <w:tc>
          <w:tcPr>
            <w:tcW w:w="2070" w:type="dxa"/>
          </w:tcPr>
          <w:p w14:paraId="1263315A" w14:textId="38F92E7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10-21-25 Hanson (Director of Human Resources)</w:t>
            </w:r>
          </w:p>
        </w:tc>
        <w:tc>
          <w:tcPr>
            <w:tcW w:w="1620" w:type="dxa"/>
          </w:tcPr>
          <w:p w14:paraId="1201846F" w14:textId="591B68AE"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F425065" w14:textId="69DF0688" w:rsidR="00CE2AF4" w:rsidRPr="000D770C" w:rsidRDefault="00CE2AF4" w:rsidP="00CE2AF4">
            <w:pPr>
              <w:pStyle w:val="NormalWeb"/>
              <w:rPr>
                <w:rFonts w:ascii="Arial" w:hAnsi="Arial" w:cs="Arial"/>
                <w:sz w:val="24"/>
                <w:szCs w:val="24"/>
              </w:rPr>
            </w:pPr>
            <w:r w:rsidRPr="000D770C">
              <w:rPr>
                <w:rFonts w:ascii="Arial" w:hAnsi="Arial" w:cs="Arial"/>
                <w:sz w:val="24"/>
                <w:szCs w:val="24"/>
              </w:rPr>
              <w:t>“I respectfully urge reconsideration of this proposal so that Personal Finance instruction is incorporated into the high school Economics curriculum.”</w:t>
            </w:r>
          </w:p>
        </w:tc>
        <w:tc>
          <w:tcPr>
            <w:tcW w:w="4950" w:type="dxa"/>
          </w:tcPr>
          <w:p w14:paraId="05E57D2D"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53E7E458" w14:textId="24A8CBC4" w:rsidR="00CE2AF4" w:rsidRPr="000D770C" w:rsidRDefault="00CE2AF4" w:rsidP="00CE2AF4">
            <w:pPr>
              <w:rPr>
                <w:rFonts w:ascii="Arial" w:hAnsi="Arial" w:cs="Arial"/>
                <w:sz w:val="24"/>
                <w:szCs w:val="24"/>
              </w:rPr>
            </w:pPr>
            <w:r w:rsidRPr="000D770C">
              <w:rPr>
                <w:rFonts w:ascii="Arial" w:hAnsi="Arial" w:cs="Arial"/>
                <w:sz w:val="24"/>
                <w:szCs w:val="24"/>
              </w:rPr>
              <w:t>Requires change to language in AB 2927</w:t>
            </w:r>
          </w:p>
        </w:tc>
      </w:tr>
      <w:tr w:rsidR="00CE2AF4" w:rsidRPr="000D770C" w14:paraId="1463154A" w14:textId="07DA1221" w:rsidTr="008F1215">
        <w:trPr>
          <w:cantSplit/>
        </w:trPr>
        <w:tc>
          <w:tcPr>
            <w:tcW w:w="805" w:type="dxa"/>
          </w:tcPr>
          <w:p w14:paraId="41EC5EE0" w14:textId="0039A92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11</w:t>
            </w:r>
          </w:p>
        </w:tc>
        <w:tc>
          <w:tcPr>
            <w:tcW w:w="2070" w:type="dxa"/>
          </w:tcPr>
          <w:p w14:paraId="240083F4" w14:textId="12AA09B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10-21-25 Oskolkoff (sent twice) (Director of Student Services)</w:t>
            </w:r>
          </w:p>
        </w:tc>
        <w:tc>
          <w:tcPr>
            <w:tcW w:w="1620" w:type="dxa"/>
          </w:tcPr>
          <w:p w14:paraId="31D5F569" w14:textId="2FC4BB06"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783495C8" w14:textId="67DBECE7" w:rsidR="00CE2AF4" w:rsidRPr="000D770C" w:rsidRDefault="00CE2AF4" w:rsidP="00CE2AF4">
            <w:pPr>
              <w:pStyle w:val="NormalWeb"/>
              <w:rPr>
                <w:rFonts w:ascii="Arial" w:hAnsi="Arial" w:cs="Arial"/>
                <w:sz w:val="24"/>
                <w:szCs w:val="24"/>
              </w:rPr>
            </w:pPr>
            <w:r w:rsidRPr="000D770C">
              <w:rPr>
                <w:rFonts w:ascii="Arial" w:hAnsi="Arial" w:cs="Arial"/>
                <w:sz w:val="24"/>
                <w:szCs w:val="24"/>
              </w:rPr>
              <w:t>“I respectfully urge reconsideration of this proposal so that Personal Finance instruction is incorporated into the high school Economics curriculum.”</w:t>
            </w:r>
          </w:p>
        </w:tc>
        <w:tc>
          <w:tcPr>
            <w:tcW w:w="4950" w:type="dxa"/>
          </w:tcPr>
          <w:p w14:paraId="1E3E00FB"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03348AAA" w14:textId="7B81F7F7" w:rsidR="00CE2AF4" w:rsidRPr="000D770C" w:rsidRDefault="00CE2AF4" w:rsidP="00CE2AF4">
            <w:pPr>
              <w:rPr>
                <w:rFonts w:ascii="Arial" w:hAnsi="Arial" w:cs="Arial"/>
                <w:sz w:val="24"/>
                <w:szCs w:val="24"/>
              </w:rPr>
            </w:pPr>
            <w:r w:rsidRPr="000D770C">
              <w:rPr>
                <w:rFonts w:ascii="Arial" w:hAnsi="Arial" w:cs="Arial"/>
                <w:sz w:val="24"/>
                <w:szCs w:val="24"/>
              </w:rPr>
              <w:t>Requires change to language in AB 2927</w:t>
            </w:r>
          </w:p>
        </w:tc>
      </w:tr>
      <w:tr w:rsidR="00CE2AF4" w:rsidRPr="000D770C" w14:paraId="6BAE35CE" w14:textId="26BE6E71" w:rsidTr="008F1215">
        <w:trPr>
          <w:cantSplit/>
        </w:trPr>
        <w:tc>
          <w:tcPr>
            <w:tcW w:w="805" w:type="dxa"/>
          </w:tcPr>
          <w:p w14:paraId="2AAA0B1F" w14:textId="0E28EF9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12</w:t>
            </w:r>
          </w:p>
        </w:tc>
        <w:tc>
          <w:tcPr>
            <w:tcW w:w="2070" w:type="dxa"/>
          </w:tcPr>
          <w:p w14:paraId="58797C73" w14:textId="07474C9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10-21-25 Churchill (Special Education director)</w:t>
            </w:r>
          </w:p>
        </w:tc>
        <w:tc>
          <w:tcPr>
            <w:tcW w:w="1620" w:type="dxa"/>
          </w:tcPr>
          <w:p w14:paraId="1CAAA7B2" w14:textId="63B9ACE4"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9F01DA5" w14:textId="2B038C8B" w:rsidR="00CE2AF4" w:rsidRPr="000D770C" w:rsidRDefault="00CE2AF4" w:rsidP="00CE2AF4">
            <w:pPr>
              <w:pStyle w:val="NormalWeb"/>
              <w:rPr>
                <w:rFonts w:ascii="Arial" w:hAnsi="Arial" w:cs="Arial"/>
                <w:sz w:val="24"/>
                <w:szCs w:val="24"/>
              </w:rPr>
            </w:pPr>
            <w:r w:rsidRPr="000D770C">
              <w:rPr>
                <w:rFonts w:ascii="Arial" w:hAnsi="Arial" w:cs="Arial"/>
                <w:sz w:val="24"/>
                <w:szCs w:val="24"/>
              </w:rPr>
              <w:t>“I respectfully urge reconsideration of this proposal so that Personal Finance instruction is incorporated into the high school Economics curriculum.”</w:t>
            </w:r>
          </w:p>
        </w:tc>
        <w:tc>
          <w:tcPr>
            <w:tcW w:w="4950" w:type="dxa"/>
          </w:tcPr>
          <w:p w14:paraId="5508FAC2"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68E6C0E5" w14:textId="1C842067" w:rsidR="00CE2AF4" w:rsidRPr="000D770C" w:rsidRDefault="00CE2AF4" w:rsidP="00CE2AF4">
            <w:pPr>
              <w:rPr>
                <w:rFonts w:ascii="Arial" w:hAnsi="Arial" w:cs="Arial"/>
                <w:sz w:val="24"/>
                <w:szCs w:val="24"/>
              </w:rPr>
            </w:pPr>
            <w:r w:rsidRPr="000D770C">
              <w:rPr>
                <w:rFonts w:ascii="Arial" w:hAnsi="Arial" w:cs="Arial"/>
                <w:sz w:val="24"/>
                <w:szCs w:val="24"/>
              </w:rPr>
              <w:t>Requires change to language in AB 2927</w:t>
            </w:r>
          </w:p>
        </w:tc>
      </w:tr>
      <w:tr w:rsidR="00CE2AF4" w:rsidRPr="000D770C" w14:paraId="761EEC39" w14:textId="71773005" w:rsidTr="008F1215">
        <w:trPr>
          <w:cantSplit/>
        </w:trPr>
        <w:tc>
          <w:tcPr>
            <w:tcW w:w="805" w:type="dxa"/>
          </w:tcPr>
          <w:p w14:paraId="10310B5E" w14:textId="4B49BDA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13</w:t>
            </w:r>
          </w:p>
        </w:tc>
        <w:tc>
          <w:tcPr>
            <w:tcW w:w="2070" w:type="dxa"/>
          </w:tcPr>
          <w:p w14:paraId="448DDE21" w14:textId="48A52D0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10-23-25 Burkhart (Economics/</w:t>
            </w:r>
            <w:r>
              <w:rPr>
                <w:rFonts w:ascii="Arial" w:hAnsi="Arial" w:cs="Arial"/>
                <w:sz w:val="24"/>
                <w:szCs w:val="24"/>
              </w:rPr>
              <w:t xml:space="preserve"> </w:t>
            </w:r>
            <w:r w:rsidRPr="000D770C">
              <w:rPr>
                <w:rFonts w:ascii="Arial" w:hAnsi="Arial" w:cs="Arial"/>
                <w:sz w:val="24"/>
                <w:szCs w:val="24"/>
              </w:rPr>
              <w:t>Social Studies teacher)</w:t>
            </w:r>
          </w:p>
        </w:tc>
        <w:tc>
          <w:tcPr>
            <w:tcW w:w="1620" w:type="dxa"/>
          </w:tcPr>
          <w:p w14:paraId="4695E91E" w14:textId="7F71FC07"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001D10EC" w14:textId="03BE35AD" w:rsidR="00CE2AF4" w:rsidRPr="000D770C" w:rsidRDefault="00CE2AF4" w:rsidP="00CE2AF4">
            <w:pPr>
              <w:pStyle w:val="NormalWeb"/>
              <w:rPr>
                <w:rFonts w:ascii="Arial" w:hAnsi="Arial" w:cs="Arial"/>
                <w:sz w:val="24"/>
                <w:szCs w:val="24"/>
              </w:rPr>
            </w:pPr>
            <w:r w:rsidRPr="000D770C">
              <w:rPr>
                <w:rFonts w:ascii="Arial" w:hAnsi="Arial" w:cs="Arial"/>
                <w:sz w:val="24"/>
                <w:szCs w:val="24"/>
              </w:rPr>
              <w:t>“Please reconsider updating legislation to offer a well-rounded opportunity for students to learn both personal finance and economics.”</w:t>
            </w:r>
          </w:p>
        </w:tc>
        <w:tc>
          <w:tcPr>
            <w:tcW w:w="4950" w:type="dxa"/>
          </w:tcPr>
          <w:p w14:paraId="0278825D"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7551F215" w14:textId="4D7191D1" w:rsidR="00CE2AF4" w:rsidRPr="000D770C" w:rsidRDefault="00CE2AF4" w:rsidP="00CE2AF4">
            <w:pPr>
              <w:rPr>
                <w:rFonts w:ascii="Arial" w:hAnsi="Arial" w:cs="Arial"/>
                <w:sz w:val="24"/>
                <w:szCs w:val="24"/>
              </w:rPr>
            </w:pPr>
            <w:r w:rsidRPr="000D770C">
              <w:rPr>
                <w:rFonts w:ascii="Arial" w:hAnsi="Arial" w:cs="Arial"/>
                <w:sz w:val="24"/>
                <w:szCs w:val="24"/>
              </w:rPr>
              <w:t>Requires change to language in AB 2927</w:t>
            </w:r>
          </w:p>
        </w:tc>
      </w:tr>
      <w:tr w:rsidR="00CE2AF4" w:rsidRPr="000D770C" w14:paraId="01D8118F" w14:textId="5D718E7F" w:rsidTr="008F1215">
        <w:trPr>
          <w:cantSplit/>
        </w:trPr>
        <w:tc>
          <w:tcPr>
            <w:tcW w:w="805" w:type="dxa"/>
          </w:tcPr>
          <w:p w14:paraId="010D9B72" w14:textId="359A260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14</w:t>
            </w:r>
          </w:p>
        </w:tc>
        <w:tc>
          <w:tcPr>
            <w:tcW w:w="2070" w:type="dxa"/>
          </w:tcPr>
          <w:p w14:paraId="02110D7B" w14:textId="43154A71"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10-24-25 Ransom (Economics teacher)</w:t>
            </w:r>
          </w:p>
        </w:tc>
        <w:tc>
          <w:tcPr>
            <w:tcW w:w="1620" w:type="dxa"/>
          </w:tcPr>
          <w:p w14:paraId="7AC42F95" w14:textId="197384FF"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3626C0D" w14:textId="3E7D763B" w:rsidR="00CE2AF4" w:rsidRPr="000D770C" w:rsidRDefault="00CE2AF4" w:rsidP="00CE2AF4">
            <w:pPr>
              <w:pStyle w:val="NormalWeb"/>
              <w:rPr>
                <w:rFonts w:ascii="Arial" w:hAnsi="Arial" w:cs="Arial"/>
                <w:sz w:val="24"/>
                <w:szCs w:val="24"/>
              </w:rPr>
            </w:pPr>
            <w:r w:rsidRPr="000D770C">
              <w:rPr>
                <w:rFonts w:ascii="Arial" w:hAnsi="Arial" w:cs="Arial"/>
                <w:sz w:val="24"/>
                <w:szCs w:val="24"/>
              </w:rPr>
              <w:t>“Please reconsider updating legislation to offer a well-rounded opportunity for students to learn both personal finance and economics.”</w:t>
            </w:r>
          </w:p>
        </w:tc>
        <w:tc>
          <w:tcPr>
            <w:tcW w:w="4950" w:type="dxa"/>
          </w:tcPr>
          <w:p w14:paraId="25309A94"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00FC2AF5" w14:textId="213629DA" w:rsidR="00CE2AF4" w:rsidRPr="000D770C" w:rsidRDefault="00CE2AF4" w:rsidP="00CE2AF4">
            <w:pPr>
              <w:rPr>
                <w:rFonts w:ascii="Arial" w:hAnsi="Arial" w:cs="Arial"/>
                <w:sz w:val="24"/>
                <w:szCs w:val="24"/>
              </w:rPr>
            </w:pPr>
            <w:r w:rsidRPr="000D770C">
              <w:rPr>
                <w:rFonts w:ascii="Arial" w:hAnsi="Arial" w:cs="Arial"/>
                <w:sz w:val="24"/>
                <w:szCs w:val="24"/>
              </w:rPr>
              <w:t>Requires change to language in AB 2927</w:t>
            </w:r>
          </w:p>
        </w:tc>
      </w:tr>
      <w:tr w:rsidR="00CE2AF4" w:rsidRPr="000D770C" w14:paraId="660E6F6D" w14:textId="56AA2950" w:rsidTr="008F1215">
        <w:trPr>
          <w:cantSplit/>
        </w:trPr>
        <w:tc>
          <w:tcPr>
            <w:tcW w:w="805" w:type="dxa"/>
          </w:tcPr>
          <w:p w14:paraId="39EF2A97" w14:textId="31AEAC0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15</w:t>
            </w:r>
          </w:p>
        </w:tc>
        <w:tc>
          <w:tcPr>
            <w:tcW w:w="2070" w:type="dxa"/>
          </w:tcPr>
          <w:p w14:paraId="7D7275CC"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10-28-25</w:t>
            </w:r>
          </w:p>
          <w:p w14:paraId="2741B474" w14:textId="59FA49E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Laubacher (Social Science teacher)</w:t>
            </w:r>
          </w:p>
        </w:tc>
        <w:tc>
          <w:tcPr>
            <w:tcW w:w="1620" w:type="dxa"/>
          </w:tcPr>
          <w:p w14:paraId="114D9EA9" w14:textId="3A8E4B94"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69CC84C5" w14:textId="13B35B03" w:rsidR="00CE2AF4" w:rsidRPr="000D770C" w:rsidRDefault="00CE2AF4" w:rsidP="00CE2AF4">
            <w:pPr>
              <w:rPr>
                <w:rFonts w:ascii="Arial" w:hAnsi="Arial" w:cs="Arial"/>
                <w:sz w:val="24"/>
                <w:szCs w:val="24"/>
              </w:rPr>
            </w:pPr>
            <w:r w:rsidRPr="000D770C">
              <w:rPr>
                <w:rFonts w:ascii="Arial" w:eastAsia="Times New Roman" w:hAnsi="Arial" w:cs="Arial"/>
                <w:sz w:val="24"/>
                <w:szCs w:val="24"/>
              </w:rPr>
              <w:t>“… strong support for ensuring that California’s newly developed Personal Finance course remains housed within the Social Science department. This decision is critical not only for maintaining instructional quality and curriculum coherence, but also for preserving equitable staffing and employment stability within our schools.”</w:t>
            </w:r>
          </w:p>
        </w:tc>
        <w:tc>
          <w:tcPr>
            <w:tcW w:w="4950" w:type="dxa"/>
          </w:tcPr>
          <w:p w14:paraId="5CFF338D"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1812E4C4" w14:textId="21975B14" w:rsidR="00CE2AF4" w:rsidRPr="000D770C" w:rsidRDefault="00CE2AF4" w:rsidP="00CE2AF4">
            <w:pPr>
              <w:rPr>
                <w:rFonts w:ascii="Arial" w:hAnsi="Arial" w:cs="Arial"/>
                <w:sz w:val="24"/>
                <w:szCs w:val="24"/>
              </w:rPr>
            </w:pPr>
            <w:r w:rsidRPr="000D770C">
              <w:rPr>
                <w:rFonts w:ascii="Arial" w:hAnsi="Arial" w:cs="Arial"/>
                <w:sz w:val="24"/>
                <w:szCs w:val="24"/>
              </w:rPr>
              <w:t>The department personal finance falls into is a decision of the</w:t>
            </w:r>
            <w:r>
              <w:rPr>
                <w:rFonts w:ascii="Arial" w:hAnsi="Arial" w:cs="Arial"/>
                <w:sz w:val="24"/>
                <w:szCs w:val="24"/>
              </w:rPr>
              <w:t xml:space="preserve"> local educational agency</w:t>
            </w:r>
            <w:r w:rsidRPr="000D770C">
              <w:rPr>
                <w:rFonts w:ascii="Arial" w:hAnsi="Arial" w:cs="Arial"/>
                <w:sz w:val="24"/>
                <w:szCs w:val="24"/>
              </w:rPr>
              <w:t xml:space="preserve"> </w:t>
            </w:r>
            <w:r>
              <w:rPr>
                <w:rFonts w:ascii="Arial" w:hAnsi="Arial" w:cs="Arial"/>
                <w:sz w:val="24"/>
                <w:szCs w:val="24"/>
              </w:rPr>
              <w:t>(</w:t>
            </w:r>
            <w:r w:rsidRPr="000D770C">
              <w:rPr>
                <w:rFonts w:ascii="Arial" w:hAnsi="Arial" w:cs="Arial"/>
                <w:sz w:val="24"/>
                <w:szCs w:val="24"/>
              </w:rPr>
              <w:t>LEA</w:t>
            </w:r>
            <w:r>
              <w:rPr>
                <w:rFonts w:ascii="Arial" w:hAnsi="Arial" w:cs="Arial"/>
                <w:sz w:val="24"/>
                <w:szCs w:val="24"/>
              </w:rPr>
              <w:t>).</w:t>
            </w:r>
          </w:p>
        </w:tc>
      </w:tr>
      <w:tr w:rsidR="00CE2AF4" w:rsidRPr="000D770C" w14:paraId="7F9E2631" w14:textId="64D2CA5B" w:rsidTr="008F1215">
        <w:trPr>
          <w:cantSplit/>
        </w:trPr>
        <w:tc>
          <w:tcPr>
            <w:tcW w:w="805" w:type="dxa"/>
          </w:tcPr>
          <w:p w14:paraId="4C59470A" w14:textId="4FB9DE3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16</w:t>
            </w:r>
          </w:p>
        </w:tc>
        <w:tc>
          <w:tcPr>
            <w:tcW w:w="2070" w:type="dxa"/>
          </w:tcPr>
          <w:p w14:paraId="18072812" w14:textId="687BEC9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10-28-25 Kovacevich (Financial Planning Association of California)</w:t>
            </w:r>
          </w:p>
        </w:tc>
        <w:tc>
          <w:tcPr>
            <w:tcW w:w="1620" w:type="dxa"/>
          </w:tcPr>
          <w:p w14:paraId="39D85FA1" w14:textId="7F2E3FB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7</w:t>
            </w:r>
          </w:p>
        </w:tc>
        <w:tc>
          <w:tcPr>
            <w:tcW w:w="4860" w:type="dxa"/>
          </w:tcPr>
          <w:p w14:paraId="7EED0253" w14:textId="468DC723" w:rsidR="00CE2AF4" w:rsidRPr="000D770C" w:rsidRDefault="00CE2AF4" w:rsidP="00CE2AF4">
            <w:pPr>
              <w:autoSpaceDE w:val="0"/>
              <w:autoSpaceDN w:val="0"/>
              <w:adjustRightInd w:val="0"/>
              <w:spacing w:after="240"/>
              <w:rPr>
                <w:rFonts w:ascii="Arial" w:hAnsi="Arial" w:cs="Arial"/>
                <w:sz w:val="24"/>
                <w:szCs w:val="24"/>
              </w:rPr>
            </w:pPr>
            <w:r w:rsidRPr="000D770C">
              <w:rPr>
                <w:rFonts w:ascii="Arial" w:hAnsi="Arial" w:cs="Arial"/>
                <w:sz w:val="24"/>
                <w:szCs w:val="24"/>
              </w:rPr>
              <w:t>On behalf of Financial Planning Association of California:</w:t>
            </w:r>
          </w:p>
          <w:p w14:paraId="51458119" w14:textId="4B60B84C" w:rsidR="00CE2AF4" w:rsidRPr="000D770C" w:rsidRDefault="00CE2AF4" w:rsidP="00CE2AF4">
            <w:pPr>
              <w:autoSpaceDE w:val="0"/>
              <w:autoSpaceDN w:val="0"/>
              <w:adjustRightInd w:val="0"/>
              <w:spacing w:after="240"/>
              <w:rPr>
                <w:rFonts w:ascii="Arial" w:hAnsi="Arial" w:cs="Arial"/>
                <w:sz w:val="24"/>
                <w:szCs w:val="24"/>
              </w:rPr>
            </w:pPr>
            <w:r w:rsidRPr="000D770C">
              <w:rPr>
                <w:rFonts w:ascii="Arial" w:hAnsi="Arial" w:cs="Arial"/>
                <w:sz w:val="24"/>
                <w:szCs w:val="24"/>
              </w:rPr>
              <w:t xml:space="preserve">“We believe that Certified Financial Planners (CFPs) should be referenced as possible partners in all categories of activities and programming in Chapter 7, including as a community partner and resource for educators. CFPs have a broad range of knowledge across all categories of financial planning. In addition, financial literacy has been a pillar of FPA of California’s and local California FPA chapters' ongoing, state-wide community pro bono efforts for years. We specifically highlight two examples below: </w:t>
            </w:r>
          </w:p>
          <w:p w14:paraId="6B292B11" w14:textId="01DECA2A" w:rsidR="00CE2AF4" w:rsidRPr="000D770C" w:rsidRDefault="00CE2AF4" w:rsidP="00CE2AF4">
            <w:pPr>
              <w:spacing w:after="240"/>
              <w:rPr>
                <w:rFonts w:ascii="Arial" w:hAnsi="Arial" w:cs="Arial"/>
                <w:sz w:val="24"/>
                <w:szCs w:val="24"/>
              </w:rPr>
            </w:pPr>
            <w:r w:rsidRPr="000D770C">
              <w:rPr>
                <w:rFonts w:ascii="Arial" w:hAnsi="Arial" w:cs="Arial"/>
                <w:sz w:val="24"/>
                <w:szCs w:val="24"/>
              </w:rPr>
              <w:t xml:space="preserve">“In the table starting on line </w:t>
            </w:r>
            <w:r w:rsidRPr="000D770C">
              <w:rPr>
                <w:rFonts w:ascii="Arial" w:hAnsi="Arial" w:cs="Arial"/>
                <w:b/>
                <w:bCs/>
                <w:sz w:val="24"/>
                <w:szCs w:val="24"/>
              </w:rPr>
              <w:t xml:space="preserve">3823 -3824, </w:t>
            </w:r>
            <w:r w:rsidRPr="000D770C">
              <w:rPr>
                <w:rFonts w:ascii="Arial" w:hAnsi="Arial" w:cs="Arial"/>
                <w:sz w:val="24"/>
                <w:szCs w:val="24"/>
              </w:rPr>
              <w:t>CFPs are only mentioned in the "guest speaker &amp; workshops" category. We encourage incorporating CFPs and using the unabbreviated term, Certified Financial Planner™, more, …</w:t>
            </w:r>
          </w:p>
          <w:p w14:paraId="3CD983B2" w14:textId="1B809414" w:rsidR="00CE2AF4" w:rsidRPr="000D770C" w:rsidRDefault="00CE2AF4" w:rsidP="003C1775">
            <w:pPr>
              <w:autoSpaceDE w:val="0"/>
              <w:autoSpaceDN w:val="0"/>
              <w:adjustRightInd w:val="0"/>
              <w:rPr>
                <w:rFonts w:ascii="Arial" w:hAnsi="Arial" w:cs="Arial"/>
                <w:sz w:val="24"/>
                <w:szCs w:val="24"/>
              </w:rPr>
            </w:pPr>
            <w:r w:rsidRPr="000D770C">
              <w:rPr>
                <w:rFonts w:ascii="Arial" w:hAnsi="Arial" w:cs="Arial"/>
                <w:sz w:val="24"/>
                <w:szCs w:val="24"/>
              </w:rPr>
              <w:t xml:space="preserve">“Additionally, in lines </w:t>
            </w:r>
            <w:r w:rsidRPr="000D770C">
              <w:rPr>
                <w:rFonts w:ascii="Arial" w:hAnsi="Arial" w:cs="Arial"/>
                <w:b/>
                <w:bCs/>
                <w:sz w:val="24"/>
                <w:szCs w:val="24"/>
              </w:rPr>
              <w:t>4069-4071</w:t>
            </w:r>
            <w:r w:rsidRPr="000D770C">
              <w:rPr>
                <w:rFonts w:ascii="Arial" w:hAnsi="Arial" w:cs="Arial"/>
                <w:sz w:val="24"/>
                <w:szCs w:val="24"/>
              </w:rPr>
              <w:t>: ‘For example, a high school might transform its gymnasium into a Financial Literacy Fair, featuring booths hosted by local banks, credit unions, scholarship foundations, and credit counseling services.’</w:t>
            </w:r>
          </w:p>
        </w:tc>
        <w:tc>
          <w:tcPr>
            <w:tcW w:w="4950" w:type="dxa"/>
          </w:tcPr>
          <w:p w14:paraId="279FE587" w14:textId="6B3260E9" w:rsidR="00CE2AF4" w:rsidRPr="000D770C" w:rsidRDefault="00CE2AF4" w:rsidP="00CE2AF4">
            <w:pPr>
              <w:rPr>
                <w:rFonts w:ascii="Arial" w:hAnsi="Arial" w:cs="Arial"/>
                <w:sz w:val="24"/>
                <w:szCs w:val="24"/>
              </w:rPr>
            </w:pPr>
            <w:r w:rsidRPr="000D770C">
              <w:rPr>
                <w:rFonts w:ascii="Arial" w:hAnsi="Arial" w:cs="Arial"/>
                <w:sz w:val="24"/>
                <w:szCs w:val="24"/>
              </w:rPr>
              <w:t>Actionable,</w:t>
            </w:r>
            <w:r>
              <w:rPr>
                <w:rFonts w:ascii="Arial" w:hAnsi="Arial" w:cs="Arial"/>
                <w:sz w:val="24"/>
                <w:szCs w:val="24"/>
              </w:rPr>
              <w:t xml:space="preserve"> </w:t>
            </w:r>
            <w:r w:rsidRPr="000D770C">
              <w:rPr>
                <w:rFonts w:ascii="Arial" w:hAnsi="Arial" w:cs="Arial"/>
                <w:sz w:val="24"/>
                <w:szCs w:val="24"/>
              </w:rPr>
              <w:t>Recommended</w:t>
            </w:r>
          </w:p>
          <w:p w14:paraId="2ED1210A" w14:textId="613A25D5" w:rsidR="00CE2AF4" w:rsidRPr="000D770C" w:rsidRDefault="00CE2AF4" w:rsidP="00CE2AF4">
            <w:pPr>
              <w:rPr>
                <w:rFonts w:ascii="Arial" w:hAnsi="Arial" w:cs="Arial"/>
                <w:sz w:val="24"/>
                <w:szCs w:val="24"/>
              </w:rPr>
            </w:pPr>
            <w:r w:rsidRPr="000D770C">
              <w:rPr>
                <w:rFonts w:ascii="Arial" w:hAnsi="Arial" w:cs="Arial"/>
                <w:sz w:val="24"/>
                <w:szCs w:val="24"/>
              </w:rPr>
              <w:t>Recommend including references to “financial professionals,” which includes CFPs as well as other financial experts. Location to be at Writers’ discretion</w:t>
            </w:r>
            <w:r>
              <w:rPr>
                <w:rFonts w:ascii="Arial" w:hAnsi="Arial" w:cs="Arial"/>
                <w:sz w:val="24"/>
                <w:szCs w:val="24"/>
              </w:rPr>
              <w:t>.</w:t>
            </w:r>
          </w:p>
        </w:tc>
      </w:tr>
      <w:tr w:rsidR="006618D9" w:rsidRPr="000D770C" w14:paraId="44C435E6" w14:textId="77777777" w:rsidTr="008F1215">
        <w:trPr>
          <w:cantSplit/>
        </w:trPr>
        <w:tc>
          <w:tcPr>
            <w:tcW w:w="805" w:type="dxa"/>
          </w:tcPr>
          <w:p w14:paraId="129BC773" w14:textId="1A9AE048" w:rsidR="006618D9" w:rsidRPr="000D770C" w:rsidRDefault="006618D9" w:rsidP="006618D9">
            <w:pPr>
              <w:tabs>
                <w:tab w:val="left" w:pos="3330"/>
              </w:tabs>
              <w:rPr>
                <w:rFonts w:ascii="Arial" w:hAnsi="Arial" w:cs="Arial"/>
                <w:sz w:val="24"/>
                <w:szCs w:val="24"/>
              </w:rPr>
            </w:pPr>
            <w:r w:rsidRPr="000D770C">
              <w:rPr>
                <w:rFonts w:ascii="Arial" w:hAnsi="Arial" w:cs="Arial"/>
                <w:sz w:val="24"/>
                <w:szCs w:val="24"/>
              </w:rPr>
              <w:lastRenderedPageBreak/>
              <w:t>16</w:t>
            </w:r>
          </w:p>
        </w:tc>
        <w:tc>
          <w:tcPr>
            <w:tcW w:w="2070" w:type="dxa"/>
          </w:tcPr>
          <w:p w14:paraId="70FF355B" w14:textId="12895CE1" w:rsidR="003C1775" w:rsidRDefault="003C1775" w:rsidP="003C1775">
            <w:pPr>
              <w:tabs>
                <w:tab w:val="left" w:pos="3330"/>
              </w:tabs>
              <w:spacing w:after="240"/>
              <w:rPr>
                <w:rFonts w:ascii="Arial" w:hAnsi="Arial" w:cs="Arial"/>
                <w:sz w:val="24"/>
                <w:szCs w:val="24"/>
              </w:rPr>
            </w:pPr>
            <w:r>
              <w:rPr>
                <w:rFonts w:ascii="Arial" w:hAnsi="Arial" w:cs="Arial"/>
                <w:sz w:val="24"/>
                <w:szCs w:val="24"/>
              </w:rPr>
              <w:t>(continued)</w:t>
            </w:r>
          </w:p>
          <w:p w14:paraId="7D3F3A1A" w14:textId="5A790D47" w:rsidR="006618D9" w:rsidRPr="000D770C" w:rsidRDefault="006618D9" w:rsidP="006618D9">
            <w:pPr>
              <w:tabs>
                <w:tab w:val="left" w:pos="3330"/>
              </w:tabs>
              <w:rPr>
                <w:rFonts w:ascii="Arial" w:hAnsi="Arial" w:cs="Arial"/>
                <w:sz w:val="24"/>
                <w:szCs w:val="24"/>
              </w:rPr>
            </w:pPr>
            <w:r w:rsidRPr="000D770C">
              <w:rPr>
                <w:rFonts w:ascii="Arial" w:hAnsi="Arial" w:cs="Arial"/>
                <w:sz w:val="24"/>
                <w:szCs w:val="24"/>
              </w:rPr>
              <w:t>10-28-25 Kovacevich (Financial Planning Association of California)</w:t>
            </w:r>
          </w:p>
        </w:tc>
        <w:tc>
          <w:tcPr>
            <w:tcW w:w="1620" w:type="dxa"/>
          </w:tcPr>
          <w:p w14:paraId="7DA4E18A" w14:textId="4DDE775D" w:rsidR="006618D9" w:rsidRPr="000D770C" w:rsidRDefault="006618D9" w:rsidP="006618D9">
            <w:pPr>
              <w:tabs>
                <w:tab w:val="left" w:pos="3330"/>
              </w:tabs>
              <w:rPr>
                <w:rFonts w:ascii="Arial" w:hAnsi="Arial" w:cs="Arial"/>
                <w:sz w:val="24"/>
                <w:szCs w:val="24"/>
              </w:rPr>
            </w:pPr>
            <w:r w:rsidRPr="000D770C">
              <w:rPr>
                <w:rFonts w:ascii="Arial" w:hAnsi="Arial" w:cs="Arial"/>
                <w:sz w:val="24"/>
                <w:szCs w:val="24"/>
              </w:rPr>
              <w:t>Ch 7</w:t>
            </w:r>
          </w:p>
        </w:tc>
        <w:tc>
          <w:tcPr>
            <w:tcW w:w="4860" w:type="dxa"/>
          </w:tcPr>
          <w:p w14:paraId="61526DEF" w14:textId="77777777" w:rsidR="006618D9" w:rsidRDefault="006618D9" w:rsidP="006618D9">
            <w:pPr>
              <w:autoSpaceDE w:val="0"/>
              <w:autoSpaceDN w:val="0"/>
              <w:adjustRightInd w:val="0"/>
              <w:spacing w:after="240"/>
              <w:rPr>
                <w:rFonts w:ascii="Arial" w:hAnsi="Arial" w:cs="Arial"/>
                <w:sz w:val="24"/>
                <w:szCs w:val="24"/>
              </w:rPr>
            </w:pPr>
            <w:r>
              <w:rPr>
                <w:rFonts w:ascii="Arial" w:hAnsi="Arial" w:cs="Arial"/>
                <w:sz w:val="24"/>
                <w:szCs w:val="24"/>
              </w:rPr>
              <w:t>(continued)</w:t>
            </w:r>
          </w:p>
          <w:p w14:paraId="72CE7C8B" w14:textId="77777777" w:rsidR="006618D9" w:rsidRPr="000D770C" w:rsidRDefault="006618D9" w:rsidP="006618D9">
            <w:pPr>
              <w:autoSpaceDE w:val="0"/>
              <w:autoSpaceDN w:val="0"/>
              <w:adjustRightInd w:val="0"/>
              <w:rPr>
                <w:rFonts w:ascii="Arial" w:hAnsi="Arial" w:cs="Arial"/>
                <w:sz w:val="24"/>
                <w:szCs w:val="24"/>
              </w:rPr>
            </w:pPr>
            <w:r w:rsidRPr="000D770C">
              <w:rPr>
                <w:rFonts w:ascii="Arial" w:hAnsi="Arial" w:cs="Arial"/>
                <w:sz w:val="24"/>
                <w:szCs w:val="24"/>
              </w:rPr>
              <w:t xml:space="preserve">“Change to: </w:t>
            </w:r>
          </w:p>
          <w:p w14:paraId="768CDFA5" w14:textId="77777777" w:rsidR="006618D9" w:rsidRPr="000D770C" w:rsidRDefault="006618D9" w:rsidP="006618D9">
            <w:pPr>
              <w:autoSpaceDE w:val="0"/>
              <w:autoSpaceDN w:val="0"/>
              <w:adjustRightInd w:val="0"/>
              <w:spacing w:after="240"/>
              <w:rPr>
                <w:rFonts w:ascii="Arial" w:hAnsi="Arial" w:cs="Arial"/>
                <w:sz w:val="24"/>
                <w:szCs w:val="24"/>
              </w:rPr>
            </w:pPr>
            <w:r w:rsidRPr="000D770C">
              <w:rPr>
                <w:rFonts w:ascii="Arial" w:hAnsi="Arial" w:cs="Arial"/>
                <w:sz w:val="24"/>
                <w:szCs w:val="24"/>
              </w:rPr>
              <w:t>‘For example, a high school might transform its gymnasium into a Financial Literacy Fair, featuring booths hosted by local Certified Financial Planners (CFPs), banks, credit unions, scholarship foundations, and credit counseling services.’</w:t>
            </w:r>
          </w:p>
          <w:p w14:paraId="156CC696" w14:textId="77777777" w:rsidR="006618D9" w:rsidRPr="000D770C" w:rsidRDefault="006618D9" w:rsidP="006618D9">
            <w:pPr>
              <w:autoSpaceDE w:val="0"/>
              <w:autoSpaceDN w:val="0"/>
              <w:adjustRightInd w:val="0"/>
              <w:spacing w:after="240"/>
              <w:rPr>
                <w:rFonts w:ascii="Arial" w:hAnsi="Arial" w:cs="Arial"/>
                <w:sz w:val="24"/>
                <w:szCs w:val="24"/>
              </w:rPr>
            </w:pPr>
            <w:r w:rsidRPr="000D770C">
              <w:rPr>
                <w:rFonts w:ascii="Arial" w:hAnsi="Arial" w:cs="Arial"/>
                <w:sz w:val="24"/>
                <w:szCs w:val="24"/>
              </w:rPr>
              <w:t>“Explanation: Ensure that high schools are aware that local CFPs are excellent partners for events, like Financial Literacy Fair, and write out Certified Financial Planner (CFP) once in each section to ensure that high schools know what CFP stands for. Currently, only the acronym CFP is used in the table starting on line 3823, which may not be widely known.</w:t>
            </w:r>
          </w:p>
          <w:p w14:paraId="396D7321" w14:textId="090B35E6" w:rsidR="006618D9" w:rsidRPr="000D770C" w:rsidRDefault="006618D9" w:rsidP="006618D9">
            <w:pPr>
              <w:autoSpaceDE w:val="0"/>
              <w:autoSpaceDN w:val="0"/>
              <w:adjustRightInd w:val="0"/>
              <w:rPr>
                <w:rFonts w:ascii="Arial" w:hAnsi="Arial" w:cs="Arial"/>
                <w:sz w:val="24"/>
                <w:szCs w:val="24"/>
              </w:rPr>
            </w:pPr>
            <w:r w:rsidRPr="000D770C">
              <w:rPr>
                <w:rFonts w:ascii="Arial" w:hAnsi="Arial" w:cs="Arial"/>
                <w:sz w:val="24"/>
                <w:szCs w:val="24"/>
              </w:rPr>
              <w:t>‘We have local FPA chapters throughout the state that can support school districts and high schools in a variety of ways, and we appreciate the opportunity to participate. …</w:t>
            </w:r>
          </w:p>
        </w:tc>
        <w:tc>
          <w:tcPr>
            <w:tcW w:w="4950" w:type="dxa"/>
          </w:tcPr>
          <w:p w14:paraId="36E6868A" w14:textId="75E98AD9" w:rsidR="006618D9" w:rsidRPr="000D770C" w:rsidRDefault="003C1775" w:rsidP="006618D9">
            <w:pPr>
              <w:rPr>
                <w:rFonts w:ascii="Arial" w:hAnsi="Arial" w:cs="Arial"/>
                <w:sz w:val="24"/>
                <w:szCs w:val="24"/>
              </w:rPr>
            </w:pPr>
            <w:r>
              <w:rPr>
                <w:rFonts w:ascii="Arial" w:hAnsi="Arial" w:cs="Arial"/>
                <w:sz w:val="24"/>
                <w:szCs w:val="24"/>
              </w:rPr>
              <w:t>(continued)</w:t>
            </w:r>
          </w:p>
        </w:tc>
      </w:tr>
      <w:tr w:rsidR="00CE2AF4" w:rsidRPr="000D770C" w14:paraId="29D9F18C" w14:textId="653CDCA8" w:rsidTr="008F1215">
        <w:trPr>
          <w:cantSplit/>
        </w:trPr>
        <w:tc>
          <w:tcPr>
            <w:tcW w:w="805" w:type="dxa"/>
          </w:tcPr>
          <w:p w14:paraId="1036CAB4" w14:textId="1FB7973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17</w:t>
            </w:r>
          </w:p>
        </w:tc>
        <w:tc>
          <w:tcPr>
            <w:tcW w:w="2070" w:type="dxa"/>
          </w:tcPr>
          <w:p w14:paraId="210B2040" w14:textId="313B50D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10-29-25 Coogan (independent consultant)</w:t>
            </w:r>
          </w:p>
        </w:tc>
        <w:tc>
          <w:tcPr>
            <w:tcW w:w="1620" w:type="dxa"/>
          </w:tcPr>
          <w:p w14:paraId="4EEF15D0" w14:textId="2634B3A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795AAE8C" w14:textId="77777777" w:rsidR="00CE2AF4" w:rsidRPr="000D770C" w:rsidRDefault="00CE2AF4" w:rsidP="00CE2AF4">
            <w:pPr>
              <w:spacing w:after="240"/>
              <w:rPr>
                <w:rFonts w:ascii="Arial" w:hAnsi="Arial" w:cs="Arial"/>
                <w:sz w:val="24"/>
                <w:szCs w:val="24"/>
              </w:rPr>
            </w:pPr>
            <w:r w:rsidRPr="000D770C">
              <w:rPr>
                <w:rFonts w:ascii="Arial" w:hAnsi="Arial" w:cs="Arial"/>
                <w:sz w:val="24"/>
                <w:szCs w:val="24"/>
              </w:rPr>
              <w:t>Re: Topic 1: Banking Basics lines 386–419</w:t>
            </w:r>
          </w:p>
          <w:p w14:paraId="61403122" w14:textId="1BB9E86E" w:rsidR="00CE2AF4" w:rsidRPr="000D770C" w:rsidRDefault="00CE2AF4" w:rsidP="00CE2AF4">
            <w:pPr>
              <w:spacing w:after="240"/>
              <w:rPr>
                <w:rFonts w:ascii="Arial" w:eastAsia="Times New Roman" w:hAnsi="Arial" w:cs="Arial"/>
                <w:sz w:val="24"/>
                <w:szCs w:val="24"/>
              </w:rPr>
            </w:pPr>
            <w:r w:rsidRPr="000D770C">
              <w:rPr>
                <w:rFonts w:ascii="Arial" w:hAnsi="Arial" w:cs="Arial"/>
                <w:sz w:val="24"/>
                <w:szCs w:val="24"/>
              </w:rPr>
              <w:t>“</w:t>
            </w:r>
            <w:r w:rsidRPr="000D770C">
              <w:rPr>
                <w:rFonts w:ascii="Arial" w:eastAsia="Times New Roman" w:hAnsi="Arial" w:cs="Arial"/>
                <w:sz w:val="24"/>
                <w:szCs w:val="24"/>
              </w:rPr>
              <w:t xml:space="preserve">… I did not see reference to the difference between a Bank and a Credit Union. Perhaps this is covered in some of the third-party content but not called out in the raft curriculum. </w:t>
            </w:r>
          </w:p>
          <w:p w14:paraId="4524A4FA" w14:textId="2AECA065" w:rsidR="00CE2AF4" w:rsidRPr="000D770C" w:rsidRDefault="00CE2AF4" w:rsidP="00CE2AF4">
            <w:pPr>
              <w:rPr>
                <w:rFonts w:ascii="Arial" w:hAnsi="Arial" w:cs="Arial"/>
                <w:sz w:val="24"/>
                <w:szCs w:val="24"/>
              </w:rPr>
            </w:pPr>
            <w:r w:rsidRPr="000D770C">
              <w:rPr>
                <w:rFonts w:ascii="Arial" w:eastAsia="Times New Roman" w:hAnsi="Arial" w:cs="Arial"/>
                <w:sz w:val="24"/>
                <w:szCs w:val="24"/>
              </w:rPr>
              <w:t>There are several references to partnering with local credit unions, which is a great suggestion, however, students should understand the credit union member concept since CUs tend to have more favorable rates.”</w:t>
            </w:r>
          </w:p>
        </w:tc>
        <w:tc>
          <w:tcPr>
            <w:tcW w:w="4950" w:type="dxa"/>
          </w:tcPr>
          <w:p w14:paraId="524CE8FB" w14:textId="49E177EE" w:rsidR="00CE2AF4" w:rsidRPr="000D770C" w:rsidRDefault="00CE2AF4" w:rsidP="00CE2AF4">
            <w:pPr>
              <w:rPr>
                <w:rFonts w:ascii="Arial" w:hAnsi="Arial" w:cs="Arial"/>
                <w:sz w:val="24"/>
                <w:szCs w:val="24"/>
              </w:rPr>
            </w:pPr>
            <w:r w:rsidRPr="000D770C">
              <w:rPr>
                <w:rFonts w:ascii="Arial" w:hAnsi="Arial" w:cs="Arial"/>
                <w:sz w:val="24"/>
                <w:szCs w:val="24"/>
              </w:rPr>
              <w:t>Actionable, Recommended</w:t>
            </w:r>
          </w:p>
        </w:tc>
      </w:tr>
      <w:tr w:rsidR="00CE2AF4" w:rsidRPr="000D770C" w14:paraId="50678DB4" w14:textId="31C2C560" w:rsidTr="008F1215">
        <w:trPr>
          <w:cantSplit/>
        </w:trPr>
        <w:tc>
          <w:tcPr>
            <w:tcW w:w="805" w:type="dxa"/>
          </w:tcPr>
          <w:p w14:paraId="75A4A72F" w14:textId="35605D9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18</w:t>
            </w:r>
          </w:p>
        </w:tc>
        <w:tc>
          <w:tcPr>
            <w:tcW w:w="2070" w:type="dxa"/>
          </w:tcPr>
          <w:p w14:paraId="48AEAEEF" w14:textId="0E8FD16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10-29-25 Harkin (Redwood Credit Union)</w:t>
            </w:r>
          </w:p>
        </w:tc>
        <w:tc>
          <w:tcPr>
            <w:tcW w:w="1620" w:type="dxa"/>
          </w:tcPr>
          <w:p w14:paraId="0E9B6C35" w14:textId="098B273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4</w:t>
            </w:r>
          </w:p>
        </w:tc>
        <w:tc>
          <w:tcPr>
            <w:tcW w:w="4860" w:type="dxa"/>
          </w:tcPr>
          <w:p w14:paraId="2259E255" w14:textId="77777777" w:rsidR="00CE2AF4" w:rsidRPr="000D770C" w:rsidRDefault="00CE2AF4" w:rsidP="00CE2AF4">
            <w:pPr>
              <w:spacing w:after="240"/>
              <w:rPr>
                <w:rFonts w:ascii="Arial" w:hAnsi="Arial" w:cs="Arial"/>
                <w:sz w:val="24"/>
                <w:szCs w:val="24"/>
              </w:rPr>
            </w:pPr>
            <w:r w:rsidRPr="000D770C">
              <w:rPr>
                <w:rFonts w:ascii="Arial" w:hAnsi="Arial" w:cs="Arial"/>
                <w:sz w:val="24"/>
                <w:szCs w:val="24"/>
              </w:rPr>
              <w:t>“Redwood Credit Union (RCU) recommends integrating experiential learning strategies into Chapter 4 to help students more effectively internalize key financial concepts. These hands-on approaches—such as financial simulations—engage students in real-world decision-making, budgeting practice, and problem-solving under financial constraints.  One example is the Bite of Reality® app-based simulation, which aligns with California’s 13 personal finance topics and has reached over 50,000 students statewide. Supported by the Richard Myles Johnson Foundation, Bite of Reality demonstrates how interactive experiences can enhance engagement and reinforce financial literacy in a memorable and impactful way.</w:t>
            </w:r>
          </w:p>
          <w:p w14:paraId="7B92F901" w14:textId="19A9C331" w:rsidR="00CE2AF4" w:rsidRPr="000D770C" w:rsidRDefault="00CE2AF4" w:rsidP="00CE2AF4">
            <w:pPr>
              <w:rPr>
                <w:rFonts w:ascii="Arial" w:hAnsi="Arial" w:cs="Arial"/>
                <w:sz w:val="24"/>
                <w:szCs w:val="24"/>
              </w:rPr>
            </w:pPr>
            <w:r w:rsidRPr="000D770C">
              <w:rPr>
                <w:rFonts w:ascii="Arial" w:hAnsi="Arial" w:cs="Arial"/>
                <w:sz w:val="24"/>
                <w:szCs w:val="24"/>
              </w:rPr>
              <w:t>“Experiential learning also supports diverse learning styles, builds critical thinking and decision-making skills, and motivates students by making financial education relevant and practical—moving beyond memorization to deeper understanding.”</w:t>
            </w:r>
          </w:p>
        </w:tc>
        <w:tc>
          <w:tcPr>
            <w:tcW w:w="4950" w:type="dxa"/>
          </w:tcPr>
          <w:p w14:paraId="77835D2D" w14:textId="1D07D559"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7861B09F" w14:textId="55D74839" w:rsidTr="008F1215">
        <w:trPr>
          <w:cantSplit/>
        </w:trPr>
        <w:tc>
          <w:tcPr>
            <w:tcW w:w="805" w:type="dxa"/>
          </w:tcPr>
          <w:p w14:paraId="3179B2A5" w14:textId="100D512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19</w:t>
            </w:r>
          </w:p>
        </w:tc>
        <w:tc>
          <w:tcPr>
            <w:tcW w:w="2070" w:type="dxa"/>
          </w:tcPr>
          <w:p w14:paraId="24C738D6" w14:textId="477ECCB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10-29-25 Harkin2 (Redwood Credit Union)</w:t>
            </w:r>
          </w:p>
        </w:tc>
        <w:tc>
          <w:tcPr>
            <w:tcW w:w="1620" w:type="dxa"/>
          </w:tcPr>
          <w:p w14:paraId="60F16A1F" w14:textId="5F1EF2D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37EFC3E6" w14:textId="170EE9F0" w:rsidR="00CE2AF4" w:rsidRPr="000D770C" w:rsidRDefault="00CE2AF4" w:rsidP="00CE2AF4">
            <w:pPr>
              <w:spacing w:after="240"/>
              <w:rPr>
                <w:rFonts w:ascii="Arial" w:hAnsi="Arial" w:cs="Arial"/>
                <w:sz w:val="24"/>
                <w:szCs w:val="24"/>
              </w:rPr>
            </w:pPr>
            <w:r w:rsidRPr="000D770C">
              <w:rPr>
                <w:rFonts w:ascii="Arial" w:hAnsi="Arial" w:cs="Arial"/>
                <w:sz w:val="24"/>
                <w:szCs w:val="24"/>
              </w:rPr>
              <w:t>“Redwood Credit Union recommends that the guide explicitly support partnerships between school districts and community-based financial institutions as a strategy for delivering high-impact financial education.</w:t>
            </w:r>
          </w:p>
          <w:p w14:paraId="28810320" w14:textId="3D9C5F1C" w:rsidR="00CE2AF4" w:rsidRPr="000D770C" w:rsidRDefault="00CE2AF4" w:rsidP="00CE2AF4">
            <w:pPr>
              <w:rPr>
                <w:rFonts w:ascii="Arial" w:hAnsi="Arial" w:cs="Arial"/>
                <w:sz w:val="24"/>
                <w:szCs w:val="24"/>
              </w:rPr>
            </w:pPr>
            <w:r w:rsidRPr="000D770C">
              <w:rPr>
                <w:rFonts w:ascii="Arial" w:hAnsi="Arial" w:cs="Arial"/>
                <w:sz w:val="24"/>
                <w:szCs w:val="24"/>
              </w:rPr>
              <w:t xml:space="preserve">“Community-based financial institutions are uniquely positioned to contribute to this effort by offering experiential learning programs, guest instruction, and financial simulations.  Programs like </w:t>
            </w:r>
            <w:r w:rsidRPr="000D770C">
              <w:rPr>
                <w:rFonts w:ascii="Arial" w:hAnsi="Arial" w:cs="Arial"/>
                <w:i/>
                <w:iCs/>
                <w:sz w:val="24"/>
                <w:szCs w:val="24"/>
              </w:rPr>
              <w:t>Bite of Reality®</w:t>
            </w:r>
            <w:r w:rsidRPr="000D770C">
              <w:rPr>
                <w:rFonts w:ascii="Arial" w:hAnsi="Arial" w:cs="Arial"/>
                <w:sz w:val="24"/>
                <w:szCs w:val="24"/>
              </w:rPr>
              <w:t>—an interactive financial simulation supported by the Richard Myles Johnson Foundation—have successfully partnered with schools across Marin, Napa, and Sonoma counties. These events have reached thousands of students and received support from elected officials, demonstrating the value of community involvement in advancing financial literacy.”</w:t>
            </w:r>
          </w:p>
        </w:tc>
        <w:tc>
          <w:tcPr>
            <w:tcW w:w="4950" w:type="dxa"/>
          </w:tcPr>
          <w:p w14:paraId="2071B919"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13DC0325" w14:textId="20A692A2" w:rsidR="00CE2AF4" w:rsidRPr="000D770C" w:rsidRDefault="00CE2AF4" w:rsidP="00CE2AF4">
            <w:pPr>
              <w:rPr>
                <w:rFonts w:ascii="Arial" w:hAnsi="Arial" w:cs="Arial"/>
                <w:sz w:val="24"/>
                <w:szCs w:val="24"/>
              </w:rPr>
            </w:pPr>
            <w:r w:rsidRPr="000D770C">
              <w:rPr>
                <w:rFonts w:ascii="Arial" w:hAnsi="Arial" w:cs="Arial"/>
                <w:sz w:val="24"/>
                <w:szCs w:val="24"/>
              </w:rPr>
              <w:t>Such partnerships are already encouraged in the guidance (Chapter 7)</w:t>
            </w:r>
          </w:p>
        </w:tc>
      </w:tr>
      <w:tr w:rsidR="00CE2AF4" w:rsidRPr="000D770C" w14:paraId="29E39C95" w14:textId="2DE5DD69" w:rsidTr="008F1215">
        <w:trPr>
          <w:cantSplit/>
        </w:trPr>
        <w:tc>
          <w:tcPr>
            <w:tcW w:w="805" w:type="dxa"/>
          </w:tcPr>
          <w:p w14:paraId="1D866756" w14:textId="11918EE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20</w:t>
            </w:r>
          </w:p>
        </w:tc>
        <w:tc>
          <w:tcPr>
            <w:tcW w:w="2070" w:type="dxa"/>
          </w:tcPr>
          <w:p w14:paraId="48370C35" w14:textId="1F962C4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10-29-25 Harkin3 (Redwood Credit Union)</w:t>
            </w:r>
          </w:p>
        </w:tc>
        <w:tc>
          <w:tcPr>
            <w:tcW w:w="1620" w:type="dxa"/>
          </w:tcPr>
          <w:p w14:paraId="5413A709" w14:textId="4062539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5</w:t>
            </w:r>
          </w:p>
        </w:tc>
        <w:tc>
          <w:tcPr>
            <w:tcW w:w="4860" w:type="dxa"/>
          </w:tcPr>
          <w:p w14:paraId="2A580ED3" w14:textId="165305EA" w:rsidR="00CE2AF4" w:rsidRPr="000D770C" w:rsidRDefault="00CE2AF4" w:rsidP="00CE2AF4">
            <w:pPr>
              <w:spacing w:after="240"/>
              <w:rPr>
                <w:rFonts w:ascii="Arial" w:hAnsi="Arial" w:cs="Arial"/>
                <w:sz w:val="24"/>
                <w:szCs w:val="24"/>
              </w:rPr>
            </w:pPr>
            <w:r w:rsidRPr="000D770C">
              <w:rPr>
                <w:rFonts w:ascii="Arial" w:hAnsi="Arial" w:cs="Arial"/>
                <w:sz w:val="24"/>
                <w:szCs w:val="24"/>
              </w:rPr>
              <w:t>“Redwood Credit Union recommends that Chapter 5 explicitly support partnerships between school districts and community-based personal finance educators—such as Redwood Credit Union—as part of professional development initiatives. …</w:t>
            </w:r>
          </w:p>
          <w:p w14:paraId="4557230D" w14:textId="483A73F6" w:rsidR="00CE2AF4" w:rsidRPr="000D770C" w:rsidRDefault="00CE2AF4" w:rsidP="00CE2AF4">
            <w:pPr>
              <w:spacing w:after="240"/>
              <w:rPr>
                <w:rFonts w:ascii="Arial" w:hAnsi="Arial" w:cs="Arial"/>
                <w:sz w:val="24"/>
                <w:szCs w:val="24"/>
              </w:rPr>
            </w:pPr>
            <w:r w:rsidRPr="000D770C">
              <w:rPr>
                <w:rFonts w:ascii="Arial" w:hAnsi="Arial" w:cs="Arial"/>
                <w:sz w:val="24"/>
                <w:szCs w:val="24"/>
              </w:rPr>
              <w:t>“Redwood Credit Union offers a robust suite of digital tools and financial wellness resources that align with California’s personal finance standards and equity goals. ….</w:t>
            </w:r>
          </w:p>
          <w:p w14:paraId="10FBE096" w14:textId="6C5C3F6F" w:rsidR="00CE2AF4" w:rsidRPr="000D770C" w:rsidRDefault="00CE2AF4" w:rsidP="00CE2AF4">
            <w:pPr>
              <w:rPr>
                <w:rFonts w:ascii="Arial" w:hAnsi="Arial" w:cs="Arial"/>
                <w:sz w:val="24"/>
                <w:szCs w:val="24"/>
              </w:rPr>
            </w:pPr>
            <w:r w:rsidRPr="000D770C">
              <w:rPr>
                <w:rFonts w:ascii="Arial" w:hAnsi="Arial" w:cs="Arial"/>
                <w:sz w:val="24"/>
                <w:szCs w:val="24"/>
              </w:rPr>
              <w:t>“Grant programs such as the Literacy Coaches and Reading Specialists Grant (LCRS) and the Comprehensive Literacy State Development Grant (CLSD) provide a valuable opportunity to fund these partnerships, ensuring that educators are equipped to deliver high-quality, relevant financial education to all students.”</w:t>
            </w:r>
          </w:p>
        </w:tc>
        <w:tc>
          <w:tcPr>
            <w:tcW w:w="4950" w:type="dxa"/>
          </w:tcPr>
          <w:p w14:paraId="6BA8EB22" w14:textId="53E4C4C0"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464D9DFC" w14:textId="51E64BC6" w:rsidTr="008F1215">
        <w:trPr>
          <w:cantSplit/>
        </w:trPr>
        <w:tc>
          <w:tcPr>
            <w:tcW w:w="805" w:type="dxa"/>
          </w:tcPr>
          <w:p w14:paraId="37522D7A" w14:textId="65021EE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21.a</w:t>
            </w:r>
          </w:p>
        </w:tc>
        <w:tc>
          <w:tcPr>
            <w:tcW w:w="2070" w:type="dxa"/>
          </w:tcPr>
          <w:p w14:paraId="70477D80"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66A762F5" w14:textId="0D3B6B7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2300EA62" w14:textId="52993EB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1</w:t>
            </w:r>
          </w:p>
        </w:tc>
        <w:tc>
          <w:tcPr>
            <w:tcW w:w="4860" w:type="dxa"/>
          </w:tcPr>
          <w:p w14:paraId="6CCABF4C" w14:textId="29FA6E73"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Chapter 1, Page 4, Lines 53-54</w:t>
            </w:r>
          </w:p>
          <w:p w14:paraId="3919C90F" w14:textId="076C05A0"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“These effects are particularly pronounced for students from low-income backgrounds, positioning financial education as a powerful tool for reducing economic disparities and promoting generational wealth.”</w:t>
            </w:r>
          </w:p>
          <w:p w14:paraId="2D43276E" w14:textId="5620886A"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Comment: Please cite the premise that students from a low-income background are more likely to have issues with finances and explain “promoting generational wealth” as a goal of financial literacy.</w:t>
            </w:r>
          </w:p>
          <w:p w14:paraId="752C79E8" w14:textId="044C7EC8" w:rsidR="00CE2AF4" w:rsidRPr="000D770C" w:rsidRDefault="00CE2AF4" w:rsidP="00CE2AF4">
            <w:pPr>
              <w:rPr>
                <w:rFonts w:ascii="Arial" w:hAnsi="Arial" w:cs="Arial"/>
                <w:sz w:val="24"/>
                <w:szCs w:val="24"/>
              </w:rPr>
            </w:pPr>
            <w:r w:rsidRPr="000D770C">
              <w:rPr>
                <w:rFonts w:ascii="Arial" w:hAnsi="Arial" w:cs="Arial"/>
                <w:color w:val="000000"/>
                <w:sz w:val="24"/>
                <w:szCs w:val="24"/>
              </w:rPr>
              <w:t>Additionally, it is important to keep in mind that there is a cultural aspect to money management. What one family values may not be the same thing as another family values. The goal in Social Sciences is not to judge or favor one belief system over another, but to understand belief systems and how they affect other aspects of life.</w:t>
            </w:r>
          </w:p>
        </w:tc>
        <w:tc>
          <w:tcPr>
            <w:tcW w:w="4950" w:type="dxa"/>
          </w:tcPr>
          <w:p w14:paraId="2E764199" w14:textId="68E3833E" w:rsidR="00CE2AF4" w:rsidRPr="000D770C" w:rsidRDefault="00CE2AF4" w:rsidP="00CE2AF4">
            <w:pPr>
              <w:rPr>
                <w:rFonts w:ascii="Arial" w:hAnsi="Arial" w:cs="Arial"/>
                <w:sz w:val="24"/>
                <w:szCs w:val="24"/>
              </w:rPr>
            </w:pPr>
            <w:r w:rsidRPr="000D770C">
              <w:rPr>
                <w:rFonts w:ascii="Arial" w:hAnsi="Arial" w:cs="Arial"/>
                <w:sz w:val="24"/>
                <w:szCs w:val="24"/>
              </w:rPr>
              <w:t>Actionable, Recommended</w:t>
            </w:r>
          </w:p>
        </w:tc>
      </w:tr>
      <w:tr w:rsidR="00CE2AF4" w:rsidRPr="000D770C" w14:paraId="4B8B0EFA" w14:textId="10095C92" w:rsidTr="008F1215">
        <w:trPr>
          <w:cantSplit/>
        </w:trPr>
        <w:tc>
          <w:tcPr>
            <w:tcW w:w="805" w:type="dxa"/>
          </w:tcPr>
          <w:p w14:paraId="2B0BE5F7" w14:textId="6CA7A59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21.b</w:t>
            </w:r>
          </w:p>
        </w:tc>
        <w:tc>
          <w:tcPr>
            <w:tcW w:w="2070" w:type="dxa"/>
          </w:tcPr>
          <w:p w14:paraId="6112C57E"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0281EBCF" w14:textId="1C4C8D2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 President)</w:t>
            </w:r>
          </w:p>
        </w:tc>
        <w:tc>
          <w:tcPr>
            <w:tcW w:w="1620" w:type="dxa"/>
          </w:tcPr>
          <w:p w14:paraId="4D4004B8" w14:textId="39C42D2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0729347C" w14:textId="342C414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 18, Line 398 </w:t>
            </w:r>
          </w:p>
          <w:p w14:paraId="52CF2BD9"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 xml:space="preserve">“—especially in low-income communities” </w:t>
            </w:r>
          </w:p>
          <w:p w14:paraId="29E00739" w14:textId="77777777" w:rsidR="00CE2AF4" w:rsidRPr="000D770C" w:rsidRDefault="00CE2AF4" w:rsidP="00CE2AF4">
            <w:pPr>
              <w:spacing w:after="240"/>
              <w:rPr>
                <w:rFonts w:ascii="Arial" w:hAnsi="Arial" w:cs="Arial"/>
                <w:color w:val="000000"/>
                <w:sz w:val="24"/>
                <w:szCs w:val="24"/>
              </w:rPr>
            </w:pPr>
            <w:r w:rsidRPr="000D770C">
              <w:rPr>
                <w:rFonts w:ascii="Arial" w:hAnsi="Arial" w:cs="Arial"/>
                <w:color w:val="000000"/>
                <w:sz w:val="24"/>
                <w:szCs w:val="24"/>
              </w:rPr>
              <w:t>Comment: While this is a good point, it is not necessary.</w:t>
            </w:r>
          </w:p>
          <w:p w14:paraId="2C01DA3E" w14:textId="22C0A071" w:rsidR="00CE2AF4" w:rsidRPr="000D770C" w:rsidRDefault="00CE2AF4" w:rsidP="00CE2AF4">
            <w:pPr>
              <w:rPr>
                <w:rFonts w:ascii="Arial" w:hAnsi="Arial" w:cs="Arial"/>
                <w:sz w:val="24"/>
                <w:szCs w:val="24"/>
              </w:rPr>
            </w:pPr>
            <w:r w:rsidRPr="000D770C">
              <w:rPr>
                <w:rFonts w:ascii="Arial" w:hAnsi="Arial" w:cs="Arial"/>
                <w:color w:val="000000"/>
                <w:sz w:val="24"/>
                <w:szCs w:val="24"/>
              </w:rPr>
              <w:t xml:space="preserve">CDE:  More complete excerpt under “Topic 1: Banking Basics: Why it Matters”:  </w:t>
            </w:r>
            <w:r w:rsidRPr="000D770C">
              <w:rPr>
                <w:rFonts w:ascii="Arial" w:hAnsi="Arial" w:cs="Arial"/>
                <w:i/>
                <w:iCs/>
                <w:color w:val="000000"/>
                <w:sz w:val="24"/>
                <w:szCs w:val="24"/>
              </w:rPr>
              <w:t>“Basic banking knowledge is essential for navigating today’s increasingly cashless economy. In California, a significant number of young adults remain unbanked, limiting their access to secure financial services and exposing them to high-cost alternatives like payday lenders and check-cashing businesses. A lack of banking access and understanding can delay financial independence, hinder credit-building, and perpetuate cycles of economic instability—especially in low-income communities. By building students’ confidence in using both traditional and digital banking tools, schools can help bridge equity gaps and lay the foundation for lifelong financial security.”</w:t>
            </w:r>
          </w:p>
        </w:tc>
        <w:tc>
          <w:tcPr>
            <w:tcW w:w="4950" w:type="dxa"/>
          </w:tcPr>
          <w:p w14:paraId="2CC5A9C9"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5E1E4D5F" w14:textId="10F40D88" w:rsidR="00CE2AF4" w:rsidRPr="000D770C" w:rsidRDefault="00CE2AF4" w:rsidP="00CE2AF4">
            <w:pPr>
              <w:rPr>
                <w:rFonts w:ascii="Arial" w:hAnsi="Arial" w:cs="Arial"/>
                <w:sz w:val="24"/>
                <w:szCs w:val="24"/>
              </w:rPr>
            </w:pPr>
            <w:r w:rsidRPr="000D770C">
              <w:rPr>
                <w:rFonts w:ascii="Arial" w:hAnsi="Arial" w:cs="Arial"/>
                <w:sz w:val="24"/>
                <w:szCs w:val="24"/>
              </w:rPr>
              <w:t>No rationale or suggested alternate phrasing provided</w:t>
            </w:r>
          </w:p>
        </w:tc>
      </w:tr>
      <w:tr w:rsidR="00CE2AF4" w:rsidRPr="000D770C" w14:paraId="440242C6" w14:textId="3F210047" w:rsidTr="008F1215">
        <w:trPr>
          <w:cantSplit/>
        </w:trPr>
        <w:tc>
          <w:tcPr>
            <w:tcW w:w="805" w:type="dxa"/>
          </w:tcPr>
          <w:p w14:paraId="533AE743" w14:textId="02A2A874"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21.c</w:t>
            </w:r>
          </w:p>
        </w:tc>
        <w:tc>
          <w:tcPr>
            <w:tcW w:w="2070" w:type="dxa"/>
          </w:tcPr>
          <w:p w14:paraId="221F784C"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15C6D52D" w14:textId="2C56BEA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07ECDF0A" w14:textId="1458ED9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270E689F" w14:textId="52D7D34F"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 19, Lines 408-409 </w:t>
            </w:r>
          </w:p>
          <w:p w14:paraId="6ED05070" w14:textId="56FB6212"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“Explain how being unbanked (living without a savings or checking account) affects access to credit and long-term financial security”</w:t>
            </w:r>
          </w:p>
          <w:p w14:paraId="2535453F" w14:textId="3A1D6535" w:rsidR="00CE2AF4" w:rsidRPr="000D770C" w:rsidRDefault="00CE2AF4" w:rsidP="00CE2AF4">
            <w:pPr>
              <w:rPr>
                <w:rFonts w:ascii="Arial" w:hAnsi="Arial" w:cs="Arial"/>
                <w:sz w:val="24"/>
                <w:szCs w:val="24"/>
              </w:rPr>
            </w:pPr>
            <w:r w:rsidRPr="000D770C">
              <w:rPr>
                <w:rFonts w:ascii="Arial" w:hAnsi="Arial" w:cs="Arial"/>
                <w:color w:val="000000"/>
                <w:sz w:val="24"/>
                <w:szCs w:val="24"/>
              </w:rPr>
              <w:t xml:space="preserve">Comment: Does the curriculum discuss why individuals are unbanked or </w:t>
            </w:r>
            <w:proofErr w:type="gramStart"/>
            <w:r w:rsidRPr="000D770C">
              <w:rPr>
                <w:rFonts w:ascii="Arial" w:hAnsi="Arial" w:cs="Arial"/>
                <w:color w:val="000000"/>
                <w:sz w:val="24"/>
                <w:szCs w:val="24"/>
              </w:rPr>
              <w:t>may</w:t>
            </w:r>
            <w:proofErr w:type="gramEnd"/>
            <w:r w:rsidRPr="000D770C">
              <w:rPr>
                <w:rFonts w:ascii="Arial" w:hAnsi="Arial" w:cs="Arial"/>
                <w:color w:val="000000"/>
                <w:sz w:val="24"/>
                <w:szCs w:val="24"/>
              </w:rPr>
              <w:t xml:space="preserve"> choose to be unbanked? Is the only solution to being unbanked forcing those to be banked? Can the </w:t>
            </w:r>
            <w:r w:rsidRPr="000D770C">
              <w:rPr>
                <w:rFonts w:ascii="Arial" w:hAnsi="Arial" w:cs="Arial"/>
                <w:sz w:val="24"/>
                <w:szCs w:val="24"/>
              </w:rPr>
              <w:t>curriculum demonstrate different ways to manage money and then allow the student to decide for themselves what makes the most sense, considering their individual circumstances?</w:t>
            </w:r>
          </w:p>
        </w:tc>
        <w:tc>
          <w:tcPr>
            <w:tcW w:w="4950" w:type="dxa"/>
          </w:tcPr>
          <w:p w14:paraId="30785EFE" w14:textId="5B077E81"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07AE47B9" w14:textId="14E106F9" w:rsidR="00CE2AF4" w:rsidRPr="000D770C" w:rsidRDefault="00CE2AF4" w:rsidP="00CE2AF4">
            <w:pPr>
              <w:rPr>
                <w:rFonts w:ascii="Arial" w:hAnsi="Arial" w:cs="Arial"/>
                <w:sz w:val="24"/>
                <w:szCs w:val="24"/>
              </w:rPr>
            </w:pPr>
            <w:r w:rsidRPr="000D770C">
              <w:rPr>
                <w:rFonts w:ascii="Arial" w:hAnsi="Arial" w:cs="Arial"/>
                <w:sz w:val="24"/>
                <w:szCs w:val="24"/>
              </w:rPr>
              <w:t>No rationale or suggested alternate phrasing provided</w:t>
            </w:r>
          </w:p>
        </w:tc>
      </w:tr>
      <w:tr w:rsidR="00CE2AF4" w:rsidRPr="000D770C" w14:paraId="7C39EF99" w14:textId="5CC2C5EB" w:rsidTr="008F1215">
        <w:trPr>
          <w:cantSplit/>
        </w:trPr>
        <w:tc>
          <w:tcPr>
            <w:tcW w:w="805" w:type="dxa"/>
          </w:tcPr>
          <w:p w14:paraId="2732BF32" w14:textId="6BEE081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21.d</w:t>
            </w:r>
          </w:p>
        </w:tc>
        <w:tc>
          <w:tcPr>
            <w:tcW w:w="2070" w:type="dxa"/>
          </w:tcPr>
          <w:p w14:paraId="51B9A019"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60DDB861" w14:textId="593FC42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34F74B90" w14:textId="781FE37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143349EC"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 19, Lines 418-419 </w:t>
            </w:r>
          </w:p>
          <w:p w14:paraId="0EA7ACD7" w14:textId="04EE32BF"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“–supporting intergenerational financial stability and reducing community-level wealth disparities.”</w:t>
            </w:r>
          </w:p>
          <w:p w14:paraId="0E1AA37D" w14:textId="519E803B" w:rsidR="00CE2AF4" w:rsidRPr="000D770C" w:rsidRDefault="00CE2AF4" w:rsidP="00CE2AF4">
            <w:pPr>
              <w:rPr>
                <w:rFonts w:ascii="Arial" w:hAnsi="Arial" w:cs="Arial"/>
                <w:sz w:val="24"/>
                <w:szCs w:val="24"/>
              </w:rPr>
            </w:pPr>
            <w:r w:rsidRPr="000D770C">
              <w:rPr>
                <w:rFonts w:ascii="Arial" w:hAnsi="Arial" w:cs="Arial"/>
                <w:color w:val="000000"/>
                <w:sz w:val="24"/>
                <w:szCs w:val="24"/>
              </w:rPr>
              <w:t>Comment: Please cite the data to support this premise. A lack of financial literacy does not cause the wealth disparities we see in our society today. This is similar to promoting the problematic American belief that if you work hard enough and pull yourself up by your bootstraps, you can achieve the American Dream.</w:t>
            </w:r>
          </w:p>
        </w:tc>
        <w:tc>
          <w:tcPr>
            <w:tcW w:w="4950" w:type="dxa"/>
          </w:tcPr>
          <w:p w14:paraId="2EFEB386" w14:textId="37A07EB9" w:rsidR="00CE2AF4" w:rsidRPr="000D770C" w:rsidRDefault="00CE2AF4" w:rsidP="00CE2AF4">
            <w:pPr>
              <w:rPr>
                <w:rFonts w:ascii="Arial" w:hAnsi="Arial" w:cs="Arial"/>
                <w:sz w:val="24"/>
                <w:szCs w:val="24"/>
              </w:rPr>
            </w:pPr>
            <w:r w:rsidRPr="000D770C">
              <w:rPr>
                <w:rFonts w:ascii="Arial" w:hAnsi="Arial" w:cs="Arial"/>
                <w:sz w:val="24"/>
                <w:szCs w:val="24"/>
              </w:rPr>
              <w:t>Actionable, Recommended</w:t>
            </w:r>
          </w:p>
        </w:tc>
      </w:tr>
      <w:tr w:rsidR="00CE2AF4" w:rsidRPr="000D770C" w14:paraId="584A7364" w14:textId="3D1D98DF" w:rsidTr="008F1215">
        <w:trPr>
          <w:cantSplit/>
        </w:trPr>
        <w:tc>
          <w:tcPr>
            <w:tcW w:w="805" w:type="dxa"/>
          </w:tcPr>
          <w:p w14:paraId="7A4A9D66" w14:textId="33B6B7F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21.e</w:t>
            </w:r>
          </w:p>
        </w:tc>
        <w:tc>
          <w:tcPr>
            <w:tcW w:w="2070" w:type="dxa"/>
          </w:tcPr>
          <w:p w14:paraId="26E2A6E0"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1B85424D" w14:textId="6028A641"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624D3B58" w14:textId="60C2D03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2AAA8436"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 19, Table Under Line 419 </w:t>
            </w:r>
          </w:p>
          <w:p w14:paraId="6A9ECCE1" w14:textId="40817163"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 … students also learn how to write a personal check…”</w:t>
            </w:r>
          </w:p>
          <w:p w14:paraId="47EA81B9" w14:textId="47D1F499" w:rsidR="00CE2AF4" w:rsidRPr="000D770C" w:rsidRDefault="00CE2AF4" w:rsidP="00CE2AF4">
            <w:pPr>
              <w:rPr>
                <w:rFonts w:ascii="Arial" w:hAnsi="Arial" w:cs="Arial"/>
                <w:sz w:val="24"/>
                <w:szCs w:val="24"/>
              </w:rPr>
            </w:pPr>
            <w:r w:rsidRPr="000D770C">
              <w:rPr>
                <w:rFonts w:ascii="Arial" w:hAnsi="Arial" w:cs="Arial"/>
                <w:color w:val="000000"/>
                <w:sz w:val="24"/>
                <w:szCs w:val="24"/>
              </w:rPr>
              <w:t xml:space="preserve">Comment: There are some employees who choose not to enroll in Direct Deposit because they no longer use paper checks and are unable to provide a voided check as requested in the application. It may </w:t>
            </w:r>
            <w:r w:rsidRPr="000D770C">
              <w:rPr>
                <w:rFonts w:ascii="Arial" w:hAnsi="Arial" w:cs="Arial"/>
                <w:sz w:val="24"/>
                <w:szCs w:val="24"/>
              </w:rPr>
              <w:t>be helpful to include an alternative verification method for Direct Deposit enrollment.</w:t>
            </w:r>
          </w:p>
        </w:tc>
        <w:tc>
          <w:tcPr>
            <w:tcW w:w="4950" w:type="dxa"/>
          </w:tcPr>
          <w:p w14:paraId="0A7F7F7C" w14:textId="2A304B5C"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5F8B8A08" w14:textId="151E592A" w:rsidTr="008F1215">
        <w:trPr>
          <w:cantSplit/>
        </w:trPr>
        <w:tc>
          <w:tcPr>
            <w:tcW w:w="805" w:type="dxa"/>
          </w:tcPr>
          <w:p w14:paraId="6295388C" w14:textId="0660968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21.f</w:t>
            </w:r>
          </w:p>
        </w:tc>
        <w:tc>
          <w:tcPr>
            <w:tcW w:w="2070" w:type="dxa"/>
          </w:tcPr>
          <w:p w14:paraId="4BDC435B"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11A74654" w14:textId="5C10DA7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5941B478" w14:textId="2B33304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17ACC3CE"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Pages 19-37 </w:t>
            </w:r>
          </w:p>
          <w:p w14:paraId="59E074C6" w14:textId="27E6135C"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i/>
                <w:iCs/>
                <w:color w:val="000000"/>
                <w:sz w:val="24"/>
                <w:szCs w:val="24"/>
              </w:rPr>
              <w:t>Standards Alignment | Possible Student Task/Activity tables</w:t>
            </w:r>
          </w:p>
          <w:p w14:paraId="48B54306" w14:textId="12ECBFF3" w:rsidR="00CE2AF4" w:rsidRPr="000D770C" w:rsidRDefault="00CE2AF4" w:rsidP="00CE2AF4">
            <w:pPr>
              <w:rPr>
                <w:rFonts w:ascii="Arial" w:hAnsi="Arial" w:cs="Arial"/>
                <w:sz w:val="24"/>
                <w:szCs w:val="24"/>
              </w:rPr>
            </w:pPr>
            <w:r w:rsidRPr="000D770C">
              <w:rPr>
                <w:rFonts w:ascii="Arial" w:hAnsi="Arial" w:cs="Arial"/>
                <w:color w:val="000000"/>
                <w:sz w:val="24"/>
                <w:szCs w:val="24"/>
              </w:rPr>
              <w:t>Comment: Please include additional activity options under the “Possible Student Task/Activity” column to better support educators during early implementation when instructional materials may be limited.</w:t>
            </w:r>
          </w:p>
        </w:tc>
        <w:tc>
          <w:tcPr>
            <w:tcW w:w="4950" w:type="dxa"/>
          </w:tcPr>
          <w:p w14:paraId="0EE4334B" w14:textId="66870C0E" w:rsidR="00CE2AF4" w:rsidRPr="000D770C" w:rsidRDefault="00CE2AF4" w:rsidP="00CE2AF4">
            <w:pPr>
              <w:rPr>
                <w:rFonts w:ascii="Arial" w:hAnsi="Arial" w:cs="Arial"/>
                <w:sz w:val="24"/>
                <w:szCs w:val="24"/>
              </w:rPr>
            </w:pPr>
            <w:r w:rsidRPr="000D770C">
              <w:rPr>
                <w:rFonts w:ascii="Arial" w:hAnsi="Arial" w:cs="Arial"/>
                <w:sz w:val="24"/>
                <w:szCs w:val="24"/>
              </w:rPr>
              <w:t>Actionable, Not Recommended</w:t>
            </w:r>
          </w:p>
          <w:p w14:paraId="6CD91871" w14:textId="07C42101" w:rsidR="00CE2AF4" w:rsidRPr="000D770C" w:rsidRDefault="00CE2AF4" w:rsidP="00CE2AF4">
            <w:pPr>
              <w:rPr>
                <w:rFonts w:ascii="Arial" w:hAnsi="Arial" w:cs="Arial"/>
                <w:sz w:val="24"/>
                <w:szCs w:val="24"/>
              </w:rPr>
            </w:pPr>
            <w:r w:rsidRPr="000D770C">
              <w:rPr>
                <w:rFonts w:ascii="Arial" w:hAnsi="Arial" w:cs="Arial"/>
                <w:sz w:val="24"/>
                <w:szCs w:val="24"/>
              </w:rPr>
              <w:t>Need for revision is unclear</w:t>
            </w:r>
          </w:p>
        </w:tc>
      </w:tr>
      <w:tr w:rsidR="00CE2AF4" w:rsidRPr="000D770C" w14:paraId="420C741C" w14:textId="294E8250" w:rsidTr="008F1215">
        <w:trPr>
          <w:cantSplit/>
        </w:trPr>
        <w:tc>
          <w:tcPr>
            <w:tcW w:w="805" w:type="dxa"/>
          </w:tcPr>
          <w:p w14:paraId="6FE9B442" w14:textId="19C199A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21.g</w:t>
            </w:r>
          </w:p>
        </w:tc>
        <w:tc>
          <w:tcPr>
            <w:tcW w:w="2070" w:type="dxa"/>
          </w:tcPr>
          <w:p w14:paraId="6B3D715B"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73B544E1" w14:textId="2F32A08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0C206427" w14:textId="4856420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1A58BC67" w14:textId="40E7A8F3"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Chapter 2, Page 21, Lines 453-457</w:t>
            </w:r>
          </w:p>
          <w:p w14:paraId="594068E6" w14:textId="4EBD6418"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Topic 3: Employment and Net Income</w:t>
            </w:r>
          </w:p>
          <w:p w14:paraId="51AEDBBF" w14:textId="17052336" w:rsidR="00CE2AF4" w:rsidRPr="000D770C" w:rsidRDefault="00CE2AF4" w:rsidP="00CE2AF4">
            <w:pPr>
              <w:rPr>
                <w:rFonts w:ascii="Arial" w:hAnsi="Arial" w:cs="Arial"/>
                <w:sz w:val="24"/>
                <w:szCs w:val="24"/>
              </w:rPr>
            </w:pPr>
            <w:r w:rsidRPr="000D770C">
              <w:rPr>
                <w:rFonts w:ascii="Arial" w:hAnsi="Arial" w:cs="Arial"/>
                <w:color w:val="000000"/>
                <w:sz w:val="24"/>
                <w:szCs w:val="24"/>
              </w:rPr>
              <w:t>Comment: For the section of “Employment and Net Income”, there will likely be discussion about minimum wage, housing cost, and other cost-of-living items. In many areas in California, people choose to live with friends and family because they cannot afford to live on their own. How can the guide prepare teachers for these conversations, as well as any related conversations about choosing careers based on the income you need to achieve the quality of life and/or lifestyle that you want?</w:t>
            </w:r>
          </w:p>
        </w:tc>
        <w:tc>
          <w:tcPr>
            <w:tcW w:w="4950" w:type="dxa"/>
          </w:tcPr>
          <w:p w14:paraId="38002293"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3C311557" w14:textId="01FFD5E5" w:rsidR="00CE2AF4" w:rsidRPr="000D770C" w:rsidRDefault="00CE2AF4" w:rsidP="00CE2AF4">
            <w:pPr>
              <w:rPr>
                <w:rFonts w:ascii="Arial" w:hAnsi="Arial" w:cs="Arial"/>
                <w:sz w:val="24"/>
                <w:szCs w:val="24"/>
              </w:rPr>
            </w:pPr>
            <w:r w:rsidRPr="000D770C">
              <w:rPr>
                <w:rFonts w:ascii="Arial" w:hAnsi="Arial" w:cs="Arial"/>
                <w:sz w:val="24"/>
                <w:szCs w:val="24"/>
              </w:rPr>
              <w:t>No specific language suggested</w:t>
            </w:r>
          </w:p>
        </w:tc>
      </w:tr>
      <w:tr w:rsidR="00CE2AF4" w:rsidRPr="000D770C" w14:paraId="37CA7476" w14:textId="00FCB49E" w:rsidTr="008F1215">
        <w:trPr>
          <w:cantSplit/>
        </w:trPr>
        <w:tc>
          <w:tcPr>
            <w:tcW w:w="805" w:type="dxa"/>
          </w:tcPr>
          <w:p w14:paraId="258345E9" w14:textId="58E9FA3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21.h</w:t>
            </w:r>
          </w:p>
        </w:tc>
        <w:tc>
          <w:tcPr>
            <w:tcW w:w="2070" w:type="dxa"/>
          </w:tcPr>
          <w:p w14:paraId="596ECD5F"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381DCEE4" w14:textId="0AC99D5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6A96D319" w14:textId="67223C4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4D60475B"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 22, Lines 497-499 </w:t>
            </w:r>
          </w:p>
          <w:p w14:paraId="019E56D0" w14:textId="52B5C583"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“This is particularly powerful for first-generation Americans, English learners, and students entering nontraditional career paths.”</w:t>
            </w:r>
          </w:p>
          <w:p w14:paraId="372D50DB" w14:textId="32751A7E" w:rsidR="00CE2AF4" w:rsidRPr="000D770C" w:rsidRDefault="00CE2AF4" w:rsidP="00CE2AF4">
            <w:pPr>
              <w:rPr>
                <w:rFonts w:ascii="Arial" w:hAnsi="Arial" w:cs="Arial"/>
                <w:sz w:val="24"/>
                <w:szCs w:val="24"/>
              </w:rPr>
            </w:pPr>
            <w:r w:rsidRPr="000D770C">
              <w:rPr>
                <w:rFonts w:ascii="Arial" w:hAnsi="Arial" w:cs="Arial"/>
                <w:color w:val="000000"/>
                <w:sz w:val="24"/>
                <w:szCs w:val="24"/>
              </w:rPr>
              <w:t>Comment: Is singling out these groups as needing this curriculum more helpful or harmful?</w:t>
            </w:r>
          </w:p>
        </w:tc>
        <w:tc>
          <w:tcPr>
            <w:tcW w:w="4950" w:type="dxa"/>
          </w:tcPr>
          <w:p w14:paraId="32E94242" w14:textId="12493EC8"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6083B52D" w14:textId="1EFA4398" w:rsidR="00CE2AF4" w:rsidRPr="000D770C" w:rsidRDefault="00CE2AF4" w:rsidP="00CE2AF4">
            <w:pPr>
              <w:rPr>
                <w:rFonts w:ascii="Arial" w:hAnsi="Arial" w:cs="Arial"/>
                <w:sz w:val="24"/>
                <w:szCs w:val="24"/>
              </w:rPr>
            </w:pPr>
            <w:r w:rsidRPr="000D770C">
              <w:rPr>
                <w:rFonts w:ascii="Arial" w:hAnsi="Arial" w:cs="Arial"/>
                <w:sz w:val="24"/>
                <w:szCs w:val="24"/>
              </w:rPr>
              <w:t>No rationale or specific edits suggested</w:t>
            </w:r>
          </w:p>
        </w:tc>
      </w:tr>
      <w:tr w:rsidR="00CE2AF4" w:rsidRPr="000D770C" w14:paraId="358FAC85" w14:textId="012094FC" w:rsidTr="008F1215">
        <w:trPr>
          <w:cantSplit/>
        </w:trPr>
        <w:tc>
          <w:tcPr>
            <w:tcW w:w="805" w:type="dxa"/>
          </w:tcPr>
          <w:p w14:paraId="21CA465C" w14:textId="29A32B24"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21.i</w:t>
            </w:r>
          </w:p>
        </w:tc>
        <w:tc>
          <w:tcPr>
            <w:tcW w:w="2070" w:type="dxa"/>
          </w:tcPr>
          <w:p w14:paraId="04DB5942"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67FA05B8" w14:textId="6DFBE87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7DBA5CED" w14:textId="7084863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1A88521E"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 27, Lines 598-599 </w:t>
            </w:r>
          </w:p>
          <w:p w14:paraId="7AC30D74" w14:textId="41974A2A"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 xml:space="preserve">Except: </w:t>
            </w:r>
            <w:r w:rsidRPr="000D770C">
              <w:rPr>
                <w:rFonts w:ascii="Arial" w:hAnsi="Arial" w:cs="Arial"/>
                <w:i/>
                <w:iCs/>
                <w:color w:val="000000"/>
                <w:sz w:val="24"/>
                <w:szCs w:val="24"/>
              </w:rPr>
              <w:t>“Understand California-specific insurance laws and programs (e.g., minimum auto coverage, Medi-Cal eligibility, earthquake insurance)</w:t>
            </w:r>
          </w:p>
          <w:p w14:paraId="27E82310" w14:textId="372A6A91"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Comment: Would the curriculum cover labor law? Many teachers who enter the profession are shocked to learn that they do not automatically have disability insurance. Are there other professionals like this? Does the curriculum cover insurance responsibilities for students who are gig workers, independent contractors, or running their own businesses?</w:t>
            </w:r>
          </w:p>
          <w:p w14:paraId="718BDE51" w14:textId="0F95E379" w:rsidR="00CE2AF4" w:rsidRPr="000D770C" w:rsidRDefault="00CE2AF4" w:rsidP="00CE2AF4">
            <w:pPr>
              <w:rPr>
                <w:rFonts w:ascii="Arial" w:hAnsi="Arial" w:cs="Arial"/>
                <w:sz w:val="24"/>
                <w:szCs w:val="24"/>
              </w:rPr>
            </w:pPr>
            <w:r w:rsidRPr="000D770C">
              <w:rPr>
                <w:rFonts w:ascii="Arial" w:hAnsi="Arial" w:cs="Arial"/>
                <w:color w:val="000000"/>
                <w:sz w:val="24"/>
                <w:szCs w:val="24"/>
              </w:rPr>
              <w:t>Would there be discussion around what to do if you are unable to get insurance? For example, many insurance providers stopped covering fire insurance for Californians due to cost.</w:t>
            </w:r>
          </w:p>
        </w:tc>
        <w:tc>
          <w:tcPr>
            <w:tcW w:w="4950" w:type="dxa"/>
          </w:tcPr>
          <w:p w14:paraId="4CA2AE67" w14:textId="71682B45"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1DDCAAC3" w14:textId="426EEC9B" w:rsidR="00CE2AF4" w:rsidRPr="000D770C" w:rsidRDefault="00CE2AF4" w:rsidP="00CE2AF4">
            <w:pPr>
              <w:rPr>
                <w:rFonts w:ascii="Arial" w:hAnsi="Arial" w:cs="Arial"/>
                <w:sz w:val="24"/>
                <w:szCs w:val="24"/>
              </w:rPr>
            </w:pPr>
            <w:r w:rsidRPr="000D770C">
              <w:rPr>
                <w:rFonts w:ascii="Arial" w:hAnsi="Arial" w:cs="Arial"/>
                <w:sz w:val="24"/>
                <w:szCs w:val="24"/>
              </w:rPr>
              <w:t xml:space="preserve">No specific language or content suggested </w:t>
            </w:r>
          </w:p>
        </w:tc>
      </w:tr>
      <w:tr w:rsidR="00CE2AF4" w:rsidRPr="000D770C" w14:paraId="31DC1830" w14:textId="536CC34E" w:rsidTr="008F1215">
        <w:trPr>
          <w:cantSplit/>
        </w:trPr>
        <w:tc>
          <w:tcPr>
            <w:tcW w:w="805" w:type="dxa"/>
          </w:tcPr>
          <w:p w14:paraId="369FDA73" w14:textId="5E76A4D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21.j</w:t>
            </w:r>
          </w:p>
        </w:tc>
        <w:tc>
          <w:tcPr>
            <w:tcW w:w="2070" w:type="dxa"/>
          </w:tcPr>
          <w:p w14:paraId="730E243C"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2D8C42E6" w14:textId="009112A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78EF3237" w14:textId="6A5065AF"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05B2BA53"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 24-25, Lines 536-543 </w:t>
            </w:r>
          </w:p>
          <w:p w14:paraId="34A2BA20" w14:textId="714708CD"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Topic 5: Understanding Loans</w:t>
            </w:r>
          </w:p>
          <w:p w14:paraId="0B665ED2" w14:textId="0480BF47" w:rsidR="00CE2AF4" w:rsidRPr="000D770C" w:rsidRDefault="00CE2AF4" w:rsidP="00CE2AF4">
            <w:pPr>
              <w:rPr>
                <w:rFonts w:ascii="Arial" w:hAnsi="Arial" w:cs="Arial"/>
                <w:sz w:val="24"/>
                <w:szCs w:val="24"/>
              </w:rPr>
            </w:pPr>
            <w:r w:rsidRPr="000D770C">
              <w:rPr>
                <w:rFonts w:ascii="Arial" w:hAnsi="Arial" w:cs="Arial"/>
                <w:color w:val="000000"/>
                <w:sz w:val="24"/>
                <w:szCs w:val="24"/>
              </w:rPr>
              <w:t>Comment: This section includes a lot about student loans but should include ways to avoid student loan debt as well.</w:t>
            </w:r>
          </w:p>
        </w:tc>
        <w:tc>
          <w:tcPr>
            <w:tcW w:w="4950" w:type="dxa"/>
          </w:tcPr>
          <w:p w14:paraId="7150550F" w14:textId="222C2DF0"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7BDB8096" w14:textId="605FF252" w:rsidTr="008F1215">
        <w:trPr>
          <w:cantSplit/>
        </w:trPr>
        <w:tc>
          <w:tcPr>
            <w:tcW w:w="805" w:type="dxa"/>
          </w:tcPr>
          <w:p w14:paraId="4C53D73E" w14:textId="72BFE95F"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21.k</w:t>
            </w:r>
          </w:p>
        </w:tc>
        <w:tc>
          <w:tcPr>
            <w:tcW w:w="2070" w:type="dxa"/>
          </w:tcPr>
          <w:p w14:paraId="4009E208"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47753B17" w14:textId="563123E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7768CBD3" w14:textId="6C02642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665FCB70"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2, Pages 28-30, Lines 609-640 </w:t>
            </w:r>
          </w:p>
          <w:p w14:paraId="040C73AA"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 xml:space="preserve">Topic 7: Tax System Overview </w:t>
            </w:r>
          </w:p>
          <w:p w14:paraId="0A606221" w14:textId="6CBDEA6A" w:rsidR="00CE2AF4" w:rsidRPr="000D770C" w:rsidRDefault="00CE2AF4" w:rsidP="00CE2AF4">
            <w:pPr>
              <w:rPr>
                <w:rFonts w:ascii="Arial" w:hAnsi="Arial" w:cs="Arial"/>
                <w:sz w:val="24"/>
                <w:szCs w:val="24"/>
              </w:rPr>
            </w:pPr>
            <w:r w:rsidRPr="000D770C">
              <w:rPr>
                <w:rFonts w:ascii="Arial" w:hAnsi="Arial" w:cs="Arial"/>
                <w:color w:val="000000"/>
                <w:sz w:val="24"/>
                <w:szCs w:val="24"/>
              </w:rPr>
              <w:t xml:space="preserve">Comment: Is the focus on taxes as it pertains to the majority of people such as payroll deductions? Or can this go into more detail as it pertains to gig workers, those in the service industry that receive tips, contract </w:t>
            </w:r>
            <w:proofErr w:type="gramStart"/>
            <w:r w:rsidRPr="000D770C">
              <w:rPr>
                <w:rFonts w:ascii="Arial" w:hAnsi="Arial" w:cs="Arial"/>
                <w:color w:val="000000"/>
                <w:sz w:val="24"/>
                <w:szCs w:val="24"/>
              </w:rPr>
              <w:t>works</w:t>
            </w:r>
            <w:proofErr w:type="gramEnd"/>
            <w:r w:rsidRPr="000D770C">
              <w:rPr>
                <w:rFonts w:ascii="Arial" w:hAnsi="Arial" w:cs="Arial"/>
                <w:color w:val="000000"/>
                <w:sz w:val="24"/>
                <w:szCs w:val="24"/>
              </w:rPr>
              <w:t>, etc. who many need to file and pay taxes more than once a year?</w:t>
            </w:r>
          </w:p>
        </w:tc>
        <w:tc>
          <w:tcPr>
            <w:tcW w:w="4950" w:type="dxa"/>
          </w:tcPr>
          <w:p w14:paraId="41E1942C"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2EA144DC" w14:textId="6D16136F" w:rsidR="00CE2AF4" w:rsidRPr="000D770C" w:rsidRDefault="00CE2AF4" w:rsidP="00CE2AF4">
            <w:pPr>
              <w:rPr>
                <w:rFonts w:ascii="Arial" w:hAnsi="Arial" w:cs="Arial"/>
                <w:sz w:val="24"/>
                <w:szCs w:val="24"/>
              </w:rPr>
            </w:pPr>
            <w:r w:rsidRPr="000D770C">
              <w:rPr>
                <w:rFonts w:ascii="Arial" w:hAnsi="Arial" w:cs="Arial"/>
                <w:sz w:val="24"/>
                <w:szCs w:val="24"/>
              </w:rPr>
              <w:t>Suggests a large amount of content with no suggested language</w:t>
            </w:r>
          </w:p>
        </w:tc>
      </w:tr>
      <w:tr w:rsidR="00CE2AF4" w:rsidRPr="000D770C" w14:paraId="36C67D02" w14:textId="3FB9712A" w:rsidTr="008F1215">
        <w:trPr>
          <w:cantSplit/>
        </w:trPr>
        <w:tc>
          <w:tcPr>
            <w:tcW w:w="805" w:type="dxa"/>
          </w:tcPr>
          <w:p w14:paraId="5D499500" w14:textId="1B5D959D"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21.l</w:t>
            </w:r>
          </w:p>
        </w:tc>
        <w:tc>
          <w:tcPr>
            <w:tcW w:w="2070" w:type="dxa"/>
          </w:tcPr>
          <w:p w14:paraId="5DC5B588"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6AE5FA9D" w14:textId="04D20E2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13CC3C2B" w14:textId="1BE3EA7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46C6AEB0"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3, Pages 58-61 </w:t>
            </w:r>
          </w:p>
          <w:p w14:paraId="4F287685" w14:textId="77777777"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i/>
                <w:iCs/>
                <w:color w:val="000000"/>
                <w:sz w:val="24"/>
                <w:szCs w:val="24"/>
              </w:rPr>
              <w:t xml:space="preserve">Which students will need to take personal finance to graduate? | Implementation: An Overview Timeline </w:t>
            </w:r>
          </w:p>
          <w:p w14:paraId="1D2CFD16" w14:textId="5E57AB53" w:rsidR="00CE2AF4" w:rsidRPr="000D770C" w:rsidRDefault="00CE2AF4" w:rsidP="00CE2AF4">
            <w:pPr>
              <w:rPr>
                <w:rFonts w:ascii="Arial" w:hAnsi="Arial" w:cs="Arial"/>
                <w:sz w:val="24"/>
                <w:szCs w:val="24"/>
              </w:rPr>
            </w:pPr>
            <w:r w:rsidRPr="000D770C">
              <w:rPr>
                <w:rFonts w:ascii="Arial" w:hAnsi="Arial" w:cs="Arial"/>
                <w:color w:val="000000"/>
                <w:sz w:val="24"/>
                <w:szCs w:val="24"/>
              </w:rPr>
              <w:t>Comment: Both of the tables demonstrating the academic year/graduating class and the implementation overview timelines are helpful.</w:t>
            </w:r>
          </w:p>
        </w:tc>
        <w:tc>
          <w:tcPr>
            <w:tcW w:w="4950" w:type="dxa"/>
          </w:tcPr>
          <w:p w14:paraId="2AFB33F7"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61F6090F" w14:textId="17FDEE79" w:rsidR="00CE2AF4" w:rsidRPr="000D770C" w:rsidRDefault="00CE2AF4" w:rsidP="00CE2AF4">
            <w:pPr>
              <w:rPr>
                <w:rFonts w:ascii="Arial" w:hAnsi="Arial" w:cs="Arial"/>
                <w:sz w:val="24"/>
                <w:szCs w:val="24"/>
              </w:rPr>
            </w:pPr>
            <w:r w:rsidRPr="000D770C">
              <w:rPr>
                <w:rFonts w:ascii="Arial" w:hAnsi="Arial" w:cs="Arial"/>
                <w:sz w:val="24"/>
                <w:szCs w:val="24"/>
              </w:rPr>
              <w:t>No edits requested</w:t>
            </w:r>
          </w:p>
        </w:tc>
      </w:tr>
      <w:tr w:rsidR="00CE2AF4" w:rsidRPr="000D770C" w14:paraId="1071222D" w14:textId="0AD14081" w:rsidTr="008F1215">
        <w:trPr>
          <w:cantSplit/>
        </w:trPr>
        <w:tc>
          <w:tcPr>
            <w:tcW w:w="805" w:type="dxa"/>
          </w:tcPr>
          <w:p w14:paraId="48C86D01" w14:textId="16DC1CB4"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21.m</w:t>
            </w:r>
          </w:p>
        </w:tc>
        <w:tc>
          <w:tcPr>
            <w:tcW w:w="2070" w:type="dxa"/>
          </w:tcPr>
          <w:p w14:paraId="715F2FE9"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4C0A8952" w14:textId="6BBDE81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4B42E3FB" w14:textId="2BA1D10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5FB93EE3"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3, Pages 61-62, Lines 883-906 </w:t>
            </w:r>
          </w:p>
          <w:p w14:paraId="60AE7B4E" w14:textId="2FBE8CDC"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Identifying District and Site Leaders</w:t>
            </w:r>
          </w:p>
          <w:p w14:paraId="6031022D" w14:textId="20BD4E4F" w:rsidR="00CE2AF4" w:rsidRPr="000D770C" w:rsidRDefault="00CE2AF4" w:rsidP="00CE2AF4">
            <w:pPr>
              <w:rPr>
                <w:rFonts w:ascii="Arial" w:hAnsi="Arial" w:cs="Arial"/>
                <w:sz w:val="24"/>
                <w:szCs w:val="24"/>
              </w:rPr>
            </w:pPr>
            <w:r w:rsidRPr="000D770C">
              <w:rPr>
                <w:rFonts w:ascii="Arial" w:hAnsi="Arial" w:cs="Arial"/>
                <w:color w:val="000000"/>
                <w:sz w:val="24"/>
                <w:szCs w:val="24"/>
              </w:rPr>
              <w:t>Comment: Please provide additional examples beyond History/Social Science. Additionally, can there be a hybrid model example (such as central office and school site)?</w:t>
            </w:r>
          </w:p>
        </w:tc>
        <w:tc>
          <w:tcPr>
            <w:tcW w:w="4950" w:type="dxa"/>
          </w:tcPr>
          <w:p w14:paraId="532D6B10" w14:textId="3EEC0966" w:rsidR="00CE2AF4" w:rsidRPr="000D770C" w:rsidRDefault="00CE2AF4" w:rsidP="00CE2AF4">
            <w:pPr>
              <w:rPr>
                <w:rFonts w:ascii="Arial" w:hAnsi="Arial" w:cs="Arial"/>
                <w:sz w:val="24"/>
                <w:szCs w:val="24"/>
              </w:rPr>
            </w:pPr>
            <w:r w:rsidRPr="000D770C">
              <w:rPr>
                <w:rFonts w:ascii="Arial" w:hAnsi="Arial" w:cs="Arial"/>
                <w:sz w:val="24"/>
                <w:szCs w:val="24"/>
              </w:rPr>
              <w:t xml:space="preserve">Actionable, Writers’ discretion </w:t>
            </w:r>
          </w:p>
        </w:tc>
      </w:tr>
      <w:tr w:rsidR="00CE2AF4" w:rsidRPr="000D770C" w14:paraId="7688B854" w14:textId="7283573F" w:rsidTr="008F1215">
        <w:trPr>
          <w:cantSplit/>
        </w:trPr>
        <w:tc>
          <w:tcPr>
            <w:tcW w:w="805" w:type="dxa"/>
          </w:tcPr>
          <w:p w14:paraId="4958FDD0" w14:textId="35BFB5C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21.n</w:t>
            </w:r>
          </w:p>
        </w:tc>
        <w:tc>
          <w:tcPr>
            <w:tcW w:w="2070" w:type="dxa"/>
          </w:tcPr>
          <w:p w14:paraId="4FE35939"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760DF97D" w14:textId="5FE2C56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112923F4" w14:textId="5FFF5A0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668A75DD"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3, Page 64, Lines 927-931 </w:t>
            </w:r>
          </w:p>
          <w:p w14:paraId="35E833CB" w14:textId="77777777" w:rsidR="00CE2AF4" w:rsidRPr="000D770C" w:rsidRDefault="00CE2AF4" w:rsidP="00CE2AF4">
            <w:pPr>
              <w:pStyle w:val="Default"/>
              <w:spacing w:after="240"/>
            </w:pPr>
            <w:r w:rsidRPr="000D770C">
              <w:t xml:space="preserve">Excerpt: </w:t>
            </w:r>
            <w:r w:rsidRPr="000D770C">
              <w:rPr>
                <w:i/>
                <w:iCs/>
              </w:rPr>
              <w:t xml:space="preserve">“One early-adopting district, for example, launched the course with two pilot teachers in 2024–25, used student feedback surveys to revise lesson pacing, and deepened their content knowledge and confidence through the completion of over 20 hours each of NGPF’s PL asynchronous modules—earning them each a $500 stipend in recognition of their training commitment.” </w:t>
            </w:r>
          </w:p>
          <w:p w14:paraId="7254FEB6" w14:textId="2817B595" w:rsidR="00CE2AF4" w:rsidRPr="000D770C" w:rsidRDefault="00CE2AF4" w:rsidP="00CE2AF4">
            <w:pPr>
              <w:rPr>
                <w:rFonts w:ascii="Arial" w:hAnsi="Arial" w:cs="Arial"/>
                <w:sz w:val="24"/>
                <w:szCs w:val="24"/>
              </w:rPr>
            </w:pPr>
            <w:r w:rsidRPr="000D770C">
              <w:rPr>
                <w:rFonts w:ascii="Arial" w:hAnsi="Arial" w:cs="Arial"/>
                <w:color w:val="000000"/>
                <w:sz w:val="24"/>
                <w:szCs w:val="24"/>
              </w:rPr>
              <w:t>Comment: This example is helpful. Can more examples of early-adopters be provided?</w:t>
            </w:r>
          </w:p>
        </w:tc>
        <w:tc>
          <w:tcPr>
            <w:tcW w:w="4950" w:type="dxa"/>
          </w:tcPr>
          <w:p w14:paraId="41BC795D" w14:textId="00354758"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6E1B1092" w14:textId="1054C04F" w:rsidTr="008F1215">
        <w:trPr>
          <w:cantSplit/>
        </w:trPr>
        <w:tc>
          <w:tcPr>
            <w:tcW w:w="805" w:type="dxa"/>
          </w:tcPr>
          <w:p w14:paraId="10EE97D7" w14:textId="6B956E7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21.o</w:t>
            </w:r>
          </w:p>
        </w:tc>
        <w:tc>
          <w:tcPr>
            <w:tcW w:w="2070" w:type="dxa"/>
          </w:tcPr>
          <w:p w14:paraId="38D2769A"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2C43D02C" w14:textId="7D1CCAA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4096033F" w14:textId="48D26B8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3FBA8A61"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3, Page 65, Lines 975-1012 </w:t>
            </w:r>
          </w:p>
          <w:p w14:paraId="725B7E09"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 xml:space="preserve">Staffing and Scheduling Considerations </w:t>
            </w:r>
          </w:p>
          <w:p w14:paraId="56076ADE" w14:textId="3AFF0519" w:rsidR="00CE2AF4" w:rsidRPr="000D770C" w:rsidRDefault="00CE2AF4" w:rsidP="00CE2AF4">
            <w:pPr>
              <w:rPr>
                <w:rFonts w:ascii="Arial" w:hAnsi="Arial" w:cs="Arial"/>
                <w:sz w:val="24"/>
                <w:szCs w:val="24"/>
              </w:rPr>
            </w:pPr>
            <w:r w:rsidRPr="000D770C">
              <w:rPr>
                <w:rFonts w:ascii="Arial" w:hAnsi="Arial" w:cs="Arial"/>
                <w:color w:val="000000"/>
                <w:sz w:val="24"/>
                <w:szCs w:val="24"/>
              </w:rPr>
              <w:t>Comment: Please provide more clarify and information on whether an “integrated” model of the course would be viable to fulfill the graduation requirement.</w:t>
            </w:r>
          </w:p>
        </w:tc>
        <w:tc>
          <w:tcPr>
            <w:tcW w:w="4950" w:type="dxa"/>
          </w:tcPr>
          <w:p w14:paraId="3AD58FEC"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759B9E76" w14:textId="7256E328" w:rsidR="00CE2AF4" w:rsidRPr="000D770C" w:rsidRDefault="00CE2AF4" w:rsidP="00CE2AF4">
            <w:pPr>
              <w:rPr>
                <w:rFonts w:ascii="Arial" w:hAnsi="Arial" w:cs="Arial"/>
                <w:sz w:val="24"/>
                <w:szCs w:val="24"/>
              </w:rPr>
            </w:pPr>
            <w:r w:rsidRPr="000D770C">
              <w:rPr>
                <w:rFonts w:ascii="Arial" w:hAnsi="Arial" w:cs="Arial"/>
                <w:sz w:val="24"/>
                <w:szCs w:val="24"/>
              </w:rPr>
              <w:t>Request is not clear. Legislation states that the course must be a stand-alone personal finance course.</w:t>
            </w:r>
          </w:p>
        </w:tc>
      </w:tr>
      <w:tr w:rsidR="00CE2AF4" w:rsidRPr="000D770C" w14:paraId="615F8963" w14:textId="3E67F3A1" w:rsidTr="008F1215">
        <w:trPr>
          <w:cantSplit/>
        </w:trPr>
        <w:tc>
          <w:tcPr>
            <w:tcW w:w="805" w:type="dxa"/>
          </w:tcPr>
          <w:p w14:paraId="2FD3D628" w14:textId="5B126AD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21.p</w:t>
            </w:r>
          </w:p>
        </w:tc>
        <w:tc>
          <w:tcPr>
            <w:tcW w:w="2070" w:type="dxa"/>
          </w:tcPr>
          <w:p w14:paraId="51F26D8C"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6CCB7F2D" w14:textId="5C61875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55DAE435" w14:textId="0391AE24"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04846EEE" w14:textId="57B78F20"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Chapter 3, Page 67, Lines 1014-1041</w:t>
            </w:r>
          </w:p>
          <w:p w14:paraId="67A0586E" w14:textId="37FA9C36"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Do We Have Teachers with the Right Credentials to Teach Personal Finance?</w:t>
            </w:r>
          </w:p>
          <w:p w14:paraId="4971BB6A" w14:textId="0D6D681A" w:rsidR="00CE2AF4" w:rsidRPr="000D770C" w:rsidRDefault="00CE2AF4" w:rsidP="00CE2AF4">
            <w:pPr>
              <w:rPr>
                <w:rFonts w:ascii="Arial" w:hAnsi="Arial" w:cs="Arial"/>
                <w:sz w:val="24"/>
                <w:szCs w:val="24"/>
              </w:rPr>
            </w:pPr>
            <w:r w:rsidRPr="000D770C">
              <w:rPr>
                <w:rFonts w:ascii="Arial" w:hAnsi="Arial" w:cs="Arial"/>
                <w:color w:val="000000"/>
                <w:sz w:val="24"/>
                <w:szCs w:val="24"/>
              </w:rPr>
              <w:t>Comment: It is imperative that the guide also note that support for teachers to obtain the proper credentials to teach the course is essential. Math teachers should be included among those eligible to teach the course, and if additional training is required, appropriate professional development should be provided to ensure they are fully prepared.</w:t>
            </w:r>
          </w:p>
        </w:tc>
        <w:tc>
          <w:tcPr>
            <w:tcW w:w="4950" w:type="dxa"/>
          </w:tcPr>
          <w:p w14:paraId="5CBFA66F" w14:textId="4D361534" w:rsidR="00CE2AF4" w:rsidRPr="000D770C" w:rsidRDefault="00CE2AF4" w:rsidP="00CE2AF4">
            <w:pPr>
              <w:rPr>
                <w:rFonts w:ascii="Arial" w:hAnsi="Arial" w:cs="Arial"/>
                <w:sz w:val="24"/>
                <w:szCs w:val="24"/>
              </w:rPr>
            </w:pPr>
            <w:r w:rsidRPr="000D770C">
              <w:rPr>
                <w:rFonts w:ascii="Arial" w:hAnsi="Arial" w:cs="Arial"/>
                <w:sz w:val="24"/>
                <w:szCs w:val="24"/>
              </w:rPr>
              <w:t>Actionable, Not Recommended</w:t>
            </w:r>
          </w:p>
          <w:p w14:paraId="08E5C723" w14:textId="049DFC49" w:rsidR="00CE2AF4" w:rsidRPr="000D770C" w:rsidRDefault="00CE2AF4" w:rsidP="00CE2AF4">
            <w:pPr>
              <w:spacing w:after="240"/>
              <w:rPr>
                <w:rFonts w:ascii="Arial" w:hAnsi="Arial" w:cs="Arial"/>
                <w:sz w:val="24"/>
                <w:szCs w:val="24"/>
              </w:rPr>
            </w:pPr>
            <w:r w:rsidRPr="000D770C">
              <w:rPr>
                <w:rFonts w:ascii="Arial" w:hAnsi="Arial" w:cs="Arial"/>
                <w:sz w:val="24"/>
                <w:szCs w:val="24"/>
              </w:rPr>
              <w:t>LEAs are already required to ensure teachers of personal finance have the necessary credentials.</w:t>
            </w:r>
          </w:p>
          <w:p w14:paraId="3CA82387"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2B2FBC82" w14:textId="4515284B" w:rsidR="00CE2AF4" w:rsidRPr="000D770C" w:rsidRDefault="00CE2AF4" w:rsidP="00CE2AF4">
            <w:pPr>
              <w:rPr>
                <w:rFonts w:ascii="Arial" w:hAnsi="Arial" w:cs="Arial"/>
                <w:sz w:val="24"/>
                <w:szCs w:val="24"/>
              </w:rPr>
            </w:pPr>
            <w:r w:rsidRPr="000D770C">
              <w:rPr>
                <w:rFonts w:ascii="Arial" w:hAnsi="Arial" w:cs="Arial"/>
                <w:sz w:val="24"/>
                <w:szCs w:val="24"/>
              </w:rPr>
              <w:t>Mathematics is already noted as one of the four single-subject credentials authorizing a teacher to teach the personal finance course.</w:t>
            </w:r>
          </w:p>
        </w:tc>
      </w:tr>
      <w:tr w:rsidR="00CE2AF4" w:rsidRPr="000D770C" w14:paraId="4E97ADB4" w14:textId="7E307620" w:rsidTr="008F1215">
        <w:trPr>
          <w:cantSplit/>
        </w:trPr>
        <w:tc>
          <w:tcPr>
            <w:tcW w:w="805" w:type="dxa"/>
          </w:tcPr>
          <w:p w14:paraId="2D4241F8" w14:textId="47803AE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21.q</w:t>
            </w:r>
          </w:p>
        </w:tc>
        <w:tc>
          <w:tcPr>
            <w:tcW w:w="2070" w:type="dxa"/>
          </w:tcPr>
          <w:p w14:paraId="637C5D13"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61E998FD" w14:textId="350B8B1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599F1034" w14:textId="7C4D122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07F8C96B" w14:textId="24479870"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Chapter 3, Page 71-72, Table Under Line 1132</w:t>
            </w:r>
          </w:p>
          <w:p w14:paraId="6E53B787" w14:textId="69AFCBD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Personal Finance Curriculum Guide Providers and Required Topics Covered</w:t>
            </w:r>
          </w:p>
          <w:p w14:paraId="463D831E" w14:textId="1CB4B5F3" w:rsidR="00CE2AF4" w:rsidRPr="000D770C" w:rsidRDefault="00CE2AF4" w:rsidP="00CE2AF4">
            <w:pPr>
              <w:rPr>
                <w:rFonts w:ascii="Arial" w:hAnsi="Arial" w:cs="Arial"/>
                <w:sz w:val="24"/>
                <w:szCs w:val="24"/>
              </w:rPr>
            </w:pPr>
            <w:r w:rsidRPr="000D770C">
              <w:rPr>
                <w:rFonts w:ascii="Arial" w:hAnsi="Arial" w:cs="Arial"/>
                <w:color w:val="000000"/>
                <w:sz w:val="24"/>
                <w:szCs w:val="24"/>
              </w:rPr>
              <w:t>Comment: It would be helpful to include hyperlinks to the providers’ websites within the tables. This would increase accessibility for readers and educators and minimize the steps they must go through on their own.</w:t>
            </w:r>
          </w:p>
        </w:tc>
        <w:tc>
          <w:tcPr>
            <w:tcW w:w="4950" w:type="dxa"/>
          </w:tcPr>
          <w:p w14:paraId="40DBE2C6" w14:textId="1D60038B" w:rsidR="00CE2AF4" w:rsidRPr="000D770C" w:rsidRDefault="00CE2AF4" w:rsidP="00CE2AF4">
            <w:pPr>
              <w:rPr>
                <w:rFonts w:ascii="Arial" w:hAnsi="Arial" w:cs="Arial"/>
                <w:sz w:val="24"/>
                <w:szCs w:val="24"/>
              </w:rPr>
            </w:pPr>
            <w:r w:rsidRPr="000D770C">
              <w:rPr>
                <w:rFonts w:ascii="Arial" w:hAnsi="Arial" w:cs="Arial"/>
                <w:sz w:val="24"/>
                <w:szCs w:val="24"/>
              </w:rPr>
              <w:t>Actionable, Recommended</w:t>
            </w:r>
          </w:p>
        </w:tc>
      </w:tr>
      <w:tr w:rsidR="00CE2AF4" w:rsidRPr="000D770C" w14:paraId="36D26F3E" w14:textId="7A4917D3" w:rsidTr="008F1215">
        <w:trPr>
          <w:cantSplit/>
        </w:trPr>
        <w:tc>
          <w:tcPr>
            <w:tcW w:w="805" w:type="dxa"/>
          </w:tcPr>
          <w:p w14:paraId="74DE4F36" w14:textId="13CC82A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21.r</w:t>
            </w:r>
          </w:p>
        </w:tc>
        <w:tc>
          <w:tcPr>
            <w:tcW w:w="2070" w:type="dxa"/>
          </w:tcPr>
          <w:p w14:paraId="5652F344"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0F91B744" w14:textId="474B5A9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64306DDD" w14:textId="1D7522C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419F3E67"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3, Page 75, Line 1166 </w:t>
            </w:r>
          </w:p>
          <w:p w14:paraId="30F3A009" w14:textId="127FAC05" w:rsidR="00CE2AF4" w:rsidRPr="000D770C" w:rsidRDefault="00CE2AF4" w:rsidP="00CE2AF4">
            <w:pPr>
              <w:rPr>
                <w:rFonts w:ascii="Arial" w:hAnsi="Arial" w:cs="Arial"/>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 xml:space="preserve">“…students with disabilities, English learners, black and Latino students…” </w:t>
            </w:r>
            <w:r w:rsidRPr="000D770C">
              <w:rPr>
                <w:rFonts w:ascii="Arial" w:hAnsi="Arial" w:cs="Arial"/>
                <w:sz w:val="24"/>
                <w:szCs w:val="24"/>
              </w:rPr>
              <w:t>Comment: Capitalize “black”.</w:t>
            </w:r>
          </w:p>
        </w:tc>
        <w:tc>
          <w:tcPr>
            <w:tcW w:w="4950" w:type="dxa"/>
          </w:tcPr>
          <w:p w14:paraId="0D4F5090" w14:textId="3BD0AC57" w:rsidR="00CE2AF4" w:rsidRPr="000D770C" w:rsidRDefault="00CE2AF4" w:rsidP="00CE2AF4">
            <w:pPr>
              <w:rPr>
                <w:rFonts w:ascii="Arial" w:hAnsi="Arial" w:cs="Arial"/>
                <w:sz w:val="24"/>
                <w:szCs w:val="24"/>
              </w:rPr>
            </w:pPr>
            <w:r w:rsidRPr="000D770C">
              <w:rPr>
                <w:rFonts w:ascii="Arial" w:hAnsi="Arial" w:cs="Arial"/>
                <w:sz w:val="24"/>
                <w:szCs w:val="24"/>
              </w:rPr>
              <w:t>Actionable -- Recommended</w:t>
            </w:r>
          </w:p>
        </w:tc>
      </w:tr>
      <w:tr w:rsidR="00CE2AF4" w:rsidRPr="000D770C" w14:paraId="45EBDB2E" w14:textId="3C54B6F5" w:rsidTr="008F1215">
        <w:trPr>
          <w:cantSplit/>
        </w:trPr>
        <w:tc>
          <w:tcPr>
            <w:tcW w:w="805" w:type="dxa"/>
          </w:tcPr>
          <w:p w14:paraId="6C491535" w14:textId="24551A5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21.s</w:t>
            </w:r>
          </w:p>
        </w:tc>
        <w:tc>
          <w:tcPr>
            <w:tcW w:w="2070" w:type="dxa"/>
          </w:tcPr>
          <w:p w14:paraId="7DE8B72D"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4ABF741C" w14:textId="63C8463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2DD638B4" w14:textId="4565D604"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3</w:t>
            </w:r>
          </w:p>
        </w:tc>
        <w:tc>
          <w:tcPr>
            <w:tcW w:w="4860" w:type="dxa"/>
          </w:tcPr>
          <w:p w14:paraId="051E4B47"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3, Page 81, Lines 1330-1355 </w:t>
            </w:r>
          </w:p>
          <w:p w14:paraId="763A9B5C" w14:textId="77B57B6B"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A Note About Dual Enrollment, A Note about Middle School Course Work</w:t>
            </w:r>
          </w:p>
          <w:p w14:paraId="0E4A25C3" w14:textId="41671DF2" w:rsidR="00CE2AF4" w:rsidRPr="000D770C" w:rsidRDefault="00CE2AF4" w:rsidP="00CE2AF4">
            <w:pPr>
              <w:rPr>
                <w:rFonts w:ascii="Arial" w:hAnsi="Arial" w:cs="Arial"/>
                <w:sz w:val="24"/>
                <w:szCs w:val="24"/>
              </w:rPr>
            </w:pPr>
            <w:r w:rsidRPr="000D770C">
              <w:rPr>
                <w:rFonts w:ascii="Arial" w:hAnsi="Arial" w:cs="Arial"/>
                <w:color w:val="000000"/>
                <w:sz w:val="24"/>
                <w:szCs w:val="24"/>
              </w:rPr>
              <w:t>Comment: Please provide further clarification on UC Dual Enrollment guidelines and middle school eligibility.</w:t>
            </w:r>
          </w:p>
        </w:tc>
        <w:tc>
          <w:tcPr>
            <w:tcW w:w="4950" w:type="dxa"/>
          </w:tcPr>
          <w:p w14:paraId="5B308775" w14:textId="04056D26"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4D97718C" w14:textId="5F38EC72" w:rsidR="00CE2AF4" w:rsidRPr="000D770C" w:rsidRDefault="00CE2AF4" w:rsidP="00CE2AF4">
            <w:pPr>
              <w:rPr>
                <w:rFonts w:ascii="Arial" w:hAnsi="Arial" w:cs="Arial"/>
                <w:sz w:val="24"/>
                <w:szCs w:val="24"/>
              </w:rPr>
            </w:pPr>
            <w:r w:rsidRPr="000D770C">
              <w:rPr>
                <w:rFonts w:ascii="Arial" w:hAnsi="Arial" w:cs="Arial"/>
                <w:sz w:val="24"/>
                <w:szCs w:val="24"/>
              </w:rPr>
              <w:t>These two sections of the draft are clear and offer additional resources.</w:t>
            </w:r>
          </w:p>
        </w:tc>
      </w:tr>
      <w:tr w:rsidR="00CE2AF4" w:rsidRPr="000D770C" w14:paraId="0F61289F" w14:textId="0B697AE5" w:rsidTr="008F1215">
        <w:trPr>
          <w:cantSplit/>
        </w:trPr>
        <w:tc>
          <w:tcPr>
            <w:tcW w:w="805" w:type="dxa"/>
          </w:tcPr>
          <w:p w14:paraId="392F354A" w14:textId="520BA8B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21.t</w:t>
            </w:r>
          </w:p>
        </w:tc>
        <w:tc>
          <w:tcPr>
            <w:tcW w:w="2070" w:type="dxa"/>
          </w:tcPr>
          <w:p w14:paraId="29B897AA"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631C29C7" w14:textId="299F26B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4A7BA596" w14:textId="3751F6F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4</w:t>
            </w:r>
          </w:p>
        </w:tc>
        <w:tc>
          <w:tcPr>
            <w:tcW w:w="4860" w:type="dxa"/>
          </w:tcPr>
          <w:p w14:paraId="7578EB6F"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4, Page 84, Line 1430 </w:t>
            </w:r>
          </w:p>
          <w:p w14:paraId="3AED063F" w14:textId="77777777" w:rsidR="00CE2AF4" w:rsidRPr="000D770C" w:rsidRDefault="00CE2AF4" w:rsidP="00CE2AF4">
            <w:pPr>
              <w:autoSpaceDE w:val="0"/>
              <w:autoSpaceDN w:val="0"/>
              <w:adjustRightInd w:val="0"/>
              <w:spacing w:after="240"/>
              <w:rPr>
                <w:rFonts w:ascii="Arial" w:hAnsi="Arial" w:cs="Arial"/>
                <w:color w:val="000000"/>
                <w:sz w:val="24"/>
                <w:szCs w:val="24"/>
              </w:rPr>
            </w:pPr>
            <w:r w:rsidRPr="000D770C">
              <w:rPr>
                <w:rFonts w:ascii="Arial" w:hAnsi="Arial" w:cs="Arial"/>
                <w:color w:val="000000"/>
                <w:sz w:val="24"/>
                <w:szCs w:val="24"/>
              </w:rPr>
              <w:t xml:space="preserve">Excerpt: </w:t>
            </w:r>
            <w:r w:rsidRPr="000D770C">
              <w:rPr>
                <w:rFonts w:ascii="Arial" w:hAnsi="Arial" w:cs="Arial"/>
                <w:i/>
                <w:iCs/>
                <w:color w:val="000000"/>
                <w:sz w:val="24"/>
                <w:szCs w:val="24"/>
              </w:rPr>
              <w:t xml:space="preserve">“Clear distinctions between what is ‘held tightly’ and what’s locally flexible” </w:t>
            </w:r>
          </w:p>
          <w:p w14:paraId="048C53B9" w14:textId="321581B8" w:rsidR="00CE2AF4" w:rsidRPr="000D770C" w:rsidRDefault="00CE2AF4" w:rsidP="00CE2AF4">
            <w:pPr>
              <w:rPr>
                <w:rFonts w:ascii="Arial" w:hAnsi="Arial" w:cs="Arial"/>
                <w:sz w:val="24"/>
                <w:szCs w:val="24"/>
              </w:rPr>
            </w:pPr>
            <w:r w:rsidRPr="000D770C">
              <w:rPr>
                <w:rFonts w:ascii="Arial" w:hAnsi="Arial" w:cs="Arial"/>
                <w:color w:val="000000"/>
                <w:sz w:val="24"/>
                <w:szCs w:val="24"/>
              </w:rPr>
              <w:t>Comment: This is poor wording, and it is not clear on what it is trying to convey. Perhaps an alternative to “held tightly” is “key standards”?</w:t>
            </w:r>
          </w:p>
        </w:tc>
        <w:tc>
          <w:tcPr>
            <w:tcW w:w="4950" w:type="dxa"/>
          </w:tcPr>
          <w:p w14:paraId="167486B9" w14:textId="31F01C4A" w:rsidR="00CE2AF4" w:rsidRPr="000D770C" w:rsidRDefault="00CE2AF4" w:rsidP="00CE2AF4">
            <w:pPr>
              <w:rPr>
                <w:rFonts w:ascii="Arial" w:hAnsi="Arial" w:cs="Arial"/>
                <w:sz w:val="24"/>
                <w:szCs w:val="24"/>
              </w:rPr>
            </w:pPr>
            <w:r w:rsidRPr="000D770C">
              <w:rPr>
                <w:rFonts w:ascii="Arial" w:hAnsi="Arial" w:cs="Arial"/>
                <w:sz w:val="24"/>
                <w:szCs w:val="24"/>
              </w:rPr>
              <w:t>Actionable, Recommended</w:t>
            </w:r>
          </w:p>
        </w:tc>
      </w:tr>
      <w:tr w:rsidR="00CE2AF4" w:rsidRPr="000D770C" w14:paraId="0AC3BA8D" w14:textId="4EA7A776" w:rsidTr="008F1215">
        <w:trPr>
          <w:cantSplit/>
        </w:trPr>
        <w:tc>
          <w:tcPr>
            <w:tcW w:w="805" w:type="dxa"/>
          </w:tcPr>
          <w:p w14:paraId="4FFB7010" w14:textId="19FEE989"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21.u</w:t>
            </w:r>
          </w:p>
        </w:tc>
        <w:tc>
          <w:tcPr>
            <w:tcW w:w="2070" w:type="dxa"/>
          </w:tcPr>
          <w:p w14:paraId="08207BA9"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7C070275" w14:textId="6134ADD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33F62AE1" w14:textId="10DCEF9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5</w:t>
            </w:r>
          </w:p>
        </w:tc>
        <w:tc>
          <w:tcPr>
            <w:tcW w:w="4860" w:type="dxa"/>
          </w:tcPr>
          <w:p w14:paraId="78272BAF"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5, Pages 132-142 </w:t>
            </w:r>
          </w:p>
          <w:p w14:paraId="11C3DA21"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 xml:space="preserve">Professional Learning for Personal Finance Educators </w:t>
            </w:r>
          </w:p>
          <w:p w14:paraId="05D7D4A1" w14:textId="0BF150FE" w:rsidR="00CE2AF4" w:rsidRPr="000D770C" w:rsidRDefault="00CE2AF4" w:rsidP="00CE2AF4">
            <w:pPr>
              <w:rPr>
                <w:rFonts w:ascii="Arial" w:hAnsi="Arial" w:cs="Arial"/>
                <w:sz w:val="24"/>
                <w:szCs w:val="24"/>
              </w:rPr>
            </w:pPr>
            <w:r w:rsidRPr="000D770C">
              <w:rPr>
                <w:rFonts w:ascii="Arial" w:hAnsi="Arial" w:cs="Arial"/>
                <w:color w:val="000000"/>
                <w:sz w:val="24"/>
                <w:szCs w:val="24"/>
              </w:rPr>
              <w:t xml:space="preserve">Comment: While we appreciate the comprehensive list of resources, it would also be beneficial to identify those that would be the most effective and useful, as well as provide learning opportunities that are not a “one time event”.  </w:t>
            </w:r>
            <w:r w:rsidRPr="000D770C">
              <w:rPr>
                <w:rFonts w:ascii="Arial" w:hAnsi="Arial" w:cs="Arial"/>
                <w:sz w:val="24"/>
                <w:szCs w:val="24"/>
              </w:rPr>
              <w:t>We agree that professional learning should “match their goals, experience level, and scheduling needs” and appreciate the inclusion of such in the guide.</w:t>
            </w:r>
          </w:p>
        </w:tc>
        <w:tc>
          <w:tcPr>
            <w:tcW w:w="4950" w:type="dxa"/>
          </w:tcPr>
          <w:p w14:paraId="7ADA2445"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4404E4A1" w14:textId="29511882" w:rsidR="00CE2AF4" w:rsidRPr="000D770C" w:rsidRDefault="00CE2AF4" w:rsidP="00CE2AF4">
            <w:pPr>
              <w:rPr>
                <w:rFonts w:ascii="Arial" w:hAnsi="Arial" w:cs="Arial"/>
                <w:sz w:val="24"/>
                <w:szCs w:val="24"/>
              </w:rPr>
            </w:pPr>
            <w:r w:rsidRPr="000D770C">
              <w:rPr>
                <w:rFonts w:ascii="Arial" w:hAnsi="Arial" w:cs="Arial"/>
                <w:sz w:val="24"/>
                <w:szCs w:val="24"/>
              </w:rPr>
              <w:t xml:space="preserve">It’s not the role of the </w:t>
            </w:r>
            <w:r>
              <w:rPr>
                <w:rFonts w:ascii="Arial" w:hAnsi="Arial" w:cs="Arial"/>
                <w:sz w:val="24"/>
                <w:szCs w:val="24"/>
              </w:rPr>
              <w:t>Personal Finance Curriculum Guide</w:t>
            </w:r>
            <w:r w:rsidRPr="000D770C">
              <w:rPr>
                <w:rFonts w:ascii="Arial" w:hAnsi="Arial" w:cs="Arial"/>
                <w:sz w:val="24"/>
                <w:szCs w:val="24"/>
              </w:rPr>
              <w:t xml:space="preserve"> to rank products and services offered by providers. LEAs will find different resources more or less useful for their particular communities and needs.</w:t>
            </w:r>
          </w:p>
        </w:tc>
      </w:tr>
      <w:tr w:rsidR="00CE2AF4" w:rsidRPr="000D770C" w14:paraId="031CC5BD" w14:textId="1C542FD6" w:rsidTr="008F1215">
        <w:trPr>
          <w:cantSplit/>
        </w:trPr>
        <w:tc>
          <w:tcPr>
            <w:tcW w:w="805" w:type="dxa"/>
          </w:tcPr>
          <w:p w14:paraId="04D445AD" w14:textId="58BE0F6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21.v</w:t>
            </w:r>
          </w:p>
        </w:tc>
        <w:tc>
          <w:tcPr>
            <w:tcW w:w="2070" w:type="dxa"/>
          </w:tcPr>
          <w:p w14:paraId="1C36A686"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5E81B298" w14:textId="779F211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30AD6CA0" w14:textId="36AE326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6</w:t>
            </w:r>
          </w:p>
        </w:tc>
        <w:tc>
          <w:tcPr>
            <w:tcW w:w="4860" w:type="dxa"/>
          </w:tcPr>
          <w:p w14:paraId="7DDEF23D"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Chapter 6, Pages 144-150 </w:t>
            </w:r>
          </w:p>
          <w:p w14:paraId="6D00097D"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i/>
                <w:iCs/>
                <w:color w:val="000000"/>
                <w:sz w:val="24"/>
                <w:szCs w:val="24"/>
              </w:rPr>
              <w:t xml:space="preserve">Universal Design for Learning </w:t>
            </w:r>
          </w:p>
          <w:p w14:paraId="082D1630" w14:textId="35790004" w:rsidR="00CE2AF4" w:rsidRPr="000D770C" w:rsidRDefault="00CE2AF4" w:rsidP="00CE2AF4">
            <w:pPr>
              <w:rPr>
                <w:rFonts w:ascii="Arial" w:hAnsi="Arial" w:cs="Arial"/>
                <w:sz w:val="24"/>
                <w:szCs w:val="24"/>
              </w:rPr>
            </w:pPr>
            <w:r w:rsidRPr="000D770C">
              <w:rPr>
                <w:rFonts w:ascii="Arial" w:hAnsi="Arial" w:cs="Arial"/>
                <w:color w:val="000000"/>
                <w:sz w:val="24"/>
                <w:szCs w:val="24"/>
              </w:rPr>
              <w:t>Comment: Highlighting the UDL framework, guidelines, and lesson examples are critical and beneficial to educators.</w:t>
            </w:r>
          </w:p>
        </w:tc>
        <w:tc>
          <w:tcPr>
            <w:tcW w:w="4950" w:type="dxa"/>
          </w:tcPr>
          <w:p w14:paraId="46A0669D"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44B8DDAB" w14:textId="2C0DA6FF" w:rsidR="00CE2AF4" w:rsidRPr="000D770C" w:rsidRDefault="00CE2AF4" w:rsidP="00CE2AF4">
            <w:pPr>
              <w:rPr>
                <w:rFonts w:ascii="Arial" w:hAnsi="Arial" w:cs="Arial"/>
                <w:sz w:val="24"/>
                <w:szCs w:val="24"/>
              </w:rPr>
            </w:pPr>
            <w:r w:rsidRPr="000D770C">
              <w:rPr>
                <w:rFonts w:ascii="Arial" w:hAnsi="Arial" w:cs="Arial"/>
                <w:sz w:val="24"/>
                <w:szCs w:val="24"/>
              </w:rPr>
              <w:t>No edit requested; UDL information is included in the draft</w:t>
            </w:r>
          </w:p>
        </w:tc>
      </w:tr>
      <w:tr w:rsidR="00CE2AF4" w:rsidRPr="000D770C" w14:paraId="7E655932" w14:textId="17DDF170" w:rsidTr="008F1215">
        <w:trPr>
          <w:cantSplit/>
        </w:trPr>
        <w:tc>
          <w:tcPr>
            <w:tcW w:w="805" w:type="dxa"/>
          </w:tcPr>
          <w:p w14:paraId="6B79ED5D" w14:textId="6E0332D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21.w</w:t>
            </w:r>
          </w:p>
        </w:tc>
        <w:tc>
          <w:tcPr>
            <w:tcW w:w="2070" w:type="dxa"/>
          </w:tcPr>
          <w:p w14:paraId="474897C1" w14:textId="7777777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w:t>
            </w:r>
          </w:p>
          <w:p w14:paraId="3F93FD86" w14:textId="46F2978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Goldberg (CTA)</w:t>
            </w:r>
          </w:p>
        </w:tc>
        <w:tc>
          <w:tcPr>
            <w:tcW w:w="1620" w:type="dxa"/>
          </w:tcPr>
          <w:p w14:paraId="2B71D785" w14:textId="5E630367"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75543A19"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b/>
                <w:bCs/>
                <w:color w:val="000000"/>
                <w:sz w:val="24"/>
                <w:szCs w:val="24"/>
              </w:rPr>
              <w:t xml:space="preserve">General Feedback </w:t>
            </w:r>
          </w:p>
          <w:p w14:paraId="3B45CA9E" w14:textId="33592D0C"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color w:val="000000"/>
                <w:sz w:val="24"/>
                <w:szCs w:val="24"/>
              </w:rPr>
              <w:t>In addition to the items above, we recommend the following:</w:t>
            </w:r>
          </w:p>
          <w:p w14:paraId="7F7ADAD9" w14:textId="662EFAD2"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color w:val="000000"/>
                <w:sz w:val="24"/>
                <w:szCs w:val="24"/>
              </w:rPr>
              <w:t>• Establish an annual review process to ensure all resource links remain up to date</w:t>
            </w:r>
          </w:p>
          <w:p w14:paraId="272AB3AA" w14:textId="77777777"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color w:val="000000"/>
                <w:sz w:val="24"/>
                <w:szCs w:val="24"/>
              </w:rPr>
              <w:t xml:space="preserve">• Encourage integration of local economic contexts wherever possible </w:t>
            </w:r>
          </w:p>
          <w:p w14:paraId="2C3B4BEA" w14:textId="0D17D40F" w:rsidR="00CE2AF4" w:rsidRPr="000D770C" w:rsidRDefault="00CE2AF4" w:rsidP="00CE2AF4">
            <w:pPr>
              <w:autoSpaceDE w:val="0"/>
              <w:autoSpaceDN w:val="0"/>
              <w:adjustRightInd w:val="0"/>
              <w:rPr>
                <w:rFonts w:ascii="Arial" w:hAnsi="Arial" w:cs="Arial"/>
                <w:color w:val="000000"/>
                <w:sz w:val="24"/>
                <w:szCs w:val="24"/>
              </w:rPr>
            </w:pPr>
            <w:r w:rsidRPr="000D770C">
              <w:rPr>
                <w:rFonts w:ascii="Arial" w:hAnsi="Arial" w:cs="Arial"/>
                <w:color w:val="000000"/>
                <w:sz w:val="24"/>
                <w:szCs w:val="24"/>
              </w:rPr>
              <w:t>• Add a quick reference table showing which listed providers address each of the 13 state-required topics</w:t>
            </w:r>
          </w:p>
          <w:p w14:paraId="4965DAFD" w14:textId="7B3A77EE"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color w:val="000000"/>
                <w:sz w:val="24"/>
                <w:szCs w:val="24"/>
              </w:rPr>
              <w:t>• Incorporate relevant math (Algebra) and CTE standards, as the current guide places a stronger emphasis on ELA standards</w:t>
            </w:r>
          </w:p>
        </w:tc>
        <w:tc>
          <w:tcPr>
            <w:tcW w:w="4950" w:type="dxa"/>
          </w:tcPr>
          <w:p w14:paraId="2704CAD3"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40BF6CB2" w14:textId="1E989088" w:rsidR="00CE2AF4" w:rsidRPr="000D770C" w:rsidRDefault="00CE2AF4" w:rsidP="00CE2AF4">
            <w:pPr>
              <w:spacing w:after="240"/>
              <w:rPr>
                <w:rFonts w:ascii="Arial" w:hAnsi="Arial" w:cs="Arial"/>
                <w:sz w:val="24"/>
                <w:szCs w:val="24"/>
              </w:rPr>
            </w:pPr>
            <w:r w:rsidRPr="000D770C">
              <w:rPr>
                <w:rFonts w:ascii="Arial" w:hAnsi="Arial" w:cs="Arial"/>
                <w:sz w:val="24"/>
                <w:szCs w:val="24"/>
              </w:rPr>
              <w:t>All CDE online resources are reviewed annually to ensure viability of links.</w:t>
            </w:r>
          </w:p>
          <w:p w14:paraId="7470082F" w14:textId="7B743388" w:rsidR="00CE2AF4" w:rsidRPr="000D770C" w:rsidRDefault="00CE2AF4" w:rsidP="00CE2AF4">
            <w:pPr>
              <w:spacing w:after="240"/>
              <w:rPr>
                <w:rFonts w:ascii="Arial" w:hAnsi="Arial" w:cs="Arial"/>
                <w:sz w:val="24"/>
                <w:szCs w:val="24"/>
              </w:rPr>
            </w:pPr>
            <w:r w:rsidRPr="000D770C">
              <w:rPr>
                <w:rFonts w:ascii="Arial" w:hAnsi="Arial" w:cs="Arial"/>
                <w:sz w:val="24"/>
                <w:szCs w:val="24"/>
              </w:rPr>
              <w:t>Curriculum providers are categorized as either “comprehensive” (addressing all 13 topics) or “specialty” (addressing a subset of topics). A chart showing specialty providers by topic is on page 124–126).</w:t>
            </w:r>
          </w:p>
          <w:p w14:paraId="638EF54C" w14:textId="33E9E58A" w:rsidR="00CE2AF4" w:rsidRPr="000D770C" w:rsidRDefault="00CE2AF4" w:rsidP="00CE2AF4">
            <w:pPr>
              <w:rPr>
                <w:rFonts w:ascii="Arial" w:hAnsi="Arial" w:cs="Arial"/>
                <w:sz w:val="24"/>
                <w:szCs w:val="24"/>
              </w:rPr>
            </w:pPr>
            <w:r w:rsidRPr="000D770C">
              <w:rPr>
                <w:rFonts w:ascii="Arial" w:hAnsi="Arial" w:cs="Arial"/>
                <w:sz w:val="24"/>
                <w:szCs w:val="24"/>
              </w:rPr>
              <w:t>Translating existing high school math standards to personal finance applications is beyond the scope of this document.</w:t>
            </w:r>
          </w:p>
        </w:tc>
      </w:tr>
      <w:tr w:rsidR="00CE2AF4" w:rsidRPr="000D770C" w14:paraId="53C4131D" w14:textId="3DCD7181" w:rsidTr="008F1215">
        <w:trPr>
          <w:cantSplit/>
        </w:trPr>
        <w:tc>
          <w:tcPr>
            <w:tcW w:w="805" w:type="dxa"/>
          </w:tcPr>
          <w:p w14:paraId="6ACB6CAB" w14:textId="48D864C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22</w:t>
            </w:r>
          </w:p>
        </w:tc>
        <w:tc>
          <w:tcPr>
            <w:tcW w:w="2070" w:type="dxa"/>
          </w:tcPr>
          <w:p w14:paraId="1914C1CD" w14:textId="3B50ABC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Bartell (College Board)</w:t>
            </w:r>
          </w:p>
        </w:tc>
        <w:tc>
          <w:tcPr>
            <w:tcW w:w="1620" w:type="dxa"/>
          </w:tcPr>
          <w:p w14:paraId="7170439D" w14:textId="2826CD0C"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1172BC23" w14:textId="77777777" w:rsidR="00CE2AF4" w:rsidRPr="000D770C" w:rsidRDefault="00CE2AF4" w:rsidP="00CE2AF4">
            <w:pPr>
              <w:spacing w:after="240"/>
              <w:rPr>
                <w:rFonts w:ascii="Arial" w:hAnsi="Arial" w:cs="Arial"/>
                <w:sz w:val="24"/>
                <w:szCs w:val="24"/>
              </w:rPr>
            </w:pPr>
            <w:r w:rsidRPr="000D770C">
              <w:rPr>
                <w:rFonts w:ascii="Arial" w:hAnsi="Arial" w:cs="Arial"/>
                <w:sz w:val="24"/>
                <w:szCs w:val="24"/>
              </w:rPr>
              <w:t>We recommend that AP Business with Personal Finance be approved as fulfilling the requirements of the new law and included in the Personal Finance Curriculum Guide once finalized.</w:t>
            </w:r>
          </w:p>
          <w:p w14:paraId="7ADEE354" w14:textId="3E9613CF" w:rsidR="00CE2AF4" w:rsidRPr="000D770C" w:rsidRDefault="00CE2AF4" w:rsidP="00CE2AF4">
            <w:pPr>
              <w:rPr>
                <w:rFonts w:ascii="Arial" w:hAnsi="Arial" w:cs="Arial"/>
                <w:sz w:val="24"/>
                <w:szCs w:val="24"/>
              </w:rPr>
            </w:pPr>
            <w:r w:rsidRPr="000D770C">
              <w:rPr>
                <w:rFonts w:ascii="Arial" w:hAnsi="Arial" w:cs="Arial"/>
                <w:sz w:val="24"/>
                <w:szCs w:val="24"/>
              </w:rPr>
              <w:t>(From CDE: Letter contains description of course, with a course outline attached. States that objectives have been added to better align with the topics required by AB 2927)</w:t>
            </w:r>
          </w:p>
        </w:tc>
        <w:tc>
          <w:tcPr>
            <w:tcW w:w="4950" w:type="dxa"/>
          </w:tcPr>
          <w:p w14:paraId="7A2938B5" w14:textId="77777777" w:rsidR="00CE2AF4" w:rsidRPr="000D770C" w:rsidRDefault="00CE2AF4" w:rsidP="00CE2AF4">
            <w:pPr>
              <w:spacing w:after="240"/>
              <w:rPr>
                <w:rFonts w:ascii="Arial" w:hAnsi="Arial" w:cs="Arial"/>
                <w:sz w:val="24"/>
                <w:szCs w:val="24"/>
              </w:rPr>
            </w:pPr>
            <w:r w:rsidRPr="000D770C">
              <w:rPr>
                <w:rFonts w:ascii="Arial" w:hAnsi="Arial" w:cs="Arial"/>
                <w:sz w:val="24"/>
                <w:szCs w:val="24"/>
              </w:rPr>
              <w:t>Not Actionable</w:t>
            </w:r>
          </w:p>
          <w:p w14:paraId="0D26444D" w14:textId="1A717603" w:rsidR="00CE2AF4" w:rsidRPr="000D770C" w:rsidRDefault="00CE2AF4" w:rsidP="00CE2AF4">
            <w:pPr>
              <w:rPr>
                <w:rFonts w:ascii="Arial" w:hAnsi="Arial" w:cs="Arial"/>
                <w:sz w:val="24"/>
                <w:szCs w:val="24"/>
              </w:rPr>
            </w:pPr>
            <w:r w:rsidRPr="000D770C">
              <w:rPr>
                <w:rFonts w:ascii="Arial" w:hAnsi="Arial" w:cs="Arial"/>
                <w:sz w:val="24"/>
                <w:szCs w:val="24"/>
              </w:rPr>
              <w:t>The College Board’s year-long AP Business with Personal Finance course is not a “stand-alone” course “that shall not be combined with any other course,” as required by AB 2927, therefore, it does not meet the statutory description of the graduation requirement.</w:t>
            </w:r>
          </w:p>
        </w:tc>
      </w:tr>
      <w:tr w:rsidR="00CE2AF4" w:rsidRPr="000D770C" w14:paraId="066E2ECC" w14:textId="4064032C" w:rsidTr="008F1215">
        <w:trPr>
          <w:cantSplit/>
        </w:trPr>
        <w:tc>
          <w:tcPr>
            <w:tcW w:w="805" w:type="dxa"/>
          </w:tcPr>
          <w:p w14:paraId="4BF22D3E" w14:textId="35C7818F"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23.a</w:t>
            </w:r>
          </w:p>
        </w:tc>
        <w:tc>
          <w:tcPr>
            <w:tcW w:w="2070" w:type="dxa"/>
          </w:tcPr>
          <w:p w14:paraId="24BE781F" w14:textId="3593582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McBride (Junior Achievement)</w:t>
            </w:r>
          </w:p>
        </w:tc>
        <w:tc>
          <w:tcPr>
            <w:tcW w:w="1620" w:type="dxa"/>
          </w:tcPr>
          <w:p w14:paraId="0414AF8D" w14:textId="4C7E0D68"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047A1350" w14:textId="69712651"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We respectfully submit the following recommendations for consideration in the final version of the guide:</w:t>
            </w:r>
          </w:p>
          <w:p w14:paraId="5A439789" w14:textId="77777777" w:rsidR="00CE2AF4" w:rsidRPr="000D770C" w:rsidRDefault="00CE2AF4" w:rsidP="00CE2AF4">
            <w:pPr>
              <w:autoSpaceDE w:val="0"/>
              <w:autoSpaceDN w:val="0"/>
              <w:adjustRightInd w:val="0"/>
              <w:rPr>
                <w:rFonts w:ascii="Arial" w:hAnsi="Arial" w:cs="Arial"/>
                <w:b/>
                <w:bCs/>
                <w:sz w:val="24"/>
                <w:szCs w:val="24"/>
              </w:rPr>
            </w:pPr>
            <w:r w:rsidRPr="000D770C">
              <w:rPr>
                <w:rFonts w:ascii="Arial" w:hAnsi="Arial" w:cs="Arial"/>
                <w:b/>
                <w:bCs/>
                <w:sz w:val="24"/>
                <w:szCs w:val="24"/>
              </w:rPr>
              <w:t>1. Elevate Experiential and Simulation-Based Learning</w:t>
            </w:r>
          </w:p>
          <w:p w14:paraId="289F683A" w14:textId="3D46EDE1"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While the draft guide references project-based and inquiry-based instruction, we encourage</w:t>
            </w:r>
            <w:r>
              <w:rPr>
                <w:rFonts w:ascii="Arial" w:hAnsi="Arial" w:cs="Arial"/>
                <w:sz w:val="24"/>
                <w:szCs w:val="24"/>
              </w:rPr>
              <w:t xml:space="preserve"> </w:t>
            </w:r>
            <w:r w:rsidRPr="000D770C">
              <w:rPr>
                <w:rFonts w:ascii="Arial" w:hAnsi="Arial" w:cs="Arial"/>
                <w:sz w:val="24"/>
                <w:szCs w:val="24"/>
              </w:rPr>
              <w:t xml:space="preserve">explicit recognition of </w:t>
            </w:r>
            <w:r w:rsidRPr="000D770C">
              <w:rPr>
                <w:rFonts w:ascii="Arial" w:hAnsi="Arial" w:cs="Arial"/>
                <w:i/>
                <w:iCs/>
                <w:sz w:val="24"/>
                <w:szCs w:val="24"/>
              </w:rPr>
              <w:t xml:space="preserve">hands-on simulations </w:t>
            </w:r>
            <w:r w:rsidRPr="000D770C">
              <w:rPr>
                <w:rFonts w:ascii="Arial" w:hAnsi="Arial" w:cs="Arial"/>
                <w:sz w:val="24"/>
                <w:szCs w:val="24"/>
              </w:rPr>
              <w:t>as a high-impact instructional strategy. Programs</w:t>
            </w:r>
            <w:r>
              <w:rPr>
                <w:rFonts w:ascii="Arial" w:hAnsi="Arial" w:cs="Arial"/>
                <w:sz w:val="24"/>
                <w:szCs w:val="24"/>
              </w:rPr>
              <w:t xml:space="preserve"> </w:t>
            </w:r>
            <w:r w:rsidRPr="000D770C">
              <w:rPr>
                <w:rFonts w:ascii="Arial" w:hAnsi="Arial" w:cs="Arial"/>
                <w:sz w:val="24"/>
                <w:szCs w:val="24"/>
              </w:rPr>
              <w:t>such as JA Finance Park exemplify how experiential models deepen student understanding of budgeting, investing, and career readiness through application rather than theory. Embedding guidance for simulation-based activities will align implementation with California’s broader</w:t>
            </w:r>
            <w:r>
              <w:rPr>
                <w:rFonts w:ascii="Arial" w:hAnsi="Arial" w:cs="Arial"/>
                <w:sz w:val="24"/>
                <w:szCs w:val="24"/>
              </w:rPr>
              <w:t xml:space="preserve"> </w:t>
            </w:r>
            <w:r w:rsidRPr="000D770C">
              <w:rPr>
                <w:rFonts w:ascii="Arial" w:hAnsi="Arial" w:cs="Arial"/>
                <w:sz w:val="24"/>
                <w:szCs w:val="24"/>
              </w:rPr>
              <w:t xml:space="preserve">commitment to </w:t>
            </w:r>
            <w:r w:rsidRPr="000D770C">
              <w:rPr>
                <w:rFonts w:ascii="Arial" w:hAnsi="Arial" w:cs="Arial"/>
                <w:i/>
                <w:iCs/>
                <w:sz w:val="24"/>
                <w:szCs w:val="24"/>
              </w:rPr>
              <w:t>career-connected learning</w:t>
            </w:r>
            <w:r w:rsidRPr="000D770C">
              <w:rPr>
                <w:rFonts w:ascii="Arial" w:hAnsi="Arial" w:cs="Arial"/>
                <w:sz w:val="24"/>
                <w:szCs w:val="24"/>
              </w:rPr>
              <w:t>.</w:t>
            </w:r>
          </w:p>
        </w:tc>
        <w:tc>
          <w:tcPr>
            <w:tcW w:w="4950" w:type="dxa"/>
          </w:tcPr>
          <w:p w14:paraId="1646DA92"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59E94994" w14:textId="6520A4BC" w:rsidR="00CE2AF4" w:rsidRPr="000D770C" w:rsidRDefault="00CE2AF4" w:rsidP="00CE2AF4">
            <w:pPr>
              <w:rPr>
                <w:rFonts w:ascii="Arial" w:hAnsi="Arial" w:cs="Arial"/>
                <w:sz w:val="24"/>
                <w:szCs w:val="24"/>
              </w:rPr>
            </w:pPr>
            <w:r w:rsidRPr="000D770C">
              <w:rPr>
                <w:rFonts w:ascii="Arial" w:hAnsi="Arial" w:cs="Arial"/>
                <w:sz w:val="24"/>
                <w:szCs w:val="24"/>
              </w:rPr>
              <w:t>Simulations, including JA Finance Park, are included throughout the draft, specifically in chapters 4–7.</w:t>
            </w:r>
          </w:p>
        </w:tc>
      </w:tr>
      <w:tr w:rsidR="00CE2AF4" w:rsidRPr="000D770C" w14:paraId="6A9987C9" w14:textId="759A7A01" w:rsidTr="008F1215">
        <w:trPr>
          <w:cantSplit/>
        </w:trPr>
        <w:tc>
          <w:tcPr>
            <w:tcW w:w="805" w:type="dxa"/>
          </w:tcPr>
          <w:p w14:paraId="1B584109" w14:textId="4DB1661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23.b</w:t>
            </w:r>
          </w:p>
        </w:tc>
        <w:tc>
          <w:tcPr>
            <w:tcW w:w="2070" w:type="dxa"/>
          </w:tcPr>
          <w:p w14:paraId="23C3A95F" w14:textId="47353AF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McBride (Junior Achievement)</w:t>
            </w:r>
          </w:p>
        </w:tc>
        <w:tc>
          <w:tcPr>
            <w:tcW w:w="1620" w:type="dxa"/>
          </w:tcPr>
          <w:p w14:paraId="244576B5" w14:textId="23C5B751" w:rsidR="00CE2AF4" w:rsidRPr="000D770C" w:rsidRDefault="00CE2AF4" w:rsidP="00CE2AF4">
            <w:pPr>
              <w:tabs>
                <w:tab w:val="left" w:pos="3330"/>
              </w:tabs>
              <w:rPr>
                <w:rFonts w:ascii="Arial" w:hAnsi="Arial" w:cs="Arial"/>
                <w:sz w:val="24"/>
                <w:szCs w:val="24"/>
              </w:rPr>
            </w:pPr>
            <w:r>
              <w:rPr>
                <w:rFonts w:ascii="Arial" w:hAnsi="Arial" w:cs="Arial"/>
                <w:sz w:val="24"/>
                <w:szCs w:val="24"/>
              </w:rPr>
              <w:t>Ch 7</w:t>
            </w:r>
          </w:p>
        </w:tc>
        <w:tc>
          <w:tcPr>
            <w:tcW w:w="4860" w:type="dxa"/>
          </w:tcPr>
          <w:p w14:paraId="53EB0178" w14:textId="77777777" w:rsidR="00CE2AF4" w:rsidRPr="000D770C" w:rsidRDefault="00CE2AF4" w:rsidP="00CE2AF4">
            <w:pPr>
              <w:autoSpaceDE w:val="0"/>
              <w:autoSpaceDN w:val="0"/>
              <w:adjustRightInd w:val="0"/>
              <w:rPr>
                <w:rFonts w:ascii="Arial" w:hAnsi="Arial" w:cs="Arial"/>
                <w:b/>
                <w:bCs/>
                <w:sz w:val="24"/>
                <w:szCs w:val="24"/>
              </w:rPr>
            </w:pPr>
            <w:r w:rsidRPr="000D770C">
              <w:rPr>
                <w:rFonts w:ascii="Arial" w:hAnsi="Arial" w:cs="Arial"/>
                <w:b/>
                <w:bCs/>
                <w:sz w:val="24"/>
                <w:szCs w:val="24"/>
              </w:rPr>
              <w:t>2. Expand Partnerships with Community and Industry Experts</w:t>
            </w:r>
          </w:p>
          <w:p w14:paraId="17E7C563" w14:textId="389B9C7E"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 xml:space="preserve">Chapter 7 rightly identifies community partnerships as an enrichment opportunity. We recommend strengthening this section with examples of how LEAs can formally engage nonprofits, employers, and </w:t>
            </w:r>
            <w:proofErr w:type="gramStart"/>
            <w:r w:rsidRPr="000D770C">
              <w:rPr>
                <w:rFonts w:ascii="Arial" w:hAnsi="Arial" w:cs="Arial"/>
                <w:sz w:val="24"/>
                <w:szCs w:val="24"/>
              </w:rPr>
              <w:t>postsecondary</w:t>
            </w:r>
            <w:proofErr w:type="gramEnd"/>
            <w:r w:rsidRPr="000D770C">
              <w:rPr>
                <w:rFonts w:ascii="Arial" w:hAnsi="Arial" w:cs="Arial"/>
                <w:sz w:val="24"/>
                <w:szCs w:val="24"/>
              </w:rPr>
              <w:t xml:space="preserve"> partners in co-designing instruction. Including sample MOUs or partnership rubrics could empower schools to scale programs with vetted partners and industry mentors.</w:t>
            </w:r>
          </w:p>
        </w:tc>
        <w:tc>
          <w:tcPr>
            <w:tcW w:w="4950" w:type="dxa"/>
          </w:tcPr>
          <w:p w14:paraId="318C3351" w14:textId="44548180"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502D6B17" w14:textId="475FAD16" w:rsidTr="008F1215">
        <w:trPr>
          <w:cantSplit/>
        </w:trPr>
        <w:tc>
          <w:tcPr>
            <w:tcW w:w="805" w:type="dxa"/>
          </w:tcPr>
          <w:p w14:paraId="506B7A25" w14:textId="64E6492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23.c</w:t>
            </w:r>
          </w:p>
        </w:tc>
        <w:tc>
          <w:tcPr>
            <w:tcW w:w="2070" w:type="dxa"/>
          </w:tcPr>
          <w:p w14:paraId="4639C25F" w14:textId="28D8619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McBride (Junior Achievement)</w:t>
            </w:r>
          </w:p>
        </w:tc>
        <w:tc>
          <w:tcPr>
            <w:tcW w:w="1620" w:type="dxa"/>
          </w:tcPr>
          <w:p w14:paraId="30E283B0" w14:textId="19F2078C" w:rsidR="00CE2AF4" w:rsidRPr="000D770C" w:rsidRDefault="00CE2AF4" w:rsidP="00CE2AF4">
            <w:pPr>
              <w:tabs>
                <w:tab w:val="left" w:pos="3330"/>
              </w:tabs>
              <w:rPr>
                <w:rFonts w:ascii="Arial" w:hAnsi="Arial" w:cs="Arial"/>
                <w:sz w:val="24"/>
                <w:szCs w:val="24"/>
              </w:rPr>
            </w:pPr>
            <w:r>
              <w:rPr>
                <w:rFonts w:ascii="Arial" w:hAnsi="Arial" w:cs="Arial"/>
                <w:sz w:val="24"/>
                <w:szCs w:val="24"/>
              </w:rPr>
              <w:t>Ch 5</w:t>
            </w:r>
          </w:p>
        </w:tc>
        <w:tc>
          <w:tcPr>
            <w:tcW w:w="4860" w:type="dxa"/>
          </w:tcPr>
          <w:p w14:paraId="6BF2B2CF" w14:textId="77777777" w:rsidR="00CE2AF4" w:rsidRPr="000D770C" w:rsidRDefault="00CE2AF4" w:rsidP="00CE2AF4">
            <w:pPr>
              <w:autoSpaceDE w:val="0"/>
              <w:autoSpaceDN w:val="0"/>
              <w:adjustRightInd w:val="0"/>
              <w:rPr>
                <w:rFonts w:ascii="Arial" w:hAnsi="Arial" w:cs="Arial"/>
                <w:b/>
                <w:bCs/>
                <w:sz w:val="24"/>
                <w:szCs w:val="24"/>
              </w:rPr>
            </w:pPr>
            <w:r w:rsidRPr="000D770C">
              <w:rPr>
                <w:rFonts w:ascii="Arial" w:hAnsi="Arial" w:cs="Arial"/>
                <w:b/>
                <w:bCs/>
                <w:sz w:val="24"/>
                <w:szCs w:val="24"/>
              </w:rPr>
              <w:t>3. Integrate Professional Development Pathways for Educators</w:t>
            </w:r>
          </w:p>
          <w:p w14:paraId="7CE2D438" w14:textId="6CD3F3E6"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 xml:space="preserve">We support the emphasis on professional learning in Chapter 5 and suggest incorporating </w:t>
            </w:r>
            <w:r w:rsidRPr="000D770C">
              <w:rPr>
                <w:rFonts w:ascii="Arial" w:hAnsi="Arial" w:cs="Arial"/>
                <w:i/>
                <w:iCs/>
                <w:sz w:val="24"/>
                <w:szCs w:val="24"/>
              </w:rPr>
              <w:t xml:space="preserve">provider-aligned PD </w:t>
            </w:r>
            <w:r w:rsidRPr="000D770C">
              <w:rPr>
                <w:rFonts w:ascii="Arial" w:hAnsi="Arial" w:cs="Arial"/>
                <w:sz w:val="24"/>
                <w:szCs w:val="24"/>
              </w:rPr>
              <w:t>opportunities with organizations experienced in financial education delivery. This could include recognition of micro-credentials or certification programs from credible</w:t>
            </w:r>
            <w:r>
              <w:rPr>
                <w:rFonts w:ascii="Arial" w:hAnsi="Arial" w:cs="Arial"/>
                <w:sz w:val="24"/>
                <w:szCs w:val="24"/>
              </w:rPr>
              <w:t xml:space="preserve"> </w:t>
            </w:r>
            <w:r w:rsidRPr="000D770C">
              <w:rPr>
                <w:rFonts w:ascii="Arial" w:hAnsi="Arial" w:cs="Arial"/>
                <w:sz w:val="24"/>
                <w:szCs w:val="24"/>
              </w:rPr>
              <w:t>external providers. Expanding PD beyond district-delivered models will strengthen teacher confidence and ensure statewide consistency in instructional quality.</w:t>
            </w:r>
          </w:p>
        </w:tc>
        <w:tc>
          <w:tcPr>
            <w:tcW w:w="4950" w:type="dxa"/>
          </w:tcPr>
          <w:p w14:paraId="4E2E2519"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24F46E05" w14:textId="1FD08B8A" w:rsidR="00CE2AF4" w:rsidRPr="000D770C" w:rsidRDefault="00CE2AF4" w:rsidP="00CE2AF4">
            <w:pPr>
              <w:rPr>
                <w:rFonts w:ascii="Arial" w:hAnsi="Arial" w:cs="Arial"/>
                <w:sz w:val="24"/>
                <w:szCs w:val="24"/>
              </w:rPr>
            </w:pPr>
            <w:r w:rsidRPr="000D770C">
              <w:rPr>
                <w:rFonts w:ascii="Arial" w:hAnsi="Arial" w:cs="Arial"/>
                <w:sz w:val="24"/>
                <w:szCs w:val="24"/>
              </w:rPr>
              <w:t>Ch 5 already includes provider aligned professional learning opportunities (pages 134–136)</w:t>
            </w:r>
          </w:p>
        </w:tc>
      </w:tr>
      <w:tr w:rsidR="00CE2AF4" w:rsidRPr="000D770C" w14:paraId="06DBC1CF" w14:textId="14602E90" w:rsidTr="008F1215">
        <w:trPr>
          <w:cantSplit/>
        </w:trPr>
        <w:tc>
          <w:tcPr>
            <w:tcW w:w="805" w:type="dxa"/>
          </w:tcPr>
          <w:p w14:paraId="6B04947A" w14:textId="00EBBC9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23.d</w:t>
            </w:r>
          </w:p>
        </w:tc>
        <w:tc>
          <w:tcPr>
            <w:tcW w:w="2070" w:type="dxa"/>
          </w:tcPr>
          <w:p w14:paraId="29C10315" w14:textId="7D2C7DD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McBride (Junior Achievement)</w:t>
            </w:r>
          </w:p>
        </w:tc>
        <w:tc>
          <w:tcPr>
            <w:tcW w:w="1620" w:type="dxa"/>
          </w:tcPr>
          <w:p w14:paraId="6CA012B8" w14:textId="4776E876"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665C495E" w14:textId="77777777" w:rsidR="00CE2AF4" w:rsidRPr="000D770C" w:rsidRDefault="00CE2AF4" w:rsidP="00CE2AF4">
            <w:pPr>
              <w:autoSpaceDE w:val="0"/>
              <w:autoSpaceDN w:val="0"/>
              <w:adjustRightInd w:val="0"/>
              <w:rPr>
                <w:rFonts w:ascii="Arial" w:hAnsi="Arial" w:cs="Arial"/>
                <w:b/>
                <w:bCs/>
                <w:sz w:val="24"/>
                <w:szCs w:val="24"/>
              </w:rPr>
            </w:pPr>
            <w:r w:rsidRPr="000D770C">
              <w:rPr>
                <w:rFonts w:ascii="Arial" w:hAnsi="Arial" w:cs="Arial"/>
                <w:b/>
                <w:bCs/>
                <w:sz w:val="24"/>
                <w:szCs w:val="24"/>
              </w:rPr>
              <w:t>4. Encourage Dual Credit and Postsecondary Alignment</w:t>
            </w:r>
          </w:p>
          <w:p w14:paraId="53FB11BB" w14:textId="349EA6E9"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 xml:space="preserve">We recommend adding guidance for partnerships with community colleges and universities to establish </w:t>
            </w:r>
            <w:r w:rsidRPr="000D770C">
              <w:rPr>
                <w:rFonts w:ascii="Arial" w:hAnsi="Arial" w:cs="Arial"/>
                <w:i/>
                <w:iCs/>
                <w:sz w:val="24"/>
                <w:szCs w:val="24"/>
              </w:rPr>
              <w:t xml:space="preserve">dual-enrollment or articulated credit opportunities </w:t>
            </w:r>
            <w:r w:rsidRPr="000D770C">
              <w:rPr>
                <w:rFonts w:ascii="Arial" w:hAnsi="Arial" w:cs="Arial"/>
                <w:sz w:val="24"/>
                <w:szCs w:val="24"/>
              </w:rPr>
              <w:t>within personal finance. This approach advances the state’s vision for seamless transitions between K-12 and higher education while incentivizing student completion and early college credit.</w:t>
            </w:r>
          </w:p>
        </w:tc>
        <w:tc>
          <w:tcPr>
            <w:tcW w:w="4950" w:type="dxa"/>
          </w:tcPr>
          <w:p w14:paraId="11DB382E" w14:textId="7D8F10C7" w:rsidR="00CE2AF4" w:rsidRPr="000D770C" w:rsidRDefault="00CE2AF4" w:rsidP="00CE2AF4">
            <w:pPr>
              <w:rPr>
                <w:rFonts w:ascii="Arial" w:hAnsi="Arial" w:cs="Arial"/>
                <w:sz w:val="24"/>
                <w:szCs w:val="24"/>
              </w:rPr>
            </w:pPr>
            <w:r w:rsidRPr="000D770C">
              <w:rPr>
                <w:rFonts w:ascii="Arial" w:hAnsi="Arial" w:cs="Arial"/>
                <w:sz w:val="24"/>
                <w:szCs w:val="24"/>
              </w:rPr>
              <w:t>Actionable, Not recommended</w:t>
            </w:r>
          </w:p>
          <w:p w14:paraId="61E41A8F" w14:textId="2206FC68" w:rsidR="00CE2AF4" w:rsidRPr="000D770C" w:rsidRDefault="00CE2AF4" w:rsidP="00CE2AF4">
            <w:pPr>
              <w:rPr>
                <w:rFonts w:ascii="Arial" w:hAnsi="Arial" w:cs="Arial"/>
                <w:sz w:val="24"/>
                <w:szCs w:val="24"/>
              </w:rPr>
            </w:pPr>
            <w:r w:rsidRPr="000D770C">
              <w:rPr>
                <w:rFonts w:ascii="Arial" w:hAnsi="Arial" w:cs="Arial"/>
                <w:sz w:val="24"/>
                <w:szCs w:val="24"/>
              </w:rPr>
              <w:t>Recommendation for increasing dual enrollment opportunities is beyond the scope of this curriculum guide</w:t>
            </w:r>
          </w:p>
        </w:tc>
      </w:tr>
      <w:tr w:rsidR="00CE2AF4" w:rsidRPr="000D770C" w14:paraId="53E00B66" w14:textId="63CABBB6" w:rsidTr="008F1215">
        <w:trPr>
          <w:cantSplit/>
        </w:trPr>
        <w:tc>
          <w:tcPr>
            <w:tcW w:w="805" w:type="dxa"/>
          </w:tcPr>
          <w:p w14:paraId="4DDA9D93" w14:textId="1F6E3AE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23.e</w:t>
            </w:r>
          </w:p>
        </w:tc>
        <w:tc>
          <w:tcPr>
            <w:tcW w:w="2070" w:type="dxa"/>
          </w:tcPr>
          <w:p w14:paraId="56DBE79E" w14:textId="350D3A44"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McBride (Junior Achievement)</w:t>
            </w:r>
          </w:p>
        </w:tc>
        <w:tc>
          <w:tcPr>
            <w:tcW w:w="1620" w:type="dxa"/>
          </w:tcPr>
          <w:p w14:paraId="4D5182B9" w14:textId="0F546FF3"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1AB1171" w14:textId="77777777" w:rsidR="00CE2AF4" w:rsidRPr="000D770C" w:rsidRDefault="00CE2AF4" w:rsidP="00CE2AF4">
            <w:pPr>
              <w:autoSpaceDE w:val="0"/>
              <w:autoSpaceDN w:val="0"/>
              <w:adjustRightInd w:val="0"/>
              <w:rPr>
                <w:rFonts w:ascii="Arial" w:hAnsi="Arial" w:cs="Arial"/>
                <w:b/>
                <w:bCs/>
                <w:sz w:val="24"/>
                <w:szCs w:val="24"/>
              </w:rPr>
            </w:pPr>
            <w:r w:rsidRPr="000D770C">
              <w:rPr>
                <w:rFonts w:ascii="Arial" w:hAnsi="Arial" w:cs="Arial"/>
                <w:b/>
                <w:bCs/>
                <w:sz w:val="24"/>
                <w:szCs w:val="24"/>
              </w:rPr>
              <w:t>5. Support Ongoing Evaluation and Student Outcome Tracking</w:t>
            </w:r>
          </w:p>
          <w:p w14:paraId="4B10C361" w14:textId="45761747"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To measure long-term impact, we encourage including language around outcome tracking such as student self-efficacy, financial behavior change, and longitudinal success metrics, e.g. social mobility and economic mobility post-graduation. Leveraging established assessment tools used by financial education providers could provide statewide data consistency while maintaining local flexibility.</w:t>
            </w:r>
          </w:p>
        </w:tc>
        <w:tc>
          <w:tcPr>
            <w:tcW w:w="4950" w:type="dxa"/>
          </w:tcPr>
          <w:p w14:paraId="31ABC6AB"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5D2447B6" w14:textId="62335378" w:rsidR="00CE2AF4" w:rsidRPr="000D770C" w:rsidRDefault="00CE2AF4" w:rsidP="00CE2AF4">
            <w:pPr>
              <w:rPr>
                <w:rFonts w:ascii="Arial" w:hAnsi="Arial" w:cs="Arial"/>
                <w:sz w:val="24"/>
                <w:szCs w:val="24"/>
              </w:rPr>
            </w:pPr>
            <w:r w:rsidRPr="000D770C">
              <w:rPr>
                <w:rFonts w:ascii="Arial" w:hAnsi="Arial" w:cs="Arial"/>
                <w:sz w:val="24"/>
                <w:szCs w:val="24"/>
              </w:rPr>
              <w:t>Designing recommendations for long-term outcomes studies to include in this document would be difficult given the expected variability in course design and instructional materials selection throughout the state.</w:t>
            </w:r>
          </w:p>
        </w:tc>
      </w:tr>
      <w:tr w:rsidR="00CE2AF4" w:rsidRPr="000D770C" w14:paraId="56071B67" w14:textId="7D380985" w:rsidTr="008F1215">
        <w:trPr>
          <w:cantSplit/>
        </w:trPr>
        <w:tc>
          <w:tcPr>
            <w:tcW w:w="805" w:type="dxa"/>
          </w:tcPr>
          <w:p w14:paraId="3C5E6317" w14:textId="7485483B"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23.f</w:t>
            </w:r>
          </w:p>
        </w:tc>
        <w:tc>
          <w:tcPr>
            <w:tcW w:w="2070" w:type="dxa"/>
          </w:tcPr>
          <w:p w14:paraId="0C0C3B41" w14:textId="4801229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McBride (Junior Achievement)</w:t>
            </w:r>
          </w:p>
        </w:tc>
        <w:tc>
          <w:tcPr>
            <w:tcW w:w="1620" w:type="dxa"/>
          </w:tcPr>
          <w:p w14:paraId="4C49F48B" w14:textId="01279F98"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369B8B2" w14:textId="77777777" w:rsidR="00CE2AF4" w:rsidRPr="000D770C" w:rsidRDefault="00CE2AF4" w:rsidP="00CE2AF4">
            <w:pPr>
              <w:autoSpaceDE w:val="0"/>
              <w:autoSpaceDN w:val="0"/>
              <w:adjustRightInd w:val="0"/>
              <w:rPr>
                <w:rFonts w:ascii="Arial" w:hAnsi="Arial" w:cs="Arial"/>
                <w:b/>
                <w:bCs/>
                <w:sz w:val="24"/>
                <w:szCs w:val="24"/>
              </w:rPr>
            </w:pPr>
            <w:r w:rsidRPr="000D770C">
              <w:rPr>
                <w:rFonts w:ascii="Arial" w:hAnsi="Arial" w:cs="Arial"/>
                <w:b/>
                <w:bCs/>
                <w:sz w:val="24"/>
                <w:szCs w:val="24"/>
              </w:rPr>
              <w:t>6. Reinforce Equity Through Practical Access</w:t>
            </w:r>
          </w:p>
          <w:p w14:paraId="4C3760B9" w14:textId="1136B8F1"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We applaud the guide’s equity framework and recommend emphasizing partnerships that</w:t>
            </w:r>
            <w:r>
              <w:rPr>
                <w:rFonts w:ascii="Arial" w:hAnsi="Arial" w:cs="Arial"/>
                <w:sz w:val="24"/>
                <w:szCs w:val="24"/>
              </w:rPr>
              <w:t xml:space="preserve"> </w:t>
            </w:r>
            <w:r w:rsidRPr="000D770C">
              <w:rPr>
                <w:rFonts w:ascii="Arial" w:hAnsi="Arial" w:cs="Arial"/>
                <w:sz w:val="24"/>
                <w:szCs w:val="24"/>
              </w:rPr>
              <w:t>expand access for English learners, foster youth, and students in under-resourced districts.</w:t>
            </w:r>
            <w:r>
              <w:rPr>
                <w:rFonts w:ascii="Arial" w:hAnsi="Arial" w:cs="Arial"/>
                <w:sz w:val="24"/>
                <w:szCs w:val="24"/>
              </w:rPr>
              <w:t xml:space="preserve"> </w:t>
            </w:r>
            <w:r w:rsidRPr="000D770C">
              <w:rPr>
                <w:rFonts w:ascii="Arial" w:hAnsi="Arial" w:cs="Arial"/>
                <w:sz w:val="24"/>
                <w:szCs w:val="24"/>
              </w:rPr>
              <w:t xml:space="preserve">Nonprofit and business collaborations can extend learning beyond the classroom and ensure that </w:t>
            </w:r>
            <w:r w:rsidRPr="000D770C">
              <w:rPr>
                <w:rFonts w:ascii="Arial" w:hAnsi="Arial" w:cs="Arial"/>
                <w:i/>
                <w:iCs/>
                <w:sz w:val="24"/>
                <w:szCs w:val="24"/>
              </w:rPr>
              <w:t xml:space="preserve">all students </w:t>
            </w:r>
            <w:r w:rsidRPr="000D770C">
              <w:rPr>
                <w:rFonts w:ascii="Arial" w:hAnsi="Arial" w:cs="Arial"/>
                <w:sz w:val="24"/>
                <w:szCs w:val="24"/>
              </w:rPr>
              <w:t>- regardless of ZIP code where they reside or attend school - can participate in authentic, applied financial learning experiences.</w:t>
            </w:r>
          </w:p>
        </w:tc>
        <w:tc>
          <w:tcPr>
            <w:tcW w:w="4950" w:type="dxa"/>
          </w:tcPr>
          <w:p w14:paraId="391CB67D"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03866616" w14:textId="1D91AEAE" w:rsidR="00CE2AF4" w:rsidRPr="000D770C" w:rsidRDefault="00CE2AF4" w:rsidP="00CE2AF4">
            <w:pPr>
              <w:rPr>
                <w:rFonts w:ascii="Arial" w:hAnsi="Arial" w:cs="Arial"/>
                <w:sz w:val="24"/>
                <w:szCs w:val="24"/>
              </w:rPr>
            </w:pPr>
            <w:r w:rsidRPr="000D770C">
              <w:rPr>
                <w:rFonts w:ascii="Arial" w:hAnsi="Arial" w:cs="Arial"/>
                <w:sz w:val="24"/>
                <w:szCs w:val="24"/>
              </w:rPr>
              <w:t>No edits suggested</w:t>
            </w:r>
          </w:p>
        </w:tc>
      </w:tr>
      <w:tr w:rsidR="00CE2AF4" w:rsidRPr="000D770C" w14:paraId="7E23B3BC" w14:textId="3F2391AB" w:rsidTr="008F1215">
        <w:trPr>
          <w:cantSplit/>
        </w:trPr>
        <w:tc>
          <w:tcPr>
            <w:tcW w:w="805" w:type="dxa"/>
          </w:tcPr>
          <w:p w14:paraId="5EABB2B2" w14:textId="2502A30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24.a</w:t>
            </w:r>
          </w:p>
        </w:tc>
        <w:tc>
          <w:tcPr>
            <w:tcW w:w="2070" w:type="dxa"/>
          </w:tcPr>
          <w:p w14:paraId="7BF33DB0" w14:textId="4CED88D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Jenne (John Burton Advocates for Youth)</w:t>
            </w:r>
          </w:p>
        </w:tc>
        <w:tc>
          <w:tcPr>
            <w:tcW w:w="1620" w:type="dxa"/>
          </w:tcPr>
          <w:p w14:paraId="3D927FC6" w14:textId="06BA3E86"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4909D38E" w14:textId="655B5CE3"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b/>
                <w:bCs/>
                <w:sz w:val="24"/>
                <w:szCs w:val="24"/>
              </w:rPr>
              <w:t xml:space="preserve">#1 - Include a Discussion of Tax Credits in the Curriculum </w:t>
            </w:r>
          </w:p>
          <w:p w14:paraId="383CAC11" w14:textId="7B61A906"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 One frequently overlooked element of the tax system is refundable tax credits, which can make it worthwhile for youth to file a tax return even when their income is too low to require it. We recommend that financial literacy instruction include a discussion of the value of tax credits and specifically provide information about the Earned Income Tax Credit (EITC), California Foster Youth Tax Credit (FYTC), and other relevant refundable tax benefits. Evidence points to the impact that tax credit utilization can have on low-income taxpayer’s financial stability and it therefore is an important resource for youth to be aware of. …</w:t>
            </w:r>
          </w:p>
        </w:tc>
        <w:tc>
          <w:tcPr>
            <w:tcW w:w="4950" w:type="dxa"/>
          </w:tcPr>
          <w:p w14:paraId="0AA1D98D" w14:textId="57131470" w:rsidR="00CE2AF4" w:rsidRPr="000D770C" w:rsidRDefault="00CE2AF4" w:rsidP="00CE2AF4">
            <w:pPr>
              <w:rPr>
                <w:rFonts w:ascii="Arial" w:hAnsi="Arial" w:cs="Arial"/>
                <w:sz w:val="24"/>
                <w:szCs w:val="24"/>
              </w:rPr>
            </w:pPr>
            <w:r w:rsidRPr="000D770C">
              <w:rPr>
                <w:rFonts w:ascii="Arial" w:hAnsi="Arial" w:cs="Arial"/>
                <w:sz w:val="24"/>
                <w:szCs w:val="24"/>
              </w:rPr>
              <w:t>Actionable, Recommend</w:t>
            </w:r>
          </w:p>
        </w:tc>
      </w:tr>
      <w:tr w:rsidR="00CE2AF4" w:rsidRPr="000D770C" w14:paraId="58D2283D" w14:textId="31FBDE76" w:rsidTr="008F1215">
        <w:trPr>
          <w:cantSplit/>
        </w:trPr>
        <w:tc>
          <w:tcPr>
            <w:tcW w:w="805" w:type="dxa"/>
          </w:tcPr>
          <w:p w14:paraId="40D56E9E" w14:textId="14E48FC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24.b</w:t>
            </w:r>
          </w:p>
        </w:tc>
        <w:tc>
          <w:tcPr>
            <w:tcW w:w="2070" w:type="dxa"/>
          </w:tcPr>
          <w:p w14:paraId="57016C27" w14:textId="6C9BC083"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Jenne (John Burton Advocates for Youth)</w:t>
            </w:r>
          </w:p>
        </w:tc>
        <w:tc>
          <w:tcPr>
            <w:tcW w:w="1620" w:type="dxa"/>
          </w:tcPr>
          <w:p w14:paraId="6C9EFC51" w14:textId="722A50FF"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6A8498DD" w14:textId="77777777" w:rsidR="00CE2AF4" w:rsidRPr="000D770C" w:rsidRDefault="00CE2AF4" w:rsidP="00CE2AF4">
            <w:pPr>
              <w:pStyle w:val="Default"/>
            </w:pPr>
            <w:r w:rsidRPr="000D770C">
              <w:rPr>
                <w:b/>
                <w:bCs/>
              </w:rPr>
              <w:t>#2 - Integrate FAFSA/CADAA Completion Steps into Financial Literacy Instruction and Highlight Bene</w:t>
            </w:r>
            <w:r w:rsidRPr="000D770C">
              <w:t>fi</w:t>
            </w:r>
            <w:r w:rsidRPr="000D770C">
              <w:rPr>
                <w:b/>
                <w:bCs/>
              </w:rPr>
              <w:t xml:space="preserve">ts Available to Special Populations. </w:t>
            </w:r>
          </w:p>
          <w:p w14:paraId="7BE93717" w14:textId="77777777"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sz w:val="24"/>
                <w:szCs w:val="24"/>
              </w:rPr>
              <w:t>The Financial Literacy Curriculum should include clear, age-appropriate guidance on completing the FAFSA and CA Dream Act Application to ensure all students understand the “means to finance college,” as described in Education Code Sections 51284.5(5) and 51284.5(10). …</w:t>
            </w:r>
          </w:p>
          <w:p w14:paraId="2A429BB3" w14:textId="4F00D210" w:rsidR="00CE2AF4" w:rsidRPr="000D770C" w:rsidRDefault="00CE2AF4" w:rsidP="00CE2AF4">
            <w:pPr>
              <w:autoSpaceDE w:val="0"/>
              <w:autoSpaceDN w:val="0"/>
              <w:adjustRightInd w:val="0"/>
              <w:rPr>
                <w:rFonts w:ascii="Arial" w:hAnsi="Arial" w:cs="Arial"/>
                <w:b/>
                <w:bCs/>
                <w:sz w:val="24"/>
                <w:szCs w:val="24"/>
              </w:rPr>
            </w:pPr>
            <w:r w:rsidRPr="000D770C">
              <w:rPr>
                <w:rFonts w:ascii="Arial" w:hAnsi="Arial" w:cs="Arial"/>
                <w:sz w:val="24"/>
                <w:szCs w:val="24"/>
              </w:rPr>
              <w:t>Further, most information available related to completion of these applications does not address how the process differs for special populations, particularly youth with experience in foster care or homelessness. These students need to understand how to qualify for independent status and the additional resources that are available to them, such as the Chafee Grant for foster youth. … many foster youth are unaware that submitting a separate application for the Chafee Grant can provide up to an additional $5,000 per year. …</w:t>
            </w:r>
          </w:p>
        </w:tc>
        <w:tc>
          <w:tcPr>
            <w:tcW w:w="4950" w:type="dxa"/>
          </w:tcPr>
          <w:p w14:paraId="01D75646" w14:textId="0E856E86" w:rsidR="00CE2AF4" w:rsidRPr="000D770C" w:rsidRDefault="00CE2AF4" w:rsidP="00CE2AF4">
            <w:pPr>
              <w:rPr>
                <w:rFonts w:ascii="Arial" w:hAnsi="Arial" w:cs="Arial"/>
                <w:sz w:val="24"/>
                <w:szCs w:val="24"/>
              </w:rPr>
            </w:pPr>
            <w:r w:rsidRPr="000D770C">
              <w:rPr>
                <w:rFonts w:ascii="Arial" w:hAnsi="Arial" w:cs="Arial"/>
                <w:sz w:val="24"/>
                <w:szCs w:val="24"/>
              </w:rPr>
              <w:t>Actionable,</w:t>
            </w:r>
            <w:r>
              <w:rPr>
                <w:rFonts w:ascii="Arial" w:hAnsi="Arial" w:cs="Arial"/>
                <w:sz w:val="24"/>
                <w:szCs w:val="24"/>
              </w:rPr>
              <w:t xml:space="preserve"> </w:t>
            </w:r>
            <w:r w:rsidRPr="000D770C">
              <w:rPr>
                <w:rFonts w:ascii="Arial" w:hAnsi="Arial" w:cs="Arial"/>
                <w:sz w:val="24"/>
                <w:szCs w:val="24"/>
              </w:rPr>
              <w:t>Recommended</w:t>
            </w:r>
          </w:p>
          <w:p w14:paraId="585BE7A2" w14:textId="2FEDC08E" w:rsidR="00CE2AF4" w:rsidRPr="000D770C" w:rsidRDefault="00CE2AF4" w:rsidP="00CE2AF4">
            <w:pPr>
              <w:rPr>
                <w:rFonts w:ascii="Arial" w:hAnsi="Arial" w:cs="Arial"/>
                <w:sz w:val="24"/>
                <w:szCs w:val="24"/>
              </w:rPr>
            </w:pPr>
            <w:r w:rsidRPr="000D770C">
              <w:rPr>
                <w:rFonts w:ascii="Arial" w:hAnsi="Arial" w:cs="Arial"/>
                <w:sz w:val="24"/>
                <w:szCs w:val="24"/>
              </w:rPr>
              <w:t>Recommend including additional guidance in Topic 10 to encourage personal finance courses to address key financial aid opportunities available to foster youth and homeless students.</w:t>
            </w:r>
          </w:p>
        </w:tc>
      </w:tr>
      <w:tr w:rsidR="00CE2AF4" w:rsidRPr="000D770C" w14:paraId="479A9FB0" w14:textId="5210BC2C" w:rsidTr="008F1215">
        <w:trPr>
          <w:cantSplit/>
        </w:trPr>
        <w:tc>
          <w:tcPr>
            <w:tcW w:w="805" w:type="dxa"/>
          </w:tcPr>
          <w:p w14:paraId="5D9D0176" w14:textId="0971476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24.c</w:t>
            </w:r>
          </w:p>
        </w:tc>
        <w:tc>
          <w:tcPr>
            <w:tcW w:w="2070" w:type="dxa"/>
          </w:tcPr>
          <w:p w14:paraId="6B4DFC1C" w14:textId="3315DE4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Jenne (John Burton Advocates for Youth)</w:t>
            </w:r>
          </w:p>
        </w:tc>
        <w:tc>
          <w:tcPr>
            <w:tcW w:w="1620" w:type="dxa"/>
          </w:tcPr>
          <w:p w14:paraId="29CD9BC2" w14:textId="3DA1C1DC"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29726CEE" w14:textId="77777777" w:rsidR="00CE2AF4" w:rsidRPr="000D770C" w:rsidRDefault="00CE2AF4" w:rsidP="00CE2AF4">
            <w:pPr>
              <w:autoSpaceDE w:val="0"/>
              <w:autoSpaceDN w:val="0"/>
              <w:adjustRightInd w:val="0"/>
              <w:rPr>
                <w:rFonts w:ascii="Arial" w:hAnsi="Arial" w:cs="Arial"/>
                <w:sz w:val="24"/>
                <w:szCs w:val="24"/>
              </w:rPr>
            </w:pPr>
            <w:r w:rsidRPr="000D770C">
              <w:rPr>
                <w:rFonts w:ascii="Arial" w:hAnsi="Arial" w:cs="Arial"/>
                <w:b/>
                <w:bCs/>
                <w:sz w:val="24"/>
                <w:szCs w:val="24"/>
              </w:rPr>
              <w:t xml:space="preserve">#3 - Ensure that Students Understand Both How to Access Financial Aid and How to Maintain It. </w:t>
            </w:r>
          </w:p>
          <w:p w14:paraId="4FDD365F" w14:textId="6D879EC7" w:rsidR="00CE2AF4" w:rsidRPr="000D770C" w:rsidRDefault="00CE2AF4" w:rsidP="00CE2AF4">
            <w:pPr>
              <w:pStyle w:val="Default"/>
              <w:rPr>
                <w:b/>
                <w:bCs/>
              </w:rPr>
            </w:pPr>
            <w:r w:rsidRPr="000D770C">
              <w:t>… While obtaining financial aid is the essential first step towards financing college, maintaining eligibility for that aid is equally critical and yet this ongoing requirement is often overlooked by students. Maintaining student aid eligibility requires that students meet Satisfactory Academic Progress (SAP) requirements. … Additionally, the course should instruct students how to interpret award letters, advocate for adjustments to their student aid index or cost of attendance, and manage loans post-graduation.</w:t>
            </w:r>
          </w:p>
        </w:tc>
        <w:tc>
          <w:tcPr>
            <w:tcW w:w="4950" w:type="dxa"/>
          </w:tcPr>
          <w:p w14:paraId="0D6DBE9B" w14:textId="29F5364A" w:rsidR="00CE2AF4" w:rsidRPr="000D770C" w:rsidRDefault="00CE2AF4" w:rsidP="00CE2AF4">
            <w:pPr>
              <w:rPr>
                <w:rFonts w:ascii="Arial" w:hAnsi="Arial" w:cs="Arial"/>
                <w:sz w:val="24"/>
                <w:szCs w:val="24"/>
              </w:rPr>
            </w:pPr>
            <w:r w:rsidRPr="000D770C">
              <w:rPr>
                <w:rFonts w:ascii="Arial" w:hAnsi="Arial" w:cs="Arial"/>
                <w:sz w:val="24"/>
                <w:szCs w:val="24"/>
              </w:rPr>
              <w:t>Actionable, Not Recommended</w:t>
            </w:r>
          </w:p>
          <w:p w14:paraId="747BACA1" w14:textId="0AB59A3C" w:rsidR="00CE2AF4" w:rsidRPr="000D770C" w:rsidRDefault="00CE2AF4" w:rsidP="00CE2AF4">
            <w:pPr>
              <w:rPr>
                <w:rFonts w:ascii="Arial" w:hAnsi="Arial" w:cs="Arial"/>
                <w:sz w:val="24"/>
                <w:szCs w:val="24"/>
              </w:rPr>
            </w:pPr>
            <w:r w:rsidRPr="000D770C">
              <w:rPr>
                <w:rFonts w:ascii="Arial" w:hAnsi="Arial" w:cs="Arial"/>
                <w:sz w:val="24"/>
                <w:szCs w:val="24"/>
              </w:rPr>
              <w:t>Specific guidance on maintaining financial aid for college-bound students is beyond the scope of this course, which is designed for all high school students.</w:t>
            </w:r>
          </w:p>
        </w:tc>
      </w:tr>
      <w:tr w:rsidR="00CE2AF4" w:rsidRPr="000D770C" w14:paraId="1581FC09" w14:textId="65A3CEC6" w:rsidTr="008F1215">
        <w:trPr>
          <w:cantSplit/>
        </w:trPr>
        <w:tc>
          <w:tcPr>
            <w:tcW w:w="805" w:type="dxa"/>
          </w:tcPr>
          <w:p w14:paraId="320B9F6D" w14:textId="07B1D6B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25.a</w:t>
            </w:r>
          </w:p>
        </w:tc>
        <w:tc>
          <w:tcPr>
            <w:tcW w:w="2070" w:type="dxa"/>
          </w:tcPr>
          <w:p w14:paraId="02EFD9CA" w14:textId="48FB234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Lusardi (Stanford Initiative for Financial Decision-Making)</w:t>
            </w:r>
          </w:p>
        </w:tc>
        <w:tc>
          <w:tcPr>
            <w:tcW w:w="1620" w:type="dxa"/>
          </w:tcPr>
          <w:p w14:paraId="4682CEE8" w14:textId="38F82A0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1A239184" w14:textId="7AE24DF6" w:rsidR="00CE2AF4" w:rsidRPr="000D770C" w:rsidRDefault="00CE2AF4" w:rsidP="00CE2AF4">
            <w:pPr>
              <w:pStyle w:val="Default"/>
            </w:pPr>
            <w:r w:rsidRPr="000D770C">
              <w:rPr>
                <w:b/>
                <w:bCs/>
              </w:rPr>
              <w:t>COMMENT 1</w:t>
            </w:r>
          </w:p>
          <w:p w14:paraId="619246B3" w14:textId="56D5CD21" w:rsidR="00CE2AF4" w:rsidRPr="000D770C" w:rsidRDefault="00CE2AF4" w:rsidP="00CE2AF4">
            <w:pPr>
              <w:pStyle w:val="Default"/>
            </w:pPr>
            <w:r w:rsidRPr="000D770C">
              <w:rPr>
                <w:b/>
                <w:bCs/>
              </w:rPr>
              <w:t>Chapter 2: California’s 13 Personal Finance Topics</w:t>
            </w:r>
          </w:p>
          <w:p w14:paraId="43AF2163" w14:textId="632B4114" w:rsidR="00CE2AF4" w:rsidRPr="000D770C" w:rsidRDefault="00CE2AF4" w:rsidP="00CE2AF4">
            <w:pPr>
              <w:pStyle w:val="Default"/>
            </w:pPr>
            <w:r w:rsidRPr="000D770C">
              <w:rPr>
                <w:b/>
                <w:bCs/>
              </w:rPr>
              <w:t>Strengthen Topic 10: College and Career Financing</w:t>
            </w:r>
          </w:p>
          <w:p w14:paraId="30A09D12" w14:textId="5E6C9A2B" w:rsidR="00CE2AF4" w:rsidRPr="000D770C" w:rsidRDefault="00CE2AF4" w:rsidP="00CE2AF4">
            <w:pPr>
              <w:pStyle w:val="Default"/>
            </w:pPr>
            <w:r w:rsidRPr="000D770C">
              <w:t>We believe Topic 10: College and Career Financing is critical. …</w:t>
            </w:r>
          </w:p>
          <w:p w14:paraId="1CB687AB" w14:textId="6E3F258A" w:rsidR="00CE2AF4" w:rsidRPr="000D770C" w:rsidRDefault="00CE2AF4" w:rsidP="00BA73B3">
            <w:pPr>
              <w:pStyle w:val="Default"/>
            </w:pPr>
            <w:r w:rsidRPr="000D770C">
              <w:t>We recommend reframing this topic as “Investing in Education and Human Capital,” emphasizing not only the costs but also the benefits of educational investment. …</w:t>
            </w:r>
          </w:p>
          <w:p w14:paraId="217F7394" w14:textId="7F2F0F68" w:rsidR="00CE2AF4" w:rsidRPr="000D770C" w:rsidRDefault="00CE2AF4" w:rsidP="00CE2AF4">
            <w:pPr>
              <w:pStyle w:val="Default"/>
            </w:pPr>
            <w:r w:rsidRPr="000D770C">
              <w:t>Following the final paragraph in the “Why It Matters” section of Topic 10 (page 34), we suggest adding the following paragraph:</w:t>
            </w:r>
          </w:p>
          <w:p w14:paraId="234880CA" w14:textId="1049036D" w:rsidR="00CE2AF4" w:rsidRPr="000D770C" w:rsidRDefault="00CE2AF4" w:rsidP="004E009F">
            <w:pPr>
              <w:pStyle w:val="Default"/>
            </w:pPr>
            <w:proofErr w:type="gramStart"/>
            <w:r w:rsidRPr="000D770C">
              <w:rPr>
                <w:i/>
                <w:iCs/>
              </w:rPr>
              <w:t>Postsecondary</w:t>
            </w:r>
            <w:proofErr w:type="gramEnd"/>
            <w:r w:rsidRPr="000D770C">
              <w:rPr>
                <w:i/>
                <w:iCs/>
              </w:rPr>
              <w:t xml:space="preserve"> education remains one of the most powerful tools for improving one’s life. When financed thoughtfully, debt can become a stepping-stone to success. Education enhances knowledge, productivity, and lifetime earning potential. Beyond financial returns, postsecondary education is also associated with better health outcomes, greater civic engagement, and increased life expectancy.</w:t>
            </w:r>
          </w:p>
        </w:tc>
        <w:tc>
          <w:tcPr>
            <w:tcW w:w="4950" w:type="dxa"/>
          </w:tcPr>
          <w:p w14:paraId="1F4F99D4" w14:textId="77777777" w:rsidR="00CE2AF4" w:rsidRPr="000D770C" w:rsidRDefault="00CE2AF4" w:rsidP="00CE2AF4">
            <w:pPr>
              <w:rPr>
                <w:rFonts w:ascii="Arial" w:hAnsi="Arial" w:cs="Arial"/>
                <w:sz w:val="24"/>
                <w:szCs w:val="24"/>
              </w:rPr>
            </w:pPr>
            <w:r w:rsidRPr="000D770C">
              <w:rPr>
                <w:rFonts w:ascii="Arial" w:hAnsi="Arial" w:cs="Arial"/>
                <w:sz w:val="24"/>
                <w:szCs w:val="24"/>
              </w:rPr>
              <w:t>Actionable, Not Recommended</w:t>
            </w:r>
          </w:p>
          <w:p w14:paraId="293BD302" w14:textId="76F2EBF5" w:rsidR="00CE2AF4" w:rsidRPr="000D770C" w:rsidRDefault="00CE2AF4" w:rsidP="00CE2AF4">
            <w:pPr>
              <w:spacing w:after="240"/>
              <w:rPr>
                <w:rFonts w:ascii="Arial" w:hAnsi="Arial" w:cs="Arial"/>
                <w:sz w:val="24"/>
                <w:szCs w:val="24"/>
              </w:rPr>
            </w:pPr>
            <w:r w:rsidRPr="000D770C">
              <w:rPr>
                <w:rFonts w:ascii="Arial" w:hAnsi="Arial" w:cs="Arial"/>
                <w:sz w:val="24"/>
                <w:szCs w:val="24"/>
              </w:rPr>
              <w:t xml:space="preserve">Topics are named to align with the course content required by </w:t>
            </w:r>
            <w:r w:rsidRPr="000D770C">
              <w:rPr>
                <w:rFonts w:ascii="Arial" w:hAnsi="Arial" w:cs="Arial"/>
                <w:i/>
                <w:iCs/>
                <w:sz w:val="24"/>
                <w:szCs w:val="24"/>
              </w:rPr>
              <w:t>Education Code</w:t>
            </w:r>
            <w:r w:rsidRPr="000D770C">
              <w:rPr>
                <w:rFonts w:ascii="Arial" w:hAnsi="Arial" w:cs="Arial"/>
                <w:sz w:val="24"/>
                <w:szCs w:val="24"/>
              </w:rPr>
              <w:t xml:space="preserve"> Section 51284.5.</w:t>
            </w:r>
          </w:p>
          <w:p w14:paraId="74EE117F" w14:textId="0211B6D9"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p w14:paraId="2F817C15" w14:textId="55E87862" w:rsidR="00CE2AF4" w:rsidRPr="000D770C" w:rsidRDefault="00CE2AF4" w:rsidP="00CE2AF4">
            <w:pPr>
              <w:rPr>
                <w:rFonts w:ascii="Arial" w:hAnsi="Arial" w:cs="Arial"/>
                <w:sz w:val="24"/>
                <w:szCs w:val="24"/>
              </w:rPr>
            </w:pPr>
            <w:r w:rsidRPr="000D770C">
              <w:rPr>
                <w:rFonts w:ascii="Arial" w:hAnsi="Arial" w:cs="Arial"/>
                <w:sz w:val="24"/>
                <w:szCs w:val="24"/>
              </w:rPr>
              <w:t>Adding suggested language regarding post-secondary education recommended at Writers’ discretion, with possible re-wording and inclusion of citations.</w:t>
            </w:r>
          </w:p>
        </w:tc>
      </w:tr>
      <w:tr w:rsidR="004E009F" w:rsidRPr="000D770C" w14:paraId="41785FEB" w14:textId="77777777" w:rsidTr="008F1215">
        <w:trPr>
          <w:cantSplit/>
        </w:trPr>
        <w:tc>
          <w:tcPr>
            <w:tcW w:w="805" w:type="dxa"/>
          </w:tcPr>
          <w:p w14:paraId="64413995" w14:textId="7D8A694B" w:rsidR="004E009F" w:rsidRPr="000D770C" w:rsidRDefault="004E009F" w:rsidP="004E009F">
            <w:pPr>
              <w:tabs>
                <w:tab w:val="left" w:pos="3330"/>
              </w:tabs>
              <w:rPr>
                <w:rFonts w:ascii="Arial" w:hAnsi="Arial" w:cs="Arial"/>
                <w:sz w:val="24"/>
                <w:szCs w:val="24"/>
              </w:rPr>
            </w:pPr>
            <w:r w:rsidRPr="000D770C">
              <w:rPr>
                <w:rFonts w:ascii="Arial" w:hAnsi="Arial" w:cs="Arial"/>
                <w:sz w:val="24"/>
                <w:szCs w:val="24"/>
              </w:rPr>
              <w:lastRenderedPageBreak/>
              <w:t>25.a</w:t>
            </w:r>
          </w:p>
        </w:tc>
        <w:tc>
          <w:tcPr>
            <w:tcW w:w="2070" w:type="dxa"/>
          </w:tcPr>
          <w:p w14:paraId="58A17D90" w14:textId="1DE6EBD4" w:rsidR="004E009F" w:rsidRDefault="004E009F" w:rsidP="004E009F">
            <w:pPr>
              <w:tabs>
                <w:tab w:val="left" w:pos="3330"/>
              </w:tabs>
              <w:spacing w:after="240"/>
              <w:rPr>
                <w:rFonts w:ascii="Arial" w:hAnsi="Arial" w:cs="Arial"/>
                <w:sz w:val="24"/>
                <w:szCs w:val="24"/>
              </w:rPr>
            </w:pPr>
            <w:r>
              <w:rPr>
                <w:rFonts w:ascii="Arial" w:hAnsi="Arial" w:cs="Arial"/>
                <w:sz w:val="24"/>
                <w:szCs w:val="24"/>
              </w:rPr>
              <w:t>(continued)</w:t>
            </w:r>
          </w:p>
          <w:p w14:paraId="354AF28E" w14:textId="0A96DCCE" w:rsidR="004E009F" w:rsidRPr="000D770C" w:rsidRDefault="004E009F" w:rsidP="004E009F">
            <w:pPr>
              <w:tabs>
                <w:tab w:val="left" w:pos="3330"/>
              </w:tabs>
              <w:rPr>
                <w:rFonts w:ascii="Arial" w:hAnsi="Arial" w:cs="Arial"/>
                <w:sz w:val="24"/>
                <w:szCs w:val="24"/>
              </w:rPr>
            </w:pPr>
            <w:r w:rsidRPr="000D770C">
              <w:rPr>
                <w:rFonts w:ascii="Arial" w:hAnsi="Arial" w:cs="Arial"/>
                <w:sz w:val="24"/>
                <w:szCs w:val="24"/>
              </w:rPr>
              <w:t>10-31-25 Lusardi (Stanford Initiative for Financial Decision-Making)</w:t>
            </w:r>
          </w:p>
        </w:tc>
        <w:tc>
          <w:tcPr>
            <w:tcW w:w="1620" w:type="dxa"/>
          </w:tcPr>
          <w:p w14:paraId="1747FADE" w14:textId="233A3264" w:rsidR="004E009F" w:rsidRPr="000D770C" w:rsidRDefault="004E009F" w:rsidP="004E009F">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2994701B" w14:textId="77777777" w:rsidR="004E009F" w:rsidRPr="004E009F" w:rsidRDefault="004E009F" w:rsidP="004E009F">
            <w:pPr>
              <w:pStyle w:val="Default"/>
              <w:spacing w:after="240"/>
            </w:pPr>
            <w:r w:rsidRPr="004E009F">
              <w:t>(continued)</w:t>
            </w:r>
          </w:p>
          <w:p w14:paraId="3F6FE2DA" w14:textId="385E2F4A" w:rsidR="004E009F" w:rsidRPr="000D770C" w:rsidRDefault="004E009F" w:rsidP="004E009F">
            <w:pPr>
              <w:pStyle w:val="Default"/>
              <w:rPr>
                <w:b/>
                <w:bCs/>
              </w:rPr>
            </w:pPr>
            <w:r w:rsidRPr="000D770C">
              <w:t>This addition highlights education as an investment in human capital and connects financial literacy to broader life outcomes, aligning with California’s equity and inclusion goals.</w:t>
            </w:r>
          </w:p>
        </w:tc>
        <w:tc>
          <w:tcPr>
            <w:tcW w:w="4950" w:type="dxa"/>
          </w:tcPr>
          <w:p w14:paraId="425E949F" w14:textId="59115FD9" w:rsidR="004E009F" w:rsidRPr="000D770C" w:rsidRDefault="004E009F" w:rsidP="004E009F">
            <w:pPr>
              <w:rPr>
                <w:rFonts w:ascii="Arial" w:hAnsi="Arial" w:cs="Arial"/>
                <w:sz w:val="24"/>
                <w:szCs w:val="24"/>
              </w:rPr>
            </w:pPr>
            <w:r>
              <w:rPr>
                <w:rFonts w:ascii="Arial" w:hAnsi="Arial" w:cs="Arial"/>
                <w:sz w:val="24"/>
                <w:szCs w:val="24"/>
              </w:rPr>
              <w:t>(continued)</w:t>
            </w:r>
          </w:p>
        </w:tc>
      </w:tr>
      <w:tr w:rsidR="00CE2AF4" w:rsidRPr="000D770C" w14:paraId="3AD44815" w14:textId="3BC4DB6F" w:rsidTr="008F1215">
        <w:trPr>
          <w:cantSplit/>
        </w:trPr>
        <w:tc>
          <w:tcPr>
            <w:tcW w:w="805" w:type="dxa"/>
          </w:tcPr>
          <w:p w14:paraId="631F0DBE" w14:textId="56156B0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25.b</w:t>
            </w:r>
          </w:p>
        </w:tc>
        <w:tc>
          <w:tcPr>
            <w:tcW w:w="2070" w:type="dxa"/>
          </w:tcPr>
          <w:p w14:paraId="395F287C" w14:textId="73163692"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Lusardi (Stanford Initiative for Financial Decision-Making)</w:t>
            </w:r>
          </w:p>
        </w:tc>
        <w:tc>
          <w:tcPr>
            <w:tcW w:w="1620" w:type="dxa"/>
          </w:tcPr>
          <w:p w14:paraId="12A0FD8F" w14:textId="019BD59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2</w:t>
            </w:r>
          </w:p>
        </w:tc>
        <w:tc>
          <w:tcPr>
            <w:tcW w:w="4860" w:type="dxa"/>
          </w:tcPr>
          <w:p w14:paraId="4DFD0F0A" w14:textId="2A003AD4" w:rsidR="00CE2AF4" w:rsidRPr="000D770C" w:rsidRDefault="00CE2AF4" w:rsidP="00CE2AF4">
            <w:pPr>
              <w:pStyle w:val="Default"/>
            </w:pPr>
            <w:r w:rsidRPr="000D770C">
              <w:rPr>
                <w:b/>
                <w:bCs/>
              </w:rPr>
              <w:t>COMMENT 2</w:t>
            </w:r>
          </w:p>
          <w:p w14:paraId="0036DCF6" w14:textId="65DD9DF9" w:rsidR="00CE2AF4" w:rsidRPr="000D770C" w:rsidRDefault="00CE2AF4" w:rsidP="00CE2AF4">
            <w:pPr>
              <w:pStyle w:val="Default"/>
            </w:pPr>
            <w:r w:rsidRPr="000D770C">
              <w:rPr>
                <w:b/>
                <w:bCs/>
              </w:rPr>
              <w:t>Chapter 2: California’s 13 Personal Finance Topics</w:t>
            </w:r>
          </w:p>
          <w:p w14:paraId="53C7732D" w14:textId="020233D3" w:rsidR="00CE2AF4" w:rsidRPr="000D770C" w:rsidRDefault="00CE2AF4" w:rsidP="00CE2AF4">
            <w:pPr>
              <w:pStyle w:val="Default"/>
            </w:pPr>
            <w:r w:rsidRPr="000D770C">
              <w:rPr>
                <w:b/>
                <w:bCs/>
              </w:rPr>
              <w:t>Sequence and Order of Topics</w:t>
            </w:r>
          </w:p>
          <w:p w14:paraId="259A6CD4" w14:textId="298ADB61" w:rsidR="00CE2AF4" w:rsidRPr="000D770C" w:rsidRDefault="00CE2AF4" w:rsidP="00CE2AF4">
            <w:pPr>
              <w:pStyle w:val="Default"/>
            </w:pPr>
            <w:r w:rsidRPr="000D770C">
              <w:t>We suggest reordering some topics to better reflect how students build conceptual understanding:</w:t>
            </w:r>
          </w:p>
          <w:p w14:paraId="304DBCF6" w14:textId="4F0ED4C8" w:rsidR="00CE2AF4" w:rsidRPr="000D770C" w:rsidRDefault="00CE2AF4" w:rsidP="00CE2AF4">
            <w:pPr>
              <w:pStyle w:val="Default"/>
            </w:pPr>
            <w:r w:rsidRPr="000D770C">
              <w:t>• Rather than starting with Banking Basics, we recommend starting with the Fundamentals of Financial Decision-Making.</w:t>
            </w:r>
          </w:p>
          <w:p w14:paraId="3156E8D5" w14:textId="0705E483" w:rsidR="00CE2AF4" w:rsidRPr="000D770C" w:rsidRDefault="00CE2AF4" w:rsidP="00CE2AF4">
            <w:pPr>
              <w:pStyle w:val="Default"/>
            </w:pPr>
            <w:r w:rsidRPr="000D770C">
              <w:t>• Topic 1 (Banking Basics) should be placed after Topic 3 (Employment and Net Income) so that students first understand income and decision-making before managing bank accounts.</w:t>
            </w:r>
          </w:p>
          <w:p w14:paraId="6E2F0772" w14:textId="081C1FA1" w:rsidR="00CE2AF4" w:rsidRPr="000D770C" w:rsidRDefault="00CE2AF4" w:rsidP="00CE2AF4">
            <w:pPr>
              <w:pStyle w:val="Default"/>
              <w:spacing w:after="240"/>
            </w:pPr>
            <w:r w:rsidRPr="000D770C">
              <w:t>• Topic 6 (Insurance Types and Costs) should come after Topic 8 (Investing and Building-Wealth Strategies), as insurance concepts build naturally from lessons on risk and risk management introduced in investing.</w:t>
            </w:r>
          </w:p>
          <w:p w14:paraId="452C08A0" w14:textId="525F2902" w:rsidR="00CE2AF4" w:rsidRPr="000D770C" w:rsidRDefault="00BA73B3" w:rsidP="00CE2AF4">
            <w:pPr>
              <w:pStyle w:val="Default"/>
              <w:rPr>
                <w:b/>
                <w:bCs/>
              </w:rPr>
            </w:pPr>
            <w:r>
              <w:t>I</w:t>
            </w:r>
            <w:r w:rsidR="00CE2AF4" w:rsidRPr="000D770C">
              <w:t>n our experience teaching financial decision-making, this sequence improves student engagement and comprehension. Clear sequencing helps educators design intentional, logical lessons that meet diverse learning needs</w:t>
            </w:r>
            <w:r w:rsidR="00CE2AF4">
              <w:t>.</w:t>
            </w:r>
          </w:p>
        </w:tc>
        <w:tc>
          <w:tcPr>
            <w:tcW w:w="4950" w:type="dxa"/>
          </w:tcPr>
          <w:p w14:paraId="486323C9" w14:textId="77777777" w:rsidR="00CE2AF4" w:rsidRPr="000D770C" w:rsidRDefault="00CE2AF4" w:rsidP="00CE2AF4">
            <w:pPr>
              <w:pStyle w:val="PFBody"/>
              <w:spacing w:before="0" w:after="0" w:line="240" w:lineRule="auto"/>
              <w:rPr>
                <w:rFonts w:ascii="Arial" w:hAnsi="Arial" w:cs="Arial"/>
                <w:szCs w:val="24"/>
              </w:rPr>
            </w:pPr>
            <w:r w:rsidRPr="000D770C">
              <w:rPr>
                <w:rFonts w:ascii="Arial" w:hAnsi="Arial" w:cs="Arial"/>
                <w:szCs w:val="24"/>
              </w:rPr>
              <w:t>Actionable, Not Recommended</w:t>
            </w:r>
          </w:p>
          <w:p w14:paraId="4553CC60" w14:textId="5AA00816" w:rsidR="00CE2AF4" w:rsidRPr="000D770C" w:rsidRDefault="00CE2AF4" w:rsidP="00CE2AF4">
            <w:pPr>
              <w:pStyle w:val="PFBody"/>
              <w:spacing w:line="240" w:lineRule="auto"/>
              <w:rPr>
                <w:rFonts w:ascii="Arial" w:hAnsi="Arial" w:cs="Arial"/>
                <w:szCs w:val="24"/>
              </w:rPr>
            </w:pPr>
            <w:r w:rsidRPr="000D770C">
              <w:rPr>
                <w:rFonts w:ascii="Arial" w:hAnsi="Arial" w:cs="Arial"/>
                <w:szCs w:val="24"/>
              </w:rPr>
              <w:t xml:space="preserve">Topics follow the order established by </w:t>
            </w:r>
            <w:r w:rsidRPr="000D770C">
              <w:rPr>
                <w:rFonts w:ascii="Arial" w:hAnsi="Arial" w:cs="Arial"/>
                <w:i/>
                <w:iCs/>
                <w:szCs w:val="24"/>
              </w:rPr>
              <w:t>Education Code</w:t>
            </w:r>
            <w:r w:rsidRPr="000D770C">
              <w:rPr>
                <w:rFonts w:ascii="Arial" w:hAnsi="Arial" w:cs="Arial"/>
                <w:szCs w:val="24"/>
              </w:rPr>
              <w:t xml:space="preserve"> Section 51284.5. Chapter 2, page 84, states “Districts have wide latitude to design course sequences that reflect their students’ needs and instructional realities. Since the 13 topics are not required to be taught in a particular order or as isolated units, LEAs can explore thematic or integrated approaches that promote coherence and engagement.”</w:t>
            </w:r>
          </w:p>
        </w:tc>
      </w:tr>
      <w:tr w:rsidR="00CE2AF4" w:rsidRPr="000D770C" w14:paraId="0288DEE7" w14:textId="7A2BA18F" w:rsidTr="008F1215">
        <w:trPr>
          <w:cantSplit/>
        </w:trPr>
        <w:tc>
          <w:tcPr>
            <w:tcW w:w="805" w:type="dxa"/>
          </w:tcPr>
          <w:p w14:paraId="134B7A13" w14:textId="2FEA19D0"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25.c</w:t>
            </w:r>
          </w:p>
        </w:tc>
        <w:tc>
          <w:tcPr>
            <w:tcW w:w="2070" w:type="dxa"/>
          </w:tcPr>
          <w:p w14:paraId="5196DFCD" w14:textId="1BE00EE4"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Lusardi (Stanford Initiative for Financial Decision-Making)</w:t>
            </w:r>
          </w:p>
        </w:tc>
        <w:tc>
          <w:tcPr>
            <w:tcW w:w="1620" w:type="dxa"/>
          </w:tcPr>
          <w:p w14:paraId="24149E74" w14:textId="2B1CEB38"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4</w:t>
            </w:r>
          </w:p>
        </w:tc>
        <w:tc>
          <w:tcPr>
            <w:tcW w:w="4860" w:type="dxa"/>
          </w:tcPr>
          <w:p w14:paraId="7085DF6C" w14:textId="258F4772" w:rsidR="00CE2AF4" w:rsidRPr="000D770C" w:rsidRDefault="00CE2AF4" w:rsidP="00CE2AF4">
            <w:pPr>
              <w:pStyle w:val="Default"/>
            </w:pPr>
            <w:r w:rsidRPr="000D770C">
              <w:rPr>
                <w:b/>
                <w:bCs/>
              </w:rPr>
              <w:t>COMMENT 3</w:t>
            </w:r>
          </w:p>
          <w:p w14:paraId="5AD938A8" w14:textId="04B4AE7E" w:rsidR="00CE2AF4" w:rsidRPr="000D770C" w:rsidRDefault="00CE2AF4" w:rsidP="00CE2AF4">
            <w:pPr>
              <w:pStyle w:val="Default"/>
            </w:pPr>
            <w:r w:rsidRPr="000D770C">
              <w:rPr>
                <w:b/>
                <w:bCs/>
              </w:rPr>
              <w:t>Resources: Resource Hub</w:t>
            </w:r>
          </w:p>
          <w:p w14:paraId="5A5F59C6" w14:textId="2296D597" w:rsidR="00CE2AF4" w:rsidRPr="000D770C" w:rsidRDefault="00CE2AF4" w:rsidP="00CE2AF4">
            <w:pPr>
              <w:pStyle w:val="Default"/>
            </w:pPr>
            <w:r w:rsidRPr="000D770C">
              <w:t xml:space="preserve">At Stanford IFDM, we have launched a </w:t>
            </w:r>
            <w:r w:rsidRPr="000D770C">
              <w:rPr>
                <w:b/>
                <w:bCs/>
              </w:rPr>
              <w:t xml:space="preserve">Resource Hub </w:t>
            </w:r>
            <w:r w:rsidRPr="000D770C">
              <w:t>offering free, research-based materials for teachers and students. We would be honored if the Commission considered including these resources in the Curriculum Guide.</w:t>
            </w:r>
          </w:p>
          <w:p w14:paraId="1703EB7B" w14:textId="0F8CD614" w:rsidR="00CE2AF4" w:rsidRPr="000D770C" w:rsidRDefault="00CE2AF4" w:rsidP="00CE2AF4">
            <w:pPr>
              <w:pStyle w:val="Default"/>
            </w:pPr>
            <w:r w:rsidRPr="000D770C">
              <w:t>Examples include:</w:t>
            </w:r>
          </w:p>
          <w:p w14:paraId="0C6D8C67" w14:textId="28FD7709" w:rsidR="00CE2AF4" w:rsidRPr="000D770C" w:rsidRDefault="00CE2AF4" w:rsidP="005417E4">
            <w:pPr>
              <w:pStyle w:val="Default"/>
            </w:pPr>
            <w:r w:rsidRPr="000D770C">
              <w:t xml:space="preserve">• </w:t>
            </w:r>
            <w:r w:rsidRPr="000D770C">
              <w:rPr>
                <w:b/>
                <w:bCs/>
              </w:rPr>
              <w:t>The Big Three</w:t>
            </w:r>
            <w:r w:rsidRPr="000D770C">
              <w:t>: A set of multiple-choice questions that has become the gold standard for measuring understanding of core financial concepts. Research shows that individuals who grasp the principles behind the Big Three save more for retirement, manage debt more effectively, and make smarter investment decisions.</w:t>
            </w:r>
          </w:p>
          <w:p w14:paraId="61B0002A" w14:textId="1ECC6FD6" w:rsidR="00CE2AF4" w:rsidRPr="000D770C" w:rsidRDefault="00CE2AF4" w:rsidP="00CE2AF4">
            <w:pPr>
              <w:pStyle w:val="Default"/>
              <w:spacing w:after="240"/>
            </w:pPr>
            <w:r w:rsidRPr="000D770C">
              <w:t xml:space="preserve">• </w:t>
            </w:r>
            <w:r w:rsidRPr="000D770C">
              <w:rPr>
                <w:b/>
                <w:bCs/>
              </w:rPr>
              <w:t xml:space="preserve">Financial Health Checkup: </w:t>
            </w:r>
            <w:r w:rsidRPr="000D770C">
              <w:t>An interactive tool that helps users assess and track short- and long-term financial well-being goals.</w:t>
            </w:r>
          </w:p>
          <w:p w14:paraId="460F9FF5" w14:textId="0A66DD3A" w:rsidR="00CE2AF4" w:rsidRPr="000D770C" w:rsidRDefault="00CE2AF4" w:rsidP="005417E4">
            <w:pPr>
              <w:pStyle w:val="Default"/>
              <w:rPr>
                <w:b/>
                <w:bCs/>
              </w:rPr>
            </w:pPr>
            <w:r w:rsidRPr="000D770C">
              <w:t>At Stanford IFDM we believe that measuring financial literacy is crucial. It helps us identify the most vulnerable populations and understand opportunities to narrow gaps in financial knowledge. Our Resource Hub also features stories, quizzes, and tools to help learners apply financial concepts in real-life situations.</w:t>
            </w:r>
          </w:p>
        </w:tc>
        <w:tc>
          <w:tcPr>
            <w:tcW w:w="4950" w:type="dxa"/>
          </w:tcPr>
          <w:p w14:paraId="60784F58" w14:textId="0DBA0EB5"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5417E4" w:rsidRPr="000D770C" w14:paraId="3BBE3594" w14:textId="77777777" w:rsidTr="008F1215">
        <w:trPr>
          <w:cantSplit/>
        </w:trPr>
        <w:tc>
          <w:tcPr>
            <w:tcW w:w="805" w:type="dxa"/>
          </w:tcPr>
          <w:p w14:paraId="08479121" w14:textId="1B9681F2" w:rsidR="005417E4" w:rsidRPr="000D770C" w:rsidRDefault="005417E4" w:rsidP="005417E4">
            <w:pPr>
              <w:tabs>
                <w:tab w:val="left" w:pos="3330"/>
              </w:tabs>
              <w:rPr>
                <w:rFonts w:ascii="Arial" w:hAnsi="Arial" w:cs="Arial"/>
                <w:sz w:val="24"/>
                <w:szCs w:val="24"/>
              </w:rPr>
            </w:pPr>
            <w:r w:rsidRPr="000D770C">
              <w:rPr>
                <w:rFonts w:ascii="Arial" w:hAnsi="Arial" w:cs="Arial"/>
                <w:sz w:val="24"/>
                <w:szCs w:val="24"/>
              </w:rPr>
              <w:lastRenderedPageBreak/>
              <w:t>25.c</w:t>
            </w:r>
          </w:p>
        </w:tc>
        <w:tc>
          <w:tcPr>
            <w:tcW w:w="2070" w:type="dxa"/>
          </w:tcPr>
          <w:p w14:paraId="22164E4F" w14:textId="47FCC739" w:rsidR="005417E4" w:rsidRDefault="005417E4" w:rsidP="005417E4">
            <w:pPr>
              <w:tabs>
                <w:tab w:val="left" w:pos="3330"/>
              </w:tabs>
              <w:spacing w:after="240"/>
              <w:rPr>
                <w:rFonts w:ascii="Arial" w:hAnsi="Arial" w:cs="Arial"/>
                <w:sz w:val="24"/>
                <w:szCs w:val="24"/>
              </w:rPr>
            </w:pPr>
            <w:r>
              <w:rPr>
                <w:rFonts w:ascii="Arial" w:hAnsi="Arial" w:cs="Arial"/>
                <w:sz w:val="24"/>
                <w:szCs w:val="24"/>
              </w:rPr>
              <w:t>(continued)</w:t>
            </w:r>
          </w:p>
          <w:p w14:paraId="3C975131" w14:textId="175B3BEA" w:rsidR="005417E4" w:rsidRPr="000D770C" w:rsidRDefault="005417E4" w:rsidP="005417E4">
            <w:pPr>
              <w:tabs>
                <w:tab w:val="left" w:pos="3330"/>
              </w:tabs>
              <w:rPr>
                <w:rFonts w:ascii="Arial" w:hAnsi="Arial" w:cs="Arial"/>
                <w:sz w:val="24"/>
                <w:szCs w:val="24"/>
              </w:rPr>
            </w:pPr>
            <w:r w:rsidRPr="000D770C">
              <w:rPr>
                <w:rFonts w:ascii="Arial" w:hAnsi="Arial" w:cs="Arial"/>
                <w:sz w:val="24"/>
                <w:szCs w:val="24"/>
              </w:rPr>
              <w:t>10-31-25 Lusardi (Stanford Initiative for Financial Decision-Making)</w:t>
            </w:r>
          </w:p>
        </w:tc>
        <w:tc>
          <w:tcPr>
            <w:tcW w:w="1620" w:type="dxa"/>
          </w:tcPr>
          <w:p w14:paraId="1412931B" w14:textId="4F01E92D" w:rsidR="005417E4" w:rsidRPr="000D770C" w:rsidRDefault="005417E4" w:rsidP="005417E4">
            <w:pPr>
              <w:tabs>
                <w:tab w:val="left" w:pos="3330"/>
              </w:tabs>
              <w:rPr>
                <w:rFonts w:ascii="Arial" w:hAnsi="Arial" w:cs="Arial"/>
                <w:sz w:val="24"/>
                <w:szCs w:val="24"/>
              </w:rPr>
            </w:pPr>
            <w:r w:rsidRPr="000D770C">
              <w:rPr>
                <w:rFonts w:ascii="Arial" w:hAnsi="Arial" w:cs="Arial"/>
                <w:sz w:val="24"/>
                <w:szCs w:val="24"/>
              </w:rPr>
              <w:t>Ch 4</w:t>
            </w:r>
          </w:p>
        </w:tc>
        <w:tc>
          <w:tcPr>
            <w:tcW w:w="4860" w:type="dxa"/>
          </w:tcPr>
          <w:p w14:paraId="44DF1DED" w14:textId="77777777" w:rsidR="005417E4" w:rsidRDefault="005417E4" w:rsidP="005417E4">
            <w:pPr>
              <w:pStyle w:val="Default"/>
              <w:spacing w:after="240"/>
            </w:pPr>
            <w:r>
              <w:t>(continued)</w:t>
            </w:r>
          </w:p>
          <w:p w14:paraId="274361D4" w14:textId="77777777" w:rsidR="005417E4" w:rsidRPr="00534DB6" w:rsidRDefault="005417E4" w:rsidP="005417E4">
            <w:pPr>
              <w:pStyle w:val="Default"/>
              <w:rPr>
                <w:color w:val="auto"/>
              </w:rPr>
            </w:pPr>
            <w:r w:rsidRPr="000D770C">
              <w:t xml:space="preserve">All resources are freely available at: </w:t>
            </w:r>
            <w:r w:rsidRPr="00534DB6">
              <w:rPr>
                <w:color w:val="auto"/>
              </w:rPr>
              <w:t>https://ifdm.stanford.edu/resourcehub</w:t>
            </w:r>
          </w:p>
          <w:p w14:paraId="27A21F2B" w14:textId="5F0CD57C" w:rsidR="005417E4" w:rsidRPr="005417E4" w:rsidRDefault="005417E4" w:rsidP="005417E4">
            <w:pPr>
              <w:pStyle w:val="Default"/>
            </w:pPr>
            <w:r w:rsidRPr="000D770C">
              <w:t>We will continue to add resources to the Hub and are working on material suitable for high school students and teachers.</w:t>
            </w:r>
          </w:p>
        </w:tc>
        <w:tc>
          <w:tcPr>
            <w:tcW w:w="4950" w:type="dxa"/>
          </w:tcPr>
          <w:p w14:paraId="11927C7B" w14:textId="2379A2C3" w:rsidR="005417E4" w:rsidRPr="000D770C" w:rsidRDefault="005417E4" w:rsidP="005417E4">
            <w:pPr>
              <w:rPr>
                <w:rFonts w:ascii="Arial" w:hAnsi="Arial" w:cs="Arial"/>
                <w:sz w:val="24"/>
                <w:szCs w:val="24"/>
              </w:rPr>
            </w:pPr>
            <w:r>
              <w:rPr>
                <w:rFonts w:ascii="Arial" w:hAnsi="Arial" w:cs="Arial"/>
                <w:sz w:val="24"/>
                <w:szCs w:val="24"/>
              </w:rPr>
              <w:t>(continued)</w:t>
            </w:r>
          </w:p>
        </w:tc>
      </w:tr>
      <w:tr w:rsidR="00CE2AF4" w:rsidRPr="000D770C" w14:paraId="05383CEF" w14:textId="55741890" w:rsidTr="008F1215">
        <w:trPr>
          <w:cantSplit/>
        </w:trPr>
        <w:tc>
          <w:tcPr>
            <w:tcW w:w="805" w:type="dxa"/>
          </w:tcPr>
          <w:p w14:paraId="46865CFD" w14:textId="52F78E3A"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25.d</w:t>
            </w:r>
          </w:p>
        </w:tc>
        <w:tc>
          <w:tcPr>
            <w:tcW w:w="2070" w:type="dxa"/>
          </w:tcPr>
          <w:p w14:paraId="2BAA29C2" w14:textId="3285BD8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Lusardi (Stanford Initiative for Financial Decision-Making)</w:t>
            </w:r>
          </w:p>
        </w:tc>
        <w:tc>
          <w:tcPr>
            <w:tcW w:w="1620" w:type="dxa"/>
          </w:tcPr>
          <w:p w14:paraId="3A10B4C5" w14:textId="5FC517CE" w:rsidR="00CE2AF4" w:rsidRPr="000D770C" w:rsidRDefault="00CE2AF4" w:rsidP="00CE2AF4">
            <w:pPr>
              <w:tabs>
                <w:tab w:val="left" w:pos="3330"/>
              </w:tabs>
              <w:rPr>
                <w:rFonts w:ascii="Arial" w:hAnsi="Arial" w:cs="Arial"/>
                <w:sz w:val="24"/>
                <w:szCs w:val="24"/>
              </w:rPr>
            </w:pPr>
            <w:r>
              <w:rPr>
                <w:rFonts w:ascii="Arial" w:hAnsi="Arial" w:cs="Arial"/>
                <w:sz w:val="24"/>
                <w:szCs w:val="24"/>
              </w:rPr>
              <w:t>Not provided</w:t>
            </w:r>
          </w:p>
        </w:tc>
        <w:tc>
          <w:tcPr>
            <w:tcW w:w="4860" w:type="dxa"/>
          </w:tcPr>
          <w:p w14:paraId="54D00393" w14:textId="0A30ABCA" w:rsidR="00CE2AF4" w:rsidRPr="000D770C" w:rsidRDefault="00CE2AF4" w:rsidP="00CE2AF4">
            <w:pPr>
              <w:pStyle w:val="Default"/>
            </w:pPr>
            <w:r w:rsidRPr="000D770C">
              <w:rPr>
                <w:b/>
                <w:bCs/>
              </w:rPr>
              <w:t>COMMENT 4</w:t>
            </w:r>
          </w:p>
          <w:p w14:paraId="4B2600DC" w14:textId="083B19CF" w:rsidR="00CE2AF4" w:rsidRPr="000D770C" w:rsidRDefault="00CE2AF4" w:rsidP="00CE2AF4">
            <w:pPr>
              <w:pStyle w:val="Default"/>
            </w:pPr>
            <w:r w:rsidRPr="000D770C">
              <w:rPr>
                <w:b/>
                <w:bCs/>
              </w:rPr>
              <w:t>Resources: Research</w:t>
            </w:r>
          </w:p>
          <w:p w14:paraId="0BFBC554" w14:textId="5E59E13B" w:rsidR="00CE2AF4" w:rsidRPr="000D770C" w:rsidRDefault="00CE2AF4" w:rsidP="00CE2AF4">
            <w:pPr>
              <w:pStyle w:val="Default"/>
            </w:pPr>
            <w:r w:rsidRPr="000D770C">
              <w:t>To provide the evidence supporting financial literacy education, we recommend the following research papers:</w:t>
            </w:r>
          </w:p>
          <w:p w14:paraId="54CDCCFB" w14:textId="392275C4" w:rsidR="00CE2AF4" w:rsidRPr="000D770C" w:rsidRDefault="00CE2AF4" w:rsidP="005417E4">
            <w:pPr>
              <w:pStyle w:val="Default"/>
            </w:pPr>
            <w:r w:rsidRPr="000D770C">
              <w:t xml:space="preserve">• Lusardi, A., &amp; Mitchell, O. S. (2011). </w:t>
            </w:r>
            <w:r w:rsidRPr="000D770C">
              <w:rPr>
                <w:i/>
                <w:iCs/>
              </w:rPr>
              <w:t xml:space="preserve">“Financial Literacy Around the World: An Overview.” </w:t>
            </w:r>
            <w:r w:rsidRPr="000D770C">
              <w:t>Journal of Pension Economics and Finance, October, pp. 497–508.</w:t>
            </w:r>
          </w:p>
          <w:p w14:paraId="3235AAC0" w14:textId="1E602DDA" w:rsidR="00CE2AF4" w:rsidRPr="00781DBE" w:rsidRDefault="00CE2AF4" w:rsidP="00DC7CC4">
            <w:pPr>
              <w:pStyle w:val="Default"/>
              <w:rPr>
                <w:color w:val="auto"/>
              </w:rPr>
            </w:pPr>
            <w:r w:rsidRPr="00781DBE">
              <w:t>https://www.cambridge.org/core/journals/journal-of-pension-economics-and-finance/article/abs/financial-literacy-around-the-world-an-overview/0488F901318E0FBC4C92DC6E96mf4AB89C</w:t>
            </w:r>
          </w:p>
          <w:p w14:paraId="06C8B7CF" w14:textId="5168BC6C" w:rsidR="00CE2AF4" w:rsidRPr="000D770C" w:rsidRDefault="00CE2AF4" w:rsidP="00CE2AF4">
            <w:pPr>
              <w:pStyle w:val="Default"/>
            </w:pPr>
            <w:r w:rsidRPr="000D770C">
              <w:t xml:space="preserve">• Lusardi, A. (2015) </w:t>
            </w:r>
            <w:r w:rsidRPr="000D770C">
              <w:rPr>
                <w:i/>
                <w:iCs/>
              </w:rPr>
              <w:t xml:space="preserve">“Financial Literacy Skills for the </w:t>
            </w:r>
            <w:proofErr w:type="gramStart"/>
            <w:r w:rsidRPr="000D770C">
              <w:rPr>
                <w:i/>
                <w:iCs/>
              </w:rPr>
              <w:t>21th</w:t>
            </w:r>
            <w:proofErr w:type="gramEnd"/>
            <w:r w:rsidRPr="000D770C">
              <w:rPr>
                <w:i/>
                <w:iCs/>
              </w:rPr>
              <w:t xml:space="preserve"> Century: Evidence from PISA.</w:t>
            </w:r>
            <w:r w:rsidRPr="000D770C">
              <w:t>” Colston Warne Lecture, Journal of Consumer Affairs, Fall 2015, 49(3), pp. 639-659.</w:t>
            </w:r>
          </w:p>
          <w:p w14:paraId="5D402E6E" w14:textId="16589DFB" w:rsidR="00CE2AF4" w:rsidRPr="00534DB6" w:rsidRDefault="00CE2AF4" w:rsidP="00DC7CC4">
            <w:pPr>
              <w:pStyle w:val="Default"/>
              <w:rPr>
                <w:color w:val="auto"/>
              </w:rPr>
            </w:pPr>
            <w:r w:rsidRPr="00534DB6">
              <w:rPr>
                <w:color w:val="auto"/>
              </w:rPr>
              <w:t>https://onlinelibrary.wiley.com/doi/10.1111/joca.12099</w:t>
            </w:r>
          </w:p>
          <w:p w14:paraId="3B35E45C" w14:textId="45A5E524" w:rsidR="00CE2AF4" w:rsidRPr="000D770C" w:rsidRDefault="00CE2AF4" w:rsidP="00CE2AF4">
            <w:pPr>
              <w:pStyle w:val="Default"/>
            </w:pPr>
            <w:r w:rsidRPr="000D770C">
              <w:t xml:space="preserve">• Lusardi, A., &amp; Mitchell, O. S. (2023). </w:t>
            </w:r>
            <w:r w:rsidRPr="000D770C">
              <w:rPr>
                <w:i/>
                <w:iCs/>
              </w:rPr>
              <w:t xml:space="preserve">“The Importance of Financial Literacy: Opening a New Field.” </w:t>
            </w:r>
            <w:r w:rsidRPr="000D770C">
              <w:t>Journal of Economic Perspectives, Vol. 37, No. 4 (Fall 2023), pp. 137–154.</w:t>
            </w:r>
          </w:p>
          <w:p w14:paraId="2DF3B35F" w14:textId="32BB2AE1" w:rsidR="00CE2AF4" w:rsidRPr="000D770C" w:rsidRDefault="00CE2AF4" w:rsidP="00CE2AF4">
            <w:pPr>
              <w:rPr>
                <w:rFonts w:ascii="Arial" w:hAnsi="Arial" w:cs="Arial"/>
                <w:b/>
                <w:bCs/>
                <w:sz w:val="24"/>
                <w:szCs w:val="24"/>
              </w:rPr>
            </w:pPr>
            <w:r w:rsidRPr="00534DB6">
              <w:rPr>
                <w:rFonts w:ascii="Arial" w:hAnsi="Arial" w:cs="Arial"/>
                <w:sz w:val="24"/>
                <w:szCs w:val="24"/>
              </w:rPr>
              <w:t>https://www.aeaweb.org/articles?id=10.1257/jep.37.4.137</w:t>
            </w:r>
          </w:p>
        </w:tc>
        <w:tc>
          <w:tcPr>
            <w:tcW w:w="4950" w:type="dxa"/>
          </w:tcPr>
          <w:p w14:paraId="79351A20" w14:textId="75CEDF2C" w:rsidR="00CE2AF4" w:rsidRPr="000D770C" w:rsidRDefault="00CE2AF4" w:rsidP="00CE2AF4">
            <w:pPr>
              <w:rPr>
                <w:rFonts w:ascii="Arial" w:hAnsi="Arial" w:cs="Arial"/>
                <w:sz w:val="24"/>
                <w:szCs w:val="24"/>
              </w:rPr>
            </w:pPr>
            <w:r w:rsidRPr="000D770C">
              <w:rPr>
                <w:rFonts w:ascii="Arial" w:hAnsi="Arial" w:cs="Arial"/>
                <w:sz w:val="24"/>
                <w:szCs w:val="24"/>
              </w:rPr>
              <w:t>Actionable, Writers’ discretion</w:t>
            </w:r>
          </w:p>
        </w:tc>
      </w:tr>
      <w:tr w:rsidR="00CE2AF4" w:rsidRPr="000D770C" w14:paraId="2A6510E5" w14:textId="4CDDC8C4" w:rsidTr="008F1215">
        <w:trPr>
          <w:cantSplit/>
        </w:trPr>
        <w:tc>
          <w:tcPr>
            <w:tcW w:w="805" w:type="dxa"/>
          </w:tcPr>
          <w:p w14:paraId="731E9300" w14:textId="3AB7D77E"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lastRenderedPageBreak/>
              <w:t>25.e</w:t>
            </w:r>
          </w:p>
        </w:tc>
        <w:tc>
          <w:tcPr>
            <w:tcW w:w="2070" w:type="dxa"/>
          </w:tcPr>
          <w:p w14:paraId="76FA5105" w14:textId="34A98CD7"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10-31-25 Lusardi (Stanford Initiative for Financial Decision-Making)</w:t>
            </w:r>
          </w:p>
        </w:tc>
        <w:tc>
          <w:tcPr>
            <w:tcW w:w="1620" w:type="dxa"/>
          </w:tcPr>
          <w:p w14:paraId="7C032DEA" w14:textId="4FACDA15" w:rsidR="00CE2AF4" w:rsidRPr="000D770C" w:rsidRDefault="00CE2AF4" w:rsidP="00CE2AF4">
            <w:pPr>
              <w:tabs>
                <w:tab w:val="left" w:pos="3330"/>
              </w:tabs>
              <w:rPr>
                <w:rFonts w:ascii="Arial" w:hAnsi="Arial" w:cs="Arial"/>
                <w:sz w:val="24"/>
                <w:szCs w:val="24"/>
              </w:rPr>
            </w:pPr>
            <w:r w:rsidRPr="000D770C">
              <w:rPr>
                <w:rFonts w:ascii="Arial" w:hAnsi="Arial" w:cs="Arial"/>
                <w:sz w:val="24"/>
                <w:szCs w:val="24"/>
              </w:rPr>
              <w:t>Ch 5</w:t>
            </w:r>
          </w:p>
        </w:tc>
        <w:tc>
          <w:tcPr>
            <w:tcW w:w="4860" w:type="dxa"/>
          </w:tcPr>
          <w:p w14:paraId="6078906C" w14:textId="3A116E66" w:rsidR="00CE2AF4" w:rsidRPr="000D770C" w:rsidRDefault="00CE2AF4" w:rsidP="00CE2AF4">
            <w:pPr>
              <w:pStyle w:val="Default"/>
            </w:pPr>
            <w:r w:rsidRPr="000D770C">
              <w:rPr>
                <w:b/>
                <w:bCs/>
              </w:rPr>
              <w:t>COMMENT 5</w:t>
            </w:r>
          </w:p>
          <w:p w14:paraId="0C4977A6" w14:textId="49C51FDD" w:rsidR="00CE2AF4" w:rsidRPr="000D770C" w:rsidRDefault="00CE2AF4" w:rsidP="00CE2AF4">
            <w:pPr>
              <w:pStyle w:val="Default"/>
            </w:pPr>
            <w:r w:rsidRPr="000D770C">
              <w:rPr>
                <w:b/>
                <w:bCs/>
              </w:rPr>
              <w:t>Training and Implementation</w:t>
            </w:r>
          </w:p>
          <w:p w14:paraId="21056903" w14:textId="797FCACE" w:rsidR="00CE2AF4" w:rsidRPr="000D770C" w:rsidRDefault="00CE2AF4" w:rsidP="00CE2AF4">
            <w:pPr>
              <w:pStyle w:val="Default"/>
              <w:rPr>
                <w:b/>
                <w:bCs/>
              </w:rPr>
            </w:pPr>
            <w:r w:rsidRPr="000D770C">
              <w:t>… At Stanford IFDM, we stand ready to assist educators through research-based teacher training.</w:t>
            </w:r>
          </w:p>
        </w:tc>
        <w:tc>
          <w:tcPr>
            <w:tcW w:w="4950" w:type="dxa"/>
          </w:tcPr>
          <w:p w14:paraId="3B9059B4" w14:textId="77777777" w:rsidR="00CE2AF4" w:rsidRPr="000D770C" w:rsidRDefault="00CE2AF4" w:rsidP="00CE2AF4">
            <w:pPr>
              <w:rPr>
                <w:rFonts w:ascii="Arial" w:hAnsi="Arial" w:cs="Arial"/>
                <w:sz w:val="24"/>
                <w:szCs w:val="24"/>
              </w:rPr>
            </w:pPr>
            <w:r w:rsidRPr="000D770C">
              <w:rPr>
                <w:rFonts w:ascii="Arial" w:hAnsi="Arial" w:cs="Arial"/>
                <w:sz w:val="24"/>
                <w:szCs w:val="24"/>
              </w:rPr>
              <w:t>Not Actionable</w:t>
            </w:r>
          </w:p>
          <w:p w14:paraId="679A6D6E" w14:textId="2BCE2FB9" w:rsidR="00CE2AF4" w:rsidRPr="000D770C" w:rsidRDefault="00CE2AF4" w:rsidP="00CE2AF4">
            <w:pPr>
              <w:rPr>
                <w:rFonts w:ascii="Arial" w:hAnsi="Arial" w:cs="Arial"/>
                <w:sz w:val="24"/>
                <w:szCs w:val="24"/>
              </w:rPr>
            </w:pPr>
            <w:r w:rsidRPr="000D770C">
              <w:rPr>
                <w:rFonts w:ascii="Arial" w:hAnsi="Arial" w:cs="Arial"/>
                <w:sz w:val="24"/>
                <w:szCs w:val="24"/>
              </w:rPr>
              <w:t>No edit requested</w:t>
            </w:r>
          </w:p>
        </w:tc>
      </w:tr>
    </w:tbl>
    <w:p w14:paraId="62486C05" w14:textId="440017D6" w:rsidR="00FF141F" w:rsidRPr="00551719" w:rsidRDefault="00534DB6" w:rsidP="00551719">
      <w:pPr>
        <w:spacing w:before="720"/>
        <w:rPr>
          <w:rFonts w:ascii="Arial" w:hAnsi="Arial" w:cs="Arial"/>
          <w:sz w:val="24"/>
          <w:szCs w:val="24"/>
        </w:rPr>
      </w:pPr>
      <w:r>
        <w:rPr>
          <w:rFonts w:ascii="Arial" w:hAnsi="Arial" w:cs="Arial"/>
          <w:sz w:val="24"/>
          <w:szCs w:val="24"/>
        </w:rPr>
        <w:t>California Department of Education, November 2025</w:t>
      </w:r>
    </w:p>
    <w:sectPr w:rsidR="00FF141F" w:rsidRPr="00551719" w:rsidSect="00B4464A">
      <w:headerReference w:type="default" r:id="rId10"/>
      <w:footerReference w:type="default" r:id="rId11"/>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B777" w14:textId="77777777" w:rsidR="00E56994" w:rsidRDefault="00E56994" w:rsidP="00AA5F63">
      <w:r>
        <w:separator/>
      </w:r>
    </w:p>
  </w:endnote>
  <w:endnote w:type="continuationSeparator" w:id="0">
    <w:p w14:paraId="3A94B051" w14:textId="77777777" w:rsidR="00E56994" w:rsidRDefault="00E56994" w:rsidP="00AA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202361"/>
      <w:docPartObj>
        <w:docPartGallery w:val="Page Numbers (Bottom of Page)"/>
        <w:docPartUnique/>
      </w:docPartObj>
    </w:sdtPr>
    <w:sdtEndPr>
      <w:rPr>
        <w:noProof/>
      </w:rPr>
    </w:sdtEndPr>
    <w:sdtContent>
      <w:p w14:paraId="0FC61732" w14:textId="77777777" w:rsidR="003E732F" w:rsidRDefault="003E732F" w:rsidP="00F86228">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8DFD" w14:textId="77777777" w:rsidR="00E56994" w:rsidRDefault="00E56994" w:rsidP="00AA5F63">
      <w:r>
        <w:separator/>
      </w:r>
    </w:p>
  </w:footnote>
  <w:footnote w:type="continuationSeparator" w:id="0">
    <w:p w14:paraId="76F65A4F" w14:textId="77777777" w:rsidR="00E56994" w:rsidRDefault="00E56994" w:rsidP="00AA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886" w14:textId="77777777" w:rsidR="00534DB6" w:rsidRPr="00D04C27" w:rsidRDefault="00534DB6" w:rsidP="00534DB6">
    <w:pPr>
      <w:pStyle w:val="Header"/>
      <w:tabs>
        <w:tab w:val="left" w:pos="3330"/>
        <w:tab w:val="left" w:pos="10170"/>
      </w:tabs>
      <w:jc w:val="right"/>
      <w:rPr>
        <w:rFonts w:ascii="Arial" w:hAnsi="Arial" w:cs="Arial"/>
        <w:sz w:val="24"/>
        <w:szCs w:val="24"/>
      </w:rPr>
    </w:pPr>
    <w:r w:rsidRPr="00D04C27">
      <w:rPr>
        <w:rFonts w:ascii="Arial" w:hAnsi="Arial" w:cs="Arial"/>
        <w:sz w:val="24"/>
        <w:szCs w:val="24"/>
      </w:rPr>
      <w:t>Attachment 3.A.1</w:t>
    </w:r>
  </w:p>
  <w:p w14:paraId="6660682C" w14:textId="77777777" w:rsidR="00534DB6" w:rsidRPr="00D04C27" w:rsidRDefault="00534DB6" w:rsidP="00534DB6">
    <w:pPr>
      <w:pStyle w:val="Header"/>
      <w:tabs>
        <w:tab w:val="left" w:pos="3330"/>
      </w:tabs>
      <w:jc w:val="right"/>
      <w:rPr>
        <w:rFonts w:ascii="Arial" w:hAnsi="Arial" w:cs="Arial"/>
        <w:sz w:val="24"/>
        <w:szCs w:val="24"/>
      </w:rPr>
    </w:pPr>
    <w:r w:rsidRPr="00D04C27">
      <w:rPr>
        <w:rFonts w:ascii="Arial" w:hAnsi="Arial" w:cs="Arial"/>
        <w:sz w:val="24"/>
        <w:szCs w:val="24"/>
      </w:rPr>
      <w:t>Personal Finance Subject Matter Committee</w:t>
    </w:r>
  </w:p>
  <w:p w14:paraId="1B89425F" w14:textId="77777777" w:rsidR="00534DB6" w:rsidRPr="00D04C27" w:rsidRDefault="00534DB6" w:rsidP="00534DB6">
    <w:pPr>
      <w:pStyle w:val="Header"/>
      <w:tabs>
        <w:tab w:val="left" w:pos="3330"/>
      </w:tabs>
      <w:jc w:val="right"/>
      <w:rPr>
        <w:rFonts w:ascii="Arial" w:hAnsi="Arial" w:cs="Arial"/>
        <w:sz w:val="24"/>
        <w:szCs w:val="24"/>
      </w:rPr>
    </w:pPr>
    <w:r w:rsidRPr="00D04C27">
      <w:rPr>
        <w:rFonts w:ascii="Arial" w:hAnsi="Arial" w:cs="Arial"/>
        <w:sz w:val="24"/>
        <w:szCs w:val="24"/>
      </w:rPr>
      <w:t>December 4, 2025</w:t>
    </w:r>
  </w:p>
  <w:p w14:paraId="7BC3ED95" w14:textId="77777777" w:rsidR="00534DB6" w:rsidRPr="00D04C27" w:rsidRDefault="00534DB6" w:rsidP="00534DB6">
    <w:pPr>
      <w:pStyle w:val="Header"/>
      <w:tabs>
        <w:tab w:val="left" w:pos="3330"/>
      </w:tabs>
      <w:spacing w:after="360"/>
      <w:jc w:val="right"/>
      <w:rPr>
        <w:rFonts w:ascii="Arial" w:hAnsi="Arial" w:cs="Arial"/>
        <w:bCs/>
        <w:sz w:val="24"/>
        <w:szCs w:val="24"/>
      </w:rPr>
    </w:pPr>
    <w:r w:rsidRPr="00D04C27">
      <w:rPr>
        <w:rFonts w:ascii="Arial" w:hAnsi="Arial" w:cs="Arial"/>
        <w:sz w:val="24"/>
        <w:szCs w:val="24"/>
      </w:rPr>
      <w:t xml:space="preserve">Page </w:t>
    </w:r>
    <w:r w:rsidRPr="00D04C27">
      <w:rPr>
        <w:rFonts w:ascii="Arial" w:hAnsi="Arial" w:cs="Arial"/>
        <w:bCs/>
        <w:sz w:val="24"/>
        <w:szCs w:val="24"/>
      </w:rPr>
      <w:fldChar w:fldCharType="begin"/>
    </w:r>
    <w:r w:rsidRPr="00D04C27">
      <w:rPr>
        <w:rFonts w:ascii="Arial" w:hAnsi="Arial" w:cs="Arial"/>
        <w:bCs/>
        <w:sz w:val="24"/>
        <w:szCs w:val="24"/>
      </w:rPr>
      <w:instrText xml:space="preserve"> PAGE  \* Arabic  \* MERGEFORMAT </w:instrText>
    </w:r>
    <w:r w:rsidRPr="00D04C27">
      <w:rPr>
        <w:rFonts w:ascii="Arial" w:hAnsi="Arial" w:cs="Arial"/>
        <w:bCs/>
        <w:sz w:val="24"/>
        <w:szCs w:val="24"/>
      </w:rPr>
      <w:fldChar w:fldCharType="separate"/>
    </w:r>
    <w:r w:rsidRPr="00D04C27">
      <w:rPr>
        <w:rFonts w:ascii="Arial" w:hAnsi="Arial" w:cs="Arial"/>
        <w:bCs/>
        <w:sz w:val="24"/>
        <w:szCs w:val="24"/>
      </w:rPr>
      <w:t>1</w:t>
    </w:r>
    <w:r w:rsidRPr="00D04C27">
      <w:rPr>
        <w:rFonts w:ascii="Arial" w:hAnsi="Arial" w:cs="Arial"/>
        <w:bCs/>
        <w:sz w:val="24"/>
        <w:szCs w:val="24"/>
      </w:rPr>
      <w:fldChar w:fldCharType="end"/>
    </w:r>
    <w:r w:rsidRPr="00D04C27">
      <w:rPr>
        <w:rFonts w:ascii="Arial" w:hAnsi="Arial" w:cs="Arial"/>
        <w:sz w:val="24"/>
        <w:szCs w:val="24"/>
      </w:rPr>
      <w:t xml:space="preserve"> of </w:t>
    </w:r>
    <w:r w:rsidRPr="00D04C27">
      <w:rPr>
        <w:rFonts w:ascii="Arial" w:hAnsi="Arial" w:cs="Arial"/>
        <w:bCs/>
        <w:sz w:val="24"/>
        <w:szCs w:val="24"/>
      </w:rPr>
      <w:fldChar w:fldCharType="begin"/>
    </w:r>
    <w:r w:rsidRPr="00D04C27">
      <w:rPr>
        <w:rFonts w:ascii="Arial" w:hAnsi="Arial" w:cs="Arial"/>
        <w:bCs/>
        <w:sz w:val="24"/>
        <w:szCs w:val="24"/>
      </w:rPr>
      <w:instrText xml:space="preserve"> NUMPAGES  \* Arabic  \* MERGEFORMAT </w:instrText>
    </w:r>
    <w:r w:rsidRPr="00D04C27">
      <w:rPr>
        <w:rFonts w:ascii="Arial" w:hAnsi="Arial" w:cs="Arial"/>
        <w:bCs/>
        <w:sz w:val="24"/>
        <w:szCs w:val="24"/>
      </w:rPr>
      <w:fldChar w:fldCharType="separate"/>
    </w:r>
    <w:r w:rsidRPr="00D04C27">
      <w:rPr>
        <w:rFonts w:ascii="Arial" w:hAnsi="Arial" w:cs="Arial"/>
        <w:bCs/>
        <w:sz w:val="24"/>
        <w:szCs w:val="24"/>
      </w:rPr>
      <w:t>31</w:t>
    </w:r>
    <w:r w:rsidRPr="00D04C27">
      <w:rPr>
        <w:rFonts w:ascii="Arial" w:hAnsi="Arial" w:cs="Arial"/>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083"/>
    <w:multiLevelType w:val="hybridMultilevel"/>
    <w:tmpl w:val="965C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5C5F"/>
    <w:multiLevelType w:val="hybridMultilevel"/>
    <w:tmpl w:val="DC4C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D4B24"/>
    <w:multiLevelType w:val="hybridMultilevel"/>
    <w:tmpl w:val="A9E42BBC"/>
    <w:lvl w:ilvl="0" w:tplc="46C2E520">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A662D"/>
    <w:multiLevelType w:val="hybridMultilevel"/>
    <w:tmpl w:val="30848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04121"/>
    <w:multiLevelType w:val="hybridMultilevel"/>
    <w:tmpl w:val="B812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F0E88"/>
    <w:multiLevelType w:val="hybridMultilevel"/>
    <w:tmpl w:val="45F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3420"/>
    <w:multiLevelType w:val="hybridMultilevel"/>
    <w:tmpl w:val="70D88E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8E0165"/>
    <w:multiLevelType w:val="hybridMultilevel"/>
    <w:tmpl w:val="7BC47540"/>
    <w:lvl w:ilvl="0" w:tplc="46C2E5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C2E7F"/>
    <w:multiLevelType w:val="hybridMultilevel"/>
    <w:tmpl w:val="D2989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719F2"/>
    <w:multiLevelType w:val="multilevel"/>
    <w:tmpl w:val="3D7E5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C41762E"/>
    <w:multiLevelType w:val="hybridMultilevel"/>
    <w:tmpl w:val="233E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963E1"/>
    <w:multiLevelType w:val="multilevel"/>
    <w:tmpl w:val="FB2E9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A05897"/>
    <w:multiLevelType w:val="hybridMultilevel"/>
    <w:tmpl w:val="AE96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24FFD"/>
    <w:multiLevelType w:val="hybridMultilevel"/>
    <w:tmpl w:val="A50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15C80"/>
    <w:multiLevelType w:val="hybridMultilevel"/>
    <w:tmpl w:val="B504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96236">
    <w:abstractNumId w:val="3"/>
  </w:num>
  <w:num w:numId="2" w16cid:durableId="5251987">
    <w:abstractNumId w:val="0"/>
  </w:num>
  <w:num w:numId="3" w16cid:durableId="12254140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567560">
    <w:abstractNumId w:val="2"/>
  </w:num>
  <w:num w:numId="5" w16cid:durableId="735859768">
    <w:abstractNumId w:val="14"/>
  </w:num>
  <w:num w:numId="6" w16cid:durableId="2145465665">
    <w:abstractNumId w:val="1"/>
  </w:num>
  <w:num w:numId="7" w16cid:durableId="560016308">
    <w:abstractNumId w:val="5"/>
  </w:num>
  <w:num w:numId="8" w16cid:durableId="457187920">
    <w:abstractNumId w:val="8"/>
  </w:num>
  <w:num w:numId="9" w16cid:durableId="651445587">
    <w:abstractNumId w:val="10"/>
  </w:num>
  <w:num w:numId="10" w16cid:durableId="989211371">
    <w:abstractNumId w:val="4"/>
  </w:num>
  <w:num w:numId="11" w16cid:durableId="1224681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81014">
    <w:abstractNumId w:val="13"/>
  </w:num>
  <w:num w:numId="13" w16cid:durableId="817720578">
    <w:abstractNumId w:val="7"/>
  </w:num>
  <w:num w:numId="14" w16cid:durableId="84351944">
    <w:abstractNumId w:val="12"/>
  </w:num>
  <w:num w:numId="15" w16cid:durableId="153795940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C4"/>
    <w:rsid w:val="00002025"/>
    <w:rsid w:val="000020DA"/>
    <w:rsid w:val="00002974"/>
    <w:rsid w:val="00002D9C"/>
    <w:rsid w:val="00003632"/>
    <w:rsid w:val="00004ABE"/>
    <w:rsid w:val="00004EA3"/>
    <w:rsid w:val="000053B1"/>
    <w:rsid w:val="000055EE"/>
    <w:rsid w:val="00005BF7"/>
    <w:rsid w:val="00005D6F"/>
    <w:rsid w:val="0000640C"/>
    <w:rsid w:val="000103A5"/>
    <w:rsid w:val="00010D98"/>
    <w:rsid w:val="0001142C"/>
    <w:rsid w:val="00014D33"/>
    <w:rsid w:val="0001503C"/>
    <w:rsid w:val="00020F17"/>
    <w:rsid w:val="00022ABE"/>
    <w:rsid w:val="00023380"/>
    <w:rsid w:val="00025364"/>
    <w:rsid w:val="00025BC1"/>
    <w:rsid w:val="00025DEB"/>
    <w:rsid w:val="00030592"/>
    <w:rsid w:val="000305AF"/>
    <w:rsid w:val="000311F0"/>
    <w:rsid w:val="00031545"/>
    <w:rsid w:val="00032A6A"/>
    <w:rsid w:val="00033CE6"/>
    <w:rsid w:val="000344EE"/>
    <w:rsid w:val="00035636"/>
    <w:rsid w:val="00035F29"/>
    <w:rsid w:val="00036972"/>
    <w:rsid w:val="000406F5"/>
    <w:rsid w:val="0004399B"/>
    <w:rsid w:val="000451A1"/>
    <w:rsid w:val="00045585"/>
    <w:rsid w:val="00046276"/>
    <w:rsid w:val="00047637"/>
    <w:rsid w:val="0005016A"/>
    <w:rsid w:val="000505FC"/>
    <w:rsid w:val="00050E37"/>
    <w:rsid w:val="000522AF"/>
    <w:rsid w:val="00052C39"/>
    <w:rsid w:val="00052ECF"/>
    <w:rsid w:val="00055387"/>
    <w:rsid w:val="00057FB5"/>
    <w:rsid w:val="00060ED0"/>
    <w:rsid w:val="00063085"/>
    <w:rsid w:val="000632CB"/>
    <w:rsid w:val="0006450D"/>
    <w:rsid w:val="0006483D"/>
    <w:rsid w:val="00064B8F"/>
    <w:rsid w:val="00066A7C"/>
    <w:rsid w:val="000705BE"/>
    <w:rsid w:val="00070CB2"/>
    <w:rsid w:val="000710F9"/>
    <w:rsid w:val="00071300"/>
    <w:rsid w:val="0007133E"/>
    <w:rsid w:val="00071F72"/>
    <w:rsid w:val="00075218"/>
    <w:rsid w:val="000776E7"/>
    <w:rsid w:val="00080A09"/>
    <w:rsid w:val="000810A6"/>
    <w:rsid w:val="00082409"/>
    <w:rsid w:val="00082EAE"/>
    <w:rsid w:val="00083662"/>
    <w:rsid w:val="000848D0"/>
    <w:rsid w:val="00087361"/>
    <w:rsid w:val="00091F41"/>
    <w:rsid w:val="00093332"/>
    <w:rsid w:val="000946C3"/>
    <w:rsid w:val="00094AEF"/>
    <w:rsid w:val="00095F22"/>
    <w:rsid w:val="000A02F9"/>
    <w:rsid w:val="000A345A"/>
    <w:rsid w:val="000A3A66"/>
    <w:rsid w:val="000A3C10"/>
    <w:rsid w:val="000A5BCE"/>
    <w:rsid w:val="000A71A0"/>
    <w:rsid w:val="000A7B5F"/>
    <w:rsid w:val="000B0783"/>
    <w:rsid w:val="000B115B"/>
    <w:rsid w:val="000B2D73"/>
    <w:rsid w:val="000B46FF"/>
    <w:rsid w:val="000B477B"/>
    <w:rsid w:val="000B5BC5"/>
    <w:rsid w:val="000B6252"/>
    <w:rsid w:val="000B66B1"/>
    <w:rsid w:val="000C0A05"/>
    <w:rsid w:val="000C0BC5"/>
    <w:rsid w:val="000C1A45"/>
    <w:rsid w:val="000C1EA1"/>
    <w:rsid w:val="000C3CFC"/>
    <w:rsid w:val="000C5751"/>
    <w:rsid w:val="000C57AF"/>
    <w:rsid w:val="000C5F0C"/>
    <w:rsid w:val="000C67F9"/>
    <w:rsid w:val="000C714E"/>
    <w:rsid w:val="000C788B"/>
    <w:rsid w:val="000C7AD2"/>
    <w:rsid w:val="000D0F02"/>
    <w:rsid w:val="000D3BDA"/>
    <w:rsid w:val="000D465D"/>
    <w:rsid w:val="000D509B"/>
    <w:rsid w:val="000D5B29"/>
    <w:rsid w:val="000D701E"/>
    <w:rsid w:val="000D770C"/>
    <w:rsid w:val="000D7A48"/>
    <w:rsid w:val="000E0C70"/>
    <w:rsid w:val="000E2326"/>
    <w:rsid w:val="000E269F"/>
    <w:rsid w:val="000E3BDD"/>
    <w:rsid w:val="000E3F58"/>
    <w:rsid w:val="000E5270"/>
    <w:rsid w:val="000E7439"/>
    <w:rsid w:val="000F0224"/>
    <w:rsid w:val="000F0DBA"/>
    <w:rsid w:val="000F0F91"/>
    <w:rsid w:val="000F11F8"/>
    <w:rsid w:val="000F2E8E"/>
    <w:rsid w:val="000F2EDC"/>
    <w:rsid w:val="000F4BAC"/>
    <w:rsid w:val="000F6A99"/>
    <w:rsid w:val="000F752F"/>
    <w:rsid w:val="000F7684"/>
    <w:rsid w:val="000F7787"/>
    <w:rsid w:val="000F7864"/>
    <w:rsid w:val="000F7CAA"/>
    <w:rsid w:val="000F7EDE"/>
    <w:rsid w:val="000F7F3E"/>
    <w:rsid w:val="00100560"/>
    <w:rsid w:val="00103128"/>
    <w:rsid w:val="00103504"/>
    <w:rsid w:val="001073E1"/>
    <w:rsid w:val="00110322"/>
    <w:rsid w:val="00110404"/>
    <w:rsid w:val="001120B9"/>
    <w:rsid w:val="00114236"/>
    <w:rsid w:val="00115F1E"/>
    <w:rsid w:val="0011650A"/>
    <w:rsid w:val="00116639"/>
    <w:rsid w:val="00116B25"/>
    <w:rsid w:val="001178D3"/>
    <w:rsid w:val="00120AE2"/>
    <w:rsid w:val="00120C36"/>
    <w:rsid w:val="00121A6D"/>
    <w:rsid w:val="001238C5"/>
    <w:rsid w:val="001240FD"/>
    <w:rsid w:val="00124B92"/>
    <w:rsid w:val="00124F9C"/>
    <w:rsid w:val="00126F6B"/>
    <w:rsid w:val="00127282"/>
    <w:rsid w:val="00127D5B"/>
    <w:rsid w:val="00130C7F"/>
    <w:rsid w:val="001315A2"/>
    <w:rsid w:val="001341EB"/>
    <w:rsid w:val="00134B35"/>
    <w:rsid w:val="00135844"/>
    <w:rsid w:val="001364B0"/>
    <w:rsid w:val="00140AF2"/>
    <w:rsid w:val="00141D05"/>
    <w:rsid w:val="00144C20"/>
    <w:rsid w:val="00151FA9"/>
    <w:rsid w:val="0015235D"/>
    <w:rsid w:val="00154662"/>
    <w:rsid w:val="00155D8A"/>
    <w:rsid w:val="001574D6"/>
    <w:rsid w:val="00160ACE"/>
    <w:rsid w:val="00160CEB"/>
    <w:rsid w:val="0016194E"/>
    <w:rsid w:val="00162308"/>
    <w:rsid w:val="00162C17"/>
    <w:rsid w:val="0016514D"/>
    <w:rsid w:val="00165B0C"/>
    <w:rsid w:val="00165B5C"/>
    <w:rsid w:val="00166EBD"/>
    <w:rsid w:val="001671B3"/>
    <w:rsid w:val="00171335"/>
    <w:rsid w:val="00173671"/>
    <w:rsid w:val="00174A98"/>
    <w:rsid w:val="00175A28"/>
    <w:rsid w:val="00175D3E"/>
    <w:rsid w:val="0017686C"/>
    <w:rsid w:val="0017725B"/>
    <w:rsid w:val="001775DA"/>
    <w:rsid w:val="00180BFF"/>
    <w:rsid w:val="00181A84"/>
    <w:rsid w:val="001837BA"/>
    <w:rsid w:val="001837CC"/>
    <w:rsid w:val="00185DA1"/>
    <w:rsid w:val="001911F8"/>
    <w:rsid w:val="001923BA"/>
    <w:rsid w:val="00192B26"/>
    <w:rsid w:val="00193080"/>
    <w:rsid w:val="001949C8"/>
    <w:rsid w:val="00195B1E"/>
    <w:rsid w:val="00196C32"/>
    <w:rsid w:val="001A2213"/>
    <w:rsid w:val="001A25D9"/>
    <w:rsid w:val="001A2F7F"/>
    <w:rsid w:val="001A483F"/>
    <w:rsid w:val="001A6698"/>
    <w:rsid w:val="001B0D06"/>
    <w:rsid w:val="001B1699"/>
    <w:rsid w:val="001B49B6"/>
    <w:rsid w:val="001B4DD4"/>
    <w:rsid w:val="001B5688"/>
    <w:rsid w:val="001B6B0F"/>
    <w:rsid w:val="001B7AB9"/>
    <w:rsid w:val="001C1AB3"/>
    <w:rsid w:val="001C2547"/>
    <w:rsid w:val="001C2AD6"/>
    <w:rsid w:val="001C2FF0"/>
    <w:rsid w:val="001C5280"/>
    <w:rsid w:val="001C5462"/>
    <w:rsid w:val="001C5B5B"/>
    <w:rsid w:val="001C601F"/>
    <w:rsid w:val="001D1932"/>
    <w:rsid w:val="001D36CF"/>
    <w:rsid w:val="001D4A66"/>
    <w:rsid w:val="001D4F20"/>
    <w:rsid w:val="001D5168"/>
    <w:rsid w:val="001D73FA"/>
    <w:rsid w:val="001E0223"/>
    <w:rsid w:val="001E029F"/>
    <w:rsid w:val="001E0740"/>
    <w:rsid w:val="001E2EF0"/>
    <w:rsid w:val="001E3F7D"/>
    <w:rsid w:val="001E4DA0"/>
    <w:rsid w:val="001E51D4"/>
    <w:rsid w:val="001E70CA"/>
    <w:rsid w:val="001F07D4"/>
    <w:rsid w:val="001F0C2E"/>
    <w:rsid w:val="001F14EC"/>
    <w:rsid w:val="001F1ADC"/>
    <w:rsid w:val="001F1E89"/>
    <w:rsid w:val="001F2097"/>
    <w:rsid w:val="001F2767"/>
    <w:rsid w:val="001F30C8"/>
    <w:rsid w:val="001F4D6E"/>
    <w:rsid w:val="001F5F8B"/>
    <w:rsid w:val="00200FBE"/>
    <w:rsid w:val="0020228B"/>
    <w:rsid w:val="002033EB"/>
    <w:rsid w:val="00203BC2"/>
    <w:rsid w:val="002045EE"/>
    <w:rsid w:val="00207379"/>
    <w:rsid w:val="00207710"/>
    <w:rsid w:val="00207857"/>
    <w:rsid w:val="00207A79"/>
    <w:rsid w:val="00207C84"/>
    <w:rsid w:val="00211D46"/>
    <w:rsid w:val="00212E35"/>
    <w:rsid w:val="00213043"/>
    <w:rsid w:val="00213136"/>
    <w:rsid w:val="0021401D"/>
    <w:rsid w:val="0021490B"/>
    <w:rsid w:val="00215835"/>
    <w:rsid w:val="00215905"/>
    <w:rsid w:val="00216067"/>
    <w:rsid w:val="002169F1"/>
    <w:rsid w:val="00216D4E"/>
    <w:rsid w:val="00217943"/>
    <w:rsid w:val="00217D6C"/>
    <w:rsid w:val="00220FFE"/>
    <w:rsid w:val="00223C95"/>
    <w:rsid w:val="002251DE"/>
    <w:rsid w:val="00226031"/>
    <w:rsid w:val="00226BCD"/>
    <w:rsid w:val="00230238"/>
    <w:rsid w:val="002312A1"/>
    <w:rsid w:val="00234AB6"/>
    <w:rsid w:val="00234CCE"/>
    <w:rsid w:val="00240647"/>
    <w:rsid w:val="00241AD6"/>
    <w:rsid w:val="00241CB6"/>
    <w:rsid w:val="002422D5"/>
    <w:rsid w:val="002435B0"/>
    <w:rsid w:val="0024397A"/>
    <w:rsid w:val="0024451B"/>
    <w:rsid w:val="00244AA5"/>
    <w:rsid w:val="0025188D"/>
    <w:rsid w:val="00252499"/>
    <w:rsid w:val="00254F5A"/>
    <w:rsid w:val="002556B5"/>
    <w:rsid w:val="00256693"/>
    <w:rsid w:val="002570AA"/>
    <w:rsid w:val="002628C8"/>
    <w:rsid w:val="00262CC6"/>
    <w:rsid w:val="002632A7"/>
    <w:rsid w:val="002632E8"/>
    <w:rsid w:val="00265CD5"/>
    <w:rsid w:val="00266D27"/>
    <w:rsid w:val="00267CE4"/>
    <w:rsid w:val="00271E44"/>
    <w:rsid w:val="00274018"/>
    <w:rsid w:val="00274AF3"/>
    <w:rsid w:val="00274FD3"/>
    <w:rsid w:val="0027729B"/>
    <w:rsid w:val="002805C1"/>
    <w:rsid w:val="0028147F"/>
    <w:rsid w:val="002815CE"/>
    <w:rsid w:val="0028296F"/>
    <w:rsid w:val="00282E13"/>
    <w:rsid w:val="002840C4"/>
    <w:rsid w:val="00284644"/>
    <w:rsid w:val="002847EB"/>
    <w:rsid w:val="0028492E"/>
    <w:rsid w:val="00287130"/>
    <w:rsid w:val="00287E9D"/>
    <w:rsid w:val="002902E6"/>
    <w:rsid w:val="00290D65"/>
    <w:rsid w:val="00291649"/>
    <w:rsid w:val="00293793"/>
    <w:rsid w:val="002950A6"/>
    <w:rsid w:val="0029543E"/>
    <w:rsid w:val="00296DB3"/>
    <w:rsid w:val="0029766E"/>
    <w:rsid w:val="002A0121"/>
    <w:rsid w:val="002A05E1"/>
    <w:rsid w:val="002A1883"/>
    <w:rsid w:val="002A3EB2"/>
    <w:rsid w:val="002A5265"/>
    <w:rsid w:val="002A5A79"/>
    <w:rsid w:val="002A6C89"/>
    <w:rsid w:val="002A768C"/>
    <w:rsid w:val="002A78F2"/>
    <w:rsid w:val="002A7B91"/>
    <w:rsid w:val="002B02A2"/>
    <w:rsid w:val="002B17F7"/>
    <w:rsid w:val="002B2436"/>
    <w:rsid w:val="002B42C1"/>
    <w:rsid w:val="002B44D9"/>
    <w:rsid w:val="002B4AB6"/>
    <w:rsid w:val="002B546F"/>
    <w:rsid w:val="002B59E0"/>
    <w:rsid w:val="002B6647"/>
    <w:rsid w:val="002B66D8"/>
    <w:rsid w:val="002C026E"/>
    <w:rsid w:val="002C0AF9"/>
    <w:rsid w:val="002C10DF"/>
    <w:rsid w:val="002C3E65"/>
    <w:rsid w:val="002C4631"/>
    <w:rsid w:val="002C4E02"/>
    <w:rsid w:val="002C5118"/>
    <w:rsid w:val="002C5CDC"/>
    <w:rsid w:val="002D0AFD"/>
    <w:rsid w:val="002D0CB1"/>
    <w:rsid w:val="002D0CCD"/>
    <w:rsid w:val="002D38BE"/>
    <w:rsid w:val="002D5267"/>
    <w:rsid w:val="002D5F71"/>
    <w:rsid w:val="002D6799"/>
    <w:rsid w:val="002D6C8E"/>
    <w:rsid w:val="002E023B"/>
    <w:rsid w:val="002E0C0A"/>
    <w:rsid w:val="002E1D76"/>
    <w:rsid w:val="002E56D6"/>
    <w:rsid w:val="002E6763"/>
    <w:rsid w:val="002E701E"/>
    <w:rsid w:val="002F07C0"/>
    <w:rsid w:val="002F106B"/>
    <w:rsid w:val="002F1AA1"/>
    <w:rsid w:val="002F1FB4"/>
    <w:rsid w:val="002F239B"/>
    <w:rsid w:val="002F29D6"/>
    <w:rsid w:val="002F32CF"/>
    <w:rsid w:val="002F32E6"/>
    <w:rsid w:val="002F437D"/>
    <w:rsid w:val="003018AB"/>
    <w:rsid w:val="0030239B"/>
    <w:rsid w:val="003034F7"/>
    <w:rsid w:val="00303B63"/>
    <w:rsid w:val="00303BE4"/>
    <w:rsid w:val="00305728"/>
    <w:rsid w:val="0030635F"/>
    <w:rsid w:val="00306373"/>
    <w:rsid w:val="0031215E"/>
    <w:rsid w:val="003130C1"/>
    <w:rsid w:val="00314AAD"/>
    <w:rsid w:val="00315E23"/>
    <w:rsid w:val="00315FD0"/>
    <w:rsid w:val="00316412"/>
    <w:rsid w:val="003176FC"/>
    <w:rsid w:val="00317BED"/>
    <w:rsid w:val="00320170"/>
    <w:rsid w:val="0032152D"/>
    <w:rsid w:val="003238D7"/>
    <w:rsid w:val="003247B4"/>
    <w:rsid w:val="00327383"/>
    <w:rsid w:val="0033083D"/>
    <w:rsid w:val="00330F58"/>
    <w:rsid w:val="00331786"/>
    <w:rsid w:val="003324C7"/>
    <w:rsid w:val="00332720"/>
    <w:rsid w:val="00334BE7"/>
    <w:rsid w:val="003369D9"/>
    <w:rsid w:val="00336BB1"/>
    <w:rsid w:val="00336EA2"/>
    <w:rsid w:val="00337E4B"/>
    <w:rsid w:val="003406F1"/>
    <w:rsid w:val="003423EF"/>
    <w:rsid w:val="00343793"/>
    <w:rsid w:val="00343AD2"/>
    <w:rsid w:val="00346463"/>
    <w:rsid w:val="003469B4"/>
    <w:rsid w:val="00346D4F"/>
    <w:rsid w:val="00347710"/>
    <w:rsid w:val="003539AA"/>
    <w:rsid w:val="00355452"/>
    <w:rsid w:val="003574CF"/>
    <w:rsid w:val="0036068C"/>
    <w:rsid w:val="003619F0"/>
    <w:rsid w:val="003631EE"/>
    <w:rsid w:val="0036417D"/>
    <w:rsid w:val="003652B6"/>
    <w:rsid w:val="00365A15"/>
    <w:rsid w:val="00365D17"/>
    <w:rsid w:val="00366E69"/>
    <w:rsid w:val="0037049E"/>
    <w:rsid w:val="003716EC"/>
    <w:rsid w:val="00372214"/>
    <w:rsid w:val="003728D4"/>
    <w:rsid w:val="003730A3"/>
    <w:rsid w:val="00374223"/>
    <w:rsid w:val="00374CB9"/>
    <w:rsid w:val="003767B5"/>
    <w:rsid w:val="00377792"/>
    <w:rsid w:val="00377865"/>
    <w:rsid w:val="00381296"/>
    <w:rsid w:val="00382753"/>
    <w:rsid w:val="00382E77"/>
    <w:rsid w:val="00384C4D"/>
    <w:rsid w:val="00385255"/>
    <w:rsid w:val="00390443"/>
    <w:rsid w:val="00391728"/>
    <w:rsid w:val="00391C09"/>
    <w:rsid w:val="00392D14"/>
    <w:rsid w:val="00393BD1"/>
    <w:rsid w:val="003944A5"/>
    <w:rsid w:val="00394C3C"/>
    <w:rsid w:val="00396FA6"/>
    <w:rsid w:val="00397657"/>
    <w:rsid w:val="00397869"/>
    <w:rsid w:val="003A114E"/>
    <w:rsid w:val="003A200D"/>
    <w:rsid w:val="003A39AB"/>
    <w:rsid w:val="003A564B"/>
    <w:rsid w:val="003A64B8"/>
    <w:rsid w:val="003B2B81"/>
    <w:rsid w:val="003B2C34"/>
    <w:rsid w:val="003B3C4F"/>
    <w:rsid w:val="003B410A"/>
    <w:rsid w:val="003B5A29"/>
    <w:rsid w:val="003B5E9B"/>
    <w:rsid w:val="003B6357"/>
    <w:rsid w:val="003B7E11"/>
    <w:rsid w:val="003C0259"/>
    <w:rsid w:val="003C111C"/>
    <w:rsid w:val="003C1775"/>
    <w:rsid w:val="003C2B5A"/>
    <w:rsid w:val="003C4914"/>
    <w:rsid w:val="003C685C"/>
    <w:rsid w:val="003D0FF3"/>
    <w:rsid w:val="003D31C5"/>
    <w:rsid w:val="003D4897"/>
    <w:rsid w:val="003D5E69"/>
    <w:rsid w:val="003D6014"/>
    <w:rsid w:val="003D759E"/>
    <w:rsid w:val="003D794F"/>
    <w:rsid w:val="003E0513"/>
    <w:rsid w:val="003E073B"/>
    <w:rsid w:val="003E2889"/>
    <w:rsid w:val="003E2F55"/>
    <w:rsid w:val="003E30FE"/>
    <w:rsid w:val="003E35DB"/>
    <w:rsid w:val="003E3FE9"/>
    <w:rsid w:val="003E5258"/>
    <w:rsid w:val="003E63E5"/>
    <w:rsid w:val="003E732F"/>
    <w:rsid w:val="003E79DE"/>
    <w:rsid w:val="003F0C50"/>
    <w:rsid w:val="003F13C8"/>
    <w:rsid w:val="003F1E1B"/>
    <w:rsid w:val="003F27C3"/>
    <w:rsid w:val="003F77AF"/>
    <w:rsid w:val="003F7D27"/>
    <w:rsid w:val="004003EF"/>
    <w:rsid w:val="00402182"/>
    <w:rsid w:val="004023A3"/>
    <w:rsid w:val="00402BAD"/>
    <w:rsid w:val="00406E2D"/>
    <w:rsid w:val="0040735E"/>
    <w:rsid w:val="004073F4"/>
    <w:rsid w:val="0041002C"/>
    <w:rsid w:val="0041186C"/>
    <w:rsid w:val="00412E8B"/>
    <w:rsid w:val="00413731"/>
    <w:rsid w:val="004141AA"/>
    <w:rsid w:val="0041573F"/>
    <w:rsid w:val="00416347"/>
    <w:rsid w:val="004168DF"/>
    <w:rsid w:val="00421DE6"/>
    <w:rsid w:val="00421EFC"/>
    <w:rsid w:val="0042229A"/>
    <w:rsid w:val="0042231F"/>
    <w:rsid w:val="00422576"/>
    <w:rsid w:val="0042396A"/>
    <w:rsid w:val="00424B35"/>
    <w:rsid w:val="00424E99"/>
    <w:rsid w:val="004267A3"/>
    <w:rsid w:val="0042767E"/>
    <w:rsid w:val="00427B85"/>
    <w:rsid w:val="00430CE6"/>
    <w:rsid w:val="00431B8A"/>
    <w:rsid w:val="00431C23"/>
    <w:rsid w:val="00433B54"/>
    <w:rsid w:val="00433E87"/>
    <w:rsid w:val="0043424A"/>
    <w:rsid w:val="0043550B"/>
    <w:rsid w:val="0043728C"/>
    <w:rsid w:val="00437EB0"/>
    <w:rsid w:val="004402D3"/>
    <w:rsid w:val="00443540"/>
    <w:rsid w:val="0044386A"/>
    <w:rsid w:val="00443FEB"/>
    <w:rsid w:val="0044402D"/>
    <w:rsid w:val="0044405E"/>
    <w:rsid w:val="0044515A"/>
    <w:rsid w:val="00445C52"/>
    <w:rsid w:val="0044607E"/>
    <w:rsid w:val="004464A4"/>
    <w:rsid w:val="004476FE"/>
    <w:rsid w:val="00447EA2"/>
    <w:rsid w:val="0045208B"/>
    <w:rsid w:val="004555BF"/>
    <w:rsid w:val="00455BB4"/>
    <w:rsid w:val="0045604B"/>
    <w:rsid w:val="00457DF6"/>
    <w:rsid w:val="00460734"/>
    <w:rsid w:val="004614C9"/>
    <w:rsid w:val="004623E4"/>
    <w:rsid w:val="004638AF"/>
    <w:rsid w:val="00464138"/>
    <w:rsid w:val="00464B0A"/>
    <w:rsid w:val="0046519C"/>
    <w:rsid w:val="00466618"/>
    <w:rsid w:val="00467835"/>
    <w:rsid w:val="004706BD"/>
    <w:rsid w:val="00473050"/>
    <w:rsid w:val="00473734"/>
    <w:rsid w:val="0047411A"/>
    <w:rsid w:val="00477180"/>
    <w:rsid w:val="00480BA5"/>
    <w:rsid w:val="0048107F"/>
    <w:rsid w:val="004814C9"/>
    <w:rsid w:val="00481874"/>
    <w:rsid w:val="004818B2"/>
    <w:rsid w:val="00481ED8"/>
    <w:rsid w:val="004829D7"/>
    <w:rsid w:val="00483229"/>
    <w:rsid w:val="00483348"/>
    <w:rsid w:val="004841E8"/>
    <w:rsid w:val="004843F7"/>
    <w:rsid w:val="00486880"/>
    <w:rsid w:val="004868B4"/>
    <w:rsid w:val="00486B26"/>
    <w:rsid w:val="0048727B"/>
    <w:rsid w:val="00490B85"/>
    <w:rsid w:val="0049239A"/>
    <w:rsid w:val="00492552"/>
    <w:rsid w:val="0049380D"/>
    <w:rsid w:val="00493842"/>
    <w:rsid w:val="00493EF2"/>
    <w:rsid w:val="00493FF7"/>
    <w:rsid w:val="00494106"/>
    <w:rsid w:val="00494162"/>
    <w:rsid w:val="00496669"/>
    <w:rsid w:val="004975F1"/>
    <w:rsid w:val="004979D1"/>
    <w:rsid w:val="004A16CD"/>
    <w:rsid w:val="004A2817"/>
    <w:rsid w:val="004A2CD0"/>
    <w:rsid w:val="004A30B3"/>
    <w:rsid w:val="004A5A78"/>
    <w:rsid w:val="004A5E17"/>
    <w:rsid w:val="004A6E1F"/>
    <w:rsid w:val="004A73FD"/>
    <w:rsid w:val="004A74EF"/>
    <w:rsid w:val="004A7776"/>
    <w:rsid w:val="004A7D6C"/>
    <w:rsid w:val="004B0CEA"/>
    <w:rsid w:val="004B15CE"/>
    <w:rsid w:val="004C0D94"/>
    <w:rsid w:val="004C22EC"/>
    <w:rsid w:val="004C3961"/>
    <w:rsid w:val="004C4464"/>
    <w:rsid w:val="004C5750"/>
    <w:rsid w:val="004C7474"/>
    <w:rsid w:val="004C77F8"/>
    <w:rsid w:val="004D1F7F"/>
    <w:rsid w:val="004D2788"/>
    <w:rsid w:val="004D3BEF"/>
    <w:rsid w:val="004D6181"/>
    <w:rsid w:val="004D64CE"/>
    <w:rsid w:val="004D733A"/>
    <w:rsid w:val="004D7FA5"/>
    <w:rsid w:val="004E009F"/>
    <w:rsid w:val="004E0150"/>
    <w:rsid w:val="004E06A4"/>
    <w:rsid w:val="004E0F6A"/>
    <w:rsid w:val="004E2118"/>
    <w:rsid w:val="004E2134"/>
    <w:rsid w:val="004E47FC"/>
    <w:rsid w:val="004E53C8"/>
    <w:rsid w:val="004E57E4"/>
    <w:rsid w:val="004E5A53"/>
    <w:rsid w:val="004E650D"/>
    <w:rsid w:val="004E791C"/>
    <w:rsid w:val="004F131F"/>
    <w:rsid w:val="004F339B"/>
    <w:rsid w:val="004F3E7D"/>
    <w:rsid w:val="004F4014"/>
    <w:rsid w:val="004F4D95"/>
    <w:rsid w:val="004F5FFC"/>
    <w:rsid w:val="004F6D4F"/>
    <w:rsid w:val="0050039B"/>
    <w:rsid w:val="0050137D"/>
    <w:rsid w:val="00501C0B"/>
    <w:rsid w:val="00503244"/>
    <w:rsid w:val="00504362"/>
    <w:rsid w:val="005055FB"/>
    <w:rsid w:val="0051018E"/>
    <w:rsid w:val="00511E1D"/>
    <w:rsid w:val="0051312D"/>
    <w:rsid w:val="005137C5"/>
    <w:rsid w:val="00514E9D"/>
    <w:rsid w:val="00515155"/>
    <w:rsid w:val="0051600C"/>
    <w:rsid w:val="005168F6"/>
    <w:rsid w:val="005178B3"/>
    <w:rsid w:val="00522387"/>
    <w:rsid w:val="00522991"/>
    <w:rsid w:val="0052345E"/>
    <w:rsid w:val="005234A0"/>
    <w:rsid w:val="00523B34"/>
    <w:rsid w:val="00524EA6"/>
    <w:rsid w:val="0052638A"/>
    <w:rsid w:val="005269D7"/>
    <w:rsid w:val="00527630"/>
    <w:rsid w:val="00530133"/>
    <w:rsid w:val="00530792"/>
    <w:rsid w:val="005323B3"/>
    <w:rsid w:val="005345FE"/>
    <w:rsid w:val="00534DB6"/>
    <w:rsid w:val="00535A87"/>
    <w:rsid w:val="00536774"/>
    <w:rsid w:val="005417E4"/>
    <w:rsid w:val="00542FB4"/>
    <w:rsid w:val="005439C9"/>
    <w:rsid w:val="00544D44"/>
    <w:rsid w:val="005465B2"/>
    <w:rsid w:val="0055101A"/>
    <w:rsid w:val="00551719"/>
    <w:rsid w:val="00552163"/>
    <w:rsid w:val="00553F9C"/>
    <w:rsid w:val="00554766"/>
    <w:rsid w:val="005559F4"/>
    <w:rsid w:val="005565D6"/>
    <w:rsid w:val="0055729B"/>
    <w:rsid w:val="005601AC"/>
    <w:rsid w:val="005606F5"/>
    <w:rsid w:val="00560A4D"/>
    <w:rsid w:val="00562649"/>
    <w:rsid w:val="00562F51"/>
    <w:rsid w:val="00563310"/>
    <w:rsid w:val="00563E84"/>
    <w:rsid w:val="00565106"/>
    <w:rsid w:val="005653EE"/>
    <w:rsid w:val="005716E0"/>
    <w:rsid w:val="00571AA7"/>
    <w:rsid w:val="00572897"/>
    <w:rsid w:val="0057307A"/>
    <w:rsid w:val="005743F1"/>
    <w:rsid w:val="00574CBD"/>
    <w:rsid w:val="00575D34"/>
    <w:rsid w:val="00575ED9"/>
    <w:rsid w:val="005763D6"/>
    <w:rsid w:val="00576F59"/>
    <w:rsid w:val="005772DD"/>
    <w:rsid w:val="00580B02"/>
    <w:rsid w:val="00580E5F"/>
    <w:rsid w:val="00581333"/>
    <w:rsid w:val="00581902"/>
    <w:rsid w:val="00581EFD"/>
    <w:rsid w:val="0058205E"/>
    <w:rsid w:val="00582B61"/>
    <w:rsid w:val="00582CFB"/>
    <w:rsid w:val="00583755"/>
    <w:rsid w:val="00584331"/>
    <w:rsid w:val="00586CCF"/>
    <w:rsid w:val="0059226F"/>
    <w:rsid w:val="00592482"/>
    <w:rsid w:val="005933DA"/>
    <w:rsid w:val="0059439E"/>
    <w:rsid w:val="00594EB3"/>
    <w:rsid w:val="00594FEC"/>
    <w:rsid w:val="00596220"/>
    <w:rsid w:val="00596CC4"/>
    <w:rsid w:val="00597052"/>
    <w:rsid w:val="005A0F4C"/>
    <w:rsid w:val="005A200E"/>
    <w:rsid w:val="005A2726"/>
    <w:rsid w:val="005A2AF0"/>
    <w:rsid w:val="005A45FB"/>
    <w:rsid w:val="005A4980"/>
    <w:rsid w:val="005A68BD"/>
    <w:rsid w:val="005A6A97"/>
    <w:rsid w:val="005B108C"/>
    <w:rsid w:val="005B13C3"/>
    <w:rsid w:val="005B1BE3"/>
    <w:rsid w:val="005B1F57"/>
    <w:rsid w:val="005B2DE7"/>
    <w:rsid w:val="005B2F2E"/>
    <w:rsid w:val="005B4660"/>
    <w:rsid w:val="005B51BB"/>
    <w:rsid w:val="005B7685"/>
    <w:rsid w:val="005C0789"/>
    <w:rsid w:val="005C1C01"/>
    <w:rsid w:val="005C2938"/>
    <w:rsid w:val="005C4477"/>
    <w:rsid w:val="005C5413"/>
    <w:rsid w:val="005C55AC"/>
    <w:rsid w:val="005C62E6"/>
    <w:rsid w:val="005D204D"/>
    <w:rsid w:val="005D27EB"/>
    <w:rsid w:val="005D32BF"/>
    <w:rsid w:val="005D353B"/>
    <w:rsid w:val="005D4665"/>
    <w:rsid w:val="005D5C14"/>
    <w:rsid w:val="005D5F87"/>
    <w:rsid w:val="005D69C5"/>
    <w:rsid w:val="005D69E5"/>
    <w:rsid w:val="005E11B2"/>
    <w:rsid w:val="005E28FF"/>
    <w:rsid w:val="005E2D1A"/>
    <w:rsid w:val="005E3BB1"/>
    <w:rsid w:val="005E3C0F"/>
    <w:rsid w:val="005E52F0"/>
    <w:rsid w:val="005E5F35"/>
    <w:rsid w:val="005E6569"/>
    <w:rsid w:val="005E6A0C"/>
    <w:rsid w:val="005E79E2"/>
    <w:rsid w:val="005E7FD1"/>
    <w:rsid w:val="005F0E4E"/>
    <w:rsid w:val="005F292C"/>
    <w:rsid w:val="005F31C4"/>
    <w:rsid w:val="005F3C6E"/>
    <w:rsid w:val="005F3CCF"/>
    <w:rsid w:val="005F3DB5"/>
    <w:rsid w:val="005F4935"/>
    <w:rsid w:val="005F6748"/>
    <w:rsid w:val="005F6876"/>
    <w:rsid w:val="005F6A6C"/>
    <w:rsid w:val="005F6E6E"/>
    <w:rsid w:val="005F719B"/>
    <w:rsid w:val="005F7AD5"/>
    <w:rsid w:val="00600152"/>
    <w:rsid w:val="00603775"/>
    <w:rsid w:val="00604F20"/>
    <w:rsid w:val="0060541A"/>
    <w:rsid w:val="00605E8C"/>
    <w:rsid w:val="0060647F"/>
    <w:rsid w:val="00606949"/>
    <w:rsid w:val="00606C05"/>
    <w:rsid w:val="006071E6"/>
    <w:rsid w:val="00613406"/>
    <w:rsid w:val="0061386E"/>
    <w:rsid w:val="00613E6A"/>
    <w:rsid w:val="0061623B"/>
    <w:rsid w:val="006170CA"/>
    <w:rsid w:val="006171B8"/>
    <w:rsid w:val="0061730C"/>
    <w:rsid w:val="00617587"/>
    <w:rsid w:val="00617C2D"/>
    <w:rsid w:val="00620BBF"/>
    <w:rsid w:val="006212A5"/>
    <w:rsid w:val="0062211F"/>
    <w:rsid w:val="0062608E"/>
    <w:rsid w:val="00626B7D"/>
    <w:rsid w:val="00626C32"/>
    <w:rsid w:val="00626FAF"/>
    <w:rsid w:val="00630B91"/>
    <w:rsid w:val="00632203"/>
    <w:rsid w:val="006335A0"/>
    <w:rsid w:val="006337DF"/>
    <w:rsid w:val="0063526D"/>
    <w:rsid w:val="006371FB"/>
    <w:rsid w:val="006374B4"/>
    <w:rsid w:val="00637EDD"/>
    <w:rsid w:val="00642871"/>
    <w:rsid w:val="00643371"/>
    <w:rsid w:val="00644191"/>
    <w:rsid w:val="0064553D"/>
    <w:rsid w:val="006474AB"/>
    <w:rsid w:val="006515E9"/>
    <w:rsid w:val="0065183F"/>
    <w:rsid w:val="00651F43"/>
    <w:rsid w:val="00652E13"/>
    <w:rsid w:val="006535E5"/>
    <w:rsid w:val="00654260"/>
    <w:rsid w:val="006556AD"/>
    <w:rsid w:val="00655804"/>
    <w:rsid w:val="00655BB9"/>
    <w:rsid w:val="00655D61"/>
    <w:rsid w:val="00656A72"/>
    <w:rsid w:val="00660546"/>
    <w:rsid w:val="006618D9"/>
    <w:rsid w:val="00662999"/>
    <w:rsid w:val="00663645"/>
    <w:rsid w:val="00663672"/>
    <w:rsid w:val="00663699"/>
    <w:rsid w:val="00665927"/>
    <w:rsid w:val="006665CF"/>
    <w:rsid w:val="00673077"/>
    <w:rsid w:val="00675957"/>
    <w:rsid w:val="00675C02"/>
    <w:rsid w:val="00675F1D"/>
    <w:rsid w:val="0067712D"/>
    <w:rsid w:val="00677351"/>
    <w:rsid w:val="00677F71"/>
    <w:rsid w:val="00680A57"/>
    <w:rsid w:val="00683358"/>
    <w:rsid w:val="00683BCF"/>
    <w:rsid w:val="00684B46"/>
    <w:rsid w:val="00684C1B"/>
    <w:rsid w:val="0068626A"/>
    <w:rsid w:val="00686AC4"/>
    <w:rsid w:val="00687452"/>
    <w:rsid w:val="00687E3B"/>
    <w:rsid w:val="0069136A"/>
    <w:rsid w:val="006918C0"/>
    <w:rsid w:val="00691FD3"/>
    <w:rsid w:val="0069271D"/>
    <w:rsid w:val="006938B9"/>
    <w:rsid w:val="00694544"/>
    <w:rsid w:val="006967A9"/>
    <w:rsid w:val="006A1521"/>
    <w:rsid w:val="006A1EF4"/>
    <w:rsid w:val="006A29EB"/>
    <w:rsid w:val="006A3868"/>
    <w:rsid w:val="006A3C2E"/>
    <w:rsid w:val="006A43AA"/>
    <w:rsid w:val="006A516A"/>
    <w:rsid w:val="006A5D5D"/>
    <w:rsid w:val="006A67C4"/>
    <w:rsid w:val="006A6959"/>
    <w:rsid w:val="006A7DC6"/>
    <w:rsid w:val="006B0F4E"/>
    <w:rsid w:val="006B20C7"/>
    <w:rsid w:val="006B3B2B"/>
    <w:rsid w:val="006B6153"/>
    <w:rsid w:val="006B63F6"/>
    <w:rsid w:val="006B73AB"/>
    <w:rsid w:val="006B79D4"/>
    <w:rsid w:val="006C047D"/>
    <w:rsid w:val="006C04A6"/>
    <w:rsid w:val="006C09A1"/>
    <w:rsid w:val="006C261A"/>
    <w:rsid w:val="006C3021"/>
    <w:rsid w:val="006C6C56"/>
    <w:rsid w:val="006D18EB"/>
    <w:rsid w:val="006D1F80"/>
    <w:rsid w:val="006D2014"/>
    <w:rsid w:val="006D2462"/>
    <w:rsid w:val="006D2F95"/>
    <w:rsid w:val="006D6188"/>
    <w:rsid w:val="006D6B43"/>
    <w:rsid w:val="006D6D1A"/>
    <w:rsid w:val="006D75BA"/>
    <w:rsid w:val="006E1EE7"/>
    <w:rsid w:val="006E239B"/>
    <w:rsid w:val="006E2919"/>
    <w:rsid w:val="006E2AC2"/>
    <w:rsid w:val="006E334E"/>
    <w:rsid w:val="006E3519"/>
    <w:rsid w:val="006E3CF4"/>
    <w:rsid w:val="006E5A72"/>
    <w:rsid w:val="006E63EE"/>
    <w:rsid w:val="006F1032"/>
    <w:rsid w:val="006F2338"/>
    <w:rsid w:val="006F3A1B"/>
    <w:rsid w:val="006F455C"/>
    <w:rsid w:val="006F45DB"/>
    <w:rsid w:val="006F4801"/>
    <w:rsid w:val="006F58DE"/>
    <w:rsid w:val="006F6769"/>
    <w:rsid w:val="00700794"/>
    <w:rsid w:val="00700BA0"/>
    <w:rsid w:val="007028B4"/>
    <w:rsid w:val="007033BB"/>
    <w:rsid w:val="00704F54"/>
    <w:rsid w:val="0070604E"/>
    <w:rsid w:val="0070714A"/>
    <w:rsid w:val="0070718C"/>
    <w:rsid w:val="0071010B"/>
    <w:rsid w:val="00710EE5"/>
    <w:rsid w:val="00711B30"/>
    <w:rsid w:val="00712958"/>
    <w:rsid w:val="00713076"/>
    <w:rsid w:val="00716785"/>
    <w:rsid w:val="007167C5"/>
    <w:rsid w:val="0071683A"/>
    <w:rsid w:val="00720235"/>
    <w:rsid w:val="00720807"/>
    <w:rsid w:val="00720A56"/>
    <w:rsid w:val="007234A8"/>
    <w:rsid w:val="007249C5"/>
    <w:rsid w:val="007250DF"/>
    <w:rsid w:val="00725219"/>
    <w:rsid w:val="0072742E"/>
    <w:rsid w:val="00727BC2"/>
    <w:rsid w:val="00730409"/>
    <w:rsid w:val="00730FF1"/>
    <w:rsid w:val="0073172D"/>
    <w:rsid w:val="00731928"/>
    <w:rsid w:val="00732239"/>
    <w:rsid w:val="0073239D"/>
    <w:rsid w:val="007349DD"/>
    <w:rsid w:val="00734C6F"/>
    <w:rsid w:val="00735C3C"/>
    <w:rsid w:val="007362B9"/>
    <w:rsid w:val="00740A01"/>
    <w:rsid w:val="0074101F"/>
    <w:rsid w:val="007424C0"/>
    <w:rsid w:val="007428E6"/>
    <w:rsid w:val="00745594"/>
    <w:rsid w:val="007500AF"/>
    <w:rsid w:val="007509ED"/>
    <w:rsid w:val="0075234C"/>
    <w:rsid w:val="0075284A"/>
    <w:rsid w:val="00754C6C"/>
    <w:rsid w:val="007551B1"/>
    <w:rsid w:val="007606EE"/>
    <w:rsid w:val="00760BE2"/>
    <w:rsid w:val="007641FE"/>
    <w:rsid w:val="00764273"/>
    <w:rsid w:val="0076570B"/>
    <w:rsid w:val="00765995"/>
    <w:rsid w:val="007659FD"/>
    <w:rsid w:val="00765AAE"/>
    <w:rsid w:val="0076668D"/>
    <w:rsid w:val="007676B4"/>
    <w:rsid w:val="00767AC5"/>
    <w:rsid w:val="00767DBD"/>
    <w:rsid w:val="00767DC9"/>
    <w:rsid w:val="00767F5B"/>
    <w:rsid w:val="0077035B"/>
    <w:rsid w:val="007704C3"/>
    <w:rsid w:val="007705F4"/>
    <w:rsid w:val="00771638"/>
    <w:rsid w:val="00772EB0"/>
    <w:rsid w:val="007739AB"/>
    <w:rsid w:val="00776B92"/>
    <w:rsid w:val="007774EA"/>
    <w:rsid w:val="007778C6"/>
    <w:rsid w:val="00780C3B"/>
    <w:rsid w:val="007815D2"/>
    <w:rsid w:val="00781B36"/>
    <w:rsid w:val="00781DBE"/>
    <w:rsid w:val="00782105"/>
    <w:rsid w:val="00782F5D"/>
    <w:rsid w:val="00783A8A"/>
    <w:rsid w:val="007862E6"/>
    <w:rsid w:val="00786E68"/>
    <w:rsid w:val="00790650"/>
    <w:rsid w:val="00791390"/>
    <w:rsid w:val="00791E06"/>
    <w:rsid w:val="007942EC"/>
    <w:rsid w:val="00795DF1"/>
    <w:rsid w:val="00795E08"/>
    <w:rsid w:val="00795FA5"/>
    <w:rsid w:val="00796CF1"/>
    <w:rsid w:val="00796D36"/>
    <w:rsid w:val="007A0EE2"/>
    <w:rsid w:val="007A1070"/>
    <w:rsid w:val="007A28E4"/>
    <w:rsid w:val="007A29B3"/>
    <w:rsid w:val="007A29CF"/>
    <w:rsid w:val="007A2DAC"/>
    <w:rsid w:val="007A335C"/>
    <w:rsid w:val="007A425D"/>
    <w:rsid w:val="007A4FD7"/>
    <w:rsid w:val="007A6C98"/>
    <w:rsid w:val="007A77A1"/>
    <w:rsid w:val="007B065E"/>
    <w:rsid w:val="007B1BF5"/>
    <w:rsid w:val="007B278C"/>
    <w:rsid w:val="007B2E7E"/>
    <w:rsid w:val="007B33BB"/>
    <w:rsid w:val="007B3D3C"/>
    <w:rsid w:val="007B69E4"/>
    <w:rsid w:val="007B6E3F"/>
    <w:rsid w:val="007B7439"/>
    <w:rsid w:val="007B7D1C"/>
    <w:rsid w:val="007C08DE"/>
    <w:rsid w:val="007C0A65"/>
    <w:rsid w:val="007C0CEE"/>
    <w:rsid w:val="007C140F"/>
    <w:rsid w:val="007C191B"/>
    <w:rsid w:val="007C218A"/>
    <w:rsid w:val="007C28F5"/>
    <w:rsid w:val="007C30B7"/>
    <w:rsid w:val="007C3BAC"/>
    <w:rsid w:val="007C46CB"/>
    <w:rsid w:val="007C4884"/>
    <w:rsid w:val="007C585F"/>
    <w:rsid w:val="007C5BAB"/>
    <w:rsid w:val="007C6000"/>
    <w:rsid w:val="007C6380"/>
    <w:rsid w:val="007C6567"/>
    <w:rsid w:val="007C712F"/>
    <w:rsid w:val="007D05CA"/>
    <w:rsid w:val="007D0AB6"/>
    <w:rsid w:val="007D0F71"/>
    <w:rsid w:val="007D12E3"/>
    <w:rsid w:val="007D333A"/>
    <w:rsid w:val="007D36C6"/>
    <w:rsid w:val="007D41D1"/>
    <w:rsid w:val="007D42E8"/>
    <w:rsid w:val="007D4EB9"/>
    <w:rsid w:val="007D5093"/>
    <w:rsid w:val="007D5EC4"/>
    <w:rsid w:val="007D5EE0"/>
    <w:rsid w:val="007D6CF7"/>
    <w:rsid w:val="007D6E71"/>
    <w:rsid w:val="007E0655"/>
    <w:rsid w:val="007E18D1"/>
    <w:rsid w:val="007E1E48"/>
    <w:rsid w:val="007E23CB"/>
    <w:rsid w:val="007E3E2E"/>
    <w:rsid w:val="007E5644"/>
    <w:rsid w:val="007E6C2A"/>
    <w:rsid w:val="007E6E85"/>
    <w:rsid w:val="007E751B"/>
    <w:rsid w:val="007E76E0"/>
    <w:rsid w:val="007E7A44"/>
    <w:rsid w:val="007F0646"/>
    <w:rsid w:val="007F0B82"/>
    <w:rsid w:val="007F0E03"/>
    <w:rsid w:val="007F0F0E"/>
    <w:rsid w:val="007F1CD4"/>
    <w:rsid w:val="007F3468"/>
    <w:rsid w:val="007F35E0"/>
    <w:rsid w:val="007F5FE3"/>
    <w:rsid w:val="007F6C6C"/>
    <w:rsid w:val="007F720D"/>
    <w:rsid w:val="008017F1"/>
    <w:rsid w:val="00801E2F"/>
    <w:rsid w:val="0080216B"/>
    <w:rsid w:val="0080288B"/>
    <w:rsid w:val="00802FB8"/>
    <w:rsid w:val="0080544D"/>
    <w:rsid w:val="00806009"/>
    <w:rsid w:val="00806187"/>
    <w:rsid w:val="008066E2"/>
    <w:rsid w:val="00807313"/>
    <w:rsid w:val="00807494"/>
    <w:rsid w:val="008074DC"/>
    <w:rsid w:val="0081071C"/>
    <w:rsid w:val="00810819"/>
    <w:rsid w:val="00812E8A"/>
    <w:rsid w:val="008135A1"/>
    <w:rsid w:val="008135BD"/>
    <w:rsid w:val="0081424F"/>
    <w:rsid w:val="00814B87"/>
    <w:rsid w:val="008158E2"/>
    <w:rsid w:val="008164A4"/>
    <w:rsid w:val="00822091"/>
    <w:rsid w:val="0082307F"/>
    <w:rsid w:val="008244DA"/>
    <w:rsid w:val="00824D9E"/>
    <w:rsid w:val="00825584"/>
    <w:rsid w:val="00827E97"/>
    <w:rsid w:val="0083090B"/>
    <w:rsid w:val="00832A22"/>
    <w:rsid w:val="0083370D"/>
    <w:rsid w:val="00833769"/>
    <w:rsid w:val="00833C4F"/>
    <w:rsid w:val="008341E9"/>
    <w:rsid w:val="00834498"/>
    <w:rsid w:val="00834B36"/>
    <w:rsid w:val="00834CF7"/>
    <w:rsid w:val="00835545"/>
    <w:rsid w:val="008377CA"/>
    <w:rsid w:val="0083B166"/>
    <w:rsid w:val="0084108C"/>
    <w:rsid w:val="00841419"/>
    <w:rsid w:val="00841B9F"/>
    <w:rsid w:val="00841F33"/>
    <w:rsid w:val="0084378B"/>
    <w:rsid w:val="00844586"/>
    <w:rsid w:val="00846ED4"/>
    <w:rsid w:val="00850384"/>
    <w:rsid w:val="00850B48"/>
    <w:rsid w:val="00852771"/>
    <w:rsid w:val="008535C5"/>
    <w:rsid w:val="00853903"/>
    <w:rsid w:val="00854095"/>
    <w:rsid w:val="008546F7"/>
    <w:rsid w:val="00855979"/>
    <w:rsid w:val="008566CD"/>
    <w:rsid w:val="00857AC9"/>
    <w:rsid w:val="0086047C"/>
    <w:rsid w:val="008631FB"/>
    <w:rsid w:val="00865819"/>
    <w:rsid w:val="00867010"/>
    <w:rsid w:val="00867582"/>
    <w:rsid w:val="00867615"/>
    <w:rsid w:val="00870FE8"/>
    <w:rsid w:val="008721E3"/>
    <w:rsid w:val="008723DD"/>
    <w:rsid w:val="008731BB"/>
    <w:rsid w:val="008733DB"/>
    <w:rsid w:val="00876580"/>
    <w:rsid w:val="008768EA"/>
    <w:rsid w:val="008800EA"/>
    <w:rsid w:val="008834C9"/>
    <w:rsid w:val="00883893"/>
    <w:rsid w:val="00885F1B"/>
    <w:rsid w:val="0088798E"/>
    <w:rsid w:val="008938CD"/>
    <w:rsid w:val="00895C9A"/>
    <w:rsid w:val="008A0DF2"/>
    <w:rsid w:val="008A1876"/>
    <w:rsid w:val="008A1BF7"/>
    <w:rsid w:val="008A2D76"/>
    <w:rsid w:val="008A3644"/>
    <w:rsid w:val="008A3EEC"/>
    <w:rsid w:val="008A5865"/>
    <w:rsid w:val="008A6166"/>
    <w:rsid w:val="008A6665"/>
    <w:rsid w:val="008B1726"/>
    <w:rsid w:val="008B3697"/>
    <w:rsid w:val="008B40ED"/>
    <w:rsid w:val="008B4DF4"/>
    <w:rsid w:val="008B4E22"/>
    <w:rsid w:val="008B5B4D"/>
    <w:rsid w:val="008C05DE"/>
    <w:rsid w:val="008C1062"/>
    <w:rsid w:val="008C1EA5"/>
    <w:rsid w:val="008C59FC"/>
    <w:rsid w:val="008C5A72"/>
    <w:rsid w:val="008C6472"/>
    <w:rsid w:val="008C68C8"/>
    <w:rsid w:val="008C74D0"/>
    <w:rsid w:val="008D0995"/>
    <w:rsid w:val="008D1BCB"/>
    <w:rsid w:val="008D3736"/>
    <w:rsid w:val="008D43AF"/>
    <w:rsid w:val="008D5D5C"/>
    <w:rsid w:val="008D6D38"/>
    <w:rsid w:val="008D7309"/>
    <w:rsid w:val="008D73D7"/>
    <w:rsid w:val="008E1855"/>
    <w:rsid w:val="008E1C25"/>
    <w:rsid w:val="008E29A1"/>
    <w:rsid w:val="008E31F4"/>
    <w:rsid w:val="008E48C6"/>
    <w:rsid w:val="008E498C"/>
    <w:rsid w:val="008E4C33"/>
    <w:rsid w:val="008E5F39"/>
    <w:rsid w:val="008E72D8"/>
    <w:rsid w:val="008E7A0D"/>
    <w:rsid w:val="008F0AE9"/>
    <w:rsid w:val="008F0E63"/>
    <w:rsid w:val="008F1167"/>
    <w:rsid w:val="008F1215"/>
    <w:rsid w:val="008F3894"/>
    <w:rsid w:val="008F41E1"/>
    <w:rsid w:val="008F7973"/>
    <w:rsid w:val="00900051"/>
    <w:rsid w:val="00900E9F"/>
    <w:rsid w:val="00901A94"/>
    <w:rsid w:val="00902D77"/>
    <w:rsid w:val="0090385C"/>
    <w:rsid w:val="00903DBF"/>
    <w:rsid w:val="0090405B"/>
    <w:rsid w:val="00904F9F"/>
    <w:rsid w:val="00905265"/>
    <w:rsid w:val="009059A1"/>
    <w:rsid w:val="009062F0"/>
    <w:rsid w:val="00906874"/>
    <w:rsid w:val="00910126"/>
    <w:rsid w:val="009118E4"/>
    <w:rsid w:val="00913260"/>
    <w:rsid w:val="00913EF0"/>
    <w:rsid w:val="00917508"/>
    <w:rsid w:val="00920FF1"/>
    <w:rsid w:val="00922F61"/>
    <w:rsid w:val="00923497"/>
    <w:rsid w:val="00923673"/>
    <w:rsid w:val="0092445D"/>
    <w:rsid w:val="00924EAC"/>
    <w:rsid w:val="00925D77"/>
    <w:rsid w:val="009261A6"/>
    <w:rsid w:val="009269E6"/>
    <w:rsid w:val="00926CCD"/>
    <w:rsid w:val="00931FDA"/>
    <w:rsid w:val="009322EF"/>
    <w:rsid w:val="009329F4"/>
    <w:rsid w:val="00933E51"/>
    <w:rsid w:val="009340F8"/>
    <w:rsid w:val="00935865"/>
    <w:rsid w:val="009361D9"/>
    <w:rsid w:val="00941F1E"/>
    <w:rsid w:val="00942AF1"/>
    <w:rsid w:val="00943158"/>
    <w:rsid w:val="00943223"/>
    <w:rsid w:val="00943E25"/>
    <w:rsid w:val="00944152"/>
    <w:rsid w:val="0094425C"/>
    <w:rsid w:val="00945845"/>
    <w:rsid w:val="00945B8C"/>
    <w:rsid w:val="00946323"/>
    <w:rsid w:val="00946831"/>
    <w:rsid w:val="00951804"/>
    <w:rsid w:val="0095431E"/>
    <w:rsid w:val="009572B2"/>
    <w:rsid w:val="009573FF"/>
    <w:rsid w:val="0095789C"/>
    <w:rsid w:val="00960205"/>
    <w:rsid w:val="00961B3E"/>
    <w:rsid w:val="00961BB9"/>
    <w:rsid w:val="009637EE"/>
    <w:rsid w:val="009643E2"/>
    <w:rsid w:val="009651E0"/>
    <w:rsid w:val="0096738C"/>
    <w:rsid w:val="00967E69"/>
    <w:rsid w:val="00967F09"/>
    <w:rsid w:val="009700FC"/>
    <w:rsid w:val="00970119"/>
    <w:rsid w:val="00971EB7"/>
    <w:rsid w:val="00973AAE"/>
    <w:rsid w:val="00974405"/>
    <w:rsid w:val="009748DD"/>
    <w:rsid w:val="00975203"/>
    <w:rsid w:val="00976BEB"/>
    <w:rsid w:val="00981EAA"/>
    <w:rsid w:val="009824D8"/>
    <w:rsid w:val="0098375C"/>
    <w:rsid w:val="00983A76"/>
    <w:rsid w:val="00984E00"/>
    <w:rsid w:val="00985728"/>
    <w:rsid w:val="009859CC"/>
    <w:rsid w:val="00987A08"/>
    <w:rsid w:val="00990CF6"/>
    <w:rsid w:val="00993DE7"/>
    <w:rsid w:val="0099488B"/>
    <w:rsid w:val="00995214"/>
    <w:rsid w:val="009976CA"/>
    <w:rsid w:val="009A01E5"/>
    <w:rsid w:val="009A060A"/>
    <w:rsid w:val="009A1194"/>
    <w:rsid w:val="009A26FA"/>
    <w:rsid w:val="009A2716"/>
    <w:rsid w:val="009A2E34"/>
    <w:rsid w:val="009A3ADC"/>
    <w:rsid w:val="009A3B2F"/>
    <w:rsid w:val="009A4BD3"/>
    <w:rsid w:val="009A50C5"/>
    <w:rsid w:val="009A6342"/>
    <w:rsid w:val="009A65FE"/>
    <w:rsid w:val="009A6A40"/>
    <w:rsid w:val="009B26FE"/>
    <w:rsid w:val="009B36E4"/>
    <w:rsid w:val="009B4DF0"/>
    <w:rsid w:val="009B545B"/>
    <w:rsid w:val="009B5BF6"/>
    <w:rsid w:val="009B76E6"/>
    <w:rsid w:val="009C150F"/>
    <w:rsid w:val="009C1C74"/>
    <w:rsid w:val="009C1F2B"/>
    <w:rsid w:val="009C3722"/>
    <w:rsid w:val="009C474C"/>
    <w:rsid w:val="009C6C06"/>
    <w:rsid w:val="009D0008"/>
    <w:rsid w:val="009D0245"/>
    <w:rsid w:val="009D0FCF"/>
    <w:rsid w:val="009D1061"/>
    <w:rsid w:val="009D1D30"/>
    <w:rsid w:val="009D1FD3"/>
    <w:rsid w:val="009D28D5"/>
    <w:rsid w:val="009D31F6"/>
    <w:rsid w:val="009D3954"/>
    <w:rsid w:val="009D6076"/>
    <w:rsid w:val="009D6EDF"/>
    <w:rsid w:val="009D7629"/>
    <w:rsid w:val="009D7960"/>
    <w:rsid w:val="009E23AE"/>
    <w:rsid w:val="009E346A"/>
    <w:rsid w:val="009E3A81"/>
    <w:rsid w:val="009E4075"/>
    <w:rsid w:val="009E46F9"/>
    <w:rsid w:val="009E4DEB"/>
    <w:rsid w:val="009E55FF"/>
    <w:rsid w:val="009E5CD4"/>
    <w:rsid w:val="009E6E12"/>
    <w:rsid w:val="009E72BC"/>
    <w:rsid w:val="009F2245"/>
    <w:rsid w:val="009F2ECF"/>
    <w:rsid w:val="009F33E4"/>
    <w:rsid w:val="009F38F3"/>
    <w:rsid w:val="009F4442"/>
    <w:rsid w:val="009F51AE"/>
    <w:rsid w:val="009F66B4"/>
    <w:rsid w:val="009F6F13"/>
    <w:rsid w:val="009F71FE"/>
    <w:rsid w:val="00A00578"/>
    <w:rsid w:val="00A00B55"/>
    <w:rsid w:val="00A02B68"/>
    <w:rsid w:val="00A05CF8"/>
    <w:rsid w:val="00A0640A"/>
    <w:rsid w:val="00A100E4"/>
    <w:rsid w:val="00A101B8"/>
    <w:rsid w:val="00A10594"/>
    <w:rsid w:val="00A10FEE"/>
    <w:rsid w:val="00A12EE5"/>
    <w:rsid w:val="00A136BA"/>
    <w:rsid w:val="00A15143"/>
    <w:rsid w:val="00A15999"/>
    <w:rsid w:val="00A1618C"/>
    <w:rsid w:val="00A20402"/>
    <w:rsid w:val="00A20D96"/>
    <w:rsid w:val="00A20F0F"/>
    <w:rsid w:val="00A211FA"/>
    <w:rsid w:val="00A21D81"/>
    <w:rsid w:val="00A22EA0"/>
    <w:rsid w:val="00A24111"/>
    <w:rsid w:val="00A24691"/>
    <w:rsid w:val="00A25104"/>
    <w:rsid w:val="00A25FB6"/>
    <w:rsid w:val="00A30847"/>
    <w:rsid w:val="00A32B54"/>
    <w:rsid w:val="00A32C35"/>
    <w:rsid w:val="00A339D1"/>
    <w:rsid w:val="00A3566A"/>
    <w:rsid w:val="00A35746"/>
    <w:rsid w:val="00A362DA"/>
    <w:rsid w:val="00A36E21"/>
    <w:rsid w:val="00A4010D"/>
    <w:rsid w:val="00A42C19"/>
    <w:rsid w:val="00A43DF4"/>
    <w:rsid w:val="00A47B19"/>
    <w:rsid w:val="00A5002E"/>
    <w:rsid w:val="00A52FBD"/>
    <w:rsid w:val="00A53944"/>
    <w:rsid w:val="00A53F0E"/>
    <w:rsid w:val="00A54FBB"/>
    <w:rsid w:val="00A55722"/>
    <w:rsid w:val="00A56A4A"/>
    <w:rsid w:val="00A601DF"/>
    <w:rsid w:val="00A61153"/>
    <w:rsid w:val="00A615BF"/>
    <w:rsid w:val="00A6251F"/>
    <w:rsid w:val="00A6356A"/>
    <w:rsid w:val="00A656E7"/>
    <w:rsid w:val="00A70561"/>
    <w:rsid w:val="00A70B47"/>
    <w:rsid w:val="00A717BC"/>
    <w:rsid w:val="00A72648"/>
    <w:rsid w:val="00A72D72"/>
    <w:rsid w:val="00A72E2D"/>
    <w:rsid w:val="00A733BF"/>
    <w:rsid w:val="00A7615C"/>
    <w:rsid w:val="00A771C8"/>
    <w:rsid w:val="00A77E0A"/>
    <w:rsid w:val="00A81A5F"/>
    <w:rsid w:val="00A84F34"/>
    <w:rsid w:val="00A85895"/>
    <w:rsid w:val="00A870F8"/>
    <w:rsid w:val="00A87A83"/>
    <w:rsid w:val="00A90A11"/>
    <w:rsid w:val="00A918D8"/>
    <w:rsid w:val="00A9213F"/>
    <w:rsid w:val="00A92275"/>
    <w:rsid w:val="00A93D77"/>
    <w:rsid w:val="00A94249"/>
    <w:rsid w:val="00A95BFD"/>
    <w:rsid w:val="00A96082"/>
    <w:rsid w:val="00AA0082"/>
    <w:rsid w:val="00AA0618"/>
    <w:rsid w:val="00AA0626"/>
    <w:rsid w:val="00AA18B0"/>
    <w:rsid w:val="00AA248C"/>
    <w:rsid w:val="00AA2772"/>
    <w:rsid w:val="00AA5F63"/>
    <w:rsid w:val="00AB0661"/>
    <w:rsid w:val="00AB06FD"/>
    <w:rsid w:val="00AB2F70"/>
    <w:rsid w:val="00AB57B9"/>
    <w:rsid w:val="00AB580A"/>
    <w:rsid w:val="00AB5C49"/>
    <w:rsid w:val="00AB65A2"/>
    <w:rsid w:val="00AB73FC"/>
    <w:rsid w:val="00AC0214"/>
    <w:rsid w:val="00AC0FB8"/>
    <w:rsid w:val="00AC35EC"/>
    <w:rsid w:val="00AC447A"/>
    <w:rsid w:val="00AC4969"/>
    <w:rsid w:val="00AC5046"/>
    <w:rsid w:val="00AC5BDD"/>
    <w:rsid w:val="00AC782B"/>
    <w:rsid w:val="00AC78EC"/>
    <w:rsid w:val="00AD079B"/>
    <w:rsid w:val="00AD1133"/>
    <w:rsid w:val="00AD2634"/>
    <w:rsid w:val="00AD2D3C"/>
    <w:rsid w:val="00AD3296"/>
    <w:rsid w:val="00AD45AA"/>
    <w:rsid w:val="00AD5A69"/>
    <w:rsid w:val="00AD6515"/>
    <w:rsid w:val="00AD699B"/>
    <w:rsid w:val="00AD70AA"/>
    <w:rsid w:val="00AE070A"/>
    <w:rsid w:val="00AE3389"/>
    <w:rsid w:val="00AE45FE"/>
    <w:rsid w:val="00AE6884"/>
    <w:rsid w:val="00AF22CD"/>
    <w:rsid w:val="00AF26E4"/>
    <w:rsid w:val="00AF3308"/>
    <w:rsid w:val="00AF3531"/>
    <w:rsid w:val="00AF3E6A"/>
    <w:rsid w:val="00AF458E"/>
    <w:rsid w:val="00AF52D1"/>
    <w:rsid w:val="00AF65F6"/>
    <w:rsid w:val="00AF67EF"/>
    <w:rsid w:val="00AF79C3"/>
    <w:rsid w:val="00AF7A80"/>
    <w:rsid w:val="00AF7C5F"/>
    <w:rsid w:val="00B008A6"/>
    <w:rsid w:val="00B01FE2"/>
    <w:rsid w:val="00B020E1"/>
    <w:rsid w:val="00B026A9"/>
    <w:rsid w:val="00B030FC"/>
    <w:rsid w:val="00B04773"/>
    <w:rsid w:val="00B048FB"/>
    <w:rsid w:val="00B06B76"/>
    <w:rsid w:val="00B0718C"/>
    <w:rsid w:val="00B07F87"/>
    <w:rsid w:val="00B11C69"/>
    <w:rsid w:val="00B1252E"/>
    <w:rsid w:val="00B14179"/>
    <w:rsid w:val="00B14564"/>
    <w:rsid w:val="00B153E5"/>
    <w:rsid w:val="00B15D96"/>
    <w:rsid w:val="00B16455"/>
    <w:rsid w:val="00B2076C"/>
    <w:rsid w:val="00B20AC1"/>
    <w:rsid w:val="00B22195"/>
    <w:rsid w:val="00B2474B"/>
    <w:rsid w:val="00B24999"/>
    <w:rsid w:val="00B25528"/>
    <w:rsid w:val="00B33968"/>
    <w:rsid w:val="00B34BEB"/>
    <w:rsid w:val="00B34DB0"/>
    <w:rsid w:val="00B34E61"/>
    <w:rsid w:val="00B34F8A"/>
    <w:rsid w:val="00B37980"/>
    <w:rsid w:val="00B409A9"/>
    <w:rsid w:val="00B4101A"/>
    <w:rsid w:val="00B4242F"/>
    <w:rsid w:val="00B4464A"/>
    <w:rsid w:val="00B453D6"/>
    <w:rsid w:val="00B46670"/>
    <w:rsid w:val="00B47482"/>
    <w:rsid w:val="00B504C9"/>
    <w:rsid w:val="00B504F6"/>
    <w:rsid w:val="00B5068D"/>
    <w:rsid w:val="00B51067"/>
    <w:rsid w:val="00B53428"/>
    <w:rsid w:val="00B53EC0"/>
    <w:rsid w:val="00B5436C"/>
    <w:rsid w:val="00B57420"/>
    <w:rsid w:val="00B60CB0"/>
    <w:rsid w:val="00B614C3"/>
    <w:rsid w:val="00B61687"/>
    <w:rsid w:val="00B63DDE"/>
    <w:rsid w:val="00B645E5"/>
    <w:rsid w:val="00B646F0"/>
    <w:rsid w:val="00B65674"/>
    <w:rsid w:val="00B65778"/>
    <w:rsid w:val="00B65973"/>
    <w:rsid w:val="00B661BC"/>
    <w:rsid w:val="00B6742A"/>
    <w:rsid w:val="00B70FBB"/>
    <w:rsid w:val="00B71434"/>
    <w:rsid w:val="00B718C1"/>
    <w:rsid w:val="00B736B2"/>
    <w:rsid w:val="00B8027F"/>
    <w:rsid w:val="00B80B21"/>
    <w:rsid w:val="00B80F64"/>
    <w:rsid w:val="00B826DF"/>
    <w:rsid w:val="00B82A1C"/>
    <w:rsid w:val="00B831CD"/>
    <w:rsid w:val="00B83402"/>
    <w:rsid w:val="00B83965"/>
    <w:rsid w:val="00B8461F"/>
    <w:rsid w:val="00B852C1"/>
    <w:rsid w:val="00B86D5B"/>
    <w:rsid w:val="00B87E6D"/>
    <w:rsid w:val="00B911BB"/>
    <w:rsid w:val="00B92209"/>
    <w:rsid w:val="00B9520F"/>
    <w:rsid w:val="00B95E11"/>
    <w:rsid w:val="00BA00F3"/>
    <w:rsid w:val="00BA0331"/>
    <w:rsid w:val="00BA0A23"/>
    <w:rsid w:val="00BA23CB"/>
    <w:rsid w:val="00BA3727"/>
    <w:rsid w:val="00BA4AE3"/>
    <w:rsid w:val="00BA5BA2"/>
    <w:rsid w:val="00BA65DB"/>
    <w:rsid w:val="00BA6C23"/>
    <w:rsid w:val="00BA73B3"/>
    <w:rsid w:val="00BA77B2"/>
    <w:rsid w:val="00BA77F6"/>
    <w:rsid w:val="00BAC81B"/>
    <w:rsid w:val="00BB036A"/>
    <w:rsid w:val="00BB4009"/>
    <w:rsid w:val="00BB6230"/>
    <w:rsid w:val="00BB77AB"/>
    <w:rsid w:val="00BC01CA"/>
    <w:rsid w:val="00BC0D20"/>
    <w:rsid w:val="00BC0E30"/>
    <w:rsid w:val="00BC1884"/>
    <w:rsid w:val="00BC33D1"/>
    <w:rsid w:val="00BC52E8"/>
    <w:rsid w:val="00BC6168"/>
    <w:rsid w:val="00BC7534"/>
    <w:rsid w:val="00BC77C1"/>
    <w:rsid w:val="00BC7EC6"/>
    <w:rsid w:val="00BD0214"/>
    <w:rsid w:val="00BD0416"/>
    <w:rsid w:val="00BD0635"/>
    <w:rsid w:val="00BD0BF4"/>
    <w:rsid w:val="00BD1C56"/>
    <w:rsid w:val="00BD3447"/>
    <w:rsid w:val="00BD39F1"/>
    <w:rsid w:val="00BD54E0"/>
    <w:rsid w:val="00BD5EC1"/>
    <w:rsid w:val="00BD6283"/>
    <w:rsid w:val="00BD6B2C"/>
    <w:rsid w:val="00BD7338"/>
    <w:rsid w:val="00BD7434"/>
    <w:rsid w:val="00BD785B"/>
    <w:rsid w:val="00BE0308"/>
    <w:rsid w:val="00BE0444"/>
    <w:rsid w:val="00BE10FA"/>
    <w:rsid w:val="00BE2940"/>
    <w:rsid w:val="00BE2AFC"/>
    <w:rsid w:val="00BE2C3B"/>
    <w:rsid w:val="00BE32CA"/>
    <w:rsid w:val="00BE3F05"/>
    <w:rsid w:val="00BE6289"/>
    <w:rsid w:val="00BE632A"/>
    <w:rsid w:val="00BE651C"/>
    <w:rsid w:val="00BE689C"/>
    <w:rsid w:val="00BE72B0"/>
    <w:rsid w:val="00BF0D4C"/>
    <w:rsid w:val="00BF18F0"/>
    <w:rsid w:val="00BF329D"/>
    <w:rsid w:val="00BF51D5"/>
    <w:rsid w:val="00BF5536"/>
    <w:rsid w:val="00BF56C2"/>
    <w:rsid w:val="00BF77BC"/>
    <w:rsid w:val="00BF7D96"/>
    <w:rsid w:val="00C02CF6"/>
    <w:rsid w:val="00C044FD"/>
    <w:rsid w:val="00C05808"/>
    <w:rsid w:val="00C05E5D"/>
    <w:rsid w:val="00C05EA5"/>
    <w:rsid w:val="00C1032F"/>
    <w:rsid w:val="00C11066"/>
    <w:rsid w:val="00C11FA7"/>
    <w:rsid w:val="00C12C80"/>
    <w:rsid w:val="00C150F4"/>
    <w:rsid w:val="00C16CC1"/>
    <w:rsid w:val="00C17D81"/>
    <w:rsid w:val="00C17E2F"/>
    <w:rsid w:val="00C217BD"/>
    <w:rsid w:val="00C235A6"/>
    <w:rsid w:val="00C239E5"/>
    <w:rsid w:val="00C23C5C"/>
    <w:rsid w:val="00C23DEF"/>
    <w:rsid w:val="00C25031"/>
    <w:rsid w:val="00C2630B"/>
    <w:rsid w:val="00C2673F"/>
    <w:rsid w:val="00C27CE7"/>
    <w:rsid w:val="00C31236"/>
    <w:rsid w:val="00C325BE"/>
    <w:rsid w:val="00C328C2"/>
    <w:rsid w:val="00C3296E"/>
    <w:rsid w:val="00C32C8F"/>
    <w:rsid w:val="00C33ED4"/>
    <w:rsid w:val="00C3482E"/>
    <w:rsid w:val="00C352B6"/>
    <w:rsid w:val="00C35BFD"/>
    <w:rsid w:val="00C40A25"/>
    <w:rsid w:val="00C419AE"/>
    <w:rsid w:val="00C43897"/>
    <w:rsid w:val="00C43AE7"/>
    <w:rsid w:val="00C478B5"/>
    <w:rsid w:val="00C5004A"/>
    <w:rsid w:val="00C50FBC"/>
    <w:rsid w:val="00C55C89"/>
    <w:rsid w:val="00C6060D"/>
    <w:rsid w:val="00C60705"/>
    <w:rsid w:val="00C61D38"/>
    <w:rsid w:val="00C6439E"/>
    <w:rsid w:val="00C64590"/>
    <w:rsid w:val="00C64C99"/>
    <w:rsid w:val="00C66BAA"/>
    <w:rsid w:val="00C70368"/>
    <w:rsid w:val="00C71932"/>
    <w:rsid w:val="00C73864"/>
    <w:rsid w:val="00C7438E"/>
    <w:rsid w:val="00C74C22"/>
    <w:rsid w:val="00C74C47"/>
    <w:rsid w:val="00C7569D"/>
    <w:rsid w:val="00C75780"/>
    <w:rsid w:val="00C75AD6"/>
    <w:rsid w:val="00C76007"/>
    <w:rsid w:val="00C766A0"/>
    <w:rsid w:val="00C77C78"/>
    <w:rsid w:val="00C8050D"/>
    <w:rsid w:val="00C80AC2"/>
    <w:rsid w:val="00C80BB8"/>
    <w:rsid w:val="00C81DAB"/>
    <w:rsid w:val="00C82312"/>
    <w:rsid w:val="00C827F2"/>
    <w:rsid w:val="00C853A8"/>
    <w:rsid w:val="00C85E39"/>
    <w:rsid w:val="00C85F32"/>
    <w:rsid w:val="00C86E38"/>
    <w:rsid w:val="00C87A10"/>
    <w:rsid w:val="00C9034F"/>
    <w:rsid w:val="00C9143B"/>
    <w:rsid w:val="00C9206F"/>
    <w:rsid w:val="00C9240C"/>
    <w:rsid w:val="00C92A79"/>
    <w:rsid w:val="00C933BC"/>
    <w:rsid w:val="00C9457C"/>
    <w:rsid w:val="00C94C0E"/>
    <w:rsid w:val="00C94D5F"/>
    <w:rsid w:val="00C970ED"/>
    <w:rsid w:val="00C97146"/>
    <w:rsid w:val="00C97B57"/>
    <w:rsid w:val="00C97EDE"/>
    <w:rsid w:val="00CA0A7D"/>
    <w:rsid w:val="00CA0BA4"/>
    <w:rsid w:val="00CA0BBD"/>
    <w:rsid w:val="00CA21BF"/>
    <w:rsid w:val="00CA2466"/>
    <w:rsid w:val="00CA6CFB"/>
    <w:rsid w:val="00CB1A2F"/>
    <w:rsid w:val="00CB1D41"/>
    <w:rsid w:val="00CB23D7"/>
    <w:rsid w:val="00CB334F"/>
    <w:rsid w:val="00CB3939"/>
    <w:rsid w:val="00CB7DCE"/>
    <w:rsid w:val="00CC1526"/>
    <w:rsid w:val="00CC1D47"/>
    <w:rsid w:val="00CC23C3"/>
    <w:rsid w:val="00CC2E03"/>
    <w:rsid w:val="00CC3D28"/>
    <w:rsid w:val="00CC773B"/>
    <w:rsid w:val="00CD1C96"/>
    <w:rsid w:val="00CD2EAE"/>
    <w:rsid w:val="00CD35FE"/>
    <w:rsid w:val="00CD4D53"/>
    <w:rsid w:val="00CD52CB"/>
    <w:rsid w:val="00CD5560"/>
    <w:rsid w:val="00CD6BB6"/>
    <w:rsid w:val="00CD6DAD"/>
    <w:rsid w:val="00CD7CD7"/>
    <w:rsid w:val="00CE0455"/>
    <w:rsid w:val="00CE085C"/>
    <w:rsid w:val="00CE0891"/>
    <w:rsid w:val="00CE0F3F"/>
    <w:rsid w:val="00CE1BCF"/>
    <w:rsid w:val="00CE1EAE"/>
    <w:rsid w:val="00CE1F95"/>
    <w:rsid w:val="00CE263B"/>
    <w:rsid w:val="00CE2AF4"/>
    <w:rsid w:val="00CE3627"/>
    <w:rsid w:val="00CE3DF2"/>
    <w:rsid w:val="00CE65AD"/>
    <w:rsid w:val="00CE67BA"/>
    <w:rsid w:val="00CE6C09"/>
    <w:rsid w:val="00CE7200"/>
    <w:rsid w:val="00CF14C7"/>
    <w:rsid w:val="00CF160E"/>
    <w:rsid w:val="00CF18AA"/>
    <w:rsid w:val="00CF268D"/>
    <w:rsid w:val="00CF2AC5"/>
    <w:rsid w:val="00CF2C61"/>
    <w:rsid w:val="00CF3FF3"/>
    <w:rsid w:val="00CF4138"/>
    <w:rsid w:val="00CF6C74"/>
    <w:rsid w:val="00D00100"/>
    <w:rsid w:val="00D00501"/>
    <w:rsid w:val="00D008F7"/>
    <w:rsid w:val="00D01109"/>
    <w:rsid w:val="00D020A7"/>
    <w:rsid w:val="00D03E5A"/>
    <w:rsid w:val="00D03FA9"/>
    <w:rsid w:val="00D04C27"/>
    <w:rsid w:val="00D05BEB"/>
    <w:rsid w:val="00D10B25"/>
    <w:rsid w:val="00D120A6"/>
    <w:rsid w:val="00D121B1"/>
    <w:rsid w:val="00D12C55"/>
    <w:rsid w:val="00D15232"/>
    <w:rsid w:val="00D16147"/>
    <w:rsid w:val="00D164CF"/>
    <w:rsid w:val="00D177B8"/>
    <w:rsid w:val="00D17C76"/>
    <w:rsid w:val="00D22672"/>
    <w:rsid w:val="00D2315E"/>
    <w:rsid w:val="00D232D2"/>
    <w:rsid w:val="00D2419A"/>
    <w:rsid w:val="00D24B62"/>
    <w:rsid w:val="00D25F16"/>
    <w:rsid w:val="00D269DC"/>
    <w:rsid w:val="00D2708B"/>
    <w:rsid w:val="00D3020A"/>
    <w:rsid w:val="00D303B4"/>
    <w:rsid w:val="00D30F6C"/>
    <w:rsid w:val="00D32A43"/>
    <w:rsid w:val="00D3378B"/>
    <w:rsid w:val="00D33C75"/>
    <w:rsid w:val="00D342BF"/>
    <w:rsid w:val="00D34961"/>
    <w:rsid w:val="00D34C17"/>
    <w:rsid w:val="00D350DD"/>
    <w:rsid w:val="00D35809"/>
    <w:rsid w:val="00D35AD2"/>
    <w:rsid w:val="00D372BA"/>
    <w:rsid w:val="00D40651"/>
    <w:rsid w:val="00D40E2F"/>
    <w:rsid w:val="00D416F1"/>
    <w:rsid w:val="00D4185E"/>
    <w:rsid w:val="00D42211"/>
    <w:rsid w:val="00D42488"/>
    <w:rsid w:val="00D4268E"/>
    <w:rsid w:val="00D426C1"/>
    <w:rsid w:val="00D43A83"/>
    <w:rsid w:val="00D44067"/>
    <w:rsid w:val="00D44599"/>
    <w:rsid w:val="00D45106"/>
    <w:rsid w:val="00D46E56"/>
    <w:rsid w:val="00D50112"/>
    <w:rsid w:val="00D5017D"/>
    <w:rsid w:val="00D513CA"/>
    <w:rsid w:val="00D52516"/>
    <w:rsid w:val="00D54747"/>
    <w:rsid w:val="00D5506B"/>
    <w:rsid w:val="00D57988"/>
    <w:rsid w:val="00D61530"/>
    <w:rsid w:val="00D620AA"/>
    <w:rsid w:val="00D62168"/>
    <w:rsid w:val="00D638D7"/>
    <w:rsid w:val="00D653FB"/>
    <w:rsid w:val="00D65836"/>
    <w:rsid w:val="00D659FF"/>
    <w:rsid w:val="00D6662C"/>
    <w:rsid w:val="00D66AD3"/>
    <w:rsid w:val="00D67598"/>
    <w:rsid w:val="00D67E5D"/>
    <w:rsid w:val="00D71811"/>
    <w:rsid w:val="00D74953"/>
    <w:rsid w:val="00D7650B"/>
    <w:rsid w:val="00D769D4"/>
    <w:rsid w:val="00D76A66"/>
    <w:rsid w:val="00D77B45"/>
    <w:rsid w:val="00D80530"/>
    <w:rsid w:val="00D81E54"/>
    <w:rsid w:val="00D87F93"/>
    <w:rsid w:val="00D91867"/>
    <w:rsid w:val="00D94258"/>
    <w:rsid w:val="00D9444C"/>
    <w:rsid w:val="00D94917"/>
    <w:rsid w:val="00D963E8"/>
    <w:rsid w:val="00D974EE"/>
    <w:rsid w:val="00DA0118"/>
    <w:rsid w:val="00DA19D6"/>
    <w:rsid w:val="00DA1FBB"/>
    <w:rsid w:val="00DA2C67"/>
    <w:rsid w:val="00DA33F3"/>
    <w:rsid w:val="00DA3515"/>
    <w:rsid w:val="00DA3568"/>
    <w:rsid w:val="00DA38CD"/>
    <w:rsid w:val="00DA3EFA"/>
    <w:rsid w:val="00DA43D1"/>
    <w:rsid w:val="00DA52D3"/>
    <w:rsid w:val="00DA5DBA"/>
    <w:rsid w:val="00DA6174"/>
    <w:rsid w:val="00DA7DC8"/>
    <w:rsid w:val="00DB253B"/>
    <w:rsid w:val="00DB2AD3"/>
    <w:rsid w:val="00DB37F2"/>
    <w:rsid w:val="00DB38F8"/>
    <w:rsid w:val="00DB446A"/>
    <w:rsid w:val="00DB4C41"/>
    <w:rsid w:val="00DB5273"/>
    <w:rsid w:val="00DB6B08"/>
    <w:rsid w:val="00DB70C6"/>
    <w:rsid w:val="00DC0608"/>
    <w:rsid w:val="00DC191C"/>
    <w:rsid w:val="00DC243F"/>
    <w:rsid w:val="00DC3564"/>
    <w:rsid w:val="00DC3CA5"/>
    <w:rsid w:val="00DC3E8B"/>
    <w:rsid w:val="00DC4797"/>
    <w:rsid w:val="00DC51B8"/>
    <w:rsid w:val="00DC614F"/>
    <w:rsid w:val="00DC62B4"/>
    <w:rsid w:val="00DC6516"/>
    <w:rsid w:val="00DC7CC4"/>
    <w:rsid w:val="00DD1403"/>
    <w:rsid w:val="00DD1537"/>
    <w:rsid w:val="00DD1778"/>
    <w:rsid w:val="00DD3C4B"/>
    <w:rsid w:val="00DD49AD"/>
    <w:rsid w:val="00DD4B76"/>
    <w:rsid w:val="00DD5D22"/>
    <w:rsid w:val="00DE250A"/>
    <w:rsid w:val="00DE307C"/>
    <w:rsid w:val="00DE3D0A"/>
    <w:rsid w:val="00DE4978"/>
    <w:rsid w:val="00DE5810"/>
    <w:rsid w:val="00DE70A6"/>
    <w:rsid w:val="00DF0342"/>
    <w:rsid w:val="00DF058C"/>
    <w:rsid w:val="00DF077D"/>
    <w:rsid w:val="00DF1519"/>
    <w:rsid w:val="00DF2548"/>
    <w:rsid w:val="00DF32E9"/>
    <w:rsid w:val="00DF5E57"/>
    <w:rsid w:val="00DF66FC"/>
    <w:rsid w:val="00E01FE9"/>
    <w:rsid w:val="00E02AB0"/>
    <w:rsid w:val="00E033B3"/>
    <w:rsid w:val="00E043D4"/>
    <w:rsid w:val="00E04D6B"/>
    <w:rsid w:val="00E04F6A"/>
    <w:rsid w:val="00E12DFD"/>
    <w:rsid w:val="00E14297"/>
    <w:rsid w:val="00E14A9C"/>
    <w:rsid w:val="00E1533A"/>
    <w:rsid w:val="00E16A14"/>
    <w:rsid w:val="00E16BC8"/>
    <w:rsid w:val="00E173C8"/>
    <w:rsid w:val="00E21AEF"/>
    <w:rsid w:val="00E232F6"/>
    <w:rsid w:val="00E25B6D"/>
    <w:rsid w:val="00E273CB"/>
    <w:rsid w:val="00E31877"/>
    <w:rsid w:val="00E31E77"/>
    <w:rsid w:val="00E3461A"/>
    <w:rsid w:val="00E349B8"/>
    <w:rsid w:val="00E35E60"/>
    <w:rsid w:val="00E36B28"/>
    <w:rsid w:val="00E36F6E"/>
    <w:rsid w:val="00E37783"/>
    <w:rsid w:val="00E37AF1"/>
    <w:rsid w:val="00E404C7"/>
    <w:rsid w:val="00E40743"/>
    <w:rsid w:val="00E415C1"/>
    <w:rsid w:val="00E41B18"/>
    <w:rsid w:val="00E420F7"/>
    <w:rsid w:val="00E42137"/>
    <w:rsid w:val="00E431D0"/>
    <w:rsid w:val="00E435D6"/>
    <w:rsid w:val="00E44341"/>
    <w:rsid w:val="00E460F3"/>
    <w:rsid w:val="00E517FC"/>
    <w:rsid w:val="00E52431"/>
    <w:rsid w:val="00E5272D"/>
    <w:rsid w:val="00E54145"/>
    <w:rsid w:val="00E54504"/>
    <w:rsid w:val="00E5459D"/>
    <w:rsid w:val="00E56994"/>
    <w:rsid w:val="00E5743B"/>
    <w:rsid w:val="00E57756"/>
    <w:rsid w:val="00E60AB5"/>
    <w:rsid w:val="00E6149F"/>
    <w:rsid w:val="00E6180C"/>
    <w:rsid w:val="00E63618"/>
    <w:rsid w:val="00E6511E"/>
    <w:rsid w:val="00E65C36"/>
    <w:rsid w:val="00E679D6"/>
    <w:rsid w:val="00E67E71"/>
    <w:rsid w:val="00E71AA9"/>
    <w:rsid w:val="00E722A5"/>
    <w:rsid w:val="00E73D1B"/>
    <w:rsid w:val="00E73E7B"/>
    <w:rsid w:val="00E740AE"/>
    <w:rsid w:val="00E7502A"/>
    <w:rsid w:val="00E75E3E"/>
    <w:rsid w:val="00E769AD"/>
    <w:rsid w:val="00E76E12"/>
    <w:rsid w:val="00E800A4"/>
    <w:rsid w:val="00E80AA3"/>
    <w:rsid w:val="00E814EC"/>
    <w:rsid w:val="00E8159E"/>
    <w:rsid w:val="00E81854"/>
    <w:rsid w:val="00E81C74"/>
    <w:rsid w:val="00E82245"/>
    <w:rsid w:val="00E8294B"/>
    <w:rsid w:val="00E87096"/>
    <w:rsid w:val="00E87497"/>
    <w:rsid w:val="00E90AF3"/>
    <w:rsid w:val="00E917BC"/>
    <w:rsid w:val="00E91AAA"/>
    <w:rsid w:val="00E9214E"/>
    <w:rsid w:val="00E93158"/>
    <w:rsid w:val="00E9505C"/>
    <w:rsid w:val="00E961BB"/>
    <w:rsid w:val="00E9637B"/>
    <w:rsid w:val="00E963B6"/>
    <w:rsid w:val="00E97348"/>
    <w:rsid w:val="00EA128A"/>
    <w:rsid w:val="00EA19AD"/>
    <w:rsid w:val="00EA1B3A"/>
    <w:rsid w:val="00EA1EB9"/>
    <w:rsid w:val="00EA7F1E"/>
    <w:rsid w:val="00EB0053"/>
    <w:rsid w:val="00EB230F"/>
    <w:rsid w:val="00EB35DA"/>
    <w:rsid w:val="00EB40C4"/>
    <w:rsid w:val="00EB64CB"/>
    <w:rsid w:val="00EB6EE1"/>
    <w:rsid w:val="00EB727C"/>
    <w:rsid w:val="00EB7777"/>
    <w:rsid w:val="00EC0651"/>
    <w:rsid w:val="00EC3338"/>
    <w:rsid w:val="00EC47C8"/>
    <w:rsid w:val="00EC5DA1"/>
    <w:rsid w:val="00EC6EB5"/>
    <w:rsid w:val="00EC6F61"/>
    <w:rsid w:val="00EC7580"/>
    <w:rsid w:val="00EC76F3"/>
    <w:rsid w:val="00EC77BF"/>
    <w:rsid w:val="00ED48C7"/>
    <w:rsid w:val="00EE049C"/>
    <w:rsid w:val="00EE0D55"/>
    <w:rsid w:val="00EE2139"/>
    <w:rsid w:val="00EE2F9C"/>
    <w:rsid w:val="00EE3B34"/>
    <w:rsid w:val="00EE4502"/>
    <w:rsid w:val="00EE6215"/>
    <w:rsid w:val="00EE68FE"/>
    <w:rsid w:val="00EE698A"/>
    <w:rsid w:val="00EF139E"/>
    <w:rsid w:val="00EF14B2"/>
    <w:rsid w:val="00EF2696"/>
    <w:rsid w:val="00EF28A5"/>
    <w:rsid w:val="00EF2CAB"/>
    <w:rsid w:val="00EF30F0"/>
    <w:rsid w:val="00EF5588"/>
    <w:rsid w:val="00EF5798"/>
    <w:rsid w:val="00EF5ACF"/>
    <w:rsid w:val="00EF7531"/>
    <w:rsid w:val="00F03281"/>
    <w:rsid w:val="00F037CE"/>
    <w:rsid w:val="00F0395D"/>
    <w:rsid w:val="00F03D05"/>
    <w:rsid w:val="00F05F73"/>
    <w:rsid w:val="00F0625F"/>
    <w:rsid w:val="00F0669F"/>
    <w:rsid w:val="00F067AD"/>
    <w:rsid w:val="00F06FB3"/>
    <w:rsid w:val="00F118DF"/>
    <w:rsid w:val="00F12425"/>
    <w:rsid w:val="00F12D1A"/>
    <w:rsid w:val="00F15AB3"/>
    <w:rsid w:val="00F17643"/>
    <w:rsid w:val="00F17FB0"/>
    <w:rsid w:val="00F212C3"/>
    <w:rsid w:val="00F24ECF"/>
    <w:rsid w:val="00F26B2F"/>
    <w:rsid w:val="00F26EE5"/>
    <w:rsid w:val="00F2779F"/>
    <w:rsid w:val="00F27DFF"/>
    <w:rsid w:val="00F32CB1"/>
    <w:rsid w:val="00F32F4C"/>
    <w:rsid w:val="00F345BC"/>
    <w:rsid w:val="00F36B50"/>
    <w:rsid w:val="00F370B1"/>
    <w:rsid w:val="00F4063E"/>
    <w:rsid w:val="00F41457"/>
    <w:rsid w:val="00F41C2A"/>
    <w:rsid w:val="00F41FD6"/>
    <w:rsid w:val="00F42DD6"/>
    <w:rsid w:val="00F46E81"/>
    <w:rsid w:val="00F479AD"/>
    <w:rsid w:val="00F47E49"/>
    <w:rsid w:val="00F51136"/>
    <w:rsid w:val="00F5141E"/>
    <w:rsid w:val="00F51D61"/>
    <w:rsid w:val="00F54069"/>
    <w:rsid w:val="00F545F7"/>
    <w:rsid w:val="00F553FE"/>
    <w:rsid w:val="00F557DC"/>
    <w:rsid w:val="00F5630B"/>
    <w:rsid w:val="00F57977"/>
    <w:rsid w:val="00F60179"/>
    <w:rsid w:val="00F60BE0"/>
    <w:rsid w:val="00F60CB4"/>
    <w:rsid w:val="00F61635"/>
    <w:rsid w:val="00F62A3C"/>
    <w:rsid w:val="00F64CC0"/>
    <w:rsid w:val="00F65E11"/>
    <w:rsid w:val="00F7026B"/>
    <w:rsid w:val="00F70D22"/>
    <w:rsid w:val="00F72131"/>
    <w:rsid w:val="00F7302D"/>
    <w:rsid w:val="00F733B4"/>
    <w:rsid w:val="00F7382F"/>
    <w:rsid w:val="00F759FA"/>
    <w:rsid w:val="00F7666F"/>
    <w:rsid w:val="00F77935"/>
    <w:rsid w:val="00F77D14"/>
    <w:rsid w:val="00F77EA8"/>
    <w:rsid w:val="00F8018D"/>
    <w:rsid w:val="00F80218"/>
    <w:rsid w:val="00F826EE"/>
    <w:rsid w:val="00F833F3"/>
    <w:rsid w:val="00F83906"/>
    <w:rsid w:val="00F86228"/>
    <w:rsid w:val="00F86FA2"/>
    <w:rsid w:val="00F91310"/>
    <w:rsid w:val="00F9191A"/>
    <w:rsid w:val="00F92B69"/>
    <w:rsid w:val="00F93727"/>
    <w:rsid w:val="00F94028"/>
    <w:rsid w:val="00F94610"/>
    <w:rsid w:val="00F95C9A"/>
    <w:rsid w:val="00F97BE6"/>
    <w:rsid w:val="00F97ED4"/>
    <w:rsid w:val="00FA14B0"/>
    <w:rsid w:val="00FA1A08"/>
    <w:rsid w:val="00FA268B"/>
    <w:rsid w:val="00FA59C3"/>
    <w:rsid w:val="00FA660B"/>
    <w:rsid w:val="00FA6942"/>
    <w:rsid w:val="00FA710F"/>
    <w:rsid w:val="00FA744E"/>
    <w:rsid w:val="00FA7EA0"/>
    <w:rsid w:val="00FB16C7"/>
    <w:rsid w:val="00FB1EEB"/>
    <w:rsid w:val="00FB1F6A"/>
    <w:rsid w:val="00FB258E"/>
    <w:rsid w:val="00FB27E0"/>
    <w:rsid w:val="00FB2825"/>
    <w:rsid w:val="00FB2F4A"/>
    <w:rsid w:val="00FB4B0B"/>
    <w:rsid w:val="00FB53A5"/>
    <w:rsid w:val="00FB5AC6"/>
    <w:rsid w:val="00FB6F6F"/>
    <w:rsid w:val="00FB79DD"/>
    <w:rsid w:val="00FC13E5"/>
    <w:rsid w:val="00FC1B20"/>
    <w:rsid w:val="00FC2A8A"/>
    <w:rsid w:val="00FC37B8"/>
    <w:rsid w:val="00FC4CEC"/>
    <w:rsid w:val="00FC59BE"/>
    <w:rsid w:val="00FC7399"/>
    <w:rsid w:val="00FC7D38"/>
    <w:rsid w:val="00FD0219"/>
    <w:rsid w:val="00FD0E36"/>
    <w:rsid w:val="00FD0E84"/>
    <w:rsid w:val="00FD3FC0"/>
    <w:rsid w:val="00FD5CEF"/>
    <w:rsid w:val="00FD67DA"/>
    <w:rsid w:val="00FD7A55"/>
    <w:rsid w:val="00FD7DD5"/>
    <w:rsid w:val="00FE1EC9"/>
    <w:rsid w:val="00FE2A37"/>
    <w:rsid w:val="00FE4029"/>
    <w:rsid w:val="00FE5F50"/>
    <w:rsid w:val="00FE6508"/>
    <w:rsid w:val="00FE7D07"/>
    <w:rsid w:val="00FF141F"/>
    <w:rsid w:val="00FF3A23"/>
    <w:rsid w:val="00FF44E4"/>
    <w:rsid w:val="00FF4665"/>
    <w:rsid w:val="00FF47A8"/>
    <w:rsid w:val="00FF4B3C"/>
    <w:rsid w:val="00FF6D7C"/>
    <w:rsid w:val="00FF71F9"/>
    <w:rsid w:val="016B4C1E"/>
    <w:rsid w:val="021710D1"/>
    <w:rsid w:val="02C15E41"/>
    <w:rsid w:val="035CCCDE"/>
    <w:rsid w:val="03702E3C"/>
    <w:rsid w:val="053DE6DB"/>
    <w:rsid w:val="0634C495"/>
    <w:rsid w:val="0701DE6A"/>
    <w:rsid w:val="072A25A9"/>
    <w:rsid w:val="077B93D1"/>
    <w:rsid w:val="07E19151"/>
    <w:rsid w:val="087738A6"/>
    <w:rsid w:val="09488307"/>
    <w:rsid w:val="0A083CDC"/>
    <w:rsid w:val="0A329063"/>
    <w:rsid w:val="0A556BD2"/>
    <w:rsid w:val="0B024A81"/>
    <w:rsid w:val="0BAEC310"/>
    <w:rsid w:val="0BEB0FDB"/>
    <w:rsid w:val="0C0383F4"/>
    <w:rsid w:val="0CF1EB31"/>
    <w:rsid w:val="0E1F796B"/>
    <w:rsid w:val="0F0E6EBA"/>
    <w:rsid w:val="0F3A2FD7"/>
    <w:rsid w:val="0FE0F52D"/>
    <w:rsid w:val="10729796"/>
    <w:rsid w:val="10E787F9"/>
    <w:rsid w:val="1165AD7A"/>
    <w:rsid w:val="11D12063"/>
    <w:rsid w:val="11FEA409"/>
    <w:rsid w:val="122E2F82"/>
    <w:rsid w:val="126D6AED"/>
    <w:rsid w:val="126D8293"/>
    <w:rsid w:val="13AB98C3"/>
    <w:rsid w:val="13B21CA1"/>
    <w:rsid w:val="14052739"/>
    <w:rsid w:val="15524955"/>
    <w:rsid w:val="1564439A"/>
    <w:rsid w:val="177B93C5"/>
    <w:rsid w:val="18B69963"/>
    <w:rsid w:val="18BD1291"/>
    <w:rsid w:val="1936D1F9"/>
    <w:rsid w:val="1A881241"/>
    <w:rsid w:val="1B2BDBFA"/>
    <w:rsid w:val="1B806BE5"/>
    <w:rsid w:val="1BB1EA6D"/>
    <w:rsid w:val="1C54011D"/>
    <w:rsid w:val="1C7D1F36"/>
    <w:rsid w:val="1C96D3F0"/>
    <w:rsid w:val="1DE905F2"/>
    <w:rsid w:val="1E20DD1D"/>
    <w:rsid w:val="1F966E06"/>
    <w:rsid w:val="1FAD6983"/>
    <w:rsid w:val="202B0383"/>
    <w:rsid w:val="208C94D5"/>
    <w:rsid w:val="20A882EB"/>
    <w:rsid w:val="20A9048E"/>
    <w:rsid w:val="20D7DB0A"/>
    <w:rsid w:val="2136DE48"/>
    <w:rsid w:val="22BCA0B1"/>
    <w:rsid w:val="233D0E29"/>
    <w:rsid w:val="25EAD333"/>
    <w:rsid w:val="26E872ED"/>
    <w:rsid w:val="276E9B3F"/>
    <w:rsid w:val="286DDDF9"/>
    <w:rsid w:val="292F0076"/>
    <w:rsid w:val="2931C1AF"/>
    <w:rsid w:val="29764C24"/>
    <w:rsid w:val="2A95D4FD"/>
    <w:rsid w:val="2BB22174"/>
    <w:rsid w:val="2D061062"/>
    <w:rsid w:val="2D5317BF"/>
    <w:rsid w:val="2D620B67"/>
    <w:rsid w:val="2DDC688B"/>
    <w:rsid w:val="2E351C17"/>
    <w:rsid w:val="2EA9A113"/>
    <w:rsid w:val="303371E9"/>
    <w:rsid w:val="3043525C"/>
    <w:rsid w:val="310A5C3A"/>
    <w:rsid w:val="3184D9B8"/>
    <w:rsid w:val="3199414B"/>
    <w:rsid w:val="31AAA909"/>
    <w:rsid w:val="3243DF6A"/>
    <w:rsid w:val="3440335B"/>
    <w:rsid w:val="3471258D"/>
    <w:rsid w:val="35C697CF"/>
    <w:rsid w:val="35E1823F"/>
    <w:rsid w:val="360D0E81"/>
    <w:rsid w:val="371DBD4E"/>
    <w:rsid w:val="3748E811"/>
    <w:rsid w:val="380882CF"/>
    <w:rsid w:val="38F149F3"/>
    <w:rsid w:val="39945D74"/>
    <w:rsid w:val="3A0A88F7"/>
    <w:rsid w:val="3A420362"/>
    <w:rsid w:val="3CF741E5"/>
    <w:rsid w:val="3DA07E47"/>
    <w:rsid w:val="3E8594A4"/>
    <w:rsid w:val="3EB42671"/>
    <w:rsid w:val="3F109E65"/>
    <w:rsid w:val="4012B4F2"/>
    <w:rsid w:val="4053513C"/>
    <w:rsid w:val="41663EF8"/>
    <w:rsid w:val="42306345"/>
    <w:rsid w:val="433F8F6E"/>
    <w:rsid w:val="43B94313"/>
    <w:rsid w:val="45372DEE"/>
    <w:rsid w:val="45A18C7B"/>
    <w:rsid w:val="477C7CEF"/>
    <w:rsid w:val="47F58880"/>
    <w:rsid w:val="4AAF22C5"/>
    <w:rsid w:val="4AF9218F"/>
    <w:rsid w:val="4B6ECF7D"/>
    <w:rsid w:val="4BABBAA9"/>
    <w:rsid w:val="4BE10CEC"/>
    <w:rsid w:val="4C6C5CAE"/>
    <w:rsid w:val="4CFDF04F"/>
    <w:rsid w:val="4D20C801"/>
    <w:rsid w:val="4D9B4B0F"/>
    <w:rsid w:val="4F10E6B0"/>
    <w:rsid w:val="4FF59FD7"/>
    <w:rsid w:val="5044E3B1"/>
    <w:rsid w:val="50C6BF3F"/>
    <w:rsid w:val="5152ABD3"/>
    <w:rsid w:val="52A42ABA"/>
    <w:rsid w:val="5433B72C"/>
    <w:rsid w:val="54E83FCD"/>
    <w:rsid w:val="55A118FC"/>
    <w:rsid w:val="55C3E125"/>
    <w:rsid w:val="59362618"/>
    <w:rsid w:val="593E3C87"/>
    <w:rsid w:val="5A6596BF"/>
    <w:rsid w:val="5B78F9B0"/>
    <w:rsid w:val="5B8E4EF2"/>
    <w:rsid w:val="5BCBF9AB"/>
    <w:rsid w:val="5CDB0C2E"/>
    <w:rsid w:val="5DA6FBA3"/>
    <w:rsid w:val="6017CDDB"/>
    <w:rsid w:val="601EABB5"/>
    <w:rsid w:val="60EF7ACE"/>
    <w:rsid w:val="610A8122"/>
    <w:rsid w:val="6156D1D5"/>
    <w:rsid w:val="61A74A1C"/>
    <w:rsid w:val="634A4DB2"/>
    <w:rsid w:val="641CFAC2"/>
    <w:rsid w:val="646BDCB2"/>
    <w:rsid w:val="64943C61"/>
    <w:rsid w:val="659460DA"/>
    <w:rsid w:val="65CEE847"/>
    <w:rsid w:val="66F3F095"/>
    <w:rsid w:val="68B25665"/>
    <w:rsid w:val="695902CC"/>
    <w:rsid w:val="69A066D9"/>
    <w:rsid w:val="6A22D8BA"/>
    <w:rsid w:val="6ADDAFF3"/>
    <w:rsid w:val="6AEA961D"/>
    <w:rsid w:val="6B7DD2BE"/>
    <w:rsid w:val="6BA1D5FE"/>
    <w:rsid w:val="6CBE23AF"/>
    <w:rsid w:val="6DE7BF0F"/>
    <w:rsid w:val="6F38725E"/>
    <w:rsid w:val="6F819135"/>
    <w:rsid w:val="70ACAE52"/>
    <w:rsid w:val="70B005D8"/>
    <w:rsid w:val="728DFC34"/>
    <w:rsid w:val="72D54B95"/>
    <w:rsid w:val="74052966"/>
    <w:rsid w:val="742885A5"/>
    <w:rsid w:val="7532E044"/>
    <w:rsid w:val="75CE784E"/>
    <w:rsid w:val="7645B2D4"/>
    <w:rsid w:val="76EA1E21"/>
    <w:rsid w:val="7797913E"/>
    <w:rsid w:val="77CAC7DD"/>
    <w:rsid w:val="78AAA265"/>
    <w:rsid w:val="78E72C00"/>
    <w:rsid w:val="7905FFAD"/>
    <w:rsid w:val="798B4717"/>
    <w:rsid w:val="7994D4BF"/>
    <w:rsid w:val="79D61D0A"/>
    <w:rsid w:val="7C059D42"/>
    <w:rsid w:val="7C277820"/>
    <w:rsid w:val="7CB7A770"/>
    <w:rsid w:val="7D6697A4"/>
    <w:rsid w:val="7DBF5B5F"/>
    <w:rsid w:val="7E53B175"/>
    <w:rsid w:val="7E686313"/>
    <w:rsid w:val="7F3F538F"/>
    <w:rsid w:val="7F709521"/>
    <w:rsid w:val="7F89BD7E"/>
    <w:rsid w:val="7F92B221"/>
    <w:rsid w:val="7F94714C"/>
    <w:rsid w:val="7FBFE3AD"/>
    <w:rsid w:val="7FC6FD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4C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28"/>
  </w:style>
  <w:style w:type="paragraph" w:styleId="Heading1">
    <w:name w:val="heading 1"/>
    <w:basedOn w:val="Title"/>
    <w:next w:val="Normal"/>
    <w:link w:val="Heading1Char"/>
    <w:uiPriority w:val="9"/>
    <w:qFormat/>
    <w:rsid w:val="00CE1BCF"/>
    <w:pPr>
      <w:spacing w:after="240"/>
      <w:outlineLvl w:val="0"/>
    </w:pPr>
  </w:style>
  <w:style w:type="paragraph" w:styleId="Heading2">
    <w:name w:val="heading 2"/>
    <w:basedOn w:val="Normal"/>
    <w:next w:val="Normal"/>
    <w:link w:val="Heading2Char"/>
    <w:uiPriority w:val="9"/>
    <w:unhideWhenUsed/>
    <w:qFormat/>
    <w:rsid w:val="00AD1133"/>
    <w:pPr>
      <w:keepNext/>
      <w:keepLines/>
      <w:spacing w:before="480" w:after="240"/>
      <w:outlineLvl w:val="1"/>
    </w:pPr>
    <w:rPr>
      <w:rFonts w:ascii="Arial" w:eastAsiaTheme="majorEastAsia" w:hAnsi="Arial"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40C4"/>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840C4"/>
    <w:rPr>
      <w:rFonts w:ascii="Arial" w:hAnsi="Arial"/>
      <w:sz w:val="24"/>
    </w:rPr>
  </w:style>
  <w:style w:type="paragraph" w:styleId="Header">
    <w:name w:val="header"/>
    <w:basedOn w:val="Normal"/>
    <w:link w:val="HeaderChar"/>
    <w:uiPriority w:val="99"/>
    <w:unhideWhenUsed/>
    <w:rsid w:val="00AA5F63"/>
    <w:pPr>
      <w:tabs>
        <w:tab w:val="center" w:pos="4680"/>
        <w:tab w:val="right" w:pos="9360"/>
      </w:tabs>
    </w:pPr>
  </w:style>
  <w:style w:type="character" w:customStyle="1" w:styleId="HeaderChar">
    <w:name w:val="Header Char"/>
    <w:basedOn w:val="DefaultParagraphFont"/>
    <w:link w:val="Header"/>
    <w:uiPriority w:val="99"/>
    <w:rsid w:val="00AA5F63"/>
  </w:style>
  <w:style w:type="character" w:styleId="Hyperlink">
    <w:name w:val="Hyperlink"/>
    <w:basedOn w:val="DefaultParagraphFont"/>
    <w:uiPriority w:val="99"/>
    <w:unhideWhenUsed/>
    <w:rsid w:val="006C3021"/>
    <w:rPr>
      <w:rFonts w:ascii="Arial" w:hAnsi="Arial"/>
      <w:color w:val="0000FF"/>
      <w:sz w:val="24"/>
      <w:u w:val="single"/>
    </w:rPr>
  </w:style>
  <w:style w:type="paragraph" w:customStyle="1" w:styleId="Default">
    <w:name w:val="Default"/>
    <w:rsid w:val="00A771C8"/>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F80218"/>
    <w:pPr>
      <w:spacing w:after="240"/>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F80218"/>
    <w:rPr>
      <w:rFonts w:ascii="Arial" w:eastAsia="Arial" w:hAnsi="Arial" w:cs="Arial"/>
      <w:sz w:val="20"/>
      <w:szCs w:val="20"/>
      <w:lang w:val="en"/>
    </w:rPr>
  </w:style>
  <w:style w:type="paragraph" w:styleId="ListParagraph">
    <w:name w:val="List Paragraph"/>
    <w:basedOn w:val="Normal"/>
    <w:link w:val="ListParagraphChar"/>
    <w:uiPriority w:val="34"/>
    <w:qFormat/>
    <w:rsid w:val="000C1EA1"/>
    <w:pPr>
      <w:ind w:left="720"/>
      <w:contextualSpacing/>
    </w:pPr>
  </w:style>
  <w:style w:type="character" w:styleId="PlaceholderText">
    <w:name w:val="Placeholder Text"/>
    <w:basedOn w:val="DefaultParagraphFont"/>
    <w:uiPriority w:val="99"/>
    <w:semiHidden/>
    <w:rsid w:val="00D42211"/>
    <w:rPr>
      <w:color w:val="808080"/>
    </w:rPr>
  </w:style>
  <w:style w:type="character" w:customStyle="1" w:styleId="ListParagraphChar">
    <w:name w:val="List Paragraph Char"/>
    <w:basedOn w:val="DefaultParagraphFont"/>
    <w:link w:val="ListParagraph"/>
    <w:uiPriority w:val="34"/>
    <w:rsid w:val="00D42211"/>
  </w:style>
  <w:style w:type="paragraph" w:styleId="BalloonText">
    <w:name w:val="Balloon Text"/>
    <w:basedOn w:val="Normal"/>
    <w:link w:val="BalloonTextChar"/>
    <w:uiPriority w:val="99"/>
    <w:semiHidden/>
    <w:unhideWhenUsed/>
    <w:rsid w:val="00C35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2B6"/>
    <w:rPr>
      <w:rFonts w:ascii="Segoe UI" w:hAnsi="Segoe UI" w:cs="Segoe UI"/>
      <w:sz w:val="18"/>
      <w:szCs w:val="18"/>
    </w:rPr>
  </w:style>
  <w:style w:type="character" w:customStyle="1" w:styleId="Heading1Char">
    <w:name w:val="Heading 1 Char"/>
    <w:basedOn w:val="DefaultParagraphFont"/>
    <w:link w:val="Heading1"/>
    <w:uiPriority w:val="9"/>
    <w:rsid w:val="00CE1BCF"/>
    <w:rPr>
      <w:rFonts w:ascii="Arial" w:eastAsiaTheme="majorEastAsia" w:hAnsi="Arial" w:cs="Arial"/>
      <w:b/>
      <w:bCs/>
      <w:spacing w:val="-10"/>
      <w:kern w:val="28"/>
      <w:sz w:val="32"/>
      <w:szCs w:val="32"/>
    </w:rPr>
  </w:style>
  <w:style w:type="character" w:customStyle="1" w:styleId="Heading2Char">
    <w:name w:val="Heading 2 Char"/>
    <w:basedOn w:val="DefaultParagraphFont"/>
    <w:link w:val="Heading2"/>
    <w:uiPriority w:val="9"/>
    <w:rsid w:val="00AD1133"/>
    <w:rPr>
      <w:rFonts w:ascii="Arial" w:eastAsiaTheme="majorEastAsia" w:hAnsi="Arial" w:cstheme="majorBidi"/>
      <w:b/>
      <w:sz w:val="32"/>
      <w:szCs w:val="26"/>
    </w:rPr>
  </w:style>
  <w:style w:type="paragraph" w:customStyle="1" w:styleId="gmail-msolistparagraph">
    <w:name w:val="gmail-msolistparagraph"/>
    <w:basedOn w:val="Normal"/>
    <w:rsid w:val="000F7684"/>
    <w:pPr>
      <w:spacing w:before="100" w:beforeAutospacing="1" w:after="100" w:afterAutospacing="1"/>
    </w:pPr>
    <w:rPr>
      <w:rFonts w:ascii="Calibri" w:hAnsi="Calibri" w:cs="Calibri"/>
    </w:rPr>
  </w:style>
  <w:style w:type="character" w:customStyle="1" w:styleId="apple-converted-space">
    <w:name w:val="apple-converted-space"/>
    <w:basedOn w:val="DefaultParagraphFont"/>
    <w:rsid w:val="00303B63"/>
  </w:style>
  <w:style w:type="paragraph" w:styleId="NormalWeb">
    <w:name w:val="Normal (Web)"/>
    <w:basedOn w:val="Normal"/>
    <w:uiPriority w:val="99"/>
    <w:unhideWhenUsed/>
    <w:rsid w:val="00343793"/>
    <w:pPr>
      <w:spacing w:before="100" w:beforeAutospacing="1" w:after="100" w:afterAutospacing="1"/>
    </w:pPr>
    <w:rPr>
      <w:rFonts w:ascii="Calibri" w:hAnsi="Calibri" w:cs="Calibri"/>
    </w:rPr>
  </w:style>
  <w:style w:type="character" w:styleId="CommentReference">
    <w:name w:val="annotation reference"/>
    <w:uiPriority w:val="99"/>
    <w:semiHidden/>
    <w:unhideWhenUsed/>
    <w:rsid w:val="00536774"/>
    <w:rPr>
      <w:sz w:val="18"/>
      <w:szCs w:val="18"/>
    </w:rPr>
  </w:style>
  <w:style w:type="paragraph" w:styleId="CommentSubject">
    <w:name w:val="annotation subject"/>
    <w:basedOn w:val="CommentText"/>
    <w:next w:val="CommentText"/>
    <w:link w:val="CommentSubjectChar"/>
    <w:uiPriority w:val="99"/>
    <w:semiHidden/>
    <w:unhideWhenUsed/>
    <w:rsid w:val="009A2716"/>
    <w:pPr>
      <w:spacing w:after="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A2716"/>
    <w:rPr>
      <w:rFonts w:ascii="Arial" w:eastAsia="Arial" w:hAnsi="Arial" w:cs="Arial"/>
      <w:b/>
      <w:bCs/>
      <w:sz w:val="20"/>
      <w:szCs w:val="20"/>
      <w:lang w:val="en"/>
    </w:rPr>
  </w:style>
  <w:style w:type="character" w:styleId="UnresolvedMention">
    <w:name w:val="Unresolved Mention"/>
    <w:basedOn w:val="DefaultParagraphFont"/>
    <w:uiPriority w:val="99"/>
    <w:semiHidden/>
    <w:unhideWhenUsed/>
    <w:rsid w:val="007862E6"/>
    <w:rPr>
      <w:color w:val="605E5C"/>
      <w:shd w:val="clear" w:color="auto" w:fill="E1DFDD"/>
    </w:rPr>
  </w:style>
  <w:style w:type="paragraph" w:customStyle="1" w:styleId="xmsonormal">
    <w:name w:val="x_msonormal"/>
    <w:basedOn w:val="Normal"/>
    <w:rsid w:val="00BD0214"/>
    <w:rPr>
      <w:rFonts w:ascii="Calibri" w:hAnsi="Calibri" w:cs="Calibri"/>
    </w:rPr>
  </w:style>
  <w:style w:type="table" w:customStyle="1" w:styleId="TableGrid1">
    <w:name w:val="Table Grid1"/>
    <w:basedOn w:val="TableNormal"/>
    <w:next w:val="TableGrid"/>
    <w:uiPriority w:val="59"/>
    <w:rsid w:val="00C92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37C5"/>
    <w:rPr>
      <w:color w:val="954F72" w:themeColor="followedHyperlink"/>
      <w:u w:val="single"/>
    </w:rPr>
  </w:style>
  <w:style w:type="paragraph" w:styleId="PlainText">
    <w:name w:val="Plain Text"/>
    <w:basedOn w:val="Normal"/>
    <w:link w:val="PlainTextChar"/>
    <w:uiPriority w:val="99"/>
    <w:unhideWhenUsed/>
    <w:rsid w:val="0088798E"/>
    <w:rPr>
      <w:rFonts w:ascii="Arial" w:hAnsi="Arial"/>
      <w:sz w:val="24"/>
      <w:szCs w:val="21"/>
    </w:rPr>
  </w:style>
  <w:style w:type="character" w:customStyle="1" w:styleId="PlainTextChar">
    <w:name w:val="Plain Text Char"/>
    <w:basedOn w:val="DefaultParagraphFont"/>
    <w:link w:val="PlainText"/>
    <w:uiPriority w:val="99"/>
    <w:rsid w:val="0088798E"/>
    <w:rPr>
      <w:rFonts w:ascii="Arial" w:hAnsi="Arial"/>
      <w:sz w:val="24"/>
      <w:szCs w:val="21"/>
    </w:rPr>
  </w:style>
  <w:style w:type="paragraph" w:customStyle="1" w:styleId="PFBody">
    <w:name w:val="PF Body"/>
    <w:basedOn w:val="Normal"/>
    <w:link w:val="PFBodyChar"/>
    <w:qFormat/>
    <w:rsid w:val="00620BBF"/>
    <w:pPr>
      <w:spacing w:before="240" w:after="240" w:line="276" w:lineRule="auto"/>
    </w:pPr>
    <w:rPr>
      <w:rFonts w:ascii="Times New Roman" w:eastAsiaTheme="minorEastAsia" w:hAnsi="Times New Roman"/>
      <w:sz w:val="24"/>
      <w:szCs w:val="20"/>
    </w:rPr>
  </w:style>
  <w:style w:type="character" w:customStyle="1" w:styleId="PFBodyChar">
    <w:name w:val="PF Body Char"/>
    <w:basedOn w:val="DefaultParagraphFont"/>
    <w:link w:val="PFBody"/>
    <w:rsid w:val="00620BBF"/>
    <w:rPr>
      <w:rFonts w:ascii="Times New Roman" w:eastAsiaTheme="minorEastAsia" w:hAnsi="Times New Roman"/>
      <w:sz w:val="24"/>
      <w:szCs w:val="20"/>
    </w:rPr>
  </w:style>
  <w:style w:type="paragraph" w:styleId="Title">
    <w:name w:val="Title"/>
    <w:basedOn w:val="Normal"/>
    <w:next w:val="Normal"/>
    <w:link w:val="TitleChar"/>
    <w:uiPriority w:val="10"/>
    <w:qFormat/>
    <w:rsid w:val="00CE2AF4"/>
    <w:pPr>
      <w:contextualSpacing/>
      <w:jc w:val="center"/>
    </w:pPr>
    <w:rPr>
      <w:rFonts w:ascii="Arial" w:eastAsiaTheme="majorEastAsia" w:hAnsi="Arial" w:cs="Arial"/>
      <w:b/>
      <w:bCs/>
      <w:spacing w:val="-10"/>
      <w:kern w:val="28"/>
      <w:sz w:val="32"/>
      <w:szCs w:val="32"/>
    </w:rPr>
  </w:style>
  <w:style w:type="character" w:customStyle="1" w:styleId="TitleChar">
    <w:name w:val="Title Char"/>
    <w:basedOn w:val="DefaultParagraphFont"/>
    <w:link w:val="Title"/>
    <w:uiPriority w:val="10"/>
    <w:rsid w:val="00CE2AF4"/>
    <w:rPr>
      <w:rFonts w:ascii="Arial" w:eastAsiaTheme="majorEastAsia" w:hAnsi="Arial" w:cs="Arial"/>
      <w:b/>
      <w:bCs/>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19">
      <w:bodyDiv w:val="1"/>
      <w:marLeft w:val="0"/>
      <w:marRight w:val="0"/>
      <w:marTop w:val="0"/>
      <w:marBottom w:val="0"/>
      <w:divBdr>
        <w:top w:val="none" w:sz="0" w:space="0" w:color="auto"/>
        <w:left w:val="none" w:sz="0" w:space="0" w:color="auto"/>
        <w:bottom w:val="none" w:sz="0" w:space="0" w:color="auto"/>
        <w:right w:val="none" w:sz="0" w:space="0" w:color="auto"/>
      </w:divBdr>
    </w:div>
    <w:div w:id="3211547">
      <w:bodyDiv w:val="1"/>
      <w:marLeft w:val="0"/>
      <w:marRight w:val="0"/>
      <w:marTop w:val="0"/>
      <w:marBottom w:val="0"/>
      <w:divBdr>
        <w:top w:val="none" w:sz="0" w:space="0" w:color="auto"/>
        <w:left w:val="none" w:sz="0" w:space="0" w:color="auto"/>
        <w:bottom w:val="none" w:sz="0" w:space="0" w:color="auto"/>
        <w:right w:val="none" w:sz="0" w:space="0" w:color="auto"/>
      </w:divBdr>
    </w:div>
    <w:div w:id="27489415">
      <w:bodyDiv w:val="1"/>
      <w:marLeft w:val="0"/>
      <w:marRight w:val="0"/>
      <w:marTop w:val="0"/>
      <w:marBottom w:val="0"/>
      <w:divBdr>
        <w:top w:val="none" w:sz="0" w:space="0" w:color="auto"/>
        <w:left w:val="none" w:sz="0" w:space="0" w:color="auto"/>
        <w:bottom w:val="none" w:sz="0" w:space="0" w:color="auto"/>
        <w:right w:val="none" w:sz="0" w:space="0" w:color="auto"/>
      </w:divBdr>
    </w:div>
    <w:div w:id="35392513">
      <w:bodyDiv w:val="1"/>
      <w:marLeft w:val="0"/>
      <w:marRight w:val="0"/>
      <w:marTop w:val="0"/>
      <w:marBottom w:val="0"/>
      <w:divBdr>
        <w:top w:val="none" w:sz="0" w:space="0" w:color="auto"/>
        <w:left w:val="none" w:sz="0" w:space="0" w:color="auto"/>
        <w:bottom w:val="none" w:sz="0" w:space="0" w:color="auto"/>
        <w:right w:val="none" w:sz="0" w:space="0" w:color="auto"/>
      </w:divBdr>
    </w:div>
    <w:div w:id="66610569">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108668104">
      <w:bodyDiv w:val="1"/>
      <w:marLeft w:val="0"/>
      <w:marRight w:val="0"/>
      <w:marTop w:val="0"/>
      <w:marBottom w:val="0"/>
      <w:divBdr>
        <w:top w:val="none" w:sz="0" w:space="0" w:color="auto"/>
        <w:left w:val="none" w:sz="0" w:space="0" w:color="auto"/>
        <w:bottom w:val="none" w:sz="0" w:space="0" w:color="auto"/>
        <w:right w:val="none" w:sz="0" w:space="0" w:color="auto"/>
      </w:divBdr>
    </w:div>
    <w:div w:id="118649432">
      <w:bodyDiv w:val="1"/>
      <w:marLeft w:val="0"/>
      <w:marRight w:val="0"/>
      <w:marTop w:val="0"/>
      <w:marBottom w:val="0"/>
      <w:divBdr>
        <w:top w:val="none" w:sz="0" w:space="0" w:color="auto"/>
        <w:left w:val="none" w:sz="0" w:space="0" w:color="auto"/>
        <w:bottom w:val="none" w:sz="0" w:space="0" w:color="auto"/>
        <w:right w:val="none" w:sz="0" w:space="0" w:color="auto"/>
      </w:divBdr>
    </w:div>
    <w:div w:id="128474627">
      <w:bodyDiv w:val="1"/>
      <w:marLeft w:val="0"/>
      <w:marRight w:val="0"/>
      <w:marTop w:val="0"/>
      <w:marBottom w:val="0"/>
      <w:divBdr>
        <w:top w:val="none" w:sz="0" w:space="0" w:color="auto"/>
        <w:left w:val="none" w:sz="0" w:space="0" w:color="auto"/>
        <w:bottom w:val="none" w:sz="0" w:space="0" w:color="auto"/>
        <w:right w:val="none" w:sz="0" w:space="0" w:color="auto"/>
      </w:divBdr>
    </w:div>
    <w:div w:id="132791442">
      <w:bodyDiv w:val="1"/>
      <w:marLeft w:val="0"/>
      <w:marRight w:val="0"/>
      <w:marTop w:val="0"/>
      <w:marBottom w:val="0"/>
      <w:divBdr>
        <w:top w:val="none" w:sz="0" w:space="0" w:color="auto"/>
        <w:left w:val="none" w:sz="0" w:space="0" w:color="auto"/>
        <w:bottom w:val="none" w:sz="0" w:space="0" w:color="auto"/>
        <w:right w:val="none" w:sz="0" w:space="0" w:color="auto"/>
      </w:divBdr>
    </w:div>
    <w:div w:id="163203001">
      <w:bodyDiv w:val="1"/>
      <w:marLeft w:val="0"/>
      <w:marRight w:val="0"/>
      <w:marTop w:val="0"/>
      <w:marBottom w:val="0"/>
      <w:divBdr>
        <w:top w:val="none" w:sz="0" w:space="0" w:color="auto"/>
        <w:left w:val="none" w:sz="0" w:space="0" w:color="auto"/>
        <w:bottom w:val="none" w:sz="0" w:space="0" w:color="auto"/>
        <w:right w:val="none" w:sz="0" w:space="0" w:color="auto"/>
      </w:divBdr>
    </w:div>
    <w:div w:id="167184638">
      <w:bodyDiv w:val="1"/>
      <w:marLeft w:val="0"/>
      <w:marRight w:val="0"/>
      <w:marTop w:val="0"/>
      <w:marBottom w:val="0"/>
      <w:divBdr>
        <w:top w:val="none" w:sz="0" w:space="0" w:color="auto"/>
        <w:left w:val="none" w:sz="0" w:space="0" w:color="auto"/>
        <w:bottom w:val="none" w:sz="0" w:space="0" w:color="auto"/>
        <w:right w:val="none" w:sz="0" w:space="0" w:color="auto"/>
      </w:divBdr>
    </w:div>
    <w:div w:id="226958119">
      <w:bodyDiv w:val="1"/>
      <w:marLeft w:val="0"/>
      <w:marRight w:val="0"/>
      <w:marTop w:val="0"/>
      <w:marBottom w:val="0"/>
      <w:divBdr>
        <w:top w:val="none" w:sz="0" w:space="0" w:color="auto"/>
        <w:left w:val="none" w:sz="0" w:space="0" w:color="auto"/>
        <w:bottom w:val="none" w:sz="0" w:space="0" w:color="auto"/>
        <w:right w:val="none" w:sz="0" w:space="0" w:color="auto"/>
      </w:divBdr>
    </w:div>
    <w:div w:id="227308955">
      <w:bodyDiv w:val="1"/>
      <w:marLeft w:val="0"/>
      <w:marRight w:val="0"/>
      <w:marTop w:val="0"/>
      <w:marBottom w:val="0"/>
      <w:divBdr>
        <w:top w:val="none" w:sz="0" w:space="0" w:color="auto"/>
        <w:left w:val="none" w:sz="0" w:space="0" w:color="auto"/>
        <w:bottom w:val="none" w:sz="0" w:space="0" w:color="auto"/>
        <w:right w:val="none" w:sz="0" w:space="0" w:color="auto"/>
      </w:divBdr>
    </w:div>
    <w:div w:id="239557343">
      <w:bodyDiv w:val="1"/>
      <w:marLeft w:val="0"/>
      <w:marRight w:val="0"/>
      <w:marTop w:val="0"/>
      <w:marBottom w:val="0"/>
      <w:divBdr>
        <w:top w:val="none" w:sz="0" w:space="0" w:color="auto"/>
        <w:left w:val="none" w:sz="0" w:space="0" w:color="auto"/>
        <w:bottom w:val="none" w:sz="0" w:space="0" w:color="auto"/>
        <w:right w:val="none" w:sz="0" w:space="0" w:color="auto"/>
      </w:divBdr>
    </w:div>
    <w:div w:id="264575863">
      <w:bodyDiv w:val="1"/>
      <w:marLeft w:val="0"/>
      <w:marRight w:val="0"/>
      <w:marTop w:val="0"/>
      <w:marBottom w:val="0"/>
      <w:divBdr>
        <w:top w:val="none" w:sz="0" w:space="0" w:color="auto"/>
        <w:left w:val="none" w:sz="0" w:space="0" w:color="auto"/>
        <w:bottom w:val="none" w:sz="0" w:space="0" w:color="auto"/>
        <w:right w:val="none" w:sz="0" w:space="0" w:color="auto"/>
      </w:divBdr>
    </w:div>
    <w:div w:id="265236723">
      <w:bodyDiv w:val="1"/>
      <w:marLeft w:val="0"/>
      <w:marRight w:val="0"/>
      <w:marTop w:val="0"/>
      <w:marBottom w:val="0"/>
      <w:divBdr>
        <w:top w:val="none" w:sz="0" w:space="0" w:color="auto"/>
        <w:left w:val="none" w:sz="0" w:space="0" w:color="auto"/>
        <w:bottom w:val="none" w:sz="0" w:space="0" w:color="auto"/>
        <w:right w:val="none" w:sz="0" w:space="0" w:color="auto"/>
      </w:divBdr>
    </w:div>
    <w:div w:id="266042845">
      <w:bodyDiv w:val="1"/>
      <w:marLeft w:val="0"/>
      <w:marRight w:val="0"/>
      <w:marTop w:val="0"/>
      <w:marBottom w:val="0"/>
      <w:divBdr>
        <w:top w:val="none" w:sz="0" w:space="0" w:color="auto"/>
        <w:left w:val="none" w:sz="0" w:space="0" w:color="auto"/>
        <w:bottom w:val="none" w:sz="0" w:space="0" w:color="auto"/>
        <w:right w:val="none" w:sz="0" w:space="0" w:color="auto"/>
      </w:divBdr>
    </w:div>
    <w:div w:id="269091532">
      <w:bodyDiv w:val="1"/>
      <w:marLeft w:val="0"/>
      <w:marRight w:val="0"/>
      <w:marTop w:val="0"/>
      <w:marBottom w:val="0"/>
      <w:divBdr>
        <w:top w:val="none" w:sz="0" w:space="0" w:color="auto"/>
        <w:left w:val="none" w:sz="0" w:space="0" w:color="auto"/>
        <w:bottom w:val="none" w:sz="0" w:space="0" w:color="auto"/>
        <w:right w:val="none" w:sz="0" w:space="0" w:color="auto"/>
      </w:divBdr>
    </w:div>
    <w:div w:id="317542625">
      <w:bodyDiv w:val="1"/>
      <w:marLeft w:val="0"/>
      <w:marRight w:val="0"/>
      <w:marTop w:val="0"/>
      <w:marBottom w:val="0"/>
      <w:divBdr>
        <w:top w:val="none" w:sz="0" w:space="0" w:color="auto"/>
        <w:left w:val="none" w:sz="0" w:space="0" w:color="auto"/>
        <w:bottom w:val="none" w:sz="0" w:space="0" w:color="auto"/>
        <w:right w:val="none" w:sz="0" w:space="0" w:color="auto"/>
      </w:divBdr>
    </w:div>
    <w:div w:id="322583414">
      <w:bodyDiv w:val="1"/>
      <w:marLeft w:val="0"/>
      <w:marRight w:val="0"/>
      <w:marTop w:val="0"/>
      <w:marBottom w:val="0"/>
      <w:divBdr>
        <w:top w:val="none" w:sz="0" w:space="0" w:color="auto"/>
        <w:left w:val="none" w:sz="0" w:space="0" w:color="auto"/>
        <w:bottom w:val="none" w:sz="0" w:space="0" w:color="auto"/>
        <w:right w:val="none" w:sz="0" w:space="0" w:color="auto"/>
      </w:divBdr>
    </w:div>
    <w:div w:id="338460203">
      <w:bodyDiv w:val="1"/>
      <w:marLeft w:val="0"/>
      <w:marRight w:val="0"/>
      <w:marTop w:val="0"/>
      <w:marBottom w:val="0"/>
      <w:divBdr>
        <w:top w:val="none" w:sz="0" w:space="0" w:color="auto"/>
        <w:left w:val="none" w:sz="0" w:space="0" w:color="auto"/>
        <w:bottom w:val="none" w:sz="0" w:space="0" w:color="auto"/>
        <w:right w:val="none" w:sz="0" w:space="0" w:color="auto"/>
      </w:divBdr>
    </w:div>
    <w:div w:id="341249639">
      <w:bodyDiv w:val="1"/>
      <w:marLeft w:val="0"/>
      <w:marRight w:val="0"/>
      <w:marTop w:val="0"/>
      <w:marBottom w:val="0"/>
      <w:divBdr>
        <w:top w:val="none" w:sz="0" w:space="0" w:color="auto"/>
        <w:left w:val="none" w:sz="0" w:space="0" w:color="auto"/>
        <w:bottom w:val="none" w:sz="0" w:space="0" w:color="auto"/>
        <w:right w:val="none" w:sz="0" w:space="0" w:color="auto"/>
      </w:divBdr>
    </w:div>
    <w:div w:id="347291344">
      <w:bodyDiv w:val="1"/>
      <w:marLeft w:val="0"/>
      <w:marRight w:val="0"/>
      <w:marTop w:val="0"/>
      <w:marBottom w:val="0"/>
      <w:divBdr>
        <w:top w:val="none" w:sz="0" w:space="0" w:color="auto"/>
        <w:left w:val="none" w:sz="0" w:space="0" w:color="auto"/>
        <w:bottom w:val="none" w:sz="0" w:space="0" w:color="auto"/>
        <w:right w:val="none" w:sz="0" w:space="0" w:color="auto"/>
      </w:divBdr>
    </w:div>
    <w:div w:id="384262086">
      <w:bodyDiv w:val="1"/>
      <w:marLeft w:val="0"/>
      <w:marRight w:val="0"/>
      <w:marTop w:val="0"/>
      <w:marBottom w:val="0"/>
      <w:divBdr>
        <w:top w:val="none" w:sz="0" w:space="0" w:color="auto"/>
        <w:left w:val="none" w:sz="0" w:space="0" w:color="auto"/>
        <w:bottom w:val="none" w:sz="0" w:space="0" w:color="auto"/>
        <w:right w:val="none" w:sz="0" w:space="0" w:color="auto"/>
      </w:divBdr>
    </w:div>
    <w:div w:id="400564767">
      <w:bodyDiv w:val="1"/>
      <w:marLeft w:val="0"/>
      <w:marRight w:val="0"/>
      <w:marTop w:val="0"/>
      <w:marBottom w:val="0"/>
      <w:divBdr>
        <w:top w:val="none" w:sz="0" w:space="0" w:color="auto"/>
        <w:left w:val="none" w:sz="0" w:space="0" w:color="auto"/>
        <w:bottom w:val="none" w:sz="0" w:space="0" w:color="auto"/>
        <w:right w:val="none" w:sz="0" w:space="0" w:color="auto"/>
      </w:divBdr>
    </w:div>
    <w:div w:id="418674005">
      <w:bodyDiv w:val="1"/>
      <w:marLeft w:val="0"/>
      <w:marRight w:val="0"/>
      <w:marTop w:val="0"/>
      <w:marBottom w:val="0"/>
      <w:divBdr>
        <w:top w:val="none" w:sz="0" w:space="0" w:color="auto"/>
        <w:left w:val="none" w:sz="0" w:space="0" w:color="auto"/>
        <w:bottom w:val="none" w:sz="0" w:space="0" w:color="auto"/>
        <w:right w:val="none" w:sz="0" w:space="0" w:color="auto"/>
      </w:divBdr>
    </w:div>
    <w:div w:id="419915406">
      <w:bodyDiv w:val="1"/>
      <w:marLeft w:val="0"/>
      <w:marRight w:val="0"/>
      <w:marTop w:val="0"/>
      <w:marBottom w:val="0"/>
      <w:divBdr>
        <w:top w:val="none" w:sz="0" w:space="0" w:color="auto"/>
        <w:left w:val="none" w:sz="0" w:space="0" w:color="auto"/>
        <w:bottom w:val="none" w:sz="0" w:space="0" w:color="auto"/>
        <w:right w:val="none" w:sz="0" w:space="0" w:color="auto"/>
      </w:divBdr>
    </w:div>
    <w:div w:id="477261902">
      <w:bodyDiv w:val="1"/>
      <w:marLeft w:val="0"/>
      <w:marRight w:val="0"/>
      <w:marTop w:val="0"/>
      <w:marBottom w:val="0"/>
      <w:divBdr>
        <w:top w:val="none" w:sz="0" w:space="0" w:color="auto"/>
        <w:left w:val="none" w:sz="0" w:space="0" w:color="auto"/>
        <w:bottom w:val="none" w:sz="0" w:space="0" w:color="auto"/>
        <w:right w:val="none" w:sz="0" w:space="0" w:color="auto"/>
      </w:divBdr>
    </w:div>
    <w:div w:id="483086612">
      <w:bodyDiv w:val="1"/>
      <w:marLeft w:val="0"/>
      <w:marRight w:val="0"/>
      <w:marTop w:val="0"/>
      <w:marBottom w:val="0"/>
      <w:divBdr>
        <w:top w:val="none" w:sz="0" w:space="0" w:color="auto"/>
        <w:left w:val="none" w:sz="0" w:space="0" w:color="auto"/>
        <w:bottom w:val="none" w:sz="0" w:space="0" w:color="auto"/>
        <w:right w:val="none" w:sz="0" w:space="0" w:color="auto"/>
      </w:divBdr>
    </w:div>
    <w:div w:id="502740360">
      <w:bodyDiv w:val="1"/>
      <w:marLeft w:val="0"/>
      <w:marRight w:val="0"/>
      <w:marTop w:val="0"/>
      <w:marBottom w:val="0"/>
      <w:divBdr>
        <w:top w:val="none" w:sz="0" w:space="0" w:color="auto"/>
        <w:left w:val="none" w:sz="0" w:space="0" w:color="auto"/>
        <w:bottom w:val="none" w:sz="0" w:space="0" w:color="auto"/>
        <w:right w:val="none" w:sz="0" w:space="0" w:color="auto"/>
      </w:divBdr>
    </w:div>
    <w:div w:id="517354624">
      <w:bodyDiv w:val="1"/>
      <w:marLeft w:val="0"/>
      <w:marRight w:val="0"/>
      <w:marTop w:val="0"/>
      <w:marBottom w:val="0"/>
      <w:divBdr>
        <w:top w:val="none" w:sz="0" w:space="0" w:color="auto"/>
        <w:left w:val="none" w:sz="0" w:space="0" w:color="auto"/>
        <w:bottom w:val="none" w:sz="0" w:space="0" w:color="auto"/>
        <w:right w:val="none" w:sz="0" w:space="0" w:color="auto"/>
      </w:divBdr>
    </w:div>
    <w:div w:id="561865495">
      <w:bodyDiv w:val="1"/>
      <w:marLeft w:val="0"/>
      <w:marRight w:val="0"/>
      <w:marTop w:val="0"/>
      <w:marBottom w:val="0"/>
      <w:divBdr>
        <w:top w:val="none" w:sz="0" w:space="0" w:color="auto"/>
        <w:left w:val="none" w:sz="0" w:space="0" w:color="auto"/>
        <w:bottom w:val="none" w:sz="0" w:space="0" w:color="auto"/>
        <w:right w:val="none" w:sz="0" w:space="0" w:color="auto"/>
      </w:divBdr>
    </w:div>
    <w:div w:id="586883346">
      <w:bodyDiv w:val="1"/>
      <w:marLeft w:val="0"/>
      <w:marRight w:val="0"/>
      <w:marTop w:val="0"/>
      <w:marBottom w:val="0"/>
      <w:divBdr>
        <w:top w:val="none" w:sz="0" w:space="0" w:color="auto"/>
        <w:left w:val="none" w:sz="0" w:space="0" w:color="auto"/>
        <w:bottom w:val="none" w:sz="0" w:space="0" w:color="auto"/>
        <w:right w:val="none" w:sz="0" w:space="0" w:color="auto"/>
      </w:divBdr>
    </w:div>
    <w:div w:id="628438225">
      <w:bodyDiv w:val="1"/>
      <w:marLeft w:val="0"/>
      <w:marRight w:val="0"/>
      <w:marTop w:val="0"/>
      <w:marBottom w:val="0"/>
      <w:divBdr>
        <w:top w:val="none" w:sz="0" w:space="0" w:color="auto"/>
        <w:left w:val="none" w:sz="0" w:space="0" w:color="auto"/>
        <w:bottom w:val="none" w:sz="0" w:space="0" w:color="auto"/>
        <w:right w:val="none" w:sz="0" w:space="0" w:color="auto"/>
      </w:divBdr>
    </w:div>
    <w:div w:id="640380276">
      <w:bodyDiv w:val="1"/>
      <w:marLeft w:val="0"/>
      <w:marRight w:val="0"/>
      <w:marTop w:val="0"/>
      <w:marBottom w:val="0"/>
      <w:divBdr>
        <w:top w:val="none" w:sz="0" w:space="0" w:color="auto"/>
        <w:left w:val="none" w:sz="0" w:space="0" w:color="auto"/>
        <w:bottom w:val="none" w:sz="0" w:space="0" w:color="auto"/>
        <w:right w:val="none" w:sz="0" w:space="0" w:color="auto"/>
      </w:divBdr>
    </w:div>
    <w:div w:id="648444045">
      <w:bodyDiv w:val="1"/>
      <w:marLeft w:val="0"/>
      <w:marRight w:val="0"/>
      <w:marTop w:val="0"/>
      <w:marBottom w:val="0"/>
      <w:divBdr>
        <w:top w:val="none" w:sz="0" w:space="0" w:color="auto"/>
        <w:left w:val="none" w:sz="0" w:space="0" w:color="auto"/>
        <w:bottom w:val="none" w:sz="0" w:space="0" w:color="auto"/>
        <w:right w:val="none" w:sz="0" w:space="0" w:color="auto"/>
      </w:divBdr>
    </w:div>
    <w:div w:id="680157254">
      <w:bodyDiv w:val="1"/>
      <w:marLeft w:val="0"/>
      <w:marRight w:val="0"/>
      <w:marTop w:val="0"/>
      <w:marBottom w:val="0"/>
      <w:divBdr>
        <w:top w:val="none" w:sz="0" w:space="0" w:color="auto"/>
        <w:left w:val="none" w:sz="0" w:space="0" w:color="auto"/>
        <w:bottom w:val="none" w:sz="0" w:space="0" w:color="auto"/>
        <w:right w:val="none" w:sz="0" w:space="0" w:color="auto"/>
      </w:divBdr>
    </w:div>
    <w:div w:id="692269896">
      <w:bodyDiv w:val="1"/>
      <w:marLeft w:val="0"/>
      <w:marRight w:val="0"/>
      <w:marTop w:val="0"/>
      <w:marBottom w:val="0"/>
      <w:divBdr>
        <w:top w:val="none" w:sz="0" w:space="0" w:color="auto"/>
        <w:left w:val="none" w:sz="0" w:space="0" w:color="auto"/>
        <w:bottom w:val="none" w:sz="0" w:space="0" w:color="auto"/>
        <w:right w:val="none" w:sz="0" w:space="0" w:color="auto"/>
      </w:divBdr>
    </w:div>
    <w:div w:id="707726277">
      <w:bodyDiv w:val="1"/>
      <w:marLeft w:val="0"/>
      <w:marRight w:val="0"/>
      <w:marTop w:val="0"/>
      <w:marBottom w:val="0"/>
      <w:divBdr>
        <w:top w:val="none" w:sz="0" w:space="0" w:color="auto"/>
        <w:left w:val="none" w:sz="0" w:space="0" w:color="auto"/>
        <w:bottom w:val="none" w:sz="0" w:space="0" w:color="auto"/>
        <w:right w:val="none" w:sz="0" w:space="0" w:color="auto"/>
      </w:divBdr>
    </w:div>
    <w:div w:id="716971384">
      <w:bodyDiv w:val="1"/>
      <w:marLeft w:val="0"/>
      <w:marRight w:val="0"/>
      <w:marTop w:val="0"/>
      <w:marBottom w:val="0"/>
      <w:divBdr>
        <w:top w:val="none" w:sz="0" w:space="0" w:color="auto"/>
        <w:left w:val="none" w:sz="0" w:space="0" w:color="auto"/>
        <w:bottom w:val="none" w:sz="0" w:space="0" w:color="auto"/>
        <w:right w:val="none" w:sz="0" w:space="0" w:color="auto"/>
      </w:divBdr>
    </w:div>
    <w:div w:id="718212636">
      <w:bodyDiv w:val="1"/>
      <w:marLeft w:val="0"/>
      <w:marRight w:val="0"/>
      <w:marTop w:val="0"/>
      <w:marBottom w:val="0"/>
      <w:divBdr>
        <w:top w:val="none" w:sz="0" w:space="0" w:color="auto"/>
        <w:left w:val="none" w:sz="0" w:space="0" w:color="auto"/>
        <w:bottom w:val="none" w:sz="0" w:space="0" w:color="auto"/>
        <w:right w:val="none" w:sz="0" w:space="0" w:color="auto"/>
      </w:divBdr>
    </w:div>
    <w:div w:id="721372827">
      <w:bodyDiv w:val="1"/>
      <w:marLeft w:val="0"/>
      <w:marRight w:val="0"/>
      <w:marTop w:val="0"/>
      <w:marBottom w:val="0"/>
      <w:divBdr>
        <w:top w:val="none" w:sz="0" w:space="0" w:color="auto"/>
        <w:left w:val="none" w:sz="0" w:space="0" w:color="auto"/>
        <w:bottom w:val="none" w:sz="0" w:space="0" w:color="auto"/>
        <w:right w:val="none" w:sz="0" w:space="0" w:color="auto"/>
      </w:divBdr>
    </w:div>
    <w:div w:id="737242945">
      <w:bodyDiv w:val="1"/>
      <w:marLeft w:val="0"/>
      <w:marRight w:val="0"/>
      <w:marTop w:val="0"/>
      <w:marBottom w:val="0"/>
      <w:divBdr>
        <w:top w:val="none" w:sz="0" w:space="0" w:color="auto"/>
        <w:left w:val="none" w:sz="0" w:space="0" w:color="auto"/>
        <w:bottom w:val="none" w:sz="0" w:space="0" w:color="auto"/>
        <w:right w:val="none" w:sz="0" w:space="0" w:color="auto"/>
      </w:divBdr>
    </w:div>
    <w:div w:id="744496380">
      <w:bodyDiv w:val="1"/>
      <w:marLeft w:val="0"/>
      <w:marRight w:val="0"/>
      <w:marTop w:val="0"/>
      <w:marBottom w:val="0"/>
      <w:divBdr>
        <w:top w:val="none" w:sz="0" w:space="0" w:color="auto"/>
        <w:left w:val="none" w:sz="0" w:space="0" w:color="auto"/>
        <w:bottom w:val="none" w:sz="0" w:space="0" w:color="auto"/>
        <w:right w:val="none" w:sz="0" w:space="0" w:color="auto"/>
      </w:divBdr>
    </w:div>
    <w:div w:id="745958509">
      <w:bodyDiv w:val="1"/>
      <w:marLeft w:val="0"/>
      <w:marRight w:val="0"/>
      <w:marTop w:val="0"/>
      <w:marBottom w:val="0"/>
      <w:divBdr>
        <w:top w:val="none" w:sz="0" w:space="0" w:color="auto"/>
        <w:left w:val="none" w:sz="0" w:space="0" w:color="auto"/>
        <w:bottom w:val="none" w:sz="0" w:space="0" w:color="auto"/>
        <w:right w:val="none" w:sz="0" w:space="0" w:color="auto"/>
      </w:divBdr>
    </w:div>
    <w:div w:id="757481292">
      <w:bodyDiv w:val="1"/>
      <w:marLeft w:val="0"/>
      <w:marRight w:val="0"/>
      <w:marTop w:val="0"/>
      <w:marBottom w:val="0"/>
      <w:divBdr>
        <w:top w:val="none" w:sz="0" w:space="0" w:color="auto"/>
        <w:left w:val="none" w:sz="0" w:space="0" w:color="auto"/>
        <w:bottom w:val="none" w:sz="0" w:space="0" w:color="auto"/>
        <w:right w:val="none" w:sz="0" w:space="0" w:color="auto"/>
      </w:divBdr>
    </w:div>
    <w:div w:id="788090044">
      <w:bodyDiv w:val="1"/>
      <w:marLeft w:val="0"/>
      <w:marRight w:val="0"/>
      <w:marTop w:val="0"/>
      <w:marBottom w:val="0"/>
      <w:divBdr>
        <w:top w:val="none" w:sz="0" w:space="0" w:color="auto"/>
        <w:left w:val="none" w:sz="0" w:space="0" w:color="auto"/>
        <w:bottom w:val="none" w:sz="0" w:space="0" w:color="auto"/>
        <w:right w:val="none" w:sz="0" w:space="0" w:color="auto"/>
      </w:divBdr>
    </w:div>
    <w:div w:id="798690995">
      <w:bodyDiv w:val="1"/>
      <w:marLeft w:val="0"/>
      <w:marRight w:val="0"/>
      <w:marTop w:val="0"/>
      <w:marBottom w:val="0"/>
      <w:divBdr>
        <w:top w:val="none" w:sz="0" w:space="0" w:color="auto"/>
        <w:left w:val="none" w:sz="0" w:space="0" w:color="auto"/>
        <w:bottom w:val="none" w:sz="0" w:space="0" w:color="auto"/>
        <w:right w:val="none" w:sz="0" w:space="0" w:color="auto"/>
      </w:divBdr>
    </w:div>
    <w:div w:id="808937674">
      <w:bodyDiv w:val="1"/>
      <w:marLeft w:val="0"/>
      <w:marRight w:val="0"/>
      <w:marTop w:val="0"/>
      <w:marBottom w:val="0"/>
      <w:divBdr>
        <w:top w:val="none" w:sz="0" w:space="0" w:color="auto"/>
        <w:left w:val="none" w:sz="0" w:space="0" w:color="auto"/>
        <w:bottom w:val="none" w:sz="0" w:space="0" w:color="auto"/>
        <w:right w:val="none" w:sz="0" w:space="0" w:color="auto"/>
      </w:divBdr>
    </w:div>
    <w:div w:id="816528789">
      <w:bodyDiv w:val="1"/>
      <w:marLeft w:val="0"/>
      <w:marRight w:val="0"/>
      <w:marTop w:val="0"/>
      <w:marBottom w:val="0"/>
      <w:divBdr>
        <w:top w:val="none" w:sz="0" w:space="0" w:color="auto"/>
        <w:left w:val="none" w:sz="0" w:space="0" w:color="auto"/>
        <w:bottom w:val="none" w:sz="0" w:space="0" w:color="auto"/>
        <w:right w:val="none" w:sz="0" w:space="0" w:color="auto"/>
      </w:divBdr>
    </w:div>
    <w:div w:id="826478731">
      <w:bodyDiv w:val="1"/>
      <w:marLeft w:val="0"/>
      <w:marRight w:val="0"/>
      <w:marTop w:val="0"/>
      <w:marBottom w:val="0"/>
      <w:divBdr>
        <w:top w:val="none" w:sz="0" w:space="0" w:color="auto"/>
        <w:left w:val="none" w:sz="0" w:space="0" w:color="auto"/>
        <w:bottom w:val="none" w:sz="0" w:space="0" w:color="auto"/>
        <w:right w:val="none" w:sz="0" w:space="0" w:color="auto"/>
      </w:divBdr>
    </w:div>
    <w:div w:id="826826126">
      <w:bodyDiv w:val="1"/>
      <w:marLeft w:val="0"/>
      <w:marRight w:val="0"/>
      <w:marTop w:val="0"/>
      <w:marBottom w:val="0"/>
      <w:divBdr>
        <w:top w:val="none" w:sz="0" w:space="0" w:color="auto"/>
        <w:left w:val="none" w:sz="0" w:space="0" w:color="auto"/>
        <w:bottom w:val="none" w:sz="0" w:space="0" w:color="auto"/>
        <w:right w:val="none" w:sz="0" w:space="0" w:color="auto"/>
      </w:divBdr>
    </w:div>
    <w:div w:id="830609261">
      <w:bodyDiv w:val="1"/>
      <w:marLeft w:val="0"/>
      <w:marRight w:val="0"/>
      <w:marTop w:val="0"/>
      <w:marBottom w:val="0"/>
      <w:divBdr>
        <w:top w:val="none" w:sz="0" w:space="0" w:color="auto"/>
        <w:left w:val="none" w:sz="0" w:space="0" w:color="auto"/>
        <w:bottom w:val="none" w:sz="0" w:space="0" w:color="auto"/>
        <w:right w:val="none" w:sz="0" w:space="0" w:color="auto"/>
      </w:divBdr>
    </w:div>
    <w:div w:id="831455348">
      <w:bodyDiv w:val="1"/>
      <w:marLeft w:val="0"/>
      <w:marRight w:val="0"/>
      <w:marTop w:val="0"/>
      <w:marBottom w:val="0"/>
      <w:divBdr>
        <w:top w:val="none" w:sz="0" w:space="0" w:color="auto"/>
        <w:left w:val="none" w:sz="0" w:space="0" w:color="auto"/>
        <w:bottom w:val="none" w:sz="0" w:space="0" w:color="auto"/>
        <w:right w:val="none" w:sz="0" w:space="0" w:color="auto"/>
      </w:divBdr>
    </w:div>
    <w:div w:id="838085670">
      <w:bodyDiv w:val="1"/>
      <w:marLeft w:val="0"/>
      <w:marRight w:val="0"/>
      <w:marTop w:val="0"/>
      <w:marBottom w:val="0"/>
      <w:divBdr>
        <w:top w:val="none" w:sz="0" w:space="0" w:color="auto"/>
        <w:left w:val="none" w:sz="0" w:space="0" w:color="auto"/>
        <w:bottom w:val="none" w:sz="0" w:space="0" w:color="auto"/>
        <w:right w:val="none" w:sz="0" w:space="0" w:color="auto"/>
      </w:divBdr>
    </w:div>
    <w:div w:id="854878845">
      <w:bodyDiv w:val="1"/>
      <w:marLeft w:val="0"/>
      <w:marRight w:val="0"/>
      <w:marTop w:val="0"/>
      <w:marBottom w:val="0"/>
      <w:divBdr>
        <w:top w:val="none" w:sz="0" w:space="0" w:color="auto"/>
        <w:left w:val="none" w:sz="0" w:space="0" w:color="auto"/>
        <w:bottom w:val="none" w:sz="0" w:space="0" w:color="auto"/>
        <w:right w:val="none" w:sz="0" w:space="0" w:color="auto"/>
      </w:divBdr>
    </w:div>
    <w:div w:id="883981333">
      <w:bodyDiv w:val="1"/>
      <w:marLeft w:val="0"/>
      <w:marRight w:val="0"/>
      <w:marTop w:val="0"/>
      <w:marBottom w:val="0"/>
      <w:divBdr>
        <w:top w:val="none" w:sz="0" w:space="0" w:color="auto"/>
        <w:left w:val="none" w:sz="0" w:space="0" w:color="auto"/>
        <w:bottom w:val="none" w:sz="0" w:space="0" w:color="auto"/>
        <w:right w:val="none" w:sz="0" w:space="0" w:color="auto"/>
      </w:divBdr>
    </w:div>
    <w:div w:id="923882902">
      <w:bodyDiv w:val="1"/>
      <w:marLeft w:val="0"/>
      <w:marRight w:val="0"/>
      <w:marTop w:val="0"/>
      <w:marBottom w:val="0"/>
      <w:divBdr>
        <w:top w:val="none" w:sz="0" w:space="0" w:color="auto"/>
        <w:left w:val="none" w:sz="0" w:space="0" w:color="auto"/>
        <w:bottom w:val="none" w:sz="0" w:space="0" w:color="auto"/>
        <w:right w:val="none" w:sz="0" w:space="0" w:color="auto"/>
      </w:divBdr>
    </w:div>
    <w:div w:id="959994098">
      <w:bodyDiv w:val="1"/>
      <w:marLeft w:val="0"/>
      <w:marRight w:val="0"/>
      <w:marTop w:val="0"/>
      <w:marBottom w:val="0"/>
      <w:divBdr>
        <w:top w:val="none" w:sz="0" w:space="0" w:color="auto"/>
        <w:left w:val="none" w:sz="0" w:space="0" w:color="auto"/>
        <w:bottom w:val="none" w:sz="0" w:space="0" w:color="auto"/>
        <w:right w:val="none" w:sz="0" w:space="0" w:color="auto"/>
      </w:divBdr>
    </w:div>
    <w:div w:id="999582574">
      <w:bodyDiv w:val="1"/>
      <w:marLeft w:val="0"/>
      <w:marRight w:val="0"/>
      <w:marTop w:val="0"/>
      <w:marBottom w:val="0"/>
      <w:divBdr>
        <w:top w:val="none" w:sz="0" w:space="0" w:color="auto"/>
        <w:left w:val="none" w:sz="0" w:space="0" w:color="auto"/>
        <w:bottom w:val="none" w:sz="0" w:space="0" w:color="auto"/>
        <w:right w:val="none" w:sz="0" w:space="0" w:color="auto"/>
      </w:divBdr>
    </w:div>
    <w:div w:id="1010184369">
      <w:bodyDiv w:val="1"/>
      <w:marLeft w:val="0"/>
      <w:marRight w:val="0"/>
      <w:marTop w:val="0"/>
      <w:marBottom w:val="0"/>
      <w:divBdr>
        <w:top w:val="none" w:sz="0" w:space="0" w:color="auto"/>
        <w:left w:val="none" w:sz="0" w:space="0" w:color="auto"/>
        <w:bottom w:val="none" w:sz="0" w:space="0" w:color="auto"/>
        <w:right w:val="none" w:sz="0" w:space="0" w:color="auto"/>
      </w:divBdr>
    </w:div>
    <w:div w:id="1037201259">
      <w:bodyDiv w:val="1"/>
      <w:marLeft w:val="0"/>
      <w:marRight w:val="0"/>
      <w:marTop w:val="0"/>
      <w:marBottom w:val="0"/>
      <w:divBdr>
        <w:top w:val="none" w:sz="0" w:space="0" w:color="auto"/>
        <w:left w:val="none" w:sz="0" w:space="0" w:color="auto"/>
        <w:bottom w:val="none" w:sz="0" w:space="0" w:color="auto"/>
        <w:right w:val="none" w:sz="0" w:space="0" w:color="auto"/>
      </w:divBdr>
    </w:div>
    <w:div w:id="1042099464">
      <w:bodyDiv w:val="1"/>
      <w:marLeft w:val="0"/>
      <w:marRight w:val="0"/>
      <w:marTop w:val="0"/>
      <w:marBottom w:val="0"/>
      <w:divBdr>
        <w:top w:val="none" w:sz="0" w:space="0" w:color="auto"/>
        <w:left w:val="none" w:sz="0" w:space="0" w:color="auto"/>
        <w:bottom w:val="none" w:sz="0" w:space="0" w:color="auto"/>
        <w:right w:val="none" w:sz="0" w:space="0" w:color="auto"/>
      </w:divBdr>
    </w:div>
    <w:div w:id="1043555158">
      <w:bodyDiv w:val="1"/>
      <w:marLeft w:val="0"/>
      <w:marRight w:val="0"/>
      <w:marTop w:val="0"/>
      <w:marBottom w:val="0"/>
      <w:divBdr>
        <w:top w:val="none" w:sz="0" w:space="0" w:color="auto"/>
        <w:left w:val="none" w:sz="0" w:space="0" w:color="auto"/>
        <w:bottom w:val="none" w:sz="0" w:space="0" w:color="auto"/>
        <w:right w:val="none" w:sz="0" w:space="0" w:color="auto"/>
      </w:divBdr>
    </w:div>
    <w:div w:id="1069186275">
      <w:bodyDiv w:val="1"/>
      <w:marLeft w:val="0"/>
      <w:marRight w:val="0"/>
      <w:marTop w:val="0"/>
      <w:marBottom w:val="0"/>
      <w:divBdr>
        <w:top w:val="none" w:sz="0" w:space="0" w:color="auto"/>
        <w:left w:val="none" w:sz="0" w:space="0" w:color="auto"/>
        <w:bottom w:val="none" w:sz="0" w:space="0" w:color="auto"/>
        <w:right w:val="none" w:sz="0" w:space="0" w:color="auto"/>
      </w:divBdr>
    </w:div>
    <w:div w:id="1090153479">
      <w:bodyDiv w:val="1"/>
      <w:marLeft w:val="0"/>
      <w:marRight w:val="0"/>
      <w:marTop w:val="0"/>
      <w:marBottom w:val="0"/>
      <w:divBdr>
        <w:top w:val="none" w:sz="0" w:space="0" w:color="auto"/>
        <w:left w:val="none" w:sz="0" w:space="0" w:color="auto"/>
        <w:bottom w:val="none" w:sz="0" w:space="0" w:color="auto"/>
        <w:right w:val="none" w:sz="0" w:space="0" w:color="auto"/>
      </w:divBdr>
    </w:div>
    <w:div w:id="1094397602">
      <w:bodyDiv w:val="1"/>
      <w:marLeft w:val="0"/>
      <w:marRight w:val="0"/>
      <w:marTop w:val="0"/>
      <w:marBottom w:val="0"/>
      <w:divBdr>
        <w:top w:val="none" w:sz="0" w:space="0" w:color="auto"/>
        <w:left w:val="none" w:sz="0" w:space="0" w:color="auto"/>
        <w:bottom w:val="none" w:sz="0" w:space="0" w:color="auto"/>
        <w:right w:val="none" w:sz="0" w:space="0" w:color="auto"/>
      </w:divBdr>
    </w:div>
    <w:div w:id="1102530106">
      <w:bodyDiv w:val="1"/>
      <w:marLeft w:val="0"/>
      <w:marRight w:val="0"/>
      <w:marTop w:val="0"/>
      <w:marBottom w:val="0"/>
      <w:divBdr>
        <w:top w:val="none" w:sz="0" w:space="0" w:color="auto"/>
        <w:left w:val="none" w:sz="0" w:space="0" w:color="auto"/>
        <w:bottom w:val="none" w:sz="0" w:space="0" w:color="auto"/>
        <w:right w:val="none" w:sz="0" w:space="0" w:color="auto"/>
      </w:divBdr>
    </w:div>
    <w:div w:id="1103038821">
      <w:bodyDiv w:val="1"/>
      <w:marLeft w:val="0"/>
      <w:marRight w:val="0"/>
      <w:marTop w:val="0"/>
      <w:marBottom w:val="0"/>
      <w:divBdr>
        <w:top w:val="none" w:sz="0" w:space="0" w:color="auto"/>
        <w:left w:val="none" w:sz="0" w:space="0" w:color="auto"/>
        <w:bottom w:val="none" w:sz="0" w:space="0" w:color="auto"/>
        <w:right w:val="none" w:sz="0" w:space="0" w:color="auto"/>
      </w:divBdr>
    </w:div>
    <w:div w:id="1120491216">
      <w:bodyDiv w:val="1"/>
      <w:marLeft w:val="0"/>
      <w:marRight w:val="0"/>
      <w:marTop w:val="0"/>
      <w:marBottom w:val="0"/>
      <w:divBdr>
        <w:top w:val="none" w:sz="0" w:space="0" w:color="auto"/>
        <w:left w:val="none" w:sz="0" w:space="0" w:color="auto"/>
        <w:bottom w:val="none" w:sz="0" w:space="0" w:color="auto"/>
        <w:right w:val="none" w:sz="0" w:space="0" w:color="auto"/>
      </w:divBdr>
    </w:div>
    <w:div w:id="1127894375">
      <w:bodyDiv w:val="1"/>
      <w:marLeft w:val="0"/>
      <w:marRight w:val="0"/>
      <w:marTop w:val="0"/>
      <w:marBottom w:val="0"/>
      <w:divBdr>
        <w:top w:val="none" w:sz="0" w:space="0" w:color="auto"/>
        <w:left w:val="none" w:sz="0" w:space="0" w:color="auto"/>
        <w:bottom w:val="none" w:sz="0" w:space="0" w:color="auto"/>
        <w:right w:val="none" w:sz="0" w:space="0" w:color="auto"/>
      </w:divBdr>
    </w:div>
    <w:div w:id="1148863252">
      <w:bodyDiv w:val="1"/>
      <w:marLeft w:val="0"/>
      <w:marRight w:val="0"/>
      <w:marTop w:val="0"/>
      <w:marBottom w:val="0"/>
      <w:divBdr>
        <w:top w:val="none" w:sz="0" w:space="0" w:color="auto"/>
        <w:left w:val="none" w:sz="0" w:space="0" w:color="auto"/>
        <w:bottom w:val="none" w:sz="0" w:space="0" w:color="auto"/>
        <w:right w:val="none" w:sz="0" w:space="0" w:color="auto"/>
      </w:divBdr>
    </w:div>
    <w:div w:id="1162741422">
      <w:bodyDiv w:val="1"/>
      <w:marLeft w:val="0"/>
      <w:marRight w:val="0"/>
      <w:marTop w:val="0"/>
      <w:marBottom w:val="0"/>
      <w:divBdr>
        <w:top w:val="none" w:sz="0" w:space="0" w:color="auto"/>
        <w:left w:val="none" w:sz="0" w:space="0" w:color="auto"/>
        <w:bottom w:val="none" w:sz="0" w:space="0" w:color="auto"/>
        <w:right w:val="none" w:sz="0" w:space="0" w:color="auto"/>
      </w:divBdr>
    </w:div>
    <w:div w:id="1163739515">
      <w:bodyDiv w:val="1"/>
      <w:marLeft w:val="0"/>
      <w:marRight w:val="0"/>
      <w:marTop w:val="0"/>
      <w:marBottom w:val="0"/>
      <w:divBdr>
        <w:top w:val="none" w:sz="0" w:space="0" w:color="auto"/>
        <w:left w:val="none" w:sz="0" w:space="0" w:color="auto"/>
        <w:bottom w:val="none" w:sz="0" w:space="0" w:color="auto"/>
        <w:right w:val="none" w:sz="0" w:space="0" w:color="auto"/>
      </w:divBdr>
    </w:div>
    <w:div w:id="1171485572">
      <w:bodyDiv w:val="1"/>
      <w:marLeft w:val="0"/>
      <w:marRight w:val="0"/>
      <w:marTop w:val="0"/>
      <w:marBottom w:val="0"/>
      <w:divBdr>
        <w:top w:val="none" w:sz="0" w:space="0" w:color="auto"/>
        <w:left w:val="none" w:sz="0" w:space="0" w:color="auto"/>
        <w:bottom w:val="none" w:sz="0" w:space="0" w:color="auto"/>
        <w:right w:val="none" w:sz="0" w:space="0" w:color="auto"/>
      </w:divBdr>
    </w:div>
    <w:div w:id="1214081623">
      <w:bodyDiv w:val="1"/>
      <w:marLeft w:val="0"/>
      <w:marRight w:val="0"/>
      <w:marTop w:val="0"/>
      <w:marBottom w:val="0"/>
      <w:divBdr>
        <w:top w:val="none" w:sz="0" w:space="0" w:color="auto"/>
        <w:left w:val="none" w:sz="0" w:space="0" w:color="auto"/>
        <w:bottom w:val="none" w:sz="0" w:space="0" w:color="auto"/>
        <w:right w:val="none" w:sz="0" w:space="0" w:color="auto"/>
      </w:divBdr>
    </w:div>
    <w:div w:id="1238976119">
      <w:bodyDiv w:val="1"/>
      <w:marLeft w:val="0"/>
      <w:marRight w:val="0"/>
      <w:marTop w:val="0"/>
      <w:marBottom w:val="0"/>
      <w:divBdr>
        <w:top w:val="none" w:sz="0" w:space="0" w:color="auto"/>
        <w:left w:val="none" w:sz="0" w:space="0" w:color="auto"/>
        <w:bottom w:val="none" w:sz="0" w:space="0" w:color="auto"/>
        <w:right w:val="none" w:sz="0" w:space="0" w:color="auto"/>
      </w:divBdr>
    </w:div>
    <w:div w:id="1247228922">
      <w:bodyDiv w:val="1"/>
      <w:marLeft w:val="0"/>
      <w:marRight w:val="0"/>
      <w:marTop w:val="0"/>
      <w:marBottom w:val="0"/>
      <w:divBdr>
        <w:top w:val="none" w:sz="0" w:space="0" w:color="auto"/>
        <w:left w:val="none" w:sz="0" w:space="0" w:color="auto"/>
        <w:bottom w:val="none" w:sz="0" w:space="0" w:color="auto"/>
        <w:right w:val="none" w:sz="0" w:space="0" w:color="auto"/>
      </w:divBdr>
    </w:div>
    <w:div w:id="1273515511">
      <w:bodyDiv w:val="1"/>
      <w:marLeft w:val="0"/>
      <w:marRight w:val="0"/>
      <w:marTop w:val="0"/>
      <w:marBottom w:val="0"/>
      <w:divBdr>
        <w:top w:val="none" w:sz="0" w:space="0" w:color="auto"/>
        <w:left w:val="none" w:sz="0" w:space="0" w:color="auto"/>
        <w:bottom w:val="none" w:sz="0" w:space="0" w:color="auto"/>
        <w:right w:val="none" w:sz="0" w:space="0" w:color="auto"/>
      </w:divBdr>
    </w:div>
    <w:div w:id="1312445180">
      <w:bodyDiv w:val="1"/>
      <w:marLeft w:val="0"/>
      <w:marRight w:val="0"/>
      <w:marTop w:val="0"/>
      <w:marBottom w:val="0"/>
      <w:divBdr>
        <w:top w:val="none" w:sz="0" w:space="0" w:color="auto"/>
        <w:left w:val="none" w:sz="0" w:space="0" w:color="auto"/>
        <w:bottom w:val="none" w:sz="0" w:space="0" w:color="auto"/>
        <w:right w:val="none" w:sz="0" w:space="0" w:color="auto"/>
      </w:divBdr>
    </w:div>
    <w:div w:id="1364474644">
      <w:bodyDiv w:val="1"/>
      <w:marLeft w:val="0"/>
      <w:marRight w:val="0"/>
      <w:marTop w:val="0"/>
      <w:marBottom w:val="0"/>
      <w:divBdr>
        <w:top w:val="none" w:sz="0" w:space="0" w:color="auto"/>
        <w:left w:val="none" w:sz="0" w:space="0" w:color="auto"/>
        <w:bottom w:val="none" w:sz="0" w:space="0" w:color="auto"/>
        <w:right w:val="none" w:sz="0" w:space="0" w:color="auto"/>
      </w:divBdr>
    </w:div>
    <w:div w:id="1371883210">
      <w:bodyDiv w:val="1"/>
      <w:marLeft w:val="0"/>
      <w:marRight w:val="0"/>
      <w:marTop w:val="0"/>
      <w:marBottom w:val="0"/>
      <w:divBdr>
        <w:top w:val="none" w:sz="0" w:space="0" w:color="auto"/>
        <w:left w:val="none" w:sz="0" w:space="0" w:color="auto"/>
        <w:bottom w:val="none" w:sz="0" w:space="0" w:color="auto"/>
        <w:right w:val="none" w:sz="0" w:space="0" w:color="auto"/>
      </w:divBdr>
    </w:div>
    <w:div w:id="1464541754">
      <w:bodyDiv w:val="1"/>
      <w:marLeft w:val="0"/>
      <w:marRight w:val="0"/>
      <w:marTop w:val="0"/>
      <w:marBottom w:val="0"/>
      <w:divBdr>
        <w:top w:val="none" w:sz="0" w:space="0" w:color="auto"/>
        <w:left w:val="none" w:sz="0" w:space="0" w:color="auto"/>
        <w:bottom w:val="none" w:sz="0" w:space="0" w:color="auto"/>
        <w:right w:val="none" w:sz="0" w:space="0" w:color="auto"/>
      </w:divBdr>
    </w:div>
    <w:div w:id="1483307682">
      <w:bodyDiv w:val="1"/>
      <w:marLeft w:val="0"/>
      <w:marRight w:val="0"/>
      <w:marTop w:val="0"/>
      <w:marBottom w:val="0"/>
      <w:divBdr>
        <w:top w:val="none" w:sz="0" w:space="0" w:color="auto"/>
        <w:left w:val="none" w:sz="0" w:space="0" w:color="auto"/>
        <w:bottom w:val="none" w:sz="0" w:space="0" w:color="auto"/>
        <w:right w:val="none" w:sz="0" w:space="0" w:color="auto"/>
      </w:divBdr>
    </w:div>
    <w:div w:id="1492525469">
      <w:bodyDiv w:val="1"/>
      <w:marLeft w:val="0"/>
      <w:marRight w:val="0"/>
      <w:marTop w:val="0"/>
      <w:marBottom w:val="0"/>
      <w:divBdr>
        <w:top w:val="none" w:sz="0" w:space="0" w:color="auto"/>
        <w:left w:val="none" w:sz="0" w:space="0" w:color="auto"/>
        <w:bottom w:val="none" w:sz="0" w:space="0" w:color="auto"/>
        <w:right w:val="none" w:sz="0" w:space="0" w:color="auto"/>
      </w:divBdr>
    </w:div>
    <w:div w:id="1494687794">
      <w:bodyDiv w:val="1"/>
      <w:marLeft w:val="0"/>
      <w:marRight w:val="0"/>
      <w:marTop w:val="0"/>
      <w:marBottom w:val="0"/>
      <w:divBdr>
        <w:top w:val="none" w:sz="0" w:space="0" w:color="auto"/>
        <w:left w:val="none" w:sz="0" w:space="0" w:color="auto"/>
        <w:bottom w:val="none" w:sz="0" w:space="0" w:color="auto"/>
        <w:right w:val="none" w:sz="0" w:space="0" w:color="auto"/>
      </w:divBdr>
    </w:div>
    <w:div w:id="1500805060">
      <w:bodyDiv w:val="1"/>
      <w:marLeft w:val="0"/>
      <w:marRight w:val="0"/>
      <w:marTop w:val="0"/>
      <w:marBottom w:val="0"/>
      <w:divBdr>
        <w:top w:val="none" w:sz="0" w:space="0" w:color="auto"/>
        <w:left w:val="none" w:sz="0" w:space="0" w:color="auto"/>
        <w:bottom w:val="none" w:sz="0" w:space="0" w:color="auto"/>
        <w:right w:val="none" w:sz="0" w:space="0" w:color="auto"/>
      </w:divBdr>
    </w:div>
    <w:div w:id="1506630128">
      <w:bodyDiv w:val="1"/>
      <w:marLeft w:val="0"/>
      <w:marRight w:val="0"/>
      <w:marTop w:val="0"/>
      <w:marBottom w:val="0"/>
      <w:divBdr>
        <w:top w:val="none" w:sz="0" w:space="0" w:color="auto"/>
        <w:left w:val="none" w:sz="0" w:space="0" w:color="auto"/>
        <w:bottom w:val="none" w:sz="0" w:space="0" w:color="auto"/>
        <w:right w:val="none" w:sz="0" w:space="0" w:color="auto"/>
      </w:divBdr>
    </w:div>
    <w:div w:id="1523206105">
      <w:bodyDiv w:val="1"/>
      <w:marLeft w:val="0"/>
      <w:marRight w:val="0"/>
      <w:marTop w:val="0"/>
      <w:marBottom w:val="0"/>
      <w:divBdr>
        <w:top w:val="none" w:sz="0" w:space="0" w:color="auto"/>
        <w:left w:val="none" w:sz="0" w:space="0" w:color="auto"/>
        <w:bottom w:val="none" w:sz="0" w:space="0" w:color="auto"/>
        <w:right w:val="none" w:sz="0" w:space="0" w:color="auto"/>
      </w:divBdr>
    </w:div>
    <w:div w:id="1561558265">
      <w:bodyDiv w:val="1"/>
      <w:marLeft w:val="0"/>
      <w:marRight w:val="0"/>
      <w:marTop w:val="0"/>
      <w:marBottom w:val="0"/>
      <w:divBdr>
        <w:top w:val="none" w:sz="0" w:space="0" w:color="auto"/>
        <w:left w:val="none" w:sz="0" w:space="0" w:color="auto"/>
        <w:bottom w:val="none" w:sz="0" w:space="0" w:color="auto"/>
        <w:right w:val="none" w:sz="0" w:space="0" w:color="auto"/>
      </w:divBdr>
    </w:div>
    <w:div w:id="1565068176">
      <w:bodyDiv w:val="1"/>
      <w:marLeft w:val="0"/>
      <w:marRight w:val="0"/>
      <w:marTop w:val="0"/>
      <w:marBottom w:val="0"/>
      <w:divBdr>
        <w:top w:val="none" w:sz="0" w:space="0" w:color="auto"/>
        <w:left w:val="none" w:sz="0" w:space="0" w:color="auto"/>
        <w:bottom w:val="none" w:sz="0" w:space="0" w:color="auto"/>
        <w:right w:val="none" w:sz="0" w:space="0" w:color="auto"/>
      </w:divBdr>
    </w:div>
    <w:div w:id="1598557483">
      <w:bodyDiv w:val="1"/>
      <w:marLeft w:val="0"/>
      <w:marRight w:val="0"/>
      <w:marTop w:val="0"/>
      <w:marBottom w:val="0"/>
      <w:divBdr>
        <w:top w:val="none" w:sz="0" w:space="0" w:color="auto"/>
        <w:left w:val="none" w:sz="0" w:space="0" w:color="auto"/>
        <w:bottom w:val="none" w:sz="0" w:space="0" w:color="auto"/>
        <w:right w:val="none" w:sz="0" w:space="0" w:color="auto"/>
      </w:divBdr>
    </w:div>
    <w:div w:id="1601376039">
      <w:bodyDiv w:val="1"/>
      <w:marLeft w:val="0"/>
      <w:marRight w:val="0"/>
      <w:marTop w:val="0"/>
      <w:marBottom w:val="0"/>
      <w:divBdr>
        <w:top w:val="none" w:sz="0" w:space="0" w:color="auto"/>
        <w:left w:val="none" w:sz="0" w:space="0" w:color="auto"/>
        <w:bottom w:val="none" w:sz="0" w:space="0" w:color="auto"/>
        <w:right w:val="none" w:sz="0" w:space="0" w:color="auto"/>
      </w:divBdr>
    </w:div>
    <w:div w:id="1601641613">
      <w:bodyDiv w:val="1"/>
      <w:marLeft w:val="0"/>
      <w:marRight w:val="0"/>
      <w:marTop w:val="0"/>
      <w:marBottom w:val="0"/>
      <w:divBdr>
        <w:top w:val="none" w:sz="0" w:space="0" w:color="auto"/>
        <w:left w:val="none" w:sz="0" w:space="0" w:color="auto"/>
        <w:bottom w:val="none" w:sz="0" w:space="0" w:color="auto"/>
        <w:right w:val="none" w:sz="0" w:space="0" w:color="auto"/>
      </w:divBdr>
    </w:div>
    <w:div w:id="1631479165">
      <w:bodyDiv w:val="1"/>
      <w:marLeft w:val="0"/>
      <w:marRight w:val="0"/>
      <w:marTop w:val="0"/>
      <w:marBottom w:val="0"/>
      <w:divBdr>
        <w:top w:val="none" w:sz="0" w:space="0" w:color="auto"/>
        <w:left w:val="none" w:sz="0" w:space="0" w:color="auto"/>
        <w:bottom w:val="none" w:sz="0" w:space="0" w:color="auto"/>
        <w:right w:val="none" w:sz="0" w:space="0" w:color="auto"/>
      </w:divBdr>
    </w:div>
    <w:div w:id="1631665483">
      <w:bodyDiv w:val="1"/>
      <w:marLeft w:val="0"/>
      <w:marRight w:val="0"/>
      <w:marTop w:val="0"/>
      <w:marBottom w:val="0"/>
      <w:divBdr>
        <w:top w:val="none" w:sz="0" w:space="0" w:color="auto"/>
        <w:left w:val="none" w:sz="0" w:space="0" w:color="auto"/>
        <w:bottom w:val="none" w:sz="0" w:space="0" w:color="auto"/>
        <w:right w:val="none" w:sz="0" w:space="0" w:color="auto"/>
      </w:divBdr>
    </w:div>
    <w:div w:id="1724132377">
      <w:bodyDiv w:val="1"/>
      <w:marLeft w:val="0"/>
      <w:marRight w:val="0"/>
      <w:marTop w:val="0"/>
      <w:marBottom w:val="0"/>
      <w:divBdr>
        <w:top w:val="none" w:sz="0" w:space="0" w:color="auto"/>
        <w:left w:val="none" w:sz="0" w:space="0" w:color="auto"/>
        <w:bottom w:val="none" w:sz="0" w:space="0" w:color="auto"/>
        <w:right w:val="none" w:sz="0" w:space="0" w:color="auto"/>
      </w:divBdr>
    </w:div>
    <w:div w:id="1746760416">
      <w:bodyDiv w:val="1"/>
      <w:marLeft w:val="0"/>
      <w:marRight w:val="0"/>
      <w:marTop w:val="0"/>
      <w:marBottom w:val="0"/>
      <w:divBdr>
        <w:top w:val="none" w:sz="0" w:space="0" w:color="auto"/>
        <w:left w:val="none" w:sz="0" w:space="0" w:color="auto"/>
        <w:bottom w:val="none" w:sz="0" w:space="0" w:color="auto"/>
        <w:right w:val="none" w:sz="0" w:space="0" w:color="auto"/>
      </w:divBdr>
    </w:div>
    <w:div w:id="1751925250">
      <w:bodyDiv w:val="1"/>
      <w:marLeft w:val="0"/>
      <w:marRight w:val="0"/>
      <w:marTop w:val="0"/>
      <w:marBottom w:val="0"/>
      <w:divBdr>
        <w:top w:val="none" w:sz="0" w:space="0" w:color="auto"/>
        <w:left w:val="none" w:sz="0" w:space="0" w:color="auto"/>
        <w:bottom w:val="none" w:sz="0" w:space="0" w:color="auto"/>
        <w:right w:val="none" w:sz="0" w:space="0" w:color="auto"/>
      </w:divBdr>
    </w:div>
    <w:div w:id="1767380089">
      <w:bodyDiv w:val="1"/>
      <w:marLeft w:val="0"/>
      <w:marRight w:val="0"/>
      <w:marTop w:val="0"/>
      <w:marBottom w:val="0"/>
      <w:divBdr>
        <w:top w:val="none" w:sz="0" w:space="0" w:color="auto"/>
        <w:left w:val="none" w:sz="0" w:space="0" w:color="auto"/>
        <w:bottom w:val="none" w:sz="0" w:space="0" w:color="auto"/>
        <w:right w:val="none" w:sz="0" w:space="0" w:color="auto"/>
      </w:divBdr>
    </w:div>
    <w:div w:id="1801340867">
      <w:bodyDiv w:val="1"/>
      <w:marLeft w:val="0"/>
      <w:marRight w:val="0"/>
      <w:marTop w:val="0"/>
      <w:marBottom w:val="0"/>
      <w:divBdr>
        <w:top w:val="none" w:sz="0" w:space="0" w:color="auto"/>
        <w:left w:val="none" w:sz="0" w:space="0" w:color="auto"/>
        <w:bottom w:val="none" w:sz="0" w:space="0" w:color="auto"/>
        <w:right w:val="none" w:sz="0" w:space="0" w:color="auto"/>
      </w:divBdr>
    </w:div>
    <w:div w:id="1817255920">
      <w:bodyDiv w:val="1"/>
      <w:marLeft w:val="0"/>
      <w:marRight w:val="0"/>
      <w:marTop w:val="0"/>
      <w:marBottom w:val="0"/>
      <w:divBdr>
        <w:top w:val="none" w:sz="0" w:space="0" w:color="auto"/>
        <w:left w:val="none" w:sz="0" w:space="0" w:color="auto"/>
        <w:bottom w:val="none" w:sz="0" w:space="0" w:color="auto"/>
        <w:right w:val="none" w:sz="0" w:space="0" w:color="auto"/>
      </w:divBdr>
    </w:div>
    <w:div w:id="1842314252">
      <w:bodyDiv w:val="1"/>
      <w:marLeft w:val="0"/>
      <w:marRight w:val="0"/>
      <w:marTop w:val="0"/>
      <w:marBottom w:val="0"/>
      <w:divBdr>
        <w:top w:val="none" w:sz="0" w:space="0" w:color="auto"/>
        <w:left w:val="none" w:sz="0" w:space="0" w:color="auto"/>
        <w:bottom w:val="none" w:sz="0" w:space="0" w:color="auto"/>
        <w:right w:val="none" w:sz="0" w:space="0" w:color="auto"/>
      </w:divBdr>
    </w:div>
    <w:div w:id="1874027408">
      <w:bodyDiv w:val="1"/>
      <w:marLeft w:val="0"/>
      <w:marRight w:val="0"/>
      <w:marTop w:val="0"/>
      <w:marBottom w:val="0"/>
      <w:divBdr>
        <w:top w:val="none" w:sz="0" w:space="0" w:color="auto"/>
        <w:left w:val="none" w:sz="0" w:space="0" w:color="auto"/>
        <w:bottom w:val="none" w:sz="0" w:space="0" w:color="auto"/>
        <w:right w:val="none" w:sz="0" w:space="0" w:color="auto"/>
      </w:divBdr>
    </w:div>
    <w:div w:id="1926841380">
      <w:bodyDiv w:val="1"/>
      <w:marLeft w:val="0"/>
      <w:marRight w:val="0"/>
      <w:marTop w:val="0"/>
      <w:marBottom w:val="0"/>
      <w:divBdr>
        <w:top w:val="none" w:sz="0" w:space="0" w:color="auto"/>
        <w:left w:val="none" w:sz="0" w:space="0" w:color="auto"/>
        <w:bottom w:val="none" w:sz="0" w:space="0" w:color="auto"/>
        <w:right w:val="none" w:sz="0" w:space="0" w:color="auto"/>
      </w:divBdr>
      <w:divsChild>
        <w:div w:id="1329478850">
          <w:marLeft w:val="0"/>
          <w:marRight w:val="0"/>
          <w:marTop w:val="0"/>
          <w:marBottom w:val="0"/>
          <w:divBdr>
            <w:top w:val="none" w:sz="0" w:space="0" w:color="auto"/>
            <w:left w:val="none" w:sz="0" w:space="0" w:color="auto"/>
            <w:bottom w:val="none" w:sz="0" w:space="0" w:color="auto"/>
            <w:right w:val="none" w:sz="0" w:space="0" w:color="auto"/>
          </w:divBdr>
        </w:div>
      </w:divsChild>
    </w:div>
    <w:div w:id="1955282033">
      <w:bodyDiv w:val="1"/>
      <w:marLeft w:val="0"/>
      <w:marRight w:val="0"/>
      <w:marTop w:val="0"/>
      <w:marBottom w:val="0"/>
      <w:divBdr>
        <w:top w:val="none" w:sz="0" w:space="0" w:color="auto"/>
        <w:left w:val="none" w:sz="0" w:space="0" w:color="auto"/>
        <w:bottom w:val="none" w:sz="0" w:space="0" w:color="auto"/>
        <w:right w:val="none" w:sz="0" w:space="0" w:color="auto"/>
      </w:divBdr>
    </w:div>
    <w:div w:id="2009093308">
      <w:bodyDiv w:val="1"/>
      <w:marLeft w:val="0"/>
      <w:marRight w:val="0"/>
      <w:marTop w:val="0"/>
      <w:marBottom w:val="0"/>
      <w:divBdr>
        <w:top w:val="none" w:sz="0" w:space="0" w:color="auto"/>
        <w:left w:val="none" w:sz="0" w:space="0" w:color="auto"/>
        <w:bottom w:val="none" w:sz="0" w:space="0" w:color="auto"/>
        <w:right w:val="none" w:sz="0" w:space="0" w:color="auto"/>
      </w:divBdr>
    </w:div>
    <w:div w:id="2014187238">
      <w:bodyDiv w:val="1"/>
      <w:marLeft w:val="0"/>
      <w:marRight w:val="0"/>
      <w:marTop w:val="0"/>
      <w:marBottom w:val="0"/>
      <w:divBdr>
        <w:top w:val="none" w:sz="0" w:space="0" w:color="auto"/>
        <w:left w:val="none" w:sz="0" w:space="0" w:color="auto"/>
        <w:bottom w:val="none" w:sz="0" w:space="0" w:color="auto"/>
        <w:right w:val="none" w:sz="0" w:space="0" w:color="auto"/>
      </w:divBdr>
    </w:div>
    <w:div w:id="2058966134">
      <w:bodyDiv w:val="1"/>
      <w:marLeft w:val="0"/>
      <w:marRight w:val="0"/>
      <w:marTop w:val="0"/>
      <w:marBottom w:val="0"/>
      <w:divBdr>
        <w:top w:val="none" w:sz="0" w:space="0" w:color="auto"/>
        <w:left w:val="none" w:sz="0" w:space="0" w:color="auto"/>
        <w:bottom w:val="none" w:sz="0" w:space="0" w:color="auto"/>
        <w:right w:val="none" w:sz="0" w:space="0" w:color="auto"/>
      </w:divBdr>
    </w:div>
    <w:div w:id="2113864586">
      <w:bodyDiv w:val="1"/>
      <w:marLeft w:val="0"/>
      <w:marRight w:val="0"/>
      <w:marTop w:val="0"/>
      <w:marBottom w:val="0"/>
      <w:divBdr>
        <w:top w:val="none" w:sz="0" w:space="0" w:color="auto"/>
        <w:left w:val="none" w:sz="0" w:space="0" w:color="auto"/>
        <w:bottom w:val="none" w:sz="0" w:space="0" w:color="auto"/>
        <w:right w:val="none" w:sz="0" w:space="0" w:color="auto"/>
      </w:divBdr>
    </w:div>
    <w:div w:id="2118868786">
      <w:bodyDiv w:val="1"/>
      <w:marLeft w:val="0"/>
      <w:marRight w:val="0"/>
      <w:marTop w:val="0"/>
      <w:marBottom w:val="0"/>
      <w:divBdr>
        <w:top w:val="none" w:sz="0" w:space="0" w:color="auto"/>
        <w:left w:val="none" w:sz="0" w:space="0" w:color="auto"/>
        <w:bottom w:val="none" w:sz="0" w:space="0" w:color="auto"/>
        <w:right w:val="none" w:sz="0" w:space="0" w:color="auto"/>
      </w:divBdr>
      <w:divsChild>
        <w:div w:id="64134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ci/cr/cf/documents/pfcgpubliccommentdraft.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e.box.com/s/11rheutgvbtwswnueg2ysbca0q765b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FBAA5-BF8F-4B4E-B173-AE128EDA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5758</Words>
  <Characters>34276</Characters>
  <Application>Microsoft Office Word</Application>
  <DocSecurity>0</DocSecurity>
  <Lines>1346</Lines>
  <Paragraphs>528</Paragraphs>
  <ScaleCrop>false</ScaleCrop>
  <HeadingPairs>
    <vt:vector size="2" baseType="variant">
      <vt:variant>
        <vt:lpstr>Title</vt:lpstr>
      </vt:variant>
      <vt:variant>
        <vt:i4>1</vt:i4>
      </vt:variant>
    </vt:vector>
  </HeadingPairs>
  <TitlesOfParts>
    <vt:vector size="1" baseType="lpstr">
      <vt:lpstr>PFCG Comment Table - Instructional Quality Commission (CA Dept of Education)</vt:lpstr>
    </vt:vector>
  </TitlesOfParts>
  <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PFCG Comment Table - Instructional Quality Commission (CA Dept of Education)</dc:title>
  <dc:subject>Summary Table of Public Comments from 30-Day Review on the Draft Personal Finance Curriculum Guide (PFCG).</dc:subject>
  <dc:creator/>
  <cp:keywords/>
  <dc:description/>
  <cp:lastModifiedBy/>
  <cp:revision>1</cp:revision>
  <dcterms:created xsi:type="dcterms:W3CDTF">2025-11-24T18:49:00Z</dcterms:created>
  <dcterms:modified xsi:type="dcterms:W3CDTF">2025-11-24T18:51:00Z</dcterms:modified>
</cp:coreProperties>
</file>