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E7625" w14:textId="77777777" w:rsidR="00844EBF" w:rsidRPr="00856CE5" w:rsidRDefault="003E06F5" w:rsidP="00607835">
      <w:pPr>
        <w:tabs>
          <w:tab w:val="left" w:pos="5760"/>
        </w:tabs>
        <w:ind w:right="90"/>
        <w:rPr>
          <w:rFonts w:cs="Arial"/>
        </w:rPr>
      </w:pPr>
      <w:r w:rsidRPr="00856CE5">
        <w:rPr>
          <w:rFonts w:cs="Arial"/>
        </w:rPr>
        <w:t>California Department of Education</w:t>
      </w:r>
      <w:r w:rsidR="00844EBF" w:rsidRPr="00856CE5">
        <w:rPr>
          <w:rFonts w:cs="Arial"/>
        </w:rPr>
        <w:br/>
      </w:r>
      <w:r w:rsidRPr="00856CE5">
        <w:rPr>
          <w:rFonts w:cs="Arial"/>
        </w:rPr>
        <w:t>Executive Office</w:t>
      </w:r>
      <w:r w:rsidR="00844EBF" w:rsidRPr="00856CE5">
        <w:rPr>
          <w:rFonts w:cs="Arial"/>
        </w:rPr>
        <w:br/>
      </w:r>
      <w:r w:rsidRPr="00856CE5">
        <w:rPr>
          <w:rFonts w:cs="Arial"/>
        </w:rPr>
        <w:t>SBE-002 (REV. 11/2017)</w:t>
      </w:r>
    </w:p>
    <w:p w14:paraId="13BE7626" w14:textId="37869012" w:rsidR="00823888" w:rsidRPr="00856CE5" w:rsidRDefault="00B975A0" w:rsidP="005D06A8">
      <w:pPr>
        <w:tabs>
          <w:tab w:val="left" w:pos="5760"/>
        </w:tabs>
        <w:ind w:right="90"/>
        <w:jc w:val="right"/>
        <w:rPr>
          <w:rFonts w:cs="Arial"/>
        </w:rPr>
        <w:sectPr w:rsidR="00823888" w:rsidRPr="00856CE5" w:rsidSect="00B90D03">
          <w:headerReference w:type="default" r:id="rId11"/>
          <w:pgSz w:w="12240" w:h="15840"/>
          <w:pgMar w:top="1440" w:right="1440" w:bottom="1440" w:left="1440" w:header="720" w:footer="720" w:gutter="0"/>
          <w:pgNumType w:start="1"/>
          <w:cols w:num="2" w:space="0" w:equalWidth="0">
            <w:col w:w="5328" w:space="0"/>
            <w:col w:w="4032"/>
          </w:cols>
          <w:titlePg/>
          <w:docGrid w:linePitch="360"/>
        </w:sectPr>
      </w:pPr>
      <w:r w:rsidRPr="00856CE5">
        <w:rPr>
          <w:rFonts w:cs="Arial"/>
        </w:rPr>
        <w:t>memo-imb</w:t>
      </w:r>
      <w:r w:rsidR="00844EBF" w:rsidRPr="00856CE5">
        <w:rPr>
          <w:rFonts w:cs="Arial"/>
        </w:rPr>
        <w:t>-amard-</w:t>
      </w:r>
      <w:r w:rsidR="00DF3794" w:rsidRPr="00856CE5">
        <w:rPr>
          <w:rFonts w:cs="Arial"/>
        </w:rPr>
        <w:t>april</w:t>
      </w:r>
      <w:r w:rsidRPr="00856CE5">
        <w:rPr>
          <w:rFonts w:cs="Arial"/>
        </w:rPr>
        <w:t>20</w:t>
      </w:r>
      <w:r w:rsidR="00844EBF" w:rsidRPr="00856CE5">
        <w:rPr>
          <w:rFonts w:cs="Arial"/>
        </w:rPr>
        <w:t>item0</w:t>
      </w:r>
      <w:r w:rsidR="00DF3794" w:rsidRPr="00856CE5">
        <w:rPr>
          <w:rFonts w:cs="Arial"/>
        </w:rPr>
        <w:t>2</w:t>
      </w:r>
    </w:p>
    <w:p w14:paraId="13BE7627" w14:textId="77777777" w:rsidR="00057A96" w:rsidRPr="00856CE5" w:rsidRDefault="00C91054">
      <w:pPr>
        <w:pStyle w:val="Heading1"/>
        <w:spacing w:line="360" w:lineRule="auto"/>
        <w:rPr>
          <w:rFonts w:ascii="Arial" w:hAnsi="Arial" w:cs="Arial"/>
          <w:b/>
          <w:color w:val="auto"/>
          <w:sz w:val="40"/>
          <w:szCs w:val="52"/>
        </w:rPr>
      </w:pPr>
      <w:r w:rsidRPr="00856CE5">
        <w:rPr>
          <w:rFonts w:ascii="Arial" w:hAnsi="Arial" w:cs="Arial"/>
          <w:b/>
          <w:color w:val="auto"/>
          <w:sz w:val="40"/>
          <w:szCs w:val="52"/>
        </w:rPr>
        <w:t>MEM</w:t>
      </w:r>
      <w:r w:rsidR="00BC376B" w:rsidRPr="00856CE5">
        <w:rPr>
          <w:rFonts w:ascii="Arial" w:hAnsi="Arial" w:cs="Arial"/>
          <w:b/>
          <w:color w:val="auto"/>
          <w:sz w:val="40"/>
          <w:szCs w:val="52"/>
        </w:rPr>
        <w:t>ORANDUM</w:t>
      </w:r>
    </w:p>
    <w:p w14:paraId="13BE7628" w14:textId="73BD8A3B" w:rsidR="00057A96" w:rsidRPr="00856CE5" w:rsidRDefault="008F6CA0">
      <w:pPr>
        <w:pStyle w:val="MessageHeader"/>
        <w:rPr>
          <w:rFonts w:cs="Arial"/>
        </w:rPr>
      </w:pPr>
      <w:r w:rsidRPr="00856CE5">
        <w:rPr>
          <w:rFonts w:cs="Arial"/>
          <w:b/>
        </w:rPr>
        <w:t>DATE:</w:t>
      </w:r>
      <w:r w:rsidRPr="00856CE5">
        <w:rPr>
          <w:rFonts w:cs="Arial"/>
        </w:rPr>
        <w:tab/>
      </w:r>
      <w:r w:rsidR="00856CE5" w:rsidRPr="00856CE5">
        <w:rPr>
          <w:rFonts w:cs="Arial"/>
        </w:rPr>
        <w:t>April 15</w:t>
      </w:r>
      <w:r w:rsidR="00B975A0" w:rsidRPr="00856CE5">
        <w:rPr>
          <w:rFonts w:cs="Arial"/>
        </w:rPr>
        <w:t>, 2020</w:t>
      </w:r>
    </w:p>
    <w:p w14:paraId="13BE7629" w14:textId="77777777" w:rsidR="00057A96" w:rsidRPr="00856CE5" w:rsidRDefault="00057A96">
      <w:pPr>
        <w:pStyle w:val="MessageHeader"/>
        <w:rPr>
          <w:rFonts w:cs="Arial"/>
        </w:rPr>
      </w:pPr>
      <w:r w:rsidRPr="00856CE5">
        <w:rPr>
          <w:rFonts w:cs="Arial"/>
          <w:b/>
        </w:rPr>
        <w:t>TO:</w:t>
      </w:r>
      <w:r w:rsidRPr="00856CE5">
        <w:rPr>
          <w:rFonts w:cs="Arial"/>
          <w:b/>
        </w:rPr>
        <w:tab/>
      </w:r>
      <w:bookmarkStart w:id="0" w:name="_GoBack"/>
      <w:bookmarkEnd w:id="0"/>
      <w:r w:rsidRPr="00856CE5">
        <w:rPr>
          <w:rFonts w:cs="Arial"/>
        </w:rPr>
        <w:t>ME</w:t>
      </w:r>
      <w:r w:rsidR="00171FE9" w:rsidRPr="00856CE5">
        <w:rPr>
          <w:rFonts w:cs="Arial"/>
        </w:rPr>
        <w:t>MBERS, State Board of Education</w:t>
      </w:r>
    </w:p>
    <w:p w14:paraId="13BE762A" w14:textId="77777777" w:rsidR="00057A96" w:rsidRPr="00856CE5" w:rsidRDefault="00057A96">
      <w:pPr>
        <w:pStyle w:val="MessageHeader"/>
        <w:rPr>
          <w:rFonts w:cs="Arial"/>
        </w:rPr>
      </w:pPr>
      <w:r w:rsidRPr="00856CE5">
        <w:rPr>
          <w:rFonts w:cs="Arial"/>
          <w:b/>
        </w:rPr>
        <w:t>FROM:</w:t>
      </w:r>
      <w:r w:rsidR="00C61F78" w:rsidRPr="00856CE5">
        <w:rPr>
          <w:rFonts w:cs="Arial"/>
        </w:rPr>
        <w:tab/>
      </w:r>
      <w:r w:rsidR="00D368A9" w:rsidRPr="00856CE5">
        <w:rPr>
          <w:rFonts w:cs="Arial"/>
        </w:rPr>
        <w:t>TONY THURMOND</w:t>
      </w:r>
      <w:r w:rsidR="00C61F78" w:rsidRPr="00856CE5">
        <w:rPr>
          <w:rFonts w:cs="Arial"/>
        </w:rPr>
        <w:t xml:space="preserve">, </w:t>
      </w:r>
      <w:r w:rsidRPr="00856CE5">
        <w:rPr>
          <w:rFonts w:cs="Arial"/>
        </w:rPr>
        <w:t>State Superintendent of Public Instruction</w:t>
      </w:r>
    </w:p>
    <w:p w14:paraId="13BE762B" w14:textId="77777777" w:rsidR="00057A96" w:rsidRPr="00856CE5" w:rsidRDefault="00057A96">
      <w:pPr>
        <w:pStyle w:val="MessageHeader"/>
        <w:rPr>
          <w:rFonts w:cs="Arial"/>
          <w:color w:val="000000"/>
        </w:rPr>
      </w:pPr>
      <w:r w:rsidRPr="00856CE5">
        <w:rPr>
          <w:rFonts w:cs="Arial"/>
          <w:b/>
          <w:bCs/>
        </w:rPr>
        <w:t>SUBJECT:</w:t>
      </w:r>
      <w:r w:rsidRPr="00856CE5">
        <w:rPr>
          <w:rFonts w:cs="Arial"/>
          <w:b/>
        </w:rPr>
        <w:tab/>
      </w:r>
      <w:r w:rsidR="004C638C" w:rsidRPr="00856CE5">
        <w:rPr>
          <w:rFonts w:cs="Arial"/>
          <w:color w:val="000000"/>
        </w:rPr>
        <w:t xml:space="preserve">Update on the Implementation of the Integrated Local, State, and Federal Accountability System: Schools Eligible for Support Under </w:t>
      </w:r>
      <w:proofErr w:type="gramStart"/>
      <w:r w:rsidR="004C638C" w:rsidRPr="00856CE5">
        <w:rPr>
          <w:rFonts w:cs="Arial"/>
          <w:color w:val="000000"/>
        </w:rPr>
        <w:t>the Every</w:t>
      </w:r>
      <w:proofErr w:type="gramEnd"/>
      <w:r w:rsidR="004C638C" w:rsidRPr="00856CE5">
        <w:rPr>
          <w:rFonts w:cs="Arial"/>
          <w:color w:val="000000"/>
        </w:rPr>
        <w:t xml:space="preserve"> Student Succeeds Act.</w:t>
      </w:r>
    </w:p>
    <w:p w14:paraId="332414E3" w14:textId="6F1E47EE" w:rsidR="00057A96" w:rsidRPr="00856CE5" w:rsidRDefault="0023BA10" w:rsidP="6ACC55D2">
      <w:pPr>
        <w:spacing w:after="240"/>
      </w:pPr>
      <w:r w:rsidRPr="00856CE5">
        <w:rPr>
          <w:rFonts w:eastAsia="Arial" w:cs="Arial"/>
          <w:color w:val="000000" w:themeColor="text1"/>
        </w:rPr>
        <w:t xml:space="preserve">The California Department of Education (CDE) recently reviewed the business rules </w:t>
      </w:r>
      <w:r w:rsidRPr="00856CE5">
        <w:rPr>
          <w:rFonts w:eastAsia="Arial" w:cs="Arial"/>
          <w:color w:val="212121"/>
        </w:rPr>
        <w:t>associated with the exit criteria</w:t>
      </w:r>
      <w:r w:rsidRPr="00856CE5">
        <w:rPr>
          <w:rFonts w:eastAsia="Arial" w:cs="Arial"/>
          <w:color w:val="000000" w:themeColor="text1"/>
        </w:rPr>
        <w:t xml:space="preserve"> used to determine eligibility for Comprehensive Support and Improvement (CSI) for schools. Based on this review, the CDE found that 40 schools are no longer eligible for CSI based on revised business rules. All changes are reflected in this updated memorandum.</w:t>
      </w:r>
      <w:r w:rsidRPr="00856CE5">
        <w:rPr>
          <w:rFonts w:cs="Arial"/>
          <w:sz w:val="36"/>
          <w:szCs w:val="36"/>
        </w:rPr>
        <w:t xml:space="preserve"> </w:t>
      </w:r>
    </w:p>
    <w:p w14:paraId="13BE762C" w14:textId="7A708CA8" w:rsidR="00057A96" w:rsidRPr="00856CE5" w:rsidRDefault="00474A2F" w:rsidP="6ACC55D2">
      <w:pPr>
        <w:pStyle w:val="Heading2"/>
        <w:spacing w:before="0" w:after="240"/>
        <w:rPr>
          <w:rFonts w:cs="Arial"/>
          <w:sz w:val="36"/>
          <w:szCs w:val="36"/>
        </w:rPr>
      </w:pPr>
      <w:r w:rsidRPr="00856CE5">
        <w:rPr>
          <w:rFonts w:cs="Arial"/>
          <w:sz w:val="36"/>
          <w:szCs w:val="36"/>
        </w:rPr>
        <w:t>Summary o</w:t>
      </w:r>
      <w:r w:rsidR="00057A96" w:rsidRPr="00856CE5">
        <w:rPr>
          <w:rFonts w:cs="Arial"/>
          <w:sz w:val="36"/>
          <w:szCs w:val="36"/>
        </w:rPr>
        <w:t>f Key Issues</w:t>
      </w:r>
    </w:p>
    <w:p w14:paraId="13BE762D" w14:textId="48618C5A" w:rsidR="00C30641" w:rsidRPr="00856CE5" w:rsidRDefault="007F2156" w:rsidP="004C638C">
      <w:pPr>
        <w:spacing w:after="240"/>
        <w:rPr>
          <w:rFonts w:cs="Arial"/>
        </w:rPr>
      </w:pPr>
      <w:r w:rsidRPr="00856CE5">
        <w:rPr>
          <w:rFonts w:cs="Arial"/>
        </w:rPr>
        <w:t>On an annual basis</w:t>
      </w:r>
      <w:r w:rsidR="000570F0" w:rsidRPr="00856CE5">
        <w:rPr>
          <w:rFonts w:cs="Arial"/>
        </w:rPr>
        <w:t>,</w:t>
      </w:r>
      <w:r w:rsidR="004C638C" w:rsidRPr="00856CE5">
        <w:rPr>
          <w:rFonts w:cs="Arial"/>
        </w:rPr>
        <w:t xml:space="preserve"> states </w:t>
      </w:r>
      <w:r w:rsidRPr="00856CE5">
        <w:rPr>
          <w:rFonts w:cs="Arial"/>
        </w:rPr>
        <w:t>a</w:t>
      </w:r>
      <w:r w:rsidR="004C638C" w:rsidRPr="00856CE5">
        <w:rPr>
          <w:rFonts w:cs="Arial"/>
        </w:rPr>
        <w:t xml:space="preserve">re required under </w:t>
      </w:r>
      <w:proofErr w:type="gramStart"/>
      <w:r w:rsidR="004C638C" w:rsidRPr="00856CE5">
        <w:rPr>
          <w:rFonts w:cs="Arial"/>
        </w:rPr>
        <w:t>the Every</w:t>
      </w:r>
      <w:proofErr w:type="gramEnd"/>
      <w:r w:rsidR="004C638C" w:rsidRPr="00856CE5">
        <w:rPr>
          <w:rFonts w:cs="Arial"/>
        </w:rPr>
        <w:t xml:space="preserve"> Student Succeeds Act (ESSA) to determine which schools were eligible for Comprehensive Support and Improvement (CSI) based on the criteria in the</w:t>
      </w:r>
      <w:r w:rsidRPr="00856CE5">
        <w:rPr>
          <w:rFonts w:cs="Arial"/>
        </w:rPr>
        <w:t>ir</w:t>
      </w:r>
      <w:r w:rsidR="004C638C" w:rsidRPr="00856CE5">
        <w:rPr>
          <w:rFonts w:cs="Arial"/>
        </w:rPr>
        <w:t xml:space="preserve"> State Plan. Such determinations typically must occur at least once every three years. However, </w:t>
      </w:r>
      <w:r w:rsidR="00C866AE" w:rsidRPr="00856CE5">
        <w:rPr>
          <w:rFonts w:cs="Arial"/>
        </w:rPr>
        <w:t xml:space="preserve">in a letter dated November 8, 2019, approving the amendments to the 2018 ESSA State Plan, </w:t>
      </w:r>
      <w:r w:rsidR="00C30641" w:rsidRPr="00856CE5">
        <w:rPr>
          <w:rFonts w:cs="Arial"/>
        </w:rPr>
        <w:t xml:space="preserve">the U.S. Department of Education (ED) required </w:t>
      </w:r>
      <w:r w:rsidR="004C638C" w:rsidRPr="00856CE5">
        <w:rPr>
          <w:rFonts w:cs="Arial"/>
        </w:rPr>
        <w:t xml:space="preserve">California </w:t>
      </w:r>
      <w:r w:rsidR="00C30641" w:rsidRPr="00856CE5">
        <w:rPr>
          <w:rFonts w:cs="Arial"/>
        </w:rPr>
        <w:t xml:space="preserve">to </w:t>
      </w:r>
      <w:r w:rsidR="004C638C" w:rsidRPr="00856CE5">
        <w:rPr>
          <w:rFonts w:cs="Arial"/>
        </w:rPr>
        <w:t>determine school eligibility for CSI again in</w:t>
      </w:r>
      <w:r w:rsidR="00E47439" w:rsidRPr="00856CE5">
        <w:rPr>
          <w:rFonts w:cs="Arial"/>
        </w:rPr>
        <w:t xml:space="preserve"> </w:t>
      </w:r>
      <w:r w:rsidR="004C638C" w:rsidRPr="00856CE5">
        <w:rPr>
          <w:rFonts w:cs="Arial"/>
        </w:rPr>
        <w:t>2019–20</w:t>
      </w:r>
      <w:r w:rsidR="008F2BD3" w:rsidRPr="00856CE5">
        <w:rPr>
          <w:rFonts w:cs="Arial"/>
        </w:rPr>
        <w:t>20</w:t>
      </w:r>
      <w:r w:rsidR="00C866AE" w:rsidRPr="00856CE5">
        <w:rPr>
          <w:rFonts w:cs="Arial"/>
        </w:rPr>
        <w:t xml:space="preserve">, to allow for the inclusion of the English Learner Progress Indicator (ELPI) in the criteria </w:t>
      </w:r>
      <w:r w:rsidR="00C30641" w:rsidRPr="00856CE5">
        <w:rPr>
          <w:rFonts w:cs="Arial"/>
        </w:rPr>
        <w:t>(</w:t>
      </w:r>
      <w:hyperlink r:id="rId12" w:tooltip="Dec. 19 MEMORANDUM" w:history="1">
        <w:r w:rsidR="00C30641" w:rsidRPr="00856CE5">
          <w:rPr>
            <w:rStyle w:val="Hyperlink"/>
            <w:rFonts w:cs="Arial"/>
          </w:rPr>
          <w:t>https://www.cde.ca.gov/be/pn/im/documents/dec19memogad01.docx</w:t>
        </w:r>
      </w:hyperlink>
      <w:r w:rsidR="00C30641" w:rsidRPr="00856CE5">
        <w:rPr>
          <w:rFonts w:cs="Arial"/>
        </w:rPr>
        <w:t>)</w:t>
      </w:r>
      <w:r w:rsidR="00C866AE" w:rsidRPr="00856CE5">
        <w:rPr>
          <w:rFonts w:cs="Arial"/>
        </w:rPr>
        <w:t>.</w:t>
      </w:r>
    </w:p>
    <w:p w14:paraId="13BE762E" w14:textId="379FF109" w:rsidR="004C638C" w:rsidRPr="00856CE5" w:rsidRDefault="004C638C" w:rsidP="004C638C">
      <w:pPr>
        <w:autoSpaceDE w:val="0"/>
        <w:autoSpaceDN w:val="0"/>
        <w:spacing w:before="240" w:after="240"/>
        <w:rPr>
          <w:rFonts w:cs="Arial"/>
        </w:rPr>
      </w:pPr>
      <w:r w:rsidRPr="00856CE5">
        <w:rPr>
          <w:rFonts w:cs="Arial"/>
        </w:rPr>
        <w:t xml:space="preserve">Determinations of school eligibility for CSI must include at least the lowest performing </w:t>
      </w:r>
      <w:r w:rsidR="00B8471B" w:rsidRPr="00856CE5">
        <w:rPr>
          <w:rFonts w:cs="Arial"/>
        </w:rPr>
        <w:t>5 percent</w:t>
      </w:r>
      <w:r w:rsidRPr="00856CE5">
        <w:rPr>
          <w:rFonts w:cs="Arial"/>
        </w:rPr>
        <w:t xml:space="preserve"> of all schools receiving Title I funds. It is important to note that Title I funding status for schools in the CSI – Lowest Performing </w:t>
      </w:r>
      <w:proofErr w:type="gramStart"/>
      <w:r w:rsidR="00E47439" w:rsidRPr="00856CE5">
        <w:rPr>
          <w:rFonts w:cs="Arial"/>
        </w:rPr>
        <w:t>schools</w:t>
      </w:r>
      <w:proofErr w:type="gramEnd"/>
      <w:r w:rsidR="00E47439" w:rsidRPr="00856CE5">
        <w:rPr>
          <w:rFonts w:cs="Arial"/>
        </w:rPr>
        <w:t xml:space="preserve"> </w:t>
      </w:r>
      <w:r w:rsidRPr="00856CE5">
        <w:rPr>
          <w:rFonts w:cs="Arial"/>
        </w:rPr>
        <w:t>category is determined by Title I allocations received in a school’s initial eligibility year. If a school subsequently discontinues receipt of Title I funds after its initial eligibility year, it remains eligible for CSI – Lowest Performing unless it meets the exit criteria. This year</w:t>
      </w:r>
      <w:r w:rsidR="00C30641" w:rsidRPr="00856CE5">
        <w:rPr>
          <w:rFonts w:cs="Arial"/>
        </w:rPr>
        <w:t xml:space="preserve">, </w:t>
      </w:r>
      <w:r w:rsidR="00154971" w:rsidRPr="00856CE5">
        <w:rPr>
          <w:rFonts w:cs="Arial"/>
        </w:rPr>
        <w:t>three schools</w:t>
      </w:r>
      <w:r w:rsidRPr="00856CE5">
        <w:rPr>
          <w:rFonts w:cs="Arial"/>
        </w:rPr>
        <w:t xml:space="preserve"> in the CSI – </w:t>
      </w:r>
      <w:r w:rsidR="00E47439" w:rsidRPr="00856CE5">
        <w:rPr>
          <w:rFonts w:cs="Arial"/>
        </w:rPr>
        <w:t xml:space="preserve">Lowest Performing </w:t>
      </w:r>
      <w:r w:rsidRPr="00856CE5">
        <w:rPr>
          <w:rFonts w:cs="Arial"/>
        </w:rPr>
        <w:t xml:space="preserve">category did not receive Title I funds. </w:t>
      </w:r>
    </w:p>
    <w:p w14:paraId="13BE762F" w14:textId="77777777" w:rsidR="004C638C" w:rsidRPr="00856CE5" w:rsidRDefault="004C638C" w:rsidP="004C638C">
      <w:pPr>
        <w:spacing w:after="240"/>
        <w:rPr>
          <w:rFonts w:cs="Arial"/>
        </w:rPr>
      </w:pPr>
      <w:r w:rsidRPr="00856CE5">
        <w:rPr>
          <w:rFonts w:cs="Arial"/>
        </w:rPr>
        <w:t xml:space="preserve">In addition, any public high school whose </w:t>
      </w:r>
      <w:r w:rsidR="00CB6D78" w:rsidRPr="00856CE5">
        <w:rPr>
          <w:rFonts w:cs="Arial"/>
        </w:rPr>
        <w:t xml:space="preserve">average </w:t>
      </w:r>
      <w:r w:rsidRPr="00856CE5">
        <w:rPr>
          <w:rFonts w:cs="Arial"/>
        </w:rPr>
        <w:t xml:space="preserve">graduation rate </w:t>
      </w:r>
      <w:r w:rsidR="007F2156" w:rsidRPr="00856CE5">
        <w:rPr>
          <w:rFonts w:cs="Arial"/>
        </w:rPr>
        <w:t>is</w:t>
      </w:r>
      <w:r w:rsidRPr="00856CE5">
        <w:rPr>
          <w:rFonts w:cs="Arial"/>
        </w:rPr>
        <w:t xml:space="preserve"> below 68 percent for three consecutive years </w:t>
      </w:r>
      <w:r w:rsidR="000570F0" w:rsidRPr="00856CE5">
        <w:rPr>
          <w:rFonts w:cs="Arial"/>
        </w:rPr>
        <w:t>are</w:t>
      </w:r>
      <w:r w:rsidRPr="00856CE5">
        <w:rPr>
          <w:rFonts w:cs="Arial"/>
        </w:rPr>
        <w:t xml:space="preserve"> automatically eligible for CSI</w:t>
      </w:r>
      <w:r w:rsidR="00E47439" w:rsidRPr="00856CE5">
        <w:rPr>
          <w:rFonts w:cs="Arial"/>
        </w:rPr>
        <w:t xml:space="preserve"> – Graduation Rate</w:t>
      </w:r>
      <w:r w:rsidRPr="00856CE5">
        <w:rPr>
          <w:rFonts w:cs="Arial"/>
        </w:rPr>
        <w:t xml:space="preserve">, regardless of its Title I status. </w:t>
      </w:r>
      <w:r w:rsidR="007F2156" w:rsidRPr="00856CE5">
        <w:rPr>
          <w:rFonts w:cs="Arial"/>
        </w:rPr>
        <w:t>This threshold reflects the adjustment adopted by the State Board of Education (SBE) at the September 2019 meeting</w:t>
      </w:r>
      <w:r w:rsidR="000570F0" w:rsidRPr="00856CE5">
        <w:rPr>
          <w:rFonts w:cs="Arial"/>
        </w:rPr>
        <w:t xml:space="preserve"> </w:t>
      </w:r>
      <w:r w:rsidR="000570F0" w:rsidRPr="00856CE5">
        <w:rPr>
          <w:rFonts w:cs="Arial"/>
        </w:rPr>
        <w:lastRenderedPageBreak/>
        <w:t>(</w:t>
      </w:r>
      <w:r w:rsidR="00A41E44" w:rsidRPr="00856CE5">
        <w:rPr>
          <w:rStyle w:val="Hyperlink"/>
          <w:rFonts w:cs="Arial"/>
        </w:rPr>
        <w:t>https://www.cde.ca.gov/be/ag/ag/yr19/documents/sep19item01.docx</w:t>
      </w:r>
      <w:r w:rsidR="000570F0" w:rsidRPr="00856CE5">
        <w:rPr>
          <w:rFonts w:cs="Arial"/>
        </w:rPr>
        <w:t>) and</w:t>
      </w:r>
      <w:r w:rsidRPr="00856CE5">
        <w:rPr>
          <w:rFonts w:cs="Arial"/>
        </w:rPr>
        <w:t xml:space="preserve"> the transition to calculating the combined four-and five year graduation rate</w:t>
      </w:r>
      <w:r w:rsidR="000570F0" w:rsidRPr="00856CE5">
        <w:rPr>
          <w:rFonts w:cs="Arial"/>
        </w:rPr>
        <w:t xml:space="preserve"> adopted at the July 2019 SBE meeting (</w:t>
      </w:r>
      <w:hyperlink r:id="rId13" w:tooltip="SBE July 2019 Agenda" w:history="1">
        <w:r w:rsidR="000570F0" w:rsidRPr="00856CE5">
          <w:rPr>
            <w:rStyle w:val="Hyperlink"/>
          </w:rPr>
          <w:t>https://www.cde.ca.gov/be/ag/ag/yr19/documents/jul19item01.docx</w:t>
        </w:r>
      </w:hyperlink>
      <w:r w:rsidR="000570F0" w:rsidRPr="00856CE5">
        <w:rPr>
          <w:color w:val="1F497D"/>
        </w:rPr>
        <w:t xml:space="preserve">). </w:t>
      </w:r>
      <w:r w:rsidR="000570F0" w:rsidRPr="00856CE5">
        <w:rPr>
          <w:rFonts w:cs="Arial"/>
        </w:rPr>
        <w:t xml:space="preserve">As described in Attachment 1, </w:t>
      </w:r>
      <w:r w:rsidR="004210F5" w:rsidRPr="00856CE5">
        <w:rPr>
          <w:rFonts w:cs="Arial"/>
        </w:rPr>
        <w:t>for the</w:t>
      </w:r>
      <w:r w:rsidR="000570F0" w:rsidRPr="00856CE5">
        <w:rPr>
          <w:rFonts w:cs="Arial"/>
        </w:rPr>
        <w:t xml:space="preserve"> 2019–2020 </w:t>
      </w:r>
      <w:r w:rsidR="00B8471B" w:rsidRPr="00856CE5">
        <w:rPr>
          <w:rFonts w:cs="Arial"/>
        </w:rPr>
        <w:t>eligibility</w:t>
      </w:r>
      <w:r w:rsidR="004210F5" w:rsidRPr="00856CE5">
        <w:rPr>
          <w:rFonts w:cs="Arial"/>
        </w:rPr>
        <w:t xml:space="preserve"> cycle, the California Department of Education (CDE) </w:t>
      </w:r>
      <w:r w:rsidR="000570F0" w:rsidRPr="00856CE5">
        <w:rPr>
          <w:rFonts w:cs="Arial"/>
        </w:rPr>
        <w:t>us</w:t>
      </w:r>
      <w:r w:rsidR="004210F5" w:rsidRPr="00856CE5">
        <w:rPr>
          <w:rFonts w:cs="Arial"/>
        </w:rPr>
        <w:t>ed</w:t>
      </w:r>
      <w:r w:rsidR="000570F0" w:rsidRPr="00856CE5">
        <w:rPr>
          <w:rFonts w:cs="Arial"/>
        </w:rPr>
        <w:t xml:space="preserve"> an average of two years of data for </w:t>
      </w:r>
      <w:r w:rsidR="00B8471B" w:rsidRPr="00856CE5">
        <w:rPr>
          <w:rFonts w:cs="Arial"/>
        </w:rPr>
        <w:t>these criteria</w:t>
      </w:r>
      <w:r w:rsidRPr="00856CE5">
        <w:rPr>
          <w:color w:val="1F497D"/>
        </w:rPr>
        <w:t>.</w:t>
      </w:r>
    </w:p>
    <w:p w14:paraId="13BE7630" w14:textId="77777777" w:rsidR="004C638C" w:rsidRPr="00856CE5" w:rsidRDefault="004C638C" w:rsidP="004C638C">
      <w:pPr>
        <w:spacing w:after="240"/>
        <w:rPr>
          <w:rFonts w:cs="Arial"/>
        </w:rPr>
      </w:pPr>
      <w:r w:rsidRPr="00856CE5">
        <w:rPr>
          <w:rFonts w:cs="Arial"/>
        </w:rPr>
        <w:t xml:space="preserve">With two years of English language assessments data available in 2019, the CDE also calculated </w:t>
      </w:r>
      <w:r w:rsidR="00C866AE" w:rsidRPr="00856CE5">
        <w:rPr>
          <w:rFonts w:cs="Arial"/>
        </w:rPr>
        <w:t xml:space="preserve">the ELPI </w:t>
      </w:r>
      <w:r w:rsidRPr="00856CE5">
        <w:rPr>
          <w:rFonts w:cs="Arial"/>
        </w:rPr>
        <w:t xml:space="preserve">Status in order to be incorporated into the criteria for eligibility </w:t>
      </w:r>
      <w:r w:rsidR="00C866AE" w:rsidRPr="00856CE5">
        <w:rPr>
          <w:rFonts w:cs="Arial"/>
        </w:rPr>
        <w:t xml:space="preserve">of differentiated assistance under the Local Control Funding Formula (LCFF) </w:t>
      </w:r>
      <w:r w:rsidRPr="00856CE5">
        <w:rPr>
          <w:rFonts w:cs="Arial"/>
        </w:rPr>
        <w:t>and school level assistance under ESSA. In November 2019, the SBE approved the CDE’s proposed methodology for incorporating ELPI Status into these calculations</w:t>
      </w:r>
      <w:r w:rsidR="00C866AE" w:rsidRPr="00856CE5">
        <w:rPr>
          <w:rFonts w:cs="Arial"/>
        </w:rPr>
        <w:t xml:space="preserve"> </w:t>
      </w:r>
      <w:r w:rsidR="004210F5" w:rsidRPr="00856CE5">
        <w:rPr>
          <w:rFonts w:cs="Arial"/>
        </w:rPr>
        <w:t>(</w:t>
      </w:r>
      <w:hyperlink r:id="rId14" w:tooltip="SBE November 2019 Agenda" w:history="1">
        <w:r w:rsidR="004210F5" w:rsidRPr="00856CE5">
          <w:rPr>
            <w:rStyle w:val="Hyperlink"/>
            <w:rFonts w:cs="Arial"/>
          </w:rPr>
          <w:t>https://www.cde.ca.gov/be/ag/ag/yr19/documents/nov19item04.docx</w:t>
        </w:r>
      </w:hyperlink>
      <w:r w:rsidR="004210F5" w:rsidRPr="00856CE5">
        <w:rPr>
          <w:rFonts w:cs="Arial"/>
        </w:rPr>
        <w:t>)</w:t>
      </w:r>
      <w:r w:rsidR="00C866AE" w:rsidRPr="00856CE5">
        <w:rPr>
          <w:rFonts w:cs="Arial"/>
        </w:rPr>
        <w:t>.</w:t>
      </w:r>
    </w:p>
    <w:p w14:paraId="13BE7631" w14:textId="77777777" w:rsidR="004C638C" w:rsidRPr="00856CE5" w:rsidRDefault="004C638C" w:rsidP="004C638C">
      <w:pPr>
        <w:spacing w:after="240"/>
        <w:rPr>
          <w:rFonts w:eastAsiaTheme="minorHAnsi" w:cs="Arial"/>
          <w:color w:val="000000"/>
        </w:rPr>
      </w:pPr>
      <w:r w:rsidRPr="00856CE5">
        <w:rPr>
          <w:rFonts w:cs="Arial"/>
        </w:rPr>
        <w:t xml:space="preserve">ESSA also requires that states determine which schools are eligible for Targeted Support and Improvement (TSI), based on student group performance. </w:t>
      </w:r>
      <w:r w:rsidRPr="00856CE5">
        <w:rPr>
          <w:rFonts w:cs="Arial"/>
          <w:color w:val="000000"/>
        </w:rPr>
        <w:t xml:space="preserve">Under California’s ESSA Plan, schools that are not eligible for CSI will be eligible for TSI regardless of their Title I funding status if they have one or more student groups(s) that, for two consecutive </w:t>
      </w:r>
      <w:r w:rsidRPr="00856CE5">
        <w:rPr>
          <w:rFonts w:cs="Arial"/>
        </w:rPr>
        <w:t xml:space="preserve">years, meet the criteria applied to determine at least </w:t>
      </w:r>
      <w:r w:rsidRPr="00856CE5">
        <w:rPr>
          <w:rFonts w:eastAsiaTheme="minorHAnsi" w:cs="Arial"/>
        </w:rPr>
        <w:t>the lowest performing</w:t>
      </w:r>
      <w:r w:rsidR="00261343" w:rsidRPr="00856CE5">
        <w:rPr>
          <w:rFonts w:eastAsiaTheme="minorHAnsi" w:cs="Arial"/>
        </w:rPr>
        <w:t xml:space="preserve"> 5</w:t>
      </w:r>
      <w:r w:rsidRPr="00856CE5">
        <w:rPr>
          <w:rFonts w:eastAsiaTheme="minorHAnsi" w:cs="Arial"/>
        </w:rPr>
        <w:t xml:space="preserve"> percent of Title I schools. </w:t>
      </w:r>
      <w:r w:rsidR="004210F5" w:rsidRPr="00856CE5">
        <w:rPr>
          <w:rFonts w:eastAsiaTheme="minorHAnsi" w:cs="Arial"/>
        </w:rPr>
        <w:t>As detailed in Attachment 2, t</w:t>
      </w:r>
      <w:r w:rsidRPr="00856CE5">
        <w:rPr>
          <w:rFonts w:eastAsiaTheme="minorHAnsi" w:cs="Arial"/>
        </w:rPr>
        <w:t xml:space="preserve">he criteria to determine schools eligible for Additional Targeted Support and Improvement (ATSI) are </w:t>
      </w:r>
      <w:r w:rsidR="00E47439" w:rsidRPr="00856CE5">
        <w:rPr>
          <w:rFonts w:eastAsiaTheme="minorHAnsi" w:cs="Arial"/>
        </w:rPr>
        <w:t>identical</w:t>
      </w:r>
      <w:r w:rsidRPr="00856CE5">
        <w:rPr>
          <w:rFonts w:eastAsiaTheme="minorHAnsi" w:cs="Arial"/>
        </w:rPr>
        <w:t xml:space="preserve"> to the TSI criteria. Normally, TSI eligibility would be determined annually while ATSI would be determined every three years. However, in order </w:t>
      </w:r>
      <w:r w:rsidRPr="00856CE5">
        <w:rPr>
          <w:rFonts w:eastAsiaTheme="minorHAnsi" w:cs="Arial"/>
          <w:color w:val="000000"/>
        </w:rPr>
        <w:t>to adhere to the State Plan, in 2018–19 all schools that met the criteria for TSI were moved into the ATSI category.</w:t>
      </w:r>
    </w:p>
    <w:p w14:paraId="13BE7632" w14:textId="77777777" w:rsidR="00C30641" w:rsidRPr="00856CE5" w:rsidRDefault="00B8471B" w:rsidP="00C30641">
      <w:pPr>
        <w:spacing w:after="240"/>
        <w:rPr>
          <w:rFonts w:cs="Arial"/>
        </w:rPr>
      </w:pPr>
      <w:r w:rsidRPr="00856CE5">
        <w:rPr>
          <w:rFonts w:eastAsiaTheme="minorHAnsi" w:cs="Arial"/>
        </w:rPr>
        <w:t>Similarly,</w:t>
      </w:r>
      <w:r w:rsidR="004C638C" w:rsidRPr="00856CE5">
        <w:rPr>
          <w:rFonts w:eastAsiaTheme="minorHAnsi" w:cs="Arial"/>
        </w:rPr>
        <w:t xml:space="preserve"> in</w:t>
      </w:r>
      <w:r w:rsidR="004C638C" w:rsidRPr="00856CE5">
        <w:rPr>
          <w:rFonts w:cs="Arial"/>
        </w:rPr>
        <w:t xml:space="preserve"> 2019–20</w:t>
      </w:r>
      <w:r w:rsidR="00C866AE" w:rsidRPr="00856CE5">
        <w:rPr>
          <w:rFonts w:cs="Arial"/>
        </w:rPr>
        <w:t>20</w:t>
      </w:r>
      <w:r w:rsidR="004C638C" w:rsidRPr="00856CE5">
        <w:rPr>
          <w:rFonts w:cs="Arial"/>
        </w:rPr>
        <w:t xml:space="preserve">, all schools meeting the criteria for TSI will be moved to the ATSI category. This will allow California to align ATSI determinations made under ESSA to the </w:t>
      </w:r>
      <w:r w:rsidR="00C30641" w:rsidRPr="00856CE5">
        <w:rPr>
          <w:rFonts w:cs="Arial"/>
        </w:rPr>
        <w:t>local educational agency (</w:t>
      </w:r>
      <w:r w:rsidR="004C638C" w:rsidRPr="00856CE5">
        <w:rPr>
          <w:rFonts w:cs="Arial"/>
        </w:rPr>
        <w:t>LEA</w:t>
      </w:r>
      <w:r w:rsidR="00C30641" w:rsidRPr="00856CE5">
        <w:rPr>
          <w:rFonts w:cs="Arial"/>
        </w:rPr>
        <w:t>)</w:t>
      </w:r>
      <w:r w:rsidR="004C638C" w:rsidRPr="00856CE5">
        <w:rPr>
          <w:rFonts w:cs="Arial"/>
        </w:rPr>
        <w:t xml:space="preserve"> eligibility for assistance determinations made under </w:t>
      </w:r>
      <w:r w:rsidR="00C30641" w:rsidRPr="00856CE5">
        <w:rPr>
          <w:rFonts w:cs="Arial"/>
        </w:rPr>
        <w:t>LCFF</w:t>
      </w:r>
      <w:r w:rsidR="008F2BD3" w:rsidRPr="00856CE5">
        <w:rPr>
          <w:rFonts w:cs="Arial"/>
        </w:rPr>
        <w:t>.</w:t>
      </w:r>
    </w:p>
    <w:p w14:paraId="13BE7633" w14:textId="77777777" w:rsidR="004C638C" w:rsidRPr="00856CE5" w:rsidRDefault="004C638C" w:rsidP="004C638C">
      <w:pPr>
        <w:spacing w:after="240"/>
        <w:rPr>
          <w:rFonts w:eastAsiaTheme="minorHAnsi" w:cs="Arial"/>
          <w:color w:val="000000"/>
        </w:rPr>
      </w:pPr>
      <w:r w:rsidRPr="00856CE5">
        <w:rPr>
          <w:rFonts w:eastAsiaTheme="minorHAnsi" w:cs="Arial"/>
          <w:b/>
          <w:color w:val="000000"/>
        </w:rPr>
        <w:t>A school can only be eligible for one category of assistance. In other words, a school cannot be eligible for CSI and TSI (or ATSI) at the same time</w:t>
      </w:r>
      <w:r w:rsidRPr="00856CE5">
        <w:rPr>
          <w:rFonts w:eastAsiaTheme="minorHAnsi" w:cs="Arial"/>
          <w:color w:val="000000"/>
        </w:rPr>
        <w:t xml:space="preserve">. </w:t>
      </w:r>
    </w:p>
    <w:p w14:paraId="13BE7635" w14:textId="61523561" w:rsidR="004C638C" w:rsidRPr="00856CE5" w:rsidRDefault="004C638C" w:rsidP="00E971C6">
      <w:pPr>
        <w:spacing w:after="100" w:afterAutospacing="1"/>
        <w:rPr>
          <w:rFonts w:cs="Arial"/>
        </w:rPr>
      </w:pPr>
      <w:r w:rsidRPr="00856CE5">
        <w:rPr>
          <w:rFonts w:eastAsiaTheme="minorHAnsi" w:cs="Arial"/>
          <w:color w:val="000000"/>
        </w:rPr>
        <w:t>In addition, schools in all three categories have the opportunity each year after their initial determination to exit support and improvement by meeting the exit criteria included in the ESSA State Plan. More detailed information about eligibility and exit criteria are listed in Attachment 2 of this document.</w:t>
      </w:r>
      <w:r w:rsidRPr="00856CE5">
        <w:rPr>
          <w:rFonts w:cs="Arial"/>
        </w:rPr>
        <w:t xml:space="preserve"> </w:t>
      </w:r>
    </w:p>
    <w:p w14:paraId="13BE7636" w14:textId="77777777" w:rsidR="004C638C" w:rsidRPr="00856CE5" w:rsidRDefault="004C638C" w:rsidP="004C638C">
      <w:pPr>
        <w:spacing w:after="240"/>
        <w:rPr>
          <w:rFonts w:cs="Arial"/>
          <w:color w:val="000000"/>
        </w:rPr>
      </w:pPr>
      <w:r w:rsidRPr="00856CE5">
        <w:rPr>
          <w:rFonts w:cs="Arial"/>
          <w:color w:val="000000"/>
        </w:rPr>
        <w:t xml:space="preserve">Please note that </w:t>
      </w:r>
      <w:r w:rsidR="00B64665" w:rsidRPr="00856CE5">
        <w:rPr>
          <w:rFonts w:cs="Arial"/>
          <w:color w:val="000000"/>
        </w:rPr>
        <w:t xml:space="preserve">the </w:t>
      </w:r>
      <w:r w:rsidRPr="00856CE5">
        <w:rPr>
          <w:rFonts w:cs="Arial"/>
          <w:color w:val="000000"/>
        </w:rPr>
        <w:t>schools not eligible for CSI or ATSI are eligible for general assistance, as shown in Tables 1 through 4.</w:t>
      </w:r>
      <w:r w:rsidR="00EA4B64" w:rsidRPr="00856CE5">
        <w:rPr>
          <w:rFonts w:cs="Arial"/>
          <w:color w:val="000000"/>
        </w:rPr>
        <w:t xml:space="preserve"> </w:t>
      </w:r>
      <w:r w:rsidR="00EA4B64" w:rsidRPr="00856CE5">
        <w:t xml:space="preserve">Information on the selection, eligibility criteria, and eligibility list for CSI and ATSI are available on the CDE School Support web page at </w:t>
      </w:r>
      <w:hyperlink r:id="rId15" w:tooltip="CDE School Support Webpage" w:history="1">
        <w:r w:rsidR="00EA4B64" w:rsidRPr="00856CE5">
          <w:rPr>
            <w:rStyle w:val="Hyperlink"/>
          </w:rPr>
          <w:t>https://www.cde.ca.gov/sp/sw/t1/schoolsupport.asp</w:t>
        </w:r>
      </w:hyperlink>
      <w:r w:rsidR="00EA4B64" w:rsidRPr="00856CE5">
        <w:t xml:space="preserve">. </w:t>
      </w:r>
    </w:p>
    <w:p w14:paraId="13BE7637" w14:textId="1FD0BA83" w:rsidR="00580143" w:rsidRDefault="00580143" w:rsidP="00580143">
      <w:pPr>
        <w:spacing w:after="240"/>
        <w:rPr>
          <w:rFonts w:cs="Arial"/>
          <w:color w:val="000000"/>
        </w:rPr>
      </w:pPr>
      <w:r w:rsidRPr="00856CE5">
        <w:rPr>
          <w:rFonts w:cs="Arial"/>
          <w:color w:val="000000"/>
        </w:rPr>
        <w:t>Table 1 provides a breakdown of schools eligible for the two categories of CSI, ATSI, and general assistance.</w:t>
      </w:r>
    </w:p>
    <w:p w14:paraId="13BE7638" w14:textId="77777777" w:rsidR="004C638C" w:rsidRPr="00856CE5" w:rsidRDefault="004C638C" w:rsidP="004C638C">
      <w:pPr>
        <w:autoSpaceDE w:val="0"/>
        <w:autoSpaceDN w:val="0"/>
        <w:rPr>
          <w:rFonts w:cs="Arial"/>
          <w:b/>
        </w:rPr>
      </w:pPr>
      <w:r w:rsidRPr="00856CE5">
        <w:rPr>
          <w:rFonts w:cs="Arial"/>
          <w:b/>
        </w:rPr>
        <w:lastRenderedPageBreak/>
        <w:t>Table 1: Summary Results of Schools Eligible for CSI, ATSI, and General</w:t>
      </w:r>
    </w:p>
    <w:p w14:paraId="13BE7639" w14:textId="77777777" w:rsidR="004C638C" w:rsidRPr="00856CE5" w:rsidRDefault="004C638C" w:rsidP="004C638C">
      <w:pPr>
        <w:autoSpaceDE w:val="0"/>
        <w:autoSpaceDN w:val="0"/>
        <w:spacing w:after="240"/>
        <w:rPr>
          <w:rFonts w:cs="Arial"/>
        </w:rPr>
      </w:pPr>
      <w:r w:rsidRPr="00856CE5">
        <w:rPr>
          <w:rFonts w:cs="Arial"/>
          <w:b/>
        </w:rPr>
        <w:t>Assistance</w:t>
      </w:r>
    </w:p>
    <w:tbl>
      <w:tblPr>
        <w:tblStyle w:val="TableGrid"/>
        <w:tblW w:w="2789" w:type="pct"/>
        <w:tblLook w:val="04A0" w:firstRow="1" w:lastRow="0" w:firstColumn="1" w:lastColumn="0" w:noHBand="0" w:noVBand="1"/>
        <w:tblDescription w:val="Summary Results of Schools Eligible for CSI, ATSI, and General&#10;Assistance"/>
      </w:tblPr>
      <w:tblGrid>
        <w:gridCol w:w="3865"/>
        <w:gridCol w:w="1350"/>
      </w:tblGrid>
      <w:tr w:rsidR="004C638C" w:rsidRPr="00856CE5" w14:paraId="13BE763C" w14:textId="77777777" w:rsidTr="00E971C6">
        <w:trPr>
          <w:cantSplit/>
          <w:tblHeader/>
        </w:trPr>
        <w:tc>
          <w:tcPr>
            <w:tcW w:w="3706" w:type="pct"/>
            <w:shd w:val="clear" w:color="auto" w:fill="D9D9D9" w:themeFill="background1" w:themeFillShade="D9"/>
            <w:vAlign w:val="center"/>
          </w:tcPr>
          <w:p w14:paraId="13BE763A" w14:textId="77777777" w:rsidR="004C638C" w:rsidRPr="00856CE5" w:rsidRDefault="004C638C" w:rsidP="00E97F0C">
            <w:pPr>
              <w:jc w:val="center"/>
              <w:rPr>
                <w:rFonts w:cs="Arial"/>
                <w:b/>
              </w:rPr>
            </w:pPr>
            <w:r w:rsidRPr="00856CE5">
              <w:rPr>
                <w:rFonts w:cs="Arial"/>
                <w:b/>
              </w:rPr>
              <w:t>Determination Status</w:t>
            </w:r>
          </w:p>
        </w:tc>
        <w:tc>
          <w:tcPr>
            <w:tcW w:w="1294" w:type="pct"/>
            <w:shd w:val="clear" w:color="auto" w:fill="D9D9D9" w:themeFill="background1" w:themeFillShade="D9"/>
            <w:vAlign w:val="center"/>
          </w:tcPr>
          <w:p w14:paraId="13BE763B" w14:textId="77777777" w:rsidR="004C638C" w:rsidRPr="00856CE5" w:rsidRDefault="004C638C" w:rsidP="00E97F0C">
            <w:pPr>
              <w:jc w:val="center"/>
              <w:rPr>
                <w:rFonts w:cs="Arial"/>
                <w:b/>
              </w:rPr>
            </w:pPr>
            <w:r w:rsidRPr="00856CE5">
              <w:rPr>
                <w:rFonts w:cs="Arial"/>
                <w:b/>
              </w:rPr>
              <w:t>Total</w:t>
            </w:r>
          </w:p>
        </w:tc>
      </w:tr>
      <w:tr w:rsidR="005D4857" w:rsidRPr="00856CE5" w14:paraId="13BE763F" w14:textId="77777777" w:rsidTr="00E971C6">
        <w:trPr>
          <w:cantSplit/>
        </w:trPr>
        <w:tc>
          <w:tcPr>
            <w:tcW w:w="3706" w:type="pct"/>
            <w:vAlign w:val="center"/>
          </w:tcPr>
          <w:p w14:paraId="13BE763D" w14:textId="77777777" w:rsidR="005D4857" w:rsidRPr="00856CE5" w:rsidRDefault="005D4857" w:rsidP="005D4857">
            <w:pPr>
              <w:rPr>
                <w:rFonts w:cs="Arial"/>
              </w:rPr>
            </w:pPr>
            <w:r w:rsidRPr="00856CE5">
              <w:rPr>
                <w:rFonts w:cs="Arial"/>
                <w:b/>
              </w:rPr>
              <w:t>CSI</w:t>
            </w:r>
            <w:r w:rsidRPr="00856CE5">
              <w:rPr>
                <w:rFonts w:cs="Arial"/>
              </w:rPr>
              <w:t xml:space="preserve"> – Graduation Rate</w:t>
            </w:r>
          </w:p>
        </w:tc>
        <w:tc>
          <w:tcPr>
            <w:tcW w:w="1294" w:type="pct"/>
            <w:vAlign w:val="center"/>
          </w:tcPr>
          <w:p w14:paraId="13BE763E" w14:textId="0DEEB3AD" w:rsidR="005D4857" w:rsidRPr="00856CE5" w:rsidRDefault="00DA0DAF" w:rsidP="005D4857">
            <w:pPr>
              <w:jc w:val="center"/>
              <w:rPr>
                <w:rFonts w:cs="Arial"/>
              </w:rPr>
            </w:pPr>
            <w:r w:rsidRPr="00856CE5">
              <w:rPr>
                <w:rFonts w:cs="Arial"/>
              </w:rPr>
              <w:t>293</w:t>
            </w:r>
          </w:p>
        </w:tc>
      </w:tr>
      <w:tr w:rsidR="005D4857" w:rsidRPr="00856CE5" w14:paraId="13BE7642" w14:textId="77777777" w:rsidTr="00E971C6">
        <w:trPr>
          <w:cantSplit/>
        </w:trPr>
        <w:tc>
          <w:tcPr>
            <w:tcW w:w="3706" w:type="pct"/>
            <w:vAlign w:val="center"/>
          </w:tcPr>
          <w:p w14:paraId="13BE7640" w14:textId="77777777" w:rsidR="005D4857" w:rsidRPr="00856CE5" w:rsidRDefault="005D4857" w:rsidP="005D4857">
            <w:pPr>
              <w:rPr>
                <w:rFonts w:cs="Arial"/>
              </w:rPr>
            </w:pPr>
            <w:r w:rsidRPr="00856CE5">
              <w:rPr>
                <w:rFonts w:cs="Arial"/>
                <w:b/>
              </w:rPr>
              <w:t>CSI</w:t>
            </w:r>
            <w:r w:rsidRPr="00856CE5">
              <w:rPr>
                <w:rFonts w:cs="Arial"/>
              </w:rPr>
              <w:t xml:space="preserve"> – Lowest Performing </w:t>
            </w:r>
          </w:p>
        </w:tc>
        <w:tc>
          <w:tcPr>
            <w:tcW w:w="1294" w:type="pct"/>
            <w:vAlign w:val="center"/>
          </w:tcPr>
          <w:p w14:paraId="13BE7641" w14:textId="196F9951" w:rsidR="005D4857" w:rsidRPr="00856CE5" w:rsidRDefault="00DA0DAF" w:rsidP="005D4857">
            <w:pPr>
              <w:jc w:val="center"/>
              <w:rPr>
                <w:rFonts w:cs="Arial"/>
              </w:rPr>
            </w:pPr>
            <w:r w:rsidRPr="00856CE5">
              <w:rPr>
                <w:rFonts w:cs="Arial"/>
              </w:rPr>
              <w:t>483</w:t>
            </w:r>
          </w:p>
        </w:tc>
      </w:tr>
      <w:tr w:rsidR="005D4857" w:rsidRPr="00856CE5" w14:paraId="13BE7645" w14:textId="77777777" w:rsidTr="00E971C6">
        <w:trPr>
          <w:cantSplit/>
        </w:trPr>
        <w:tc>
          <w:tcPr>
            <w:tcW w:w="3706" w:type="pct"/>
            <w:vAlign w:val="center"/>
          </w:tcPr>
          <w:p w14:paraId="13BE7643" w14:textId="77777777" w:rsidR="005D4857" w:rsidRPr="00856CE5" w:rsidRDefault="005D4857" w:rsidP="005D4857">
            <w:pPr>
              <w:rPr>
                <w:rFonts w:cs="Arial"/>
              </w:rPr>
            </w:pPr>
            <w:r w:rsidRPr="00856CE5">
              <w:rPr>
                <w:rFonts w:cs="Arial"/>
                <w:b/>
              </w:rPr>
              <w:t>ATSI</w:t>
            </w:r>
            <w:r w:rsidRPr="00856CE5">
              <w:rPr>
                <w:rFonts w:cs="Arial"/>
              </w:rPr>
              <w:t xml:space="preserve"> </w:t>
            </w:r>
          </w:p>
        </w:tc>
        <w:tc>
          <w:tcPr>
            <w:tcW w:w="1294" w:type="pct"/>
            <w:vAlign w:val="center"/>
          </w:tcPr>
          <w:p w14:paraId="13BE7644" w14:textId="69596502" w:rsidR="005D4857" w:rsidRPr="00856CE5" w:rsidRDefault="00DA0DAF" w:rsidP="005D4857">
            <w:pPr>
              <w:jc w:val="center"/>
              <w:rPr>
                <w:rFonts w:cs="Arial"/>
              </w:rPr>
            </w:pPr>
            <w:r w:rsidRPr="00856CE5">
              <w:rPr>
                <w:rFonts w:cs="Arial"/>
              </w:rPr>
              <w:t>1,043</w:t>
            </w:r>
          </w:p>
        </w:tc>
      </w:tr>
      <w:tr w:rsidR="005D4857" w:rsidRPr="00856CE5" w14:paraId="13BE7648" w14:textId="77777777" w:rsidTr="00E971C6">
        <w:trPr>
          <w:cantSplit/>
        </w:trPr>
        <w:tc>
          <w:tcPr>
            <w:tcW w:w="3706" w:type="pct"/>
            <w:vAlign w:val="center"/>
          </w:tcPr>
          <w:p w14:paraId="13BE7646" w14:textId="77777777" w:rsidR="005D4857" w:rsidRPr="00856CE5" w:rsidRDefault="005D4857" w:rsidP="005D4857">
            <w:pPr>
              <w:rPr>
                <w:rFonts w:cs="Arial"/>
              </w:rPr>
            </w:pPr>
            <w:r w:rsidRPr="00856CE5">
              <w:rPr>
                <w:rFonts w:cs="Arial"/>
                <w:b/>
              </w:rPr>
              <w:t>General Assistance</w:t>
            </w:r>
            <w:r w:rsidRPr="00856CE5">
              <w:rPr>
                <w:rFonts w:cs="Arial"/>
              </w:rPr>
              <w:t xml:space="preserve"> </w:t>
            </w:r>
          </w:p>
        </w:tc>
        <w:tc>
          <w:tcPr>
            <w:tcW w:w="1294" w:type="pct"/>
            <w:vAlign w:val="center"/>
          </w:tcPr>
          <w:p w14:paraId="13BE7647" w14:textId="2584DA7D" w:rsidR="005D4857" w:rsidRPr="00856CE5" w:rsidRDefault="00DA0DAF" w:rsidP="00DA0DAF">
            <w:pPr>
              <w:jc w:val="center"/>
              <w:rPr>
                <w:rFonts w:cs="Arial"/>
              </w:rPr>
            </w:pPr>
            <w:r w:rsidRPr="00856CE5">
              <w:rPr>
                <w:rFonts w:cs="Arial"/>
              </w:rPr>
              <w:t>8,151</w:t>
            </w:r>
          </w:p>
        </w:tc>
      </w:tr>
      <w:tr w:rsidR="005D4857" w:rsidRPr="00856CE5" w14:paraId="13BE764B" w14:textId="77777777" w:rsidTr="00E971C6">
        <w:trPr>
          <w:cantSplit/>
        </w:trPr>
        <w:tc>
          <w:tcPr>
            <w:tcW w:w="3706" w:type="pct"/>
            <w:vAlign w:val="center"/>
          </w:tcPr>
          <w:p w14:paraId="13BE7649" w14:textId="77777777" w:rsidR="005D4857" w:rsidRPr="00856CE5" w:rsidRDefault="005D4857" w:rsidP="005D4857">
            <w:pPr>
              <w:rPr>
                <w:rFonts w:cs="Arial"/>
                <w:b/>
              </w:rPr>
            </w:pPr>
            <w:r w:rsidRPr="00856CE5">
              <w:rPr>
                <w:rFonts w:cs="Arial"/>
                <w:b/>
              </w:rPr>
              <w:t>Total Schools</w:t>
            </w:r>
          </w:p>
        </w:tc>
        <w:tc>
          <w:tcPr>
            <w:tcW w:w="1294" w:type="pct"/>
            <w:vAlign w:val="center"/>
          </w:tcPr>
          <w:p w14:paraId="13BE764A" w14:textId="74BEC24D" w:rsidR="005D4857" w:rsidRPr="00856CE5" w:rsidRDefault="005D4857" w:rsidP="005D4857">
            <w:pPr>
              <w:jc w:val="center"/>
              <w:rPr>
                <w:rFonts w:cs="Arial"/>
              </w:rPr>
            </w:pPr>
            <w:r w:rsidRPr="00856CE5">
              <w:rPr>
                <w:rFonts w:cs="Arial"/>
              </w:rPr>
              <w:t>9,97</w:t>
            </w:r>
            <w:r w:rsidR="00DA0DAF" w:rsidRPr="00856CE5">
              <w:rPr>
                <w:rFonts w:cs="Arial"/>
              </w:rPr>
              <w:t>0</w:t>
            </w:r>
          </w:p>
        </w:tc>
      </w:tr>
    </w:tbl>
    <w:p w14:paraId="13BE764C" w14:textId="77777777" w:rsidR="004C638C" w:rsidRPr="00856CE5" w:rsidRDefault="004C638C" w:rsidP="004C638C">
      <w:pPr>
        <w:spacing w:after="240"/>
        <w:contextualSpacing/>
        <w:rPr>
          <w:rFonts w:cs="Arial"/>
        </w:rPr>
      </w:pPr>
    </w:p>
    <w:p w14:paraId="13BE764D" w14:textId="77777777" w:rsidR="00580143" w:rsidRPr="00856CE5" w:rsidRDefault="00580143" w:rsidP="00B90D03">
      <w:pPr>
        <w:spacing w:before="360" w:after="240"/>
        <w:rPr>
          <w:rFonts w:cs="Arial"/>
          <w:color w:val="000000"/>
        </w:rPr>
      </w:pPr>
      <w:r w:rsidRPr="00856CE5">
        <w:rPr>
          <w:rFonts w:cs="Arial"/>
        </w:rPr>
        <w:t>Table 2 shows</w:t>
      </w:r>
      <w:r w:rsidRPr="00856CE5">
        <w:rPr>
          <w:rFonts w:cs="Arial"/>
          <w:color w:val="000000"/>
        </w:rPr>
        <w:t xml:space="preserve"> the number of schools eligible for the two categories of </w:t>
      </w:r>
      <w:r w:rsidR="00A57A63" w:rsidRPr="00856CE5">
        <w:rPr>
          <w:rFonts w:cs="Arial"/>
          <w:color w:val="000000"/>
        </w:rPr>
        <w:t>CSI,</w:t>
      </w:r>
      <w:r w:rsidRPr="00856CE5">
        <w:rPr>
          <w:rFonts w:cs="Arial"/>
          <w:color w:val="000000"/>
        </w:rPr>
        <w:t xml:space="preserve"> ATSI, and general assistance by charter status.</w:t>
      </w:r>
    </w:p>
    <w:p w14:paraId="13BE764F" w14:textId="77777777" w:rsidR="004C638C" w:rsidRPr="00856CE5" w:rsidRDefault="004C638C" w:rsidP="00B90D03">
      <w:pPr>
        <w:spacing w:before="240" w:line="259" w:lineRule="auto"/>
        <w:rPr>
          <w:rFonts w:cs="Arial"/>
          <w:b/>
        </w:rPr>
      </w:pPr>
      <w:r w:rsidRPr="00856CE5">
        <w:rPr>
          <w:rFonts w:cs="Arial"/>
          <w:b/>
        </w:rPr>
        <w:t>Table 2: Summary Results of Schools Eligible for CSI, ATSI, and General</w:t>
      </w:r>
    </w:p>
    <w:p w14:paraId="13BE7650" w14:textId="77777777" w:rsidR="004C638C" w:rsidRPr="00856CE5" w:rsidRDefault="004C638C" w:rsidP="004C0A3A">
      <w:pPr>
        <w:autoSpaceDE w:val="0"/>
        <w:autoSpaceDN w:val="0"/>
        <w:spacing w:after="240"/>
        <w:rPr>
          <w:rFonts w:cs="Arial"/>
        </w:rPr>
      </w:pPr>
      <w:r w:rsidRPr="00856CE5">
        <w:rPr>
          <w:rFonts w:cs="Arial"/>
          <w:b/>
        </w:rPr>
        <w:t>Assistance – By Charter Status</w:t>
      </w:r>
    </w:p>
    <w:tbl>
      <w:tblPr>
        <w:tblStyle w:val="TableGrid"/>
        <w:tblW w:w="4563" w:type="pct"/>
        <w:tblLook w:val="04A0" w:firstRow="1" w:lastRow="0" w:firstColumn="1" w:lastColumn="0" w:noHBand="0" w:noVBand="1"/>
        <w:tblDescription w:val="Summary Results of Schools Eligible for CSI, ATSI, and General&#10;Assistance – By Charter Status"/>
      </w:tblPr>
      <w:tblGrid>
        <w:gridCol w:w="4151"/>
        <w:gridCol w:w="2307"/>
        <w:gridCol w:w="2075"/>
      </w:tblGrid>
      <w:tr w:rsidR="004C638C" w:rsidRPr="00856CE5" w14:paraId="13BE7654" w14:textId="77777777" w:rsidTr="00E971C6">
        <w:trPr>
          <w:cantSplit/>
          <w:tblHeader/>
        </w:trPr>
        <w:tc>
          <w:tcPr>
            <w:tcW w:w="2432" w:type="pct"/>
            <w:shd w:val="clear" w:color="auto" w:fill="D9D9D9" w:themeFill="background1" w:themeFillShade="D9"/>
            <w:vAlign w:val="center"/>
          </w:tcPr>
          <w:p w14:paraId="13BE7651" w14:textId="77777777" w:rsidR="004C638C" w:rsidRPr="00856CE5" w:rsidRDefault="004C638C" w:rsidP="00E97F0C">
            <w:pPr>
              <w:jc w:val="center"/>
              <w:rPr>
                <w:rFonts w:cs="Arial"/>
                <w:b/>
              </w:rPr>
            </w:pPr>
            <w:r w:rsidRPr="00856CE5">
              <w:rPr>
                <w:rFonts w:cs="Arial"/>
                <w:b/>
              </w:rPr>
              <w:t>Determination Status</w:t>
            </w:r>
          </w:p>
        </w:tc>
        <w:tc>
          <w:tcPr>
            <w:tcW w:w="1352" w:type="pct"/>
            <w:shd w:val="clear" w:color="auto" w:fill="D9D9D9" w:themeFill="background1" w:themeFillShade="D9"/>
            <w:vAlign w:val="center"/>
          </w:tcPr>
          <w:p w14:paraId="13BE7652" w14:textId="77777777" w:rsidR="004C638C" w:rsidRPr="00856CE5" w:rsidRDefault="004C638C" w:rsidP="00E97F0C">
            <w:pPr>
              <w:jc w:val="center"/>
              <w:rPr>
                <w:rFonts w:cs="Arial"/>
                <w:b/>
              </w:rPr>
            </w:pPr>
            <w:r w:rsidRPr="00856CE5">
              <w:rPr>
                <w:rFonts w:cs="Arial"/>
                <w:b/>
              </w:rPr>
              <w:t>Number of Non-Charter Schools</w:t>
            </w:r>
          </w:p>
        </w:tc>
        <w:tc>
          <w:tcPr>
            <w:tcW w:w="1216" w:type="pct"/>
            <w:shd w:val="clear" w:color="auto" w:fill="D9D9D9" w:themeFill="background1" w:themeFillShade="D9"/>
            <w:vAlign w:val="center"/>
          </w:tcPr>
          <w:p w14:paraId="13BE7653" w14:textId="77777777" w:rsidR="004C638C" w:rsidRPr="00856CE5" w:rsidRDefault="004C638C" w:rsidP="00E97F0C">
            <w:pPr>
              <w:jc w:val="center"/>
              <w:rPr>
                <w:rFonts w:cs="Arial"/>
                <w:b/>
              </w:rPr>
            </w:pPr>
            <w:r w:rsidRPr="00856CE5">
              <w:rPr>
                <w:rFonts w:cs="Arial"/>
                <w:b/>
              </w:rPr>
              <w:t>Number of Charter Schools</w:t>
            </w:r>
          </w:p>
        </w:tc>
      </w:tr>
      <w:tr w:rsidR="005D4857" w:rsidRPr="00856CE5" w14:paraId="13BE7658" w14:textId="77777777" w:rsidTr="00E971C6">
        <w:trPr>
          <w:cantSplit/>
        </w:trPr>
        <w:tc>
          <w:tcPr>
            <w:tcW w:w="2432" w:type="pct"/>
            <w:vAlign w:val="center"/>
          </w:tcPr>
          <w:p w14:paraId="13BE7655" w14:textId="77777777" w:rsidR="005D4857" w:rsidRPr="00856CE5" w:rsidRDefault="005D4857" w:rsidP="005D4857">
            <w:pPr>
              <w:rPr>
                <w:rFonts w:cs="Arial"/>
              </w:rPr>
            </w:pPr>
            <w:r w:rsidRPr="00856CE5">
              <w:rPr>
                <w:rFonts w:cs="Arial"/>
                <w:b/>
              </w:rPr>
              <w:t>CSI</w:t>
            </w:r>
            <w:r w:rsidRPr="00856CE5">
              <w:rPr>
                <w:rFonts w:cs="Arial"/>
              </w:rPr>
              <w:t xml:space="preserve"> – Graduation Rate</w:t>
            </w:r>
          </w:p>
        </w:tc>
        <w:tc>
          <w:tcPr>
            <w:tcW w:w="1352" w:type="pct"/>
            <w:vAlign w:val="center"/>
          </w:tcPr>
          <w:p w14:paraId="13BE7656" w14:textId="5530FC75" w:rsidR="005D4857" w:rsidRPr="00856CE5" w:rsidRDefault="001C6499" w:rsidP="005D4857">
            <w:pPr>
              <w:jc w:val="center"/>
              <w:rPr>
                <w:rFonts w:cs="Arial"/>
              </w:rPr>
            </w:pPr>
            <w:r w:rsidRPr="00856CE5">
              <w:rPr>
                <w:rFonts w:cs="Arial"/>
              </w:rPr>
              <w:t>211</w:t>
            </w:r>
          </w:p>
        </w:tc>
        <w:tc>
          <w:tcPr>
            <w:tcW w:w="1216" w:type="pct"/>
            <w:vAlign w:val="center"/>
          </w:tcPr>
          <w:p w14:paraId="13BE7657" w14:textId="5351F157" w:rsidR="005D4857" w:rsidRPr="00856CE5" w:rsidRDefault="001C6499" w:rsidP="005D4857">
            <w:pPr>
              <w:jc w:val="center"/>
              <w:rPr>
                <w:rFonts w:cs="Arial"/>
              </w:rPr>
            </w:pPr>
            <w:r w:rsidRPr="00856CE5">
              <w:rPr>
                <w:rFonts w:cs="Arial"/>
              </w:rPr>
              <w:t>82</w:t>
            </w:r>
          </w:p>
        </w:tc>
      </w:tr>
      <w:tr w:rsidR="005D4857" w:rsidRPr="00856CE5" w14:paraId="13BE765C" w14:textId="77777777" w:rsidTr="00E971C6">
        <w:trPr>
          <w:cantSplit/>
        </w:trPr>
        <w:tc>
          <w:tcPr>
            <w:tcW w:w="2432" w:type="pct"/>
            <w:vAlign w:val="center"/>
          </w:tcPr>
          <w:p w14:paraId="13BE7659" w14:textId="77777777" w:rsidR="005D4857" w:rsidRPr="00856CE5" w:rsidRDefault="005D4857" w:rsidP="005D4857">
            <w:pPr>
              <w:rPr>
                <w:rFonts w:cs="Arial"/>
              </w:rPr>
            </w:pPr>
            <w:r w:rsidRPr="00856CE5">
              <w:rPr>
                <w:rFonts w:cs="Arial"/>
                <w:b/>
              </w:rPr>
              <w:t>CSI</w:t>
            </w:r>
            <w:r w:rsidRPr="00856CE5">
              <w:rPr>
                <w:rFonts w:cs="Arial"/>
              </w:rPr>
              <w:t xml:space="preserve"> – Lowest Performing </w:t>
            </w:r>
          </w:p>
        </w:tc>
        <w:tc>
          <w:tcPr>
            <w:tcW w:w="1352" w:type="pct"/>
            <w:vAlign w:val="center"/>
          </w:tcPr>
          <w:p w14:paraId="13BE765A" w14:textId="09A47279" w:rsidR="005D4857" w:rsidRPr="00856CE5" w:rsidRDefault="001C6499" w:rsidP="005D4857">
            <w:pPr>
              <w:jc w:val="center"/>
              <w:rPr>
                <w:rFonts w:cs="Arial"/>
              </w:rPr>
            </w:pPr>
            <w:r w:rsidRPr="00856CE5">
              <w:rPr>
                <w:rFonts w:cs="Arial"/>
              </w:rPr>
              <w:t>446</w:t>
            </w:r>
          </w:p>
        </w:tc>
        <w:tc>
          <w:tcPr>
            <w:tcW w:w="1216" w:type="pct"/>
            <w:vAlign w:val="center"/>
          </w:tcPr>
          <w:p w14:paraId="13BE765B" w14:textId="04C83399" w:rsidR="005D4857" w:rsidRPr="00856CE5" w:rsidRDefault="001C6499" w:rsidP="005D4857">
            <w:pPr>
              <w:jc w:val="center"/>
              <w:rPr>
                <w:rFonts w:cs="Arial"/>
              </w:rPr>
            </w:pPr>
            <w:r w:rsidRPr="00856CE5">
              <w:rPr>
                <w:rFonts w:cs="Arial"/>
              </w:rPr>
              <w:t>37</w:t>
            </w:r>
          </w:p>
        </w:tc>
      </w:tr>
      <w:tr w:rsidR="005D4857" w:rsidRPr="00856CE5" w14:paraId="13BE7660" w14:textId="77777777" w:rsidTr="00E971C6">
        <w:trPr>
          <w:cantSplit/>
        </w:trPr>
        <w:tc>
          <w:tcPr>
            <w:tcW w:w="2432" w:type="pct"/>
            <w:vAlign w:val="center"/>
          </w:tcPr>
          <w:p w14:paraId="13BE765D" w14:textId="77777777" w:rsidR="005D4857" w:rsidRPr="00856CE5" w:rsidRDefault="005D4857" w:rsidP="005D4857">
            <w:pPr>
              <w:rPr>
                <w:rFonts w:cs="Arial"/>
              </w:rPr>
            </w:pPr>
            <w:r w:rsidRPr="00856CE5">
              <w:rPr>
                <w:rFonts w:cs="Arial"/>
                <w:b/>
              </w:rPr>
              <w:t>ATSI</w:t>
            </w:r>
            <w:r w:rsidRPr="00856CE5">
              <w:rPr>
                <w:rFonts w:cs="Arial"/>
              </w:rPr>
              <w:t xml:space="preserve"> </w:t>
            </w:r>
          </w:p>
        </w:tc>
        <w:tc>
          <w:tcPr>
            <w:tcW w:w="1352" w:type="pct"/>
            <w:vAlign w:val="center"/>
          </w:tcPr>
          <w:p w14:paraId="13BE765E" w14:textId="0F702B6F" w:rsidR="005D4857" w:rsidRPr="00856CE5" w:rsidRDefault="001C6499" w:rsidP="005D4857">
            <w:pPr>
              <w:jc w:val="center"/>
              <w:rPr>
                <w:rFonts w:cs="Arial"/>
              </w:rPr>
            </w:pPr>
            <w:r w:rsidRPr="00856CE5">
              <w:rPr>
                <w:rFonts w:cs="Arial"/>
              </w:rPr>
              <w:t>989</w:t>
            </w:r>
          </w:p>
        </w:tc>
        <w:tc>
          <w:tcPr>
            <w:tcW w:w="1216" w:type="pct"/>
            <w:vAlign w:val="center"/>
          </w:tcPr>
          <w:p w14:paraId="13BE765F" w14:textId="5D3EF34D" w:rsidR="005D4857" w:rsidRPr="00856CE5" w:rsidRDefault="001C6499" w:rsidP="005D4857">
            <w:pPr>
              <w:jc w:val="center"/>
              <w:rPr>
                <w:rFonts w:cs="Arial"/>
              </w:rPr>
            </w:pPr>
            <w:r w:rsidRPr="00856CE5">
              <w:rPr>
                <w:rFonts w:cs="Arial"/>
              </w:rPr>
              <w:t>54</w:t>
            </w:r>
          </w:p>
        </w:tc>
      </w:tr>
      <w:tr w:rsidR="005D4857" w:rsidRPr="00856CE5" w14:paraId="13BE7664" w14:textId="77777777" w:rsidTr="00E971C6">
        <w:trPr>
          <w:cantSplit/>
        </w:trPr>
        <w:tc>
          <w:tcPr>
            <w:tcW w:w="2432" w:type="pct"/>
            <w:vAlign w:val="center"/>
          </w:tcPr>
          <w:p w14:paraId="13BE7661" w14:textId="77777777" w:rsidR="005D4857" w:rsidRPr="00856CE5" w:rsidRDefault="005D4857" w:rsidP="005D4857">
            <w:pPr>
              <w:rPr>
                <w:rFonts w:cs="Arial"/>
              </w:rPr>
            </w:pPr>
            <w:r w:rsidRPr="00856CE5">
              <w:rPr>
                <w:rFonts w:cs="Arial"/>
                <w:b/>
              </w:rPr>
              <w:t>General Assistance</w:t>
            </w:r>
            <w:r w:rsidRPr="00856CE5">
              <w:rPr>
                <w:rFonts w:cs="Arial"/>
              </w:rPr>
              <w:t xml:space="preserve"> </w:t>
            </w:r>
          </w:p>
        </w:tc>
        <w:tc>
          <w:tcPr>
            <w:tcW w:w="1352" w:type="pct"/>
            <w:vAlign w:val="center"/>
          </w:tcPr>
          <w:p w14:paraId="13BE7662" w14:textId="5308B0BB" w:rsidR="005D4857" w:rsidRPr="00856CE5" w:rsidRDefault="001C6499" w:rsidP="005D4857">
            <w:pPr>
              <w:jc w:val="center"/>
              <w:rPr>
                <w:rFonts w:cs="Arial"/>
              </w:rPr>
            </w:pPr>
            <w:r w:rsidRPr="00856CE5">
              <w:rPr>
                <w:rFonts w:cs="Arial"/>
              </w:rPr>
              <w:t>7,059</w:t>
            </w:r>
          </w:p>
        </w:tc>
        <w:tc>
          <w:tcPr>
            <w:tcW w:w="1216" w:type="pct"/>
            <w:vAlign w:val="center"/>
          </w:tcPr>
          <w:p w14:paraId="13BE7663" w14:textId="0F70D505" w:rsidR="005D4857" w:rsidRPr="00856CE5" w:rsidRDefault="001C6499" w:rsidP="005D4857">
            <w:pPr>
              <w:jc w:val="center"/>
              <w:rPr>
                <w:rFonts w:cs="Arial"/>
              </w:rPr>
            </w:pPr>
            <w:r w:rsidRPr="00856CE5">
              <w:rPr>
                <w:rFonts w:cs="Arial"/>
              </w:rPr>
              <w:t>1,092</w:t>
            </w:r>
          </w:p>
        </w:tc>
      </w:tr>
    </w:tbl>
    <w:p w14:paraId="13BE7665" w14:textId="77777777" w:rsidR="004C638C" w:rsidRPr="00856CE5" w:rsidRDefault="004C638C" w:rsidP="004C638C">
      <w:pPr>
        <w:spacing w:after="240"/>
        <w:contextualSpacing/>
        <w:rPr>
          <w:rFonts w:cs="Arial"/>
        </w:rPr>
      </w:pPr>
    </w:p>
    <w:p w14:paraId="13BE7666" w14:textId="77777777" w:rsidR="004C638C" w:rsidRPr="00856CE5" w:rsidRDefault="004C638C" w:rsidP="00B90D03">
      <w:pPr>
        <w:spacing w:before="360" w:after="240"/>
        <w:rPr>
          <w:rFonts w:cs="Arial"/>
          <w:color w:val="000000"/>
        </w:rPr>
      </w:pPr>
      <w:r w:rsidRPr="00856CE5">
        <w:rPr>
          <w:rFonts w:cs="Arial"/>
        </w:rPr>
        <w:t>Table 3 shows</w:t>
      </w:r>
      <w:r w:rsidRPr="00856CE5">
        <w:rPr>
          <w:rFonts w:cs="Arial"/>
          <w:color w:val="000000"/>
        </w:rPr>
        <w:t xml:space="preserve"> the number of schools eligible for CSI, ATSI, and general assistance by </w:t>
      </w:r>
      <w:r w:rsidR="007E37F6" w:rsidRPr="00856CE5">
        <w:rPr>
          <w:rFonts w:ascii="Helvetica" w:hAnsi="Helvetica" w:cs="Helvetica"/>
          <w:color w:val="000000"/>
        </w:rPr>
        <w:t>Dashboard Alternative School Status</w:t>
      </w:r>
      <w:r w:rsidR="007E37F6" w:rsidRPr="00856CE5">
        <w:rPr>
          <w:rFonts w:cs="Arial"/>
          <w:color w:val="000000"/>
        </w:rPr>
        <w:t xml:space="preserve"> (DASS</w:t>
      </w:r>
      <w:r w:rsidR="00C866AE" w:rsidRPr="00856CE5">
        <w:rPr>
          <w:rFonts w:cs="Arial"/>
          <w:color w:val="000000"/>
        </w:rPr>
        <w:t>)</w:t>
      </w:r>
      <w:r w:rsidRPr="00856CE5">
        <w:rPr>
          <w:rFonts w:cs="Arial"/>
          <w:color w:val="000000"/>
        </w:rPr>
        <w:t xml:space="preserve"> status. </w:t>
      </w:r>
    </w:p>
    <w:p w14:paraId="13BE7668" w14:textId="77777777" w:rsidR="004C638C" w:rsidRPr="00856CE5" w:rsidRDefault="004C638C" w:rsidP="004C638C">
      <w:pPr>
        <w:autoSpaceDE w:val="0"/>
        <w:autoSpaceDN w:val="0"/>
        <w:rPr>
          <w:rFonts w:cs="Arial"/>
          <w:b/>
        </w:rPr>
      </w:pPr>
      <w:r w:rsidRPr="00856CE5">
        <w:rPr>
          <w:rFonts w:cs="Arial"/>
          <w:b/>
        </w:rPr>
        <w:t>Table 3: Summary Results of Schools Eligible for CSI, ATSI, and General</w:t>
      </w:r>
    </w:p>
    <w:p w14:paraId="13BE7669" w14:textId="77777777" w:rsidR="004C638C" w:rsidRPr="00856CE5" w:rsidRDefault="004C638C" w:rsidP="004C638C">
      <w:pPr>
        <w:autoSpaceDE w:val="0"/>
        <w:autoSpaceDN w:val="0"/>
        <w:spacing w:after="240"/>
        <w:rPr>
          <w:rFonts w:cs="Arial"/>
        </w:rPr>
      </w:pPr>
      <w:r w:rsidRPr="00856CE5">
        <w:rPr>
          <w:rFonts w:cs="Arial"/>
          <w:b/>
        </w:rPr>
        <w:t>Assistance – By DASS Status</w:t>
      </w:r>
    </w:p>
    <w:tbl>
      <w:tblPr>
        <w:tblStyle w:val="TableGrid"/>
        <w:tblW w:w="4563" w:type="pct"/>
        <w:tblLook w:val="04A0" w:firstRow="1" w:lastRow="0" w:firstColumn="1" w:lastColumn="0" w:noHBand="0" w:noVBand="1"/>
        <w:tblDescription w:val="Summary Results of Schools Eligible for CSI, ATSI, and General&#10;Assistance – By DASS Status"/>
      </w:tblPr>
      <w:tblGrid>
        <w:gridCol w:w="4151"/>
        <w:gridCol w:w="2307"/>
        <w:gridCol w:w="2075"/>
      </w:tblGrid>
      <w:tr w:rsidR="004C638C" w:rsidRPr="00856CE5" w14:paraId="13BE766D" w14:textId="77777777" w:rsidTr="00E971C6">
        <w:trPr>
          <w:cantSplit/>
          <w:tblHeader/>
        </w:trPr>
        <w:tc>
          <w:tcPr>
            <w:tcW w:w="2432" w:type="pct"/>
            <w:shd w:val="clear" w:color="auto" w:fill="D9D9D9" w:themeFill="background1" w:themeFillShade="D9"/>
            <w:vAlign w:val="center"/>
          </w:tcPr>
          <w:p w14:paraId="13BE766A" w14:textId="77777777" w:rsidR="004C638C" w:rsidRPr="00856CE5" w:rsidRDefault="004C638C" w:rsidP="00E97F0C">
            <w:pPr>
              <w:jc w:val="center"/>
              <w:rPr>
                <w:rFonts w:cs="Arial"/>
                <w:b/>
              </w:rPr>
            </w:pPr>
            <w:r w:rsidRPr="00856CE5">
              <w:rPr>
                <w:rFonts w:cs="Arial"/>
                <w:b/>
              </w:rPr>
              <w:t>Determination Status</w:t>
            </w:r>
          </w:p>
        </w:tc>
        <w:tc>
          <w:tcPr>
            <w:tcW w:w="1352" w:type="pct"/>
            <w:shd w:val="clear" w:color="auto" w:fill="D9D9D9" w:themeFill="background1" w:themeFillShade="D9"/>
            <w:vAlign w:val="center"/>
          </w:tcPr>
          <w:p w14:paraId="13BE766B" w14:textId="77777777" w:rsidR="004C638C" w:rsidRPr="00856CE5" w:rsidRDefault="004C638C" w:rsidP="00E97F0C">
            <w:pPr>
              <w:jc w:val="center"/>
              <w:rPr>
                <w:rFonts w:cs="Arial"/>
                <w:b/>
              </w:rPr>
            </w:pPr>
            <w:r w:rsidRPr="00856CE5">
              <w:rPr>
                <w:rFonts w:cs="Arial"/>
                <w:b/>
              </w:rPr>
              <w:t>Number of Non-DASS Schools</w:t>
            </w:r>
          </w:p>
        </w:tc>
        <w:tc>
          <w:tcPr>
            <w:tcW w:w="1216" w:type="pct"/>
            <w:shd w:val="clear" w:color="auto" w:fill="D9D9D9" w:themeFill="background1" w:themeFillShade="D9"/>
            <w:vAlign w:val="center"/>
          </w:tcPr>
          <w:p w14:paraId="13BE766C" w14:textId="77777777" w:rsidR="004C638C" w:rsidRPr="00856CE5" w:rsidRDefault="004C638C" w:rsidP="00E97F0C">
            <w:pPr>
              <w:jc w:val="center"/>
              <w:rPr>
                <w:rFonts w:cs="Arial"/>
                <w:b/>
              </w:rPr>
            </w:pPr>
            <w:r w:rsidRPr="00856CE5">
              <w:rPr>
                <w:rFonts w:cs="Arial"/>
                <w:b/>
              </w:rPr>
              <w:t>Number of DASS Schools</w:t>
            </w:r>
          </w:p>
        </w:tc>
      </w:tr>
      <w:tr w:rsidR="005D4857" w:rsidRPr="00856CE5" w14:paraId="13BE7671" w14:textId="77777777" w:rsidTr="00E971C6">
        <w:trPr>
          <w:cantSplit/>
        </w:trPr>
        <w:tc>
          <w:tcPr>
            <w:tcW w:w="2432" w:type="pct"/>
            <w:vAlign w:val="center"/>
          </w:tcPr>
          <w:p w14:paraId="13BE766E" w14:textId="77777777" w:rsidR="005D4857" w:rsidRPr="00856CE5" w:rsidRDefault="005D4857" w:rsidP="005D4857">
            <w:pPr>
              <w:rPr>
                <w:rFonts w:cs="Arial"/>
              </w:rPr>
            </w:pPr>
            <w:r w:rsidRPr="00856CE5">
              <w:rPr>
                <w:rFonts w:cs="Arial"/>
                <w:b/>
              </w:rPr>
              <w:t>CSI</w:t>
            </w:r>
            <w:r w:rsidRPr="00856CE5">
              <w:rPr>
                <w:rFonts w:cs="Arial"/>
              </w:rPr>
              <w:t xml:space="preserve"> – Graduation Rate </w:t>
            </w:r>
          </w:p>
        </w:tc>
        <w:tc>
          <w:tcPr>
            <w:tcW w:w="1352" w:type="pct"/>
            <w:vAlign w:val="center"/>
          </w:tcPr>
          <w:p w14:paraId="13BE766F" w14:textId="76A8E78C" w:rsidR="005D4857" w:rsidRPr="00856CE5" w:rsidRDefault="002B63EC" w:rsidP="005D4857">
            <w:pPr>
              <w:jc w:val="center"/>
              <w:rPr>
                <w:rFonts w:cs="Arial"/>
              </w:rPr>
            </w:pPr>
            <w:r w:rsidRPr="00856CE5">
              <w:rPr>
                <w:rFonts w:cs="Arial"/>
              </w:rPr>
              <w:t>57</w:t>
            </w:r>
          </w:p>
        </w:tc>
        <w:tc>
          <w:tcPr>
            <w:tcW w:w="1216" w:type="pct"/>
            <w:vAlign w:val="center"/>
          </w:tcPr>
          <w:p w14:paraId="13BE7670" w14:textId="48C7D1AE" w:rsidR="005D4857" w:rsidRPr="00856CE5" w:rsidRDefault="002B63EC" w:rsidP="005D4857">
            <w:pPr>
              <w:jc w:val="center"/>
              <w:rPr>
                <w:rFonts w:cs="Arial"/>
              </w:rPr>
            </w:pPr>
            <w:r w:rsidRPr="00856CE5">
              <w:rPr>
                <w:rFonts w:cs="Arial"/>
              </w:rPr>
              <w:t>236</w:t>
            </w:r>
          </w:p>
        </w:tc>
      </w:tr>
      <w:tr w:rsidR="005D4857" w:rsidRPr="00856CE5" w14:paraId="13BE7675" w14:textId="77777777" w:rsidTr="00E971C6">
        <w:trPr>
          <w:cantSplit/>
        </w:trPr>
        <w:tc>
          <w:tcPr>
            <w:tcW w:w="2432" w:type="pct"/>
            <w:vAlign w:val="center"/>
          </w:tcPr>
          <w:p w14:paraId="13BE7672" w14:textId="77777777" w:rsidR="005D4857" w:rsidRPr="00856CE5" w:rsidRDefault="005D4857" w:rsidP="005D4857">
            <w:pPr>
              <w:rPr>
                <w:rFonts w:cs="Arial"/>
              </w:rPr>
            </w:pPr>
            <w:r w:rsidRPr="00856CE5">
              <w:rPr>
                <w:rFonts w:cs="Arial"/>
                <w:b/>
              </w:rPr>
              <w:t>CSI</w:t>
            </w:r>
            <w:r w:rsidRPr="00856CE5">
              <w:rPr>
                <w:rFonts w:cs="Arial"/>
              </w:rPr>
              <w:t xml:space="preserve"> – Lowest Performing</w:t>
            </w:r>
          </w:p>
        </w:tc>
        <w:tc>
          <w:tcPr>
            <w:tcW w:w="1352" w:type="pct"/>
            <w:vAlign w:val="center"/>
          </w:tcPr>
          <w:p w14:paraId="13BE7673" w14:textId="34C3E8BD" w:rsidR="005D4857" w:rsidRPr="00856CE5" w:rsidRDefault="002B63EC" w:rsidP="002B63EC">
            <w:pPr>
              <w:jc w:val="center"/>
              <w:rPr>
                <w:rFonts w:cs="Arial"/>
              </w:rPr>
            </w:pPr>
            <w:r w:rsidRPr="00856CE5">
              <w:rPr>
                <w:rFonts w:cs="Arial"/>
              </w:rPr>
              <w:t>360</w:t>
            </w:r>
          </w:p>
        </w:tc>
        <w:tc>
          <w:tcPr>
            <w:tcW w:w="1216" w:type="pct"/>
            <w:vAlign w:val="center"/>
          </w:tcPr>
          <w:p w14:paraId="13BE7674" w14:textId="5AC45D0C" w:rsidR="005D4857" w:rsidRPr="00856CE5" w:rsidRDefault="002B63EC" w:rsidP="005D4857">
            <w:pPr>
              <w:jc w:val="center"/>
              <w:rPr>
                <w:rFonts w:cs="Arial"/>
              </w:rPr>
            </w:pPr>
            <w:r w:rsidRPr="00856CE5">
              <w:rPr>
                <w:rFonts w:cs="Arial"/>
              </w:rPr>
              <w:t>123</w:t>
            </w:r>
          </w:p>
        </w:tc>
      </w:tr>
      <w:tr w:rsidR="005D4857" w:rsidRPr="00856CE5" w14:paraId="13BE7679" w14:textId="77777777" w:rsidTr="00E971C6">
        <w:trPr>
          <w:cantSplit/>
        </w:trPr>
        <w:tc>
          <w:tcPr>
            <w:tcW w:w="2432" w:type="pct"/>
            <w:vAlign w:val="center"/>
          </w:tcPr>
          <w:p w14:paraId="13BE7676" w14:textId="77777777" w:rsidR="005D4857" w:rsidRPr="00856CE5" w:rsidRDefault="005D4857" w:rsidP="005D4857">
            <w:pPr>
              <w:rPr>
                <w:rFonts w:cs="Arial"/>
              </w:rPr>
            </w:pPr>
            <w:r w:rsidRPr="00856CE5">
              <w:rPr>
                <w:rFonts w:cs="Arial"/>
                <w:b/>
              </w:rPr>
              <w:t>ATSI</w:t>
            </w:r>
            <w:r w:rsidRPr="00856CE5">
              <w:rPr>
                <w:rFonts w:cs="Arial"/>
              </w:rPr>
              <w:t xml:space="preserve"> </w:t>
            </w:r>
          </w:p>
        </w:tc>
        <w:tc>
          <w:tcPr>
            <w:tcW w:w="1352" w:type="pct"/>
            <w:vAlign w:val="center"/>
          </w:tcPr>
          <w:p w14:paraId="13BE7677" w14:textId="3A326CA7" w:rsidR="005D4857" w:rsidRPr="00856CE5" w:rsidRDefault="002B63EC" w:rsidP="005D4857">
            <w:pPr>
              <w:jc w:val="center"/>
              <w:rPr>
                <w:rFonts w:cs="Arial"/>
              </w:rPr>
            </w:pPr>
            <w:r w:rsidRPr="00856CE5">
              <w:rPr>
                <w:rFonts w:cs="Arial"/>
              </w:rPr>
              <w:t>1,001</w:t>
            </w:r>
          </w:p>
        </w:tc>
        <w:tc>
          <w:tcPr>
            <w:tcW w:w="1216" w:type="pct"/>
            <w:vAlign w:val="center"/>
          </w:tcPr>
          <w:p w14:paraId="13BE7678" w14:textId="3B7F0D99" w:rsidR="005D4857" w:rsidRPr="00856CE5" w:rsidRDefault="002B63EC" w:rsidP="005D4857">
            <w:pPr>
              <w:jc w:val="center"/>
              <w:rPr>
                <w:rFonts w:cs="Arial"/>
              </w:rPr>
            </w:pPr>
            <w:r w:rsidRPr="00856CE5">
              <w:rPr>
                <w:rFonts w:cs="Arial"/>
              </w:rPr>
              <w:t>42</w:t>
            </w:r>
          </w:p>
        </w:tc>
      </w:tr>
      <w:tr w:rsidR="005D4857" w:rsidRPr="00856CE5" w14:paraId="13BE767D" w14:textId="77777777" w:rsidTr="00E971C6">
        <w:trPr>
          <w:cantSplit/>
        </w:trPr>
        <w:tc>
          <w:tcPr>
            <w:tcW w:w="2432" w:type="pct"/>
            <w:vAlign w:val="center"/>
          </w:tcPr>
          <w:p w14:paraId="13BE767A" w14:textId="77777777" w:rsidR="005D4857" w:rsidRPr="00856CE5" w:rsidRDefault="005D4857" w:rsidP="005D4857">
            <w:pPr>
              <w:rPr>
                <w:rFonts w:cs="Arial"/>
              </w:rPr>
            </w:pPr>
            <w:r w:rsidRPr="00856CE5">
              <w:rPr>
                <w:rFonts w:cs="Arial"/>
                <w:b/>
              </w:rPr>
              <w:t>General Assistance</w:t>
            </w:r>
            <w:r w:rsidRPr="00856CE5">
              <w:rPr>
                <w:rFonts w:cs="Arial"/>
              </w:rPr>
              <w:t xml:space="preserve"> </w:t>
            </w:r>
          </w:p>
        </w:tc>
        <w:tc>
          <w:tcPr>
            <w:tcW w:w="1352" w:type="pct"/>
            <w:vAlign w:val="center"/>
          </w:tcPr>
          <w:p w14:paraId="13BE767B" w14:textId="143972A3" w:rsidR="005D4857" w:rsidRPr="00856CE5" w:rsidRDefault="002B63EC" w:rsidP="002B63EC">
            <w:pPr>
              <w:jc w:val="center"/>
              <w:rPr>
                <w:rFonts w:cs="Arial"/>
              </w:rPr>
            </w:pPr>
            <w:r w:rsidRPr="00856CE5">
              <w:rPr>
                <w:rFonts w:cs="Arial"/>
              </w:rPr>
              <w:t>7,545</w:t>
            </w:r>
          </w:p>
        </w:tc>
        <w:tc>
          <w:tcPr>
            <w:tcW w:w="1216" w:type="pct"/>
            <w:vAlign w:val="center"/>
          </w:tcPr>
          <w:p w14:paraId="13BE767C" w14:textId="7AEF98B3" w:rsidR="005D4857" w:rsidRPr="00856CE5" w:rsidRDefault="002B63EC" w:rsidP="005D4857">
            <w:pPr>
              <w:jc w:val="center"/>
              <w:rPr>
                <w:rFonts w:cs="Arial"/>
              </w:rPr>
            </w:pPr>
            <w:r w:rsidRPr="00856CE5">
              <w:rPr>
                <w:rFonts w:cs="Arial"/>
              </w:rPr>
              <w:t>606</w:t>
            </w:r>
          </w:p>
        </w:tc>
      </w:tr>
    </w:tbl>
    <w:p w14:paraId="04191EFD" w14:textId="77777777" w:rsidR="00B90D03" w:rsidRDefault="00B90D03" w:rsidP="004C638C">
      <w:pPr>
        <w:autoSpaceDE w:val="0"/>
        <w:autoSpaceDN w:val="0"/>
        <w:spacing w:before="240" w:after="240"/>
        <w:rPr>
          <w:rFonts w:cs="Arial"/>
          <w:color w:val="000000"/>
        </w:rPr>
      </w:pPr>
      <w:r>
        <w:rPr>
          <w:rFonts w:cs="Arial"/>
          <w:color w:val="000000"/>
        </w:rPr>
        <w:br w:type="page"/>
      </w:r>
    </w:p>
    <w:p w14:paraId="13BE767E" w14:textId="1CFF2AC9" w:rsidR="004C638C" w:rsidRPr="00856CE5" w:rsidRDefault="004C638C" w:rsidP="004C638C">
      <w:pPr>
        <w:autoSpaceDE w:val="0"/>
        <w:autoSpaceDN w:val="0"/>
        <w:spacing w:before="240" w:after="240"/>
        <w:rPr>
          <w:rFonts w:cs="Arial"/>
          <w:color w:val="000000"/>
        </w:rPr>
      </w:pPr>
      <w:r w:rsidRPr="00856CE5">
        <w:rPr>
          <w:rFonts w:cs="Arial"/>
          <w:color w:val="000000"/>
        </w:rPr>
        <w:lastRenderedPageBreak/>
        <w:t>Table 4 shows the assistance status of schools between 2018 and 2019.</w:t>
      </w:r>
    </w:p>
    <w:p w14:paraId="13BE767F" w14:textId="77777777" w:rsidR="004C638C" w:rsidRPr="00856CE5" w:rsidRDefault="004C638C" w:rsidP="004C638C">
      <w:pPr>
        <w:autoSpaceDE w:val="0"/>
        <w:autoSpaceDN w:val="0"/>
        <w:spacing w:after="240"/>
        <w:rPr>
          <w:rFonts w:cs="Arial"/>
          <w:b/>
        </w:rPr>
      </w:pPr>
      <w:r w:rsidRPr="00856CE5">
        <w:rPr>
          <w:rFonts w:cs="Arial"/>
          <w:b/>
        </w:rPr>
        <w:t>Table 4: Assistance Status of Schools Between 2018 and 2019</w:t>
      </w:r>
    </w:p>
    <w:tbl>
      <w:tblPr>
        <w:tblStyle w:val="TableGrid"/>
        <w:tblW w:w="5000" w:type="pct"/>
        <w:tblLayout w:type="fixed"/>
        <w:tblLook w:val="04A0" w:firstRow="1" w:lastRow="0" w:firstColumn="1" w:lastColumn="0" w:noHBand="0" w:noVBand="1"/>
        <w:tblDescription w:val="Assistance Status of Schools Between 2018 and 2019"/>
      </w:tblPr>
      <w:tblGrid>
        <w:gridCol w:w="1526"/>
        <w:gridCol w:w="1750"/>
        <w:gridCol w:w="1578"/>
        <w:gridCol w:w="1244"/>
        <w:gridCol w:w="1627"/>
        <w:gridCol w:w="1625"/>
      </w:tblGrid>
      <w:tr w:rsidR="005D4857" w:rsidRPr="00856CE5" w14:paraId="13BE7686" w14:textId="77777777" w:rsidTr="00E971C6">
        <w:trPr>
          <w:cantSplit/>
          <w:tblHeader/>
        </w:trPr>
        <w:tc>
          <w:tcPr>
            <w:tcW w:w="816" w:type="pct"/>
            <w:shd w:val="clear" w:color="auto" w:fill="D9D9D9" w:themeFill="background1" w:themeFillShade="D9"/>
            <w:vAlign w:val="center"/>
          </w:tcPr>
          <w:p w14:paraId="13BE7680" w14:textId="77777777" w:rsidR="005D4857" w:rsidRPr="00856CE5" w:rsidRDefault="005D4857" w:rsidP="00E97F0C">
            <w:pPr>
              <w:autoSpaceDE w:val="0"/>
              <w:autoSpaceDN w:val="0"/>
              <w:jc w:val="center"/>
              <w:rPr>
                <w:rFonts w:cs="Arial"/>
                <w:b/>
              </w:rPr>
            </w:pPr>
            <w:r w:rsidRPr="00856CE5">
              <w:rPr>
                <w:rFonts w:cs="Arial"/>
                <w:b/>
              </w:rPr>
              <w:t>2018 Assistance</w:t>
            </w:r>
          </w:p>
        </w:tc>
        <w:tc>
          <w:tcPr>
            <w:tcW w:w="936" w:type="pct"/>
            <w:shd w:val="clear" w:color="auto" w:fill="D9D9D9" w:themeFill="background1" w:themeFillShade="D9"/>
            <w:vAlign w:val="center"/>
          </w:tcPr>
          <w:p w14:paraId="13BE7681" w14:textId="77777777" w:rsidR="005D4857" w:rsidRPr="00856CE5" w:rsidRDefault="005D4857" w:rsidP="00E97F0C">
            <w:pPr>
              <w:autoSpaceDE w:val="0"/>
              <w:autoSpaceDN w:val="0"/>
              <w:jc w:val="center"/>
              <w:rPr>
                <w:rFonts w:cs="Arial"/>
                <w:b/>
              </w:rPr>
            </w:pPr>
            <w:r w:rsidRPr="00856CE5">
              <w:rPr>
                <w:rFonts w:cs="Arial"/>
                <w:b/>
              </w:rPr>
              <w:t xml:space="preserve">2019: CSI – </w:t>
            </w:r>
            <w:r w:rsidRPr="00856CE5">
              <w:rPr>
                <w:rFonts w:cs="Arial"/>
              </w:rPr>
              <w:t>Graduation Rate</w:t>
            </w:r>
          </w:p>
        </w:tc>
        <w:tc>
          <w:tcPr>
            <w:tcW w:w="844" w:type="pct"/>
            <w:shd w:val="clear" w:color="auto" w:fill="D9D9D9" w:themeFill="background1" w:themeFillShade="D9"/>
            <w:vAlign w:val="center"/>
          </w:tcPr>
          <w:p w14:paraId="13BE7682" w14:textId="77777777" w:rsidR="005D4857" w:rsidRPr="00856CE5" w:rsidRDefault="005D4857" w:rsidP="00E97F0C">
            <w:pPr>
              <w:autoSpaceDE w:val="0"/>
              <w:autoSpaceDN w:val="0"/>
              <w:jc w:val="center"/>
              <w:rPr>
                <w:rFonts w:cs="Arial"/>
                <w:b/>
              </w:rPr>
            </w:pPr>
            <w:r w:rsidRPr="00856CE5">
              <w:rPr>
                <w:rFonts w:cs="Arial"/>
                <w:b/>
              </w:rPr>
              <w:t xml:space="preserve">2019: CSI – </w:t>
            </w:r>
            <w:r w:rsidRPr="00856CE5">
              <w:rPr>
                <w:rFonts w:cs="Arial"/>
              </w:rPr>
              <w:t>Lowest Performing</w:t>
            </w:r>
          </w:p>
        </w:tc>
        <w:tc>
          <w:tcPr>
            <w:tcW w:w="665" w:type="pct"/>
            <w:shd w:val="clear" w:color="auto" w:fill="D9D9D9" w:themeFill="background1" w:themeFillShade="D9"/>
            <w:vAlign w:val="center"/>
          </w:tcPr>
          <w:p w14:paraId="13BE7683" w14:textId="77777777" w:rsidR="005D4857" w:rsidRPr="00856CE5" w:rsidRDefault="005D4857" w:rsidP="00E97F0C">
            <w:pPr>
              <w:autoSpaceDE w:val="0"/>
              <w:autoSpaceDN w:val="0"/>
              <w:jc w:val="center"/>
              <w:rPr>
                <w:rFonts w:cs="Arial"/>
                <w:b/>
              </w:rPr>
            </w:pPr>
            <w:r w:rsidRPr="00856CE5">
              <w:rPr>
                <w:rFonts w:cs="Arial"/>
                <w:b/>
              </w:rPr>
              <w:t>2019: ATSI</w:t>
            </w:r>
          </w:p>
        </w:tc>
        <w:tc>
          <w:tcPr>
            <w:tcW w:w="870" w:type="pct"/>
            <w:shd w:val="clear" w:color="auto" w:fill="D9D9D9" w:themeFill="background1" w:themeFillShade="D9"/>
          </w:tcPr>
          <w:p w14:paraId="13BE7684" w14:textId="77777777" w:rsidR="005D4857" w:rsidRPr="00856CE5" w:rsidRDefault="005D4857" w:rsidP="00E97F0C">
            <w:pPr>
              <w:autoSpaceDE w:val="0"/>
              <w:autoSpaceDN w:val="0"/>
              <w:jc w:val="center"/>
              <w:rPr>
                <w:rFonts w:cs="Arial"/>
                <w:b/>
              </w:rPr>
            </w:pPr>
            <w:r w:rsidRPr="00856CE5">
              <w:rPr>
                <w:rFonts w:cs="Arial"/>
                <w:b/>
              </w:rPr>
              <w:t>2019: General Assistance</w:t>
            </w:r>
          </w:p>
        </w:tc>
        <w:tc>
          <w:tcPr>
            <w:tcW w:w="869" w:type="pct"/>
            <w:shd w:val="clear" w:color="auto" w:fill="D9D9D9" w:themeFill="background1" w:themeFillShade="D9"/>
            <w:vAlign w:val="center"/>
          </w:tcPr>
          <w:p w14:paraId="13BE7685" w14:textId="77777777" w:rsidR="005D4857" w:rsidRPr="00856CE5" w:rsidRDefault="005D4857" w:rsidP="005D4857">
            <w:pPr>
              <w:autoSpaceDE w:val="0"/>
              <w:autoSpaceDN w:val="0"/>
              <w:jc w:val="center"/>
              <w:rPr>
                <w:rFonts w:cs="Arial"/>
                <w:b/>
              </w:rPr>
            </w:pPr>
            <w:r w:rsidRPr="00856CE5">
              <w:rPr>
                <w:rFonts w:cs="Arial"/>
                <w:b/>
              </w:rPr>
              <w:t>Total</w:t>
            </w:r>
          </w:p>
        </w:tc>
      </w:tr>
      <w:tr w:rsidR="005D4857" w:rsidRPr="00856CE5" w14:paraId="13BE768D" w14:textId="77777777" w:rsidTr="00E971C6">
        <w:trPr>
          <w:cantSplit/>
        </w:trPr>
        <w:tc>
          <w:tcPr>
            <w:tcW w:w="816" w:type="pct"/>
            <w:vAlign w:val="center"/>
          </w:tcPr>
          <w:p w14:paraId="13BE7687" w14:textId="77777777" w:rsidR="005D4857" w:rsidRPr="00856CE5" w:rsidRDefault="005D4857" w:rsidP="005D4857">
            <w:pPr>
              <w:autoSpaceDE w:val="0"/>
              <w:autoSpaceDN w:val="0"/>
              <w:jc w:val="center"/>
              <w:rPr>
                <w:rFonts w:cs="Arial"/>
                <w:b/>
              </w:rPr>
            </w:pPr>
            <w:r w:rsidRPr="00856CE5">
              <w:rPr>
                <w:rFonts w:cs="Arial"/>
                <w:b/>
              </w:rPr>
              <w:t xml:space="preserve">2018: CSI – </w:t>
            </w:r>
            <w:r w:rsidRPr="00856CE5">
              <w:rPr>
                <w:rFonts w:cs="Arial"/>
              </w:rPr>
              <w:t>Graduation Rate</w:t>
            </w:r>
            <w:r w:rsidRPr="00856CE5">
              <w:rPr>
                <w:rFonts w:cs="Arial"/>
                <w:b/>
              </w:rPr>
              <w:t xml:space="preserve"> </w:t>
            </w:r>
          </w:p>
        </w:tc>
        <w:tc>
          <w:tcPr>
            <w:tcW w:w="936" w:type="pct"/>
            <w:shd w:val="clear" w:color="auto" w:fill="auto"/>
            <w:vAlign w:val="center"/>
          </w:tcPr>
          <w:p w14:paraId="13BE7688" w14:textId="54C201CA" w:rsidR="005D4857" w:rsidRPr="00856CE5" w:rsidRDefault="002B63EC" w:rsidP="005D4857">
            <w:pPr>
              <w:autoSpaceDE w:val="0"/>
              <w:autoSpaceDN w:val="0"/>
              <w:jc w:val="center"/>
              <w:rPr>
                <w:rFonts w:cs="Arial"/>
              </w:rPr>
            </w:pPr>
            <w:r w:rsidRPr="00856CE5">
              <w:rPr>
                <w:rFonts w:cs="Arial"/>
              </w:rPr>
              <w:t>220</w:t>
            </w:r>
          </w:p>
        </w:tc>
        <w:tc>
          <w:tcPr>
            <w:tcW w:w="844" w:type="pct"/>
            <w:shd w:val="clear" w:color="auto" w:fill="auto"/>
            <w:vAlign w:val="center"/>
          </w:tcPr>
          <w:p w14:paraId="13BE7689" w14:textId="77777777" w:rsidR="005D4857" w:rsidRPr="00856CE5" w:rsidRDefault="005D4857" w:rsidP="005D4857">
            <w:pPr>
              <w:autoSpaceDE w:val="0"/>
              <w:autoSpaceDN w:val="0"/>
              <w:jc w:val="center"/>
              <w:rPr>
                <w:rFonts w:cs="Arial"/>
              </w:rPr>
            </w:pPr>
            <w:r w:rsidRPr="00856CE5">
              <w:rPr>
                <w:rFonts w:cs="Arial"/>
              </w:rPr>
              <w:t>8</w:t>
            </w:r>
          </w:p>
        </w:tc>
        <w:tc>
          <w:tcPr>
            <w:tcW w:w="665" w:type="pct"/>
            <w:shd w:val="clear" w:color="auto" w:fill="auto"/>
            <w:vAlign w:val="center"/>
          </w:tcPr>
          <w:p w14:paraId="13BE768A" w14:textId="31CB787A" w:rsidR="005D4857" w:rsidRPr="00856CE5" w:rsidRDefault="00A41E45" w:rsidP="005D4857">
            <w:pPr>
              <w:autoSpaceDE w:val="0"/>
              <w:autoSpaceDN w:val="0"/>
              <w:jc w:val="center"/>
              <w:rPr>
                <w:rFonts w:cs="Arial"/>
              </w:rPr>
            </w:pPr>
            <w:r w:rsidRPr="00856CE5">
              <w:rPr>
                <w:rFonts w:cs="Arial"/>
              </w:rPr>
              <w:t>6</w:t>
            </w:r>
          </w:p>
        </w:tc>
        <w:tc>
          <w:tcPr>
            <w:tcW w:w="870" w:type="pct"/>
            <w:shd w:val="clear" w:color="auto" w:fill="auto"/>
            <w:vAlign w:val="center"/>
          </w:tcPr>
          <w:p w14:paraId="13BE768B" w14:textId="65D9AED8" w:rsidR="005D4857" w:rsidRPr="00856CE5" w:rsidRDefault="00A41E45" w:rsidP="005D4857">
            <w:pPr>
              <w:autoSpaceDE w:val="0"/>
              <w:autoSpaceDN w:val="0"/>
              <w:jc w:val="center"/>
              <w:rPr>
                <w:rFonts w:cs="Arial"/>
              </w:rPr>
            </w:pPr>
            <w:r w:rsidRPr="00856CE5">
              <w:rPr>
                <w:rFonts w:cs="Arial"/>
              </w:rPr>
              <w:t>59</w:t>
            </w:r>
            <w:r w:rsidR="005D4857" w:rsidRPr="00856CE5">
              <w:rPr>
                <w:rFonts w:cs="Arial"/>
              </w:rPr>
              <w:t>*</w:t>
            </w:r>
          </w:p>
        </w:tc>
        <w:tc>
          <w:tcPr>
            <w:tcW w:w="869" w:type="pct"/>
            <w:shd w:val="clear" w:color="auto" w:fill="auto"/>
            <w:vAlign w:val="center"/>
          </w:tcPr>
          <w:p w14:paraId="13BE768C" w14:textId="77777777" w:rsidR="005D4857" w:rsidRPr="00856CE5" w:rsidRDefault="005D4857" w:rsidP="005D4857">
            <w:pPr>
              <w:autoSpaceDE w:val="0"/>
              <w:autoSpaceDN w:val="0"/>
              <w:jc w:val="center"/>
              <w:rPr>
                <w:rFonts w:cs="Arial"/>
              </w:rPr>
            </w:pPr>
            <w:r w:rsidRPr="00856CE5">
              <w:rPr>
                <w:rFonts w:cs="Arial"/>
              </w:rPr>
              <w:t>293</w:t>
            </w:r>
          </w:p>
        </w:tc>
      </w:tr>
      <w:tr w:rsidR="005D4857" w:rsidRPr="00856CE5" w14:paraId="13BE7694" w14:textId="77777777" w:rsidTr="00E971C6">
        <w:trPr>
          <w:cantSplit/>
        </w:trPr>
        <w:tc>
          <w:tcPr>
            <w:tcW w:w="816" w:type="pct"/>
            <w:vAlign w:val="center"/>
          </w:tcPr>
          <w:p w14:paraId="13BE768E" w14:textId="77777777" w:rsidR="005D4857" w:rsidRPr="00856CE5" w:rsidRDefault="005D4857" w:rsidP="005D4857">
            <w:pPr>
              <w:autoSpaceDE w:val="0"/>
              <w:autoSpaceDN w:val="0"/>
              <w:jc w:val="center"/>
              <w:rPr>
                <w:rFonts w:cs="Arial"/>
                <w:b/>
              </w:rPr>
            </w:pPr>
            <w:r w:rsidRPr="00856CE5">
              <w:rPr>
                <w:rFonts w:cs="Arial"/>
                <w:b/>
              </w:rPr>
              <w:t xml:space="preserve">2018: CSI – </w:t>
            </w:r>
            <w:r w:rsidRPr="00856CE5">
              <w:rPr>
                <w:rFonts w:cs="Arial"/>
              </w:rPr>
              <w:t>Lowest Performing</w:t>
            </w:r>
            <w:r w:rsidRPr="00856CE5">
              <w:rPr>
                <w:rFonts w:cs="Arial"/>
                <w:b/>
              </w:rPr>
              <w:t xml:space="preserve"> </w:t>
            </w:r>
          </w:p>
        </w:tc>
        <w:tc>
          <w:tcPr>
            <w:tcW w:w="936" w:type="pct"/>
            <w:shd w:val="clear" w:color="auto" w:fill="auto"/>
            <w:vAlign w:val="center"/>
          </w:tcPr>
          <w:p w14:paraId="13BE768F" w14:textId="77777777" w:rsidR="005D4857" w:rsidRPr="00856CE5" w:rsidRDefault="005D4857" w:rsidP="005D4857">
            <w:pPr>
              <w:autoSpaceDE w:val="0"/>
              <w:autoSpaceDN w:val="0"/>
              <w:jc w:val="center"/>
              <w:rPr>
                <w:rFonts w:cs="Arial"/>
              </w:rPr>
            </w:pPr>
            <w:r w:rsidRPr="00856CE5">
              <w:rPr>
                <w:rFonts w:cs="Arial"/>
              </w:rPr>
              <w:t>14</w:t>
            </w:r>
          </w:p>
        </w:tc>
        <w:tc>
          <w:tcPr>
            <w:tcW w:w="844" w:type="pct"/>
            <w:shd w:val="clear" w:color="auto" w:fill="auto"/>
            <w:vAlign w:val="center"/>
          </w:tcPr>
          <w:p w14:paraId="13BE7690" w14:textId="6B157C18" w:rsidR="005D4857" w:rsidRPr="00856CE5" w:rsidRDefault="00A41E45" w:rsidP="005D4857">
            <w:pPr>
              <w:autoSpaceDE w:val="0"/>
              <w:autoSpaceDN w:val="0"/>
              <w:jc w:val="center"/>
              <w:rPr>
                <w:rFonts w:cs="Arial"/>
              </w:rPr>
            </w:pPr>
            <w:r w:rsidRPr="00856CE5">
              <w:rPr>
                <w:rFonts w:cs="Arial"/>
              </w:rPr>
              <w:t>111</w:t>
            </w:r>
          </w:p>
        </w:tc>
        <w:tc>
          <w:tcPr>
            <w:tcW w:w="665" w:type="pct"/>
            <w:shd w:val="clear" w:color="auto" w:fill="auto"/>
            <w:vAlign w:val="center"/>
          </w:tcPr>
          <w:p w14:paraId="13BE7691" w14:textId="32468694" w:rsidR="005D4857" w:rsidRPr="00856CE5" w:rsidRDefault="00A41E45" w:rsidP="005D4857">
            <w:pPr>
              <w:autoSpaceDE w:val="0"/>
              <w:autoSpaceDN w:val="0"/>
              <w:jc w:val="center"/>
              <w:rPr>
                <w:rFonts w:cs="Arial"/>
              </w:rPr>
            </w:pPr>
            <w:r w:rsidRPr="00856CE5">
              <w:rPr>
                <w:rFonts w:cs="Arial"/>
              </w:rPr>
              <w:t>120</w:t>
            </w:r>
          </w:p>
        </w:tc>
        <w:tc>
          <w:tcPr>
            <w:tcW w:w="870" w:type="pct"/>
            <w:shd w:val="clear" w:color="auto" w:fill="auto"/>
            <w:vAlign w:val="center"/>
          </w:tcPr>
          <w:p w14:paraId="13BE7692" w14:textId="56A597EF" w:rsidR="005D4857" w:rsidRPr="00856CE5" w:rsidRDefault="00A41E45" w:rsidP="005D4857">
            <w:pPr>
              <w:autoSpaceDE w:val="0"/>
              <w:autoSpaceDN w:val="0"/>
              <w:jc w:val="center"/>
              <w:rPr>
                <w:rFonts w:cs="Arial"/>
              </w:rPr>
            </w:pPr>
            <w:r w:rsidRPr="00856CE5">
              <w:rPr>
                <w:rFonts w:cs="Arial"/>
              </w:rPr>
              <w:t>225</w:t>
            </w:r>
            <w:r w:rsidR="005D4857" w:rsidRPr="00856CE5">
              <w:rPr>
                <w:rFonts w:cs="Arial"/>
              </w:rPr>
              <w:t>*</w:t>
            </w:r>
          </w:p>
        </w:tc>
        <w:tc>
          <w:tcPr>
            <w:tcW w:w="869" w:type="pct"/>
            <w:shd w:val="clear" w:color="auto" w:fill="auto"/>
            <w:vAlign w:val="center"/>
          </w:tcPr>
          <w:p w14:paraId="13BE7693" w14:textId="29C28032" w:rsidR="005D4857" w:rsidRPr="00856CE5" w:rsidRDefault="00690305" w:rsidP="005D4857">
            <w:pPr>
              <w:autoSpaceDE w:val="0"/>
              <w:autoSpaceDN w:val="0"/>
              <w:jc w:val="center"/>
              <w:rPr>
                <w:rFonts w:cs="Arial"/>
              </w:rPr>
            </w:pPr>
            <w:r w:rsidRPr="00856CE5">
              <w:rPr>
                <w:rFonts w:cs="Arial"/>
              </w:rPr>
              <w:t>470</w:t>
            </w:r>
          </w:p>
        </w:tc>
      </w:tr>
      <w:tr w:rsidR="005D4857" w:rsidRPr="00856CE5" w14:paraId="13BE769B" w14:textId="77777777" w:rsidTr="00E971C6">
        <w:trPr>
          <w:cantSplit/>
        </w:trPr>
        <w:tc>
          <w:tcPr>
            <w:tcW w:w="816" w:type="pct"/>
            <w:vAlign w:val="center"/>
          </w:tcPr>
          <w:p w14:paraId="13BE7695" w14:textId="77777777" w:rsidR="005D4857" w:rsidRPr="00856CE5" w:rsidRDefault="005D4857" w:rsidP="005D4857">
            <w:pPr>
              <w:autoSpaceDE w:val="0"/>
              <w:autoSpaceDN w:val="0"/>
              <w:jc w:val="center"/>
              <w:rPr>
                <w:rFonts w:cs="Arial"/>
                <w:b/>
              </w:rPr>
            </w:pPr>
            <w:r w:rsidRPr="00856CE5">
              <w:rPr>
                <w:rFonts w:cs="Arial"/>
                <w:b/>
              </w:rPr>
              <w:t>2018: ATSI</w:t>
            </w:r>
          </w:p>
        </w:tc>
        <w:tc>
          <w:tcPr>
            <w:tcW w:w="936" w:type="pct"/>
            <w:shd w:val="clear" w:color="auto" w:fill="auto"/>
            <w:vAlign w:val="center"/>
          </w:tcPr>
          <w:p w14:paraId="13BE7696" w14:textId="77777777" w:rsidR="005D4857" w:rsidRPr="00856CE5" w:rsidRDefault="005D4857" w:rsidP="005D4857">
            <w:pPr>
              <w:autoSpaceDE w:val="0"/>
              <w:autoSpaceDN w:val="0"/>
              <w:jc w:val="center"/>
              <w:rPr>
                <w:rFonts w:cs="Arial"/>
              </w:rPr>
            </w:pPr>
            <w:r w:rsidRPr="00856CE5">
              <w:rPr>
                <w:rFonts w:cs="Arial"/>
              </w:rPr>
              <w:t>4</w:t>
            </w:r>
          </w:p>
        </w:tc>
        <w:tc>
          <w:tcPr>
            <w:tcW w:w="844" w:type="pct"/>
            <w:shd w:val="clear" w:color="auto" w:fill="auto"/>
            <w:vAlign w:val="center"/>
          </w:tcPr>
          <w:p w14:paraId="13BE7697" w14:textId="77777777" w:rsidR="005D4857" w:rsidRPr="00856CE5" w:rsidRDefault="005D4857" w:rsidP="005D4857">
            <w:pPr>
              <w:autoSpaceDE w:val="0"/>
              <w:autoSpaceDN w:val="0"/>
              <w:jc w:val="center"/>
              <w:rPr>
                <w:rFonts w:cs="Arial"/>
              </w:rPr>
            </w:pPr>
            <w:r w:rsidRPr="00856CE5">
              <w:rPr>
                <w:rFonts w:cs="Arial"/>
              </w:rPr>
              <w:t>70</w:t>
            </w:r>
          </w:p>
        </w:tc>
        <w:tc>
          <w:tcPr>
            <w:tcW w:w="665" w:type="pct"/>
            <w:shd w:val="clear" w:color="auto" w:fill="auto"/>
            <w:vAlign w:val="center"/>
          </w:tcPr>
          <w:p w14:paraId="13BE7698" w14:textId="25BCC5DF" w:rsidR="005D4857" w:rsidRPr="00856CE5" w:rsidRDefault="00A41E45" w:rsidP="005D4857">
            <w:pPr>
              <w:autoSpaceDE w:val="0"/>
              <w:autoSpaceDN w:val="0"/>
              <w:jc w:val="center"/>
              <w:rPr>
                <w:rFonts w:cs="Arial"/>
              </w:rPr>
            </w:pPr>
            <w:r w:rsidRPr="00856CE5">
              <w:rPr>
                <w:rFonts w:cs="Arial"/>
              </w:rPr>
              <w:t>344</w:t>
            </w:r>
          </w:p>
        </w:tc>
        <w:tc>
          <w:tcPr>
            <w:tcW w:w="870" w:type="pct"/>
            <w:shd w:val="clear" w:color="auto" w:fill="auto"/>
            <w:vAlign w:val="center"/>
          </w:tcPr>
          <w:p w14:paraId="13BE7699" w14:textId="55FFCF55" w:rsidR="005D4857" w:rsidRPr="00856CE5" w:rsidRDefault="00A41E45" w:rsidP="005D4857">
            <w:pPr>
              <w:autoSpaceDE w:val="0"/>
              <w:autoSpaceDN w:val="0"/>
              <w:jc w:val="center"/>
              <w:rPr>
                <w:rFonts w:cs="Arial"/>
              </w:rPr>
            </w:pPr>
            <w:r w:rsidRPr="00856CE5">
              <w:rPr>
                <w:rFonts w:cs="Arial"/>
              </w:rPr>
              <w:t>436</w:t>
            </w:r>
            <w:r w:rsidR="005D4857" w:rsidRPr="00856CE5">
              <w:rPr>
                <w:rFonts w:cs="Arial"/>
              </w:rPr>
              <w:t>*</w:t>
            </w:r>
          </w:p>
        </w:tc>
        <w:tc>
          <w:tcPr>
            <w:tcW w:w="869" w:type="pct"/>
            <w:shd w:val="clear" w:color="auto" w:fill="auto"/>
            <w:vAlign w:val="center"/>
          </w:tcPr>
          <w:p w14:paraId="13BE769A" w14:textId="77777777" w:rsidR="005D4857" w:rsidRPr="00856CE5" w:rsidRDefault="005D4857" w:rsidP="005D4857">
            <w:pPr>
              <w:autoSpaceDE w:val="0"/>
              <w:autoSpaceDN w:val="0"/>
              <w:jc w:val="center"/>
              <w:rPr>
                <w:rFonts w:cs="Arial"/>
              </w:rPr>
            </w:pPr>
            <w:r w:rsidRPr="00856CE5">
              <w:rPr>
                <w:rFonts w:cs="Arial"/>
              </w:rPr>
              <w:t>854</w:t>
            </w:r>
          </w:p>
        </w:tc>
      </w:tr>
      <w:tr w:rsidR="005D4857" w:rsidRPr="00856CE5" w14:paraId="13BE76A2" w14:textId="77777777" w:rsidTr="00E971C6">
        <w:trPr>
          <w:cantSplit/>
        </w:trPr>
        <w:tc>
          <w:tcPr>
            <w:tcW w:w="816" w:type="pct"/>
            <w:vAlign w:val="center"/>
          </w:tcPr>
          <w:p w14:paraId="13BE769C" w14:textId="77777777" w:rsidR="005D4857" w:rsidRPr="00856CE5" w:rsidRDefault="005D4857" w:rsidP="005D4857">
            <w:pPr>
              <w:autoSpaceDE w:val="0"/>
              <w:autoSpaceDN w:val="0"/>
              <w:jc w:val="center"/>
              <w:rPr>
                <w:rFonts w:cs="Arial"/>
                <w:b/>
              </w:rPr>
            </w:pPr>
            <w:r w:rsidRPr="00856CE5">
              <w:rPr>
                <w:rFonts w:cs="Arial"/>
                <w:b/>
              </w:rPr>
              <w:t>2018: General Assistance</w:t>
            </w:r>
          </w:p>
        </w:tc>
        <w:tc>
          <w:tcPr>
            <w:tcW w:w="936" w:type="pct"/>
            <w:shd w:val="clear" w:color="auto" w:fill="auto"/>
            <w:vAlign w:val="center"/>
          </w:tcPr>
          <w:p w14:paraId="13BE769D" w14:textId="77777777" w:rsidR="005D4857" w:rsidRPr="00856CE5" w:rsidRDefault="005D4857" w:rsidP="005D4857">
            <w:pPr>
              <w:autoSpaceDE w:val="0"/>
              <w:autoSpaceDN w:val="0"/>
              <w:jc w:val="center"/>
              <w:rPr>
                <w:rFonts w:cs="Arial"/>
              </w:rPr>
            </w:pPr>
            <w:r w:rsidRPr="00856CE5">
              <w:rPr>
                <w:rFonts w:cs="Arial"/>
              </w:rPr>
              <w:t>53</w:t>
            </w:r>
          </w:p>
        </w:tc>
        <w:tc>
          <w:tcPr>
            <w:tcW w:w="844" w:type="pct"/>
            <w:shd w:val="clear" w:color="auto" w:fill="auto"/>
            <w:vAlign w:val="center"/>
          </w:tcPr>
          <w:p w14:paraId="13BE769E" w14:textId="51C1C91E" w:rsidR="005D4857" w:rsidRPr="00856CE5" w:rsidRDefault="00A41E45" w:rsidP="005D4857">
            <w:pPr>
              <w:autoSpaceDE w:val="0"/>
              <w:autoSpaceDN w:val="0"/>
              <w:jc w:val="center"/>
              <w:rPr>
                <w:rFonts w:cs="Arial"/>
              </w:rPr>
            </w:pPr>
            <w:r w:rsidRPr="00856CE5">
              <w:rPr>
                <w:rFonts w:cs="Arial"/>
              </w:rPr>
              <w:t>290</w:t>
            </w:r>
          </w:p>
        </w:tc>
        <w:tc>
          <w:tcPr>
            <w:tcW w:w="665" w:type="pct"/>
            <w:shd w:val="clear" w:color="auto" w:fill="auto"/>
            <w:vAlign w:val="center"/>
          </w:tcPr>
          <w:p w14:paraId="13BE769F" w14:textId="124D6A8E" w:rsidR="005D4857" w:rsidRPr="00856CE5" w:rsidRDefault="00A41E45" w:rsidP="005D4857">
            <w:pPr>
              <w:autoSpaceDE w:val="0"/>
              <w:autoSpaceDN w:val="0"/>
              <w:jc w:val="center"/>
              <w:rPr>
                <w:rFonts w:cs="Arial"/>
              </w:rPr>
            </w:pPr>
            <w:r w:rsidRPr="00856CE5">
              <w:rPr>
                <w:rFonts w:cs="Arial"/>
              </w:rPr>
              <w:t>573</w:t>
            </w:r>
          </w:p>
        </w:tc>
        <w:tc>
          <w:tcPr>
            <w:tcW w:w="870" w:type="pct"/>
            <w:shd w:val="clear" w:color="auto" w:fill="auto"/>
            <w:vAlign w:val="center"/>
          </w:tcPr>
          <w:p w14:paraId="13BE76A0" w14:textId="3EFD7738" w:rsidR="005D4857" w:rsidRPr="00856CE5" w:rsidRDefault="00A41E45" w:rsidP="005D4857">
            <w:pPr>
              <w:autoSpaceDE w:val="0"/>
              <w:autoSpaceDN w:val="0"/>
              <w:jc w:val="center"/>
              <w:rPr>
                <w:rFonts w:cs="Arial"/>
              </w:rPr>
            </w:pPr>
            <w:r w:rsidRPr="00856CE5">
              <w:rPr>
                <w:rFonts w:cs="Arial"/>
              </w:rPr>
              <w:t>7,276</w:t>
            </w:r>
          </w:p>
        </w:tc>
        <w:tc>
          <w:tcPr>
            <w:tcW w:w="869" w:type="pct"/>
            <w:shd w:val="clear" w:color="auto" w:fill="auto"/>
            <w:vAlign w:val="center"/>
          </w:tcPr>
          <w:p w14:paraId="13BE76A1" w14:textId="77777777" w:rsidR="005D4857" w:rsidRPr="00856CE5" w:rsidRDefault="005D4857" w:rsidP="005D4857">
            <w:pPr>
              <w:autoSpaceDE w:val="0"/>
              <w:autoSpaceDN w:val="0"/>
              <w:jc w:val="center"/>
              <w:rPr>
                <w:rFonts w:cs="Arial"/>
              </w:rPr>
            </w:pPr>
            <w:r w:rsidRPr="00856CE5">
              <w:rPr>
                <w:rFonts w:cs="Arial"/>
              </w:rPr>
              <w:t>8,192</w:t>
            </w:r>
          </w:p>
        </w:tc>
      </w:tr>
      <w:tr w:rsidR="005D4857" w:rsidRPr="00856CE5" w14:paraId="13BE76AA" w14:textId="77777777" w:rsidTr="00E971C6">
        <w:trPr>
          <w:cantSplit/>
        </w:trPr>
        <w:tc>
          <w:tcPr>
            <w:tcW w:w="816" w:type="pct"/>
            <w:vAlign w:val="center"/>
          </w:tcPr>
          <w:p w14:paraId="13BE76A3" w14:textId="77777777" w:rsidR="005D4857" w:rsidRPr="00856CE5" w:rsidRDefault="005D4857" w:rsidP="005D4857">
            <w:pPr>
              <w:autoSpaceDE w:val="0"/>
              <w:autoSpaceDN w:val="0"/>
              <w:jc w:val="center"/>
              <w:rPr>
                <w:rFonts w:cs="Arial"/>
                <w:b/>
              </w:rPr>
            </w:pPr>
            <w:r w:rsidRPr="00856CE5">
              <w:rPr>
                <w:rFonts w:cs="Arial"/>
                <w:b/>
              </w:rPr>
              <w:t xml:space="preserve">2018: </w:t>
            </w:r>
          </w:p>
          <w:p w14:paraId="13BE76A4" w14:textId="77777777" w:rsidR="005D4857" w:rsidRPr="00856CE5" w:rsidRDefault="005D4857" w:rsidP="005D4857">
            <w:pPr>
              <w:autoSpaceDE w:val="0"/>
              <w:autoSpaceDN w:val="0"/>
              <w:jc w:val="center"/>
              <w:rPr>
                <w:rFonts w:cs="Arial"/>
                <w:b/>
              </w:rPr>
            </w:pPr>
            <w:r w:rsidRPr="00856CE5">
              <w:rPr>
                <w:rFonts w:cs="Arial"/>
                <w:b/>
              </w:rPr>
              <w:t>No Status</w:t>
            </w:r>
          </w:p>
        </w:tc>
        <w:tc>
          <w:tcPr>
            <w:tcW w:w="936" w:type="pct"/>
            <w:shd w:val="clear" w:color="auto" w:fill="auto"/>
            <w:vAlign w:val="center"/>
          </w:tcPr>
          <w:p w14:paraId="13BE76A5" w14:textId="77777777" w:rsidR="005D4857" w:rsidRPr="00856CE5" w:rsidRDefault="005D4857" w:rsidP="005D4857">
            <w:pPr>
              <w:autoSpaceDE w:val="0"/>
              <w:autoSpaceDN w:val="0"/>
              <w:jc w:val="center"/>
              <w:rPr>
                <w:rFonts w:cs="Arial"/>
              </w:rPr>
            </w:pPr>
            <w:r w:rsidRPr="00856CE5">
              <w:rPr>
                <w:rFonts w:cs="Arial"/>
              </w:rPr>
              <w:t>2</w:t>
            </w:r>
          </w:p>
        </w:tc>
        <w:tc>
          <w:tcPr>
            <w:tcW w:w="844" w:type="pct"/>
            <w:shd w:val="clear" w:color="auto" w:fill="auto"/>
            <w:vAlign w:val="center"/>
          </w:tcPr>
          <w:p w14:paraId="13BE76A6" w14:textId="77777777" w:rsidR="005D4857" w:rsidRPr="00856CE5" w:rsidRDefault="005D4857" w:rsidP="005D4857">
            <w:pPr>
              <w:autoSpaceDE w:val="0"/>
              <w:autoSpaceDN w:val="0"/>
              <w:jc w:val="center"/>
              <w:rPr>
                <w:rFonts w:cs="Arial"/>
              </w:rPr>
            </w:pPr>
            <w:r w:rsidRPr="00856CE5">
              <w:rPr>
                <w:rFonts w:cs="Arial"/>
              </w:rPr>
              <w:t>4</w:t>
            </w:r>
          </w:p>
        </w:tc>
        <w:tc>
          <w:tcPr>
            <w:tcW w:w="665" w:type="pct"/>
            <w:shd w:val="clear" w:color="auto" w:fill="auto"/>
            <w:vAlign w:val="center"/>
          </w:tcPr>
          <w:p w14:paraId="13BE76A7" w14:textId="77777777" w:rsidR="005D4857" w:rsidRPr="00856CE5" w:rsidRDefault="005D4857" w:rsidP="005D4857">
            <w:pPr>
              <w:autoSpaceDE w:val="0"/>
              <w:autoSpaceDN w:val="0"/>
              <w:jc w:val="center"/>
              <w:rPr>
                <w:rFonts w:cs="Arial"/>
              </w:rPr>
            </w:pPr>
            <w:r w:rsidRPr="00856CE5">
              <w:rPr>
                <w:rFonts w:cs="Arial"/>
              </w:rPr>
              <w:t>0</w:t>
            </w:r>
          </w:p>
        </w:tc>
        <w:tc>
          <w:tcPr>
            <w:tcW w:w="870" w:type="pct"/>
            <w:shd w:val="clear" w:color="auto" w:fill="auto"/>
            <w:vAlign w:val="center"/>
          </w:tcPr>
          <w:p w14:paraId="13BE76A8" w14:textId="77777777" w:rsidR="005D4857" w:rsidRPr="00856CE5" w:rsidRDefault="005D4857" w:rsidP="005D4857">
            <w:pPr>
              <w:autoSpaceDE w:val="0"/>
              <w:autoSpaceDN w:val="0"/>
              <w:jc w:val="center"/>
              <w:rPr>
                <w:rFonts w:cs="Arial"/>
              </w:rPr>
            </w:pPr>
            <w:r w:rsidRPr="00856CE5">
              <w:rPr>
                <w:rFonts w:cs="Arial"/>
              </w:rPr>
              <w:t>155</w:t>
            </w:r>
          </w:p>
        </w:tc>
        <w:tc>
          <w:tcPr>
            <w:tcW w:w="869" w:type="pct"/>
            <w:shd w:val="clear" w:color="auto" w:fill="auto"/>
            <w:vAlign w:val="center"/>
          </w:tcPr>
          <w:p w14:paraId="13BE76A9" w14:textId="77777777" w:rsidR="005D4857" w:rsidRPr="00856CE5" w:rsidRDefault="005D4857" w:rsidP="005D4857">
            <w:pPr>
              <w:autoSpaceDE w:val="0"/>
              <w:autoSpaceDN w:val="0"/>
              <w:jc w:val="center"/>
              <w:rPr>
                <w:rFonts w:cs="Arial"/>
              </w:rPr>
            </w:pPr>
            <w:r w:rsidRPr="00856CE5">
              <w:rPr>
                <w:rFonts w:cs="Arial"/>
              </w:rPr>
              <w:t>161</w:t>
            </w:r>
          </w:p>
        </w:tc>
      </w:tr>
      <w:tr w:rsidR="005D4857" w:rsidRPr="00856CE5" w14:paraId="13BE76B1" w14:textId="77777777" w:rsidTr="00E971C6">
        <w:trPr>
          <w:cantSplit/>
        </w:trPr>
        <w:tc>
          <w:tcPr>
            <w:tcW w:w="816" w:type="pct"/>
            <w:vAlign w:val="center"/>
          </w:tcPr>
          <w:p w14:paraId="13BE76AB" w14:textId="77777777" w:rsidR="005D4857" w:rsidRPr="00856CE5" w:rsidRDefault="005D4857" w:rsidP="005D4857">
            <w:pPr>
              <w:autoSpaceDE w:val="0"/>
              <w:autoSpaceDN w:val="0"/>
              <w:jc w:val="center"/>
              <w:rPr>
                <w:rFonts w:cs="Arial"/>
                <w:b/>
              </w:rPr>
            </w:pPr>
            <w:r w:rsidRPr="00856CE5">
              <w:rPr>
                <w:rFonts w:cs="Arial"/>
                <w:b/>
              </w:rPr>
              <w:t>Total</w:t>
            </w:r>
          </w:p>
        </w:tc>
        <w:tc>
          <w:tcPr>
            <w:tcW w:w="936" w:type="pct"/>
            <w:shd w:val="clear" w:color="auto" w:fill="auto"/>
            <w:vAlign w:val="center"/>
          </w:tcPr>
          <w:p w14:paraId="13BE76AC" w14:textId="1CD36A93" w:rsidR="005D4857" w:rsidRPr="00856CE5" w:rsidRDefault="002B63EC" w:rsidP="005D4857">
            <w:pPr>
              <w:autoSpaceDE w:val="0"/>
              <w:autoSpaceDN w:val="0"/>
              <w:jc w:val="center"/>
              <w:rPr>
                <w:rFonts w:cs="Arial"/>
              </w:rPr>
            </w:pPr>
            <w:r w:rsidRPr="00856CE5">
              <w:rPr>
                <w:rFonts w:cs="Arial"/>
              </w:rPr>
              <w:t>293</w:t>
            </w:r>
          </w:p>
        </w:tc>
        <w:tc>
          <w:tcPr>
            <w:tcW w:w="844" w:type="pct"/>
            <w:shd w:val="clear" w:color="auto" w:fill="auto"/>
            <w:vAlign w:val="center"/>
          </w:tcPr>
          <w:p w14:paraId="13BE76AD" w14:textId="75AC4AF6" w:rsidR="005D4857" w:rsidRPr="00856CE5" w:rsidRDefault="00A41E45" w:rsidP="005D4857">
            <w:pPr>
              <w:autoSpaceDE w:val="0"/>
              <w:autoSpaceDN w:val="0"/>
              <w:jc w:val="center"/>
              <w:rPr>
                <w:rFonts w:cs="Arial"/>
              </w:rPr>
            </w:pPr>
            <w:r w:rsidRPr="00856CE5">
              <w:rPr>
                <w:rFonts w:cs="Arial"/>
              </w:rPr>
              <w:t>483</w:t>
            </w:r>
          </w:p>
        </w:tc>
        <w:tc>
          <w:tcPr>
            <w:tcW w:w="665" w:type="pct"/>
            <w:shd w:val="clear" w:color="auto" w:fill="auto"/>
            <w:vAlign w:val="center"/>
          </w:tcPr>
          <w:p w14:paraId="13BE76AE" w14:textId="6DC4BD18" w:rsidR="005D4857" w:rsidRPr="00856CE5" w:rsidRDefault="00A41E45" w:rsidP="005D4857">
            <w:pPr>
              <w:autoSpaceDE w:val="0"/>
              <w:autoSpaceDN w:val="0"/>
              <w:jc w:val="center"/>
              <w:rPr>
                <w:rFonts w:cs="Arial"/>
              </w:rPr>
            </w:pPr>
            <w:r w:rsidRPr="00856CE5">
              <w:rPr>
                <w:rFonts w:cs="Arial"/>
              </w:rPr>
              <w:t>1,043</w:t>
            </w:r>
          </w:p>
        </w:tc>
        <w:tc>
          <w:tcPr>
            <w:tcW w:w="870" w:type="pct"/>
            <w:shd w:val="clear" w:color="auto" w:fill="auto"/>
            <w:vAlign w:val="center"/>
          </w:tcPr>
          <w:p w14:paraId="13BE76AF" w14:textId="2F973A21" w:rsidR="005D4857" w:rsidRPr="00856CE5" w:rsidRDefault="00690305" w:rsidP="005D4857">
            <w:pPr>
              <w:autoSpaceDE w:val="0"/>
              <w:autoSpaceDN w:val="0"/>
              <w:jc w:val="center"/>
              <w:rPr>
                <w:rFonts w:cs="Arial"/>
              </w:rPr>
            </w:pPr>
            <w:r w:rsidRPr="00856CE5">
              <w:rPr>
                <w:rFonts w:cs="Arial"/>
              </w:rPr>
              <w:t>8,151</w:t>
            </w:r>
          </w:p>
        </w:tc>
        <w:tc>
          <w:tcPr>
            <w:tcW w:w="869" w:type="pct"/>
            <w:shd w:val="clear" w:color="auto" w:fill="auto"/>
            <w:vAlign w:val="center"/>
          </w:tcPr>
          <w:p w14:paraId="13BE76B0" w14:textId="5DBE6669" w:rsidR="005D4857" w:rsidRPr="00856CE5" w:rsidRDefault="00FA1196" w:rsidP="005B4375">
            <w:pPr>
              <w:autoSpaceDE w:val="0"/>
              <w:autoSpaceDN w:val="0"/>
              <w:jc w:val="center"/>
              <w:rPr>
                <w:rFonts w:cs="Arial"/>
              </w:rPr>
            </w:pPr>
            <w:r w:rsidRPr="00856CE5">
              <w:rPr>
                <w:rFonts w:cs="Arial"/>
              </w:rPr>
              <w:t>9,970</w:t>
            </w:r>
          </w:p>
        </w:tc>
      </w:tr>
    </w:tbl>
    <w:p w14:paraId="13BE76B2" w14:textId="7BCBE632" w:rsidR="005D4857" w:rsidRPr="00856CE5" w:rsidRDefault="005D4857" w:rsidP="005D4857">
      <w:pPr>
        <w:autoSpaceDE w:val="0"/>
        <w:autoSpaceDN w:val="0"/>
        <w:spacing w:before="240" w:after="240"/>
        <w:rPr>
          <w:rFonts w:cs="Arial"/>
        </w:rPr>
      </w:pPr>
      <w:r w:rsidRPr="00856CE5">
        <w:rPr>
          <w:rFonts w:cs="Arial"/>
        </w:rPr>
        <w:t>*</w:t>
      </w:r>
      <w:r w:rsidR="00690305" w:rsidRPr="00856CE5">
        <w:rPr>
          <w:rFonts w:cs="Arial"/>
        </w:rPr>
        <w:t xml:space="preserve">720 </w:t>
      </w:r>
      <w:r w:rsidRPr="00856CE5">
        <w:rPr>
          <w:rFonts w:cs="Arial"/>
        </w:rPr>
        <w:t xml:space="preserve">schools exited from the CSI </w:t>
      </w:r>
      <w:r w:rsidR="00A57A63" w:rsidRPr="00856CE5">
        <w:rPr>
          <w:rFonts w:cs="Arial"/>
        </w:rPr>
        <w:t>–</w:t>
      </w:r>
      <w:r w:rsidR="00A57A63" w:rsidRPr="00856CE5">
        <w:rPr>
          <w:rFonts w:cs="Arial"/>
          <w:b/>
        </w:rPr>
        <w:t xml:space="preserve"> </w:t>
      </w:r>
      <w:r w:rsidR="00A57A63" w:rsidRPr="00856CE5">
        <w:rPr>
          <w:rFonts w:cs="Arial"/>
        </w:rPr>
        <w:t>Graduation</w:t>
      </w:r>
      <w:r w:rsidRPr="00856CE5">
        <w:rPr>
          <w:rFonts w:cs="Arial"/>
        </w:rPr>
        <w:t xml:space="preserve"> Rate, CSI – Lowest Performing, and ATSI categories in 2018 to General Assistance in 2019 as shown in Table 4. </w:t>
      </w:r>
    </w:p>
    <w:p w14:paraId="13BE76B3" w14:textId="77777777" w:rsidR="004C638C" w:rsidRPr="00856CE5" w:rsidRDefault="004C638C" w:rsidP="004C638C">
      <w:pPr>
        <w:autoSpaceDE w:val="0"/>
        <w:autoSpaceDN w:val="0"/>
        <w:spacing w:before="240" w:after="240"/>
        <w:rPr>
          <w:rFonts w:cs="Arial"/>
          <w:b/>
        </w:rPr>
      </w:pPr>
      <w:r w:rsidRPr="00856CE5">
        <w:rPr>
          <w:rFonts w:cs="Arial"/>
        </w:rPr>
        <w:t xml:space="preserve">Table 5 shows the number </w:t>
      </w:r>
      <w:r w:rsidR="0081473F" w:rsidRPr="00856CE5">
        <w:rPr>
          <w:rFonts w:cs="Arial"/>
        </w:rPr>
        <w:t xml:space="preserve">of </w:t>
      </w:r>
      <w:r w:rsidRPr="00856CE5">
        <w:rPr>
          <w:rFonts w:cs="Arial"/>
        </w:rPr>
        <w:t xml:space="preserve">LEAs eligible for differentiated assistance under the LCFF with the number </w:t>
      </w:r>
      <w:r w:rsidR="00B8471B" w:rsidRPr="00856CE5">
        <w:rPr>
          <w:rFonts w:cs="Arial"/>
        </w:rPr>
        <w:t>of schools</w:t>
      </w:r>
      <w:r w:rsidRPr="00856CE5">
        <w:rPr>
          <w:rFonts w:cs="Arial"/>
        </w:rPr>
        <w:t xml:space="preserve"> eligible for CSI and ATSI.</w:t>
      </w:r>
    </w:p>
    <w:p w14:paraId="13BE76B4" w14:textId="77777777" w:rsidR="004C638C" w:rsidRPr="00856CE5" w:rsidRDefault="004C638C" w:rsidP="004C638C">
      <w:pPr>
        <w:autoSpaceDE w:val="0"/>
        <w:autoSpaceDN w:val="0"/>
        <w:spacing w:after="240"/>
        <w:rPr>
          <w:rFonts w:cs="Arial"/>
          <w:b/>
        </w:rPr>
      </w:pPr>
      <w:r w:rsidRPr="00856CE5">
        <w:rPr>
          <w:rFonts w:cs="Arial"/>
          <w:b/>
        </w:rPr>
        <w:t>Table 5: Number of Non-Charter Schools Located in LEAs Eligible for Differentiated Assistance</w:t>
      </w:r>
    </w:p>
    <w:tbl>
      <w:tblPr>
        <w:tblStyle w:val="TableGrid"/>
        <w:tblW w:w="5000" w:type="pct"/>
        <w:tblLook w:val="04A0" w:firstRow="1" w:lastRow="0" w:firstColumn="1" w:lastColumn="0" w:noHBand="0" w:noVBand="1"/>
        <w:tblDescription w:val="Number of Non-Charter Schools Located in LEAs Eligible for Differentiated Assistance"/>
      </w:tblPr>
      <w:tblGrid>
        <w:gridCol w:w="1687"/>
        <w:gridCol w:w="2195"/>
        <w:gridCol w:w="2736"/>
        <w:gridCol w:w="2732"/>
      </w:tblGrid>
      <w:tr w:rsidR="004C638C" w:rsidRPr="00856CE5" w14:paraId="13BE76B9" w14:textId="77777777" w:rsidTr="00E971C6">
        <w:trPr>
          <w:cantSplit/>
          <w:tblHeader/>
        </w:trPr>
        <w:tc>
          <w:tcPr>
            <w:tcW w:w="902" w:type="pct"/>
            <w:shd w:val="clear" w:color="auto" w:fill="D9D9D9" w:themeFill="background1" w:themeFillShade="D9"/>
            <w:vAlign w:val="center"/>
          </w:tcPr>
          <w:p w14:paraId="13BE76B5" w14:textId="77777777" w:rsidR="004C638C" w:rsidRPr="00856CE5" w:rsidRDefault="004C638C" w:rsidP="00E97F0C">
            <w:pPr>
              <w:autoSpaceDE w:val="0"/>
              <w:autoSpaceDN w:val="0"/>
              <w:jc w:val="center"/>
              <w:rPr>
                <w:rFonts w:cs="Arial"/>
                <w:b/>
              </w:rPr>
            </w:pPr>
            <w:r w:rsidRPr="00856CE5">
              <w:rPr>
                <w:rFonts w:cs="Arial"/>
                <w:b/>
              </w:rPr>
              <w:t>Assistance Type</w:t>
            </w:r>
          </w:p>
        </w:tc>
        <w:tc>
          <w:tcPr>
            <w:tcW w:w="1174" w:type="pct"/>
            <w:shd w:val="clear" w:color="auto" w:fill="D9D9D9" w:themeFill="background1" w:themeFillShade="D9"/>
            <w:vAlign w:val="center"/>
          </w:tcPr>
          <w:p w14:paraId="13BE76B6" w14:textId="77777777" w:rsidR="004C638C" w:rsidRPr="00856CE5" w:rsidRDefault="004C638C" w:rsidP="00E97F0C">
            <w:pPr>
              <w:autoSpaceDE w:val="0"/>
              <w:autoSpaceDN w:val="0"/>
              <w:jc w:val="center"/>
              <w:rPr>
                <w:rFonts w:cs="Arial"/>
                <w:b/>
              </w:rPr>
            </w:pPr>
            <w:r w:rsidRPr="00856CE5">
              <w:rPr>
                <w:rFonts w:cs="Arial"/>
                <w:b/>
              </w:rPr>
              <w:t>Number of Schools Eligible for ESSA Assistance</w:t>
            </w:r>
          </w:p>
        </w:tc>
        <w:tc>
          <w:tcPr>
            <w:tcW w:w="1463" w:type="pct"/>
            <w:shd w:val="clear" w:color="auto" w:fill="D9D9D9" w:themeFill="background1" w:themeFillShade="D9"/>
            <w:vAlign w:val="center"/>
          </w:tcPr>
          <w:p w14:paraId="13BE76B7" w14:textId="77777777" w:rsidR="004C638C" w:rsidRPr="00856CE5" w:rsidRDefault="004C638C" w:rsidP="00E97F0C">
            <w:pPr>
              <w:autoSpaceDE w:val="0"/>
              <w:autoSpaceDN w:val="0"/>
              <w:jc w:val="center"/>
              <w:rPr>
                <w:rFonts w:cs="Arial"/>
                <w:b/>
              </w:rPr>
            </w:pPr>
            <w:r w:rsidRPr="00856CE5">
              <w:rPr>
                <w:rFonts w:cs="Arial"/>
                <w:b/>
              </w:rPr>
              <w:t>Number of Schools in LEAs Eligible for Differentiated Assistance</w:t>
            </w:r>
          </w:p>
        </w:tc>
        <w:tc>
          <w:tcPr>
            <w:tcW w:w="1461" w:type="pct"/>
            <w:shd w:val="clear" w:color="auto" w:fill="D9D9D9" w:themeFill="background1" w:themeFillShade="D9"/>
            <w:vAlign w:val="center"/>
          </w:tcPr>
          <w:p w14:paraId="13BE76B8" w14:textId="77777777" w:rsidR="004C638C" w:rsidRPr="00856CE5" w:rsidRDefault="004C638C" w:rsidP="00E97F0C">
            <w:pPr>
              <w:autoSpaceDE w:val="0"/>
              <w:autoSpaceDN w:val="0"/>
              <w:jc w:val="center"/>
              <w:rPr>
                <w:rFonts w:cs="Arial"/>
                <w:b/>
              </w:rPr>
            </w:pPr>
            <w:r w:rsidRPr="00856CE5">
              <w:rPr>
                <w:rFonts w:cs="Arial"/>
                <w:b/>
              </w:rPr>
              <w:t>Percent of Schools in LEAs Eligible for Differentiated Assistance</w:t>
            </w:r>
          </w:p>
        </w:tc>
      </w:tr>
      <w:tr w:rsidR="005D4857" w:rsidRPr="00856CE5" w14:paraId="13BE76BE" w14:textId="77777777" w:rsidTr="00E971C6">
        <w:trPr>
          <w:cantSplit/>
        </w:trPr>
        <w:tc>
          <w:tcPr>
            <w:tcW w:w="902" w:type="pct"/>
            <w:vAlign w:val="center"/>
          </w:tcPr>
          <w:p w14:paraId="13BE76BA" w14:textId="77777777" w:rsidR="005D4857" w:rsidRPr="00856CE5" w:rsidRDefault="005D4857" w:rsidP="005D4857">
            <w:pPr>
              <w:autoSpaceDE w:val="0"/>
              <w:autoSpaceDN w:val="0"/>
              <w:jc w:val="center"/>
              <w:rPr>
                <w:rFonts w:cs="Arial"/>
                <w:b/>
              </w:rPr>
            </w:pPr>
            <w:r w:rsidRPr="00856CE5">
              <w:rPr>
                <w:rFonts w:cs="Arial"/>
                <w:b/>
              </w:rPr>
              <w:t xml:space="preserve">CSI – </w:t>
            </w:r>
            <w:r w:rsidRPr="00856CE5">
              <w:rPr>
                <w:rFonts w:cs="Arial"/>
              </w:rPr>
              <w:t>Graduation Rate</w:t>
            </w:r>
          </w:p>
        </w:tc>
        <w:tc>
          <w:tcPr>
            <w:tcW w:w="1174" w:type="pct"/>
            <w:vAlign w:val="center"/>
          </w:tcPr>
          <w:p w14:paraId="13BE76BB" w14:textId="584AF596" w:rsidR="005D4857" w:rsidRPr="00856CE5" w:rsidRDefault="00690305" w:rsidP="005D4857">
            <w:pPr>
              <w:autoSpaceDE w:val="0"/>
              <w:autoSpaceDN w:val="0"/>
              <w:jc w:val="center"/>
              <w:rPr>
                <w:rFonts w:cs="Arial"/>
              </w:rPr>
            </w:pPr>
            <w:r w:rsidRPr="00856CE5">
              <w:rPr>
                <w:rFonts w:cs="Arial"/>
              </w:rPr>
              <w:t>211</w:t>
            </w:r>
          </w:p>
        </w:tc>
        <w:tc>
          <w:tcPr>
            <w:tcW w:w="1463" w:type="pct"/>
            <w:shd w:val="clear" w:color="auto" w:fill="auto"/>
            <w:vAlign w:val="center"/>
          </w:tcPr>
          <w:p w14:paraId="13BE76BC" w14:textId="4EBC6B36" w:rsidR="005D4857" w:rsidRPr="00856CE5" w:rsidRDefault="005D4857" w:rsidP="005D4857">
            <w:pPr>
              <w:autoSpaceDE w:val="0"/>
              <w:autoSpaceDN w:val="0"/>
              <w:jc w:val="center"/>
              <w:rPr>
                <w:rFonts w:cs="Arial"/>
              </w:rPr>
            </w:pPr>
            <w:r w:rsidRPr="00856CE5">
              <w:rPr>
                <w:rFonts w:cs="Arial"/>
              </w:rPr>
              <w:t>1</w:t>
            </w:r>
            <w:r w:rsidR="005C0C54" w:rsidRPr="00856CE5">
              <w:rPr>
                <w:rFonts w:cs="Arial"/>
              </w:rPr>
              <w:t>62</w:t>
            </w:r>
          </w:p>
        </w:tc>
        <w:tc>
          <w:tcPr>
            <w:tcW w:w="1461" w:type="pct"/>
            <w:vAlign w:val="center"/>
          </w:tcPr>
          <w:p w14:paraId="13BE76BD" w14:textId="0B00D3D8" w:rsidR="005D4857" w:rsidRPr="00856CE5" w:rsidRDefault="005D4857" w:rsidP="005D4857">
            <w:pPr>
              <w:autoSpaceDE w:val="0"/>
              <w:autoSpaceDN w:val="0"/>
              <w:jc w:val="center"/>
              <w:rPr>
                <w:rFonts w:cs="Arial"/>
              </w:rPr>
            </w:pPr>
            <w:r w:rsidRPr="00856CE5">
              <w:rPr>
                <w:rFonts w:cs="Arial"/>
                <w:color w:val="000000"/>
              </w:rPr>
              <w:t>7</w:t>
            </w:r>
            <w:r w:rsidR="005C0C54" w:rsidRPr="00856CE5">
              <w:rPr>
                <w:rFonts w:cs="Arial"/>
                <w:color w:val="000000"/>
              </w:rPr>
              <w:t>6</w:t>
            </w:r>
            <w:r w:rsidRPr="00856CE5">
              <w:rPr>
                <w:rFonts w:cs="Arial"/>
                <w:color w:val="000000"/>
              </w:rPr>
              <w:t>%</w:t>
            </w:r>
          </w:p>
        </w:tc>
      </w:tr>
      <w:tr w:rsidR="005D4857" w:rsidRPr="00856CE5" w14:paraId="13BE76C3" w14:textId="77777777" w:rsidTr="00E971C6">
        <w:trPr>
          <w:cantSplit/>
        </w:trPr>
        <w:tc>
          <w:tcPr>
            <w:tcW w:w="902" w:type="pct"/>
            <w:vAlign w:val="center"/>
          </w:tcPr>
          <w:p w14:paraId="13BE76BF" w14:textId="77777777" w:rsidR="005D4857" w:rsidRPr="00856CE5" w:rsidRDefault="005D4857" w:rsidP="005D4857">
            <w:pPr>
              <w:autoSpaceDE w:val="0"/>
              <w:autoSpaceDN w:val="0"/>
              <w:jc w:val="center"/>
              <w:rPr>
                <w:rFonts w:cs="Arial"/>
                <w:b/>
              </w:rPr>
            </w:pPr>
            <w:r w:rsidRPr="00856CE5">
              <w:rPr>
                <w:rFonts w:cs="Arial"/>
                <w:b/>
              </w:rPr>
              <w:t xml:space="preserve">CSI – </w:t>
            </w:r>
            <w:r w:rsidRPr="00856CE5">
              <w:rPr>
                <w:rFonts w:cs="Arial"/>
              </w:rPr>
              <w:t>Lowest Performing</w:t>
            </w:r>
            <w:r w:rsidRPr="00856CE5">
              <w:rPr>
                <w:rFonts w:cs="Arial"/>
                <w:b/>
              </w:rPr>
              <w:t xml:space="preserve"> </w:t>
            </w:r>
          </w:p>
        </w:tc>
        <w:tc>
          <w:tcPr>
            <w:tcW w:w="1174" w:type="pct"/>
            <w:vAlign w:val="center"/>
          </w:tcPr>
          <w:p w14:paraId="13BE76C0" w14:textId="39CBB161" w:rsidR="005D4857" w:rsidRPr="00856CE5" w:rsidRDefault="00690305" w:rsidP="005D4857">
            <w:pPr>
              <w:autoSpaceDE w:val="0"/>
              <w:autoSpaceDN w:val="0"/>
              <w:jc w:val="center"/>
              <w:rPr>
                <w:rFonts w:cs="Arial"/>
              </w:rPr>
            </w:pPr>
            <w:r w:rsidRPr="00856CE5">
              <w:rPr>
                <w:rFonts w:cs="Arial"/>
              </w:rPr>
              <w:t>446</w:t>
            </w:r>
          </w:p>
        </w:tc>
        <w:tc>
          <w:tcPr>
            <w:tcW w:w="1463" w:type="pct"/>
            <w:vAlign w:val="center"/>
          </w:tcPr>
          <w:p w14:paraId="13BE76C1" w14:textId="56609AA6" w:rsidR="005D4857" w:rsidRPr="00856CE5" w:rsidRDefault="005D4857" w:rsidP="005D4857">
            <w:pPr>
              <w:autoSpaceDE w:val="0"/>
              <w:autoSpaceDN w:val="0"/>
              <w:jc w:val="center"/>
              <w:rPr>
                <w:rFonts w:cs="Arial"/>
              </w:rPr>
            </w:pPr>
            <w:r w:rsidRPr="00856CE5">
              <w:rPr>
                <w:rFonts w:cs="Arial"/>
              </w:rPr>
              <w:t>3</w:t>
            </w:r>
            <w:r w:rsidR="005C0C54" w:rsidRPr="00856CE5">
              <w:rPr>
                <w:rFonts w:cs="Arial"/>
              </w:rPr>
              <w:t>45</w:t>
            </w:r>
          </w:p>
        </w:tc>
        <w:tc>
          <w:tcPr>
            <w:tcW w:w="1461" w:type="pct"/>
            <w:vAlign w:val="center"/>
          </w:tcPr>
          <w:p w14:paraId="13BE76C2" w14:textId="70DAB1FF" w:rsidR="005D4857" w:rsidRPr="00856CE5" w:rsidRDefault="005D4857" w:rsidP="005D4857">
            <w:pPr>
              <w:autoSpaceDE w:val="0"/>
              <w:autoSpaceDN w:val="0"/>
              <w:jc w:val="center"/>
              <w:rPr>
                <w:rFonts w:cs="Arial"/>
              </w:rPr>
            </w:pPr>
            <w:r w:rsidRPr="00856CE5">
              <w:rPr>
                <w:rFonts w:cs="Arial"/>
                <w:color w:val="000000"/>
              </w:rPr>
              <w:t>77%</w:t>
            </w:r>
          </w:p>
        </w:tc>
      </w:tr>
      <w:tr w:rsidR="005D4857" w:rsidRPr="00856CE5" w14:paraId="13BE76C8" w14:textId="77777777" w:rsidTr="00E971C6">
        <w:trPr>
          <w:cantSplit/>
        </w:trPr>
        <w:tc>
          <w:tcPr>
            <w:tcW w:w="902" w:type="pct"/>
            <w:vAlign w:val="center"/>
          </w:tcPr>
          <w:p w14:paraId="13BE76C4" w14:textId="77777777" w:rsidR="005D4857" w:rsidRPr="00856CE5" w:rsidRDefault="005D4857" w:rsidP="005D4857">
            <w:pPr>
              <w:autoSpaceDE w:val="0"/>
              <w:autoSpaceDN w:val="0"/>
              <w:jc w:val="center"/>
              <w:rPr>
                <w:rFonts w:cs="Arial"/>
                <w:b/>
              </w:rPr>
            </w:pPr>
            <w:r w:rsidRPr="00856CE5">
              <w:rPr>
                <w:rFonts w:cs="Arial"/>
                <w:b/>
              </w:rPr>
              <w:t>ATSI</w:t>
            </w:r>
          </w:p>
        </w:tc>
        <w:tc>
          <w:tcPr>
            <w:tcW w:w="1174" w:type="pct"/>
            <w:vAlign w:val="center"/>
          </w:tcPr>
          <w:p w14:paraId="13BE76C5" w14:textId="10EB7F7F" w:rsidR="005D4857" w:rsidRPr="00856CE5" w:rsidRDefault="00690305" w:rsidP="005D4857">
            <w:pPr>
              <w:autoSpaceDE w:val="0"/>
              <w:autoSpaceDN w:val="0"/>
              <w:jc w:val="center"/>
              <w:rPr>
                <w:rFonts w:cs="Arial"/>
              </w:rPr>
            </w:pPr>
            <w:r w:rsidRPr="00856CE5">
              <w:rPr>
                <w:rFonts w:cs="Arial"/>
              </w:rPr>
              <w:t>989</w:t>
            </w:r>
          </w:p>
        </w:tc>
        <w:tc>
          <w:tcPr>
            <w:tcW w:w="1463" w:type="pct"/>
            <w:vAlign w:val="center"/>
          </w:tcPr>
          <w:p w14:paraId="13BE76C6" w14:textId="3586E85B" w:rsidR="005D4857" w:rsidRPr="00856CE5" w:rsidRDefault="005D4857" w:rsidP="005D4857">
            <w:pPr>
              <w:autoSpaceDE w:val="0"/>
              <w:autoSpaceDN w:val="0"/>
              <w:jc w:val="center"/>
              <w:rPr>
                <w:rFonts w:cs="Arial"/>
              </w:rPr>
            </w:pPr>
            <w:r w:rsidRPr="00856CE5">
              <w:rPr>
                <w:rFonts w:cs="Arial"/>
              </w:rPr>
              <w:t>7</w:t>
            </w:r>
            <w:r w:rsidR="005C0C54" w:rsidRPr="00856CE5">
              <w:rPr>
                <w:rFonts w:cs="Arial"/>
              </w:rPr>
              <w:t>60</w:t>
            </w:r>
          </w:p>
        </w:tc>
        <w:tc>
          <w:tcPr>
            <w:tcW w:w="1461" w:type="pct"/>
            <w:vAlign w:val="center"/>
          </w:tcPr>
          <w:p w14:paraId="13BE76C7" w14:textId="43E1F707" w:rsidR="005D4857" w:rsidRPr="00856CE5" w:rsidRDefault="005D4857" w:rsidP="005D4857">
            <w:pPr>
              <w:autoSpaceDE w:val="0"/>
              <w:autoSpaceDN w:val="0"/>
              <w:jc w:val="center"/>
              <w:rPr>
                <w:rFonts w:cs="Arial"/>
              </w:rPr>
            </w:pPr>
            <w:r w:rsidRPr="00856CE5">
              <w:rPr>
                <w:rFonts w:cs="Arial"/>
                <w:color w:val="000000"/>
              </w:rPr>
              <w:t>76%</w:t>
            </w:r>
          </w:p>
        </w:tc>
      </w:tr>
    </w:tbl>
    <w:p w14:paraId="13BE76C9" w14:textId="77777777" w:rsidR="004C638C" w:rsidRPr="00856CE5" w:rsidRDefault="00EA4B64" w:rsidP="004C638C">
      <w:pPr>
        <w:autoSpaceDE w:val="0"/>
        <w:autoSpaceDN w:val="0"/>
        <w:spacing w:before="240" w:after="240"/>
        <w:rPr>
          <w:rFonts w:cs="Arial"/>
          <w:color w:val="000000"/>
        </w:rPr>
      </w:pPr>
      <w:r w:rsidRPr="00856CE5">
        <w:rPr>
          <w:rFonts w:cs="Arial"/>
          <w:color w:val="000000"/>
        </w:rPr>
        <w:t>Attachment</w:t>
      </w:r>
      <w:r w:rsidR="004C638C" w:rsidRPr="00856CE5">
        <w:rPr>
          <w:rFonts w:cs="Arial"/>
          <w:color w:val="000000"/>
        </w:rPr>
        <w:t xml:space="preserve"> 1 </w:t>
      </w:r>
      <w:r w:rsidRPr="00856CE5">
        <w:rPr>
          <w:rFonts w:cs="Arial"/>
          <w:color w:val="000000"/>
        </w:rPr>
        <w:t xml:space="preserve">of </w:t>
      </w:r>
      <w:r w:rsidR="004C638C" w:rsidRPr="00856CE5">
        <w:rPr>
          <w:rFonts w:cs="Arial"/>
          <w:color w:val="000000"/>
        </w:rPr>
        <w:t>this Information Memorandum detail</w:t>
      </w:r>
      <w:r w:rsidRPr="00856CE5">
        <w:rPr>
          <w:rFonts w:cs="Arial"/>
          <w:color w:val="000000"/>
        </w:rPr>
        <w:t>s</w:t>
      </w:r>
      <w:r w:rsidR="004C638C" w:rsidRPr="00856CE5">
        <w:rPr>
          <w:rFonts w:cs="Arial"/>
          <w:color w:val="000000"/>
        </w:rPr>
        <w:t xml:space="preserve"> the eligibility </w:t>
      </w:r>
      <w:r w:rsidRPr="00856CE5">
        <w:rPr>
          <w:rFonts w:cs="Arial"/>
          <w:color w:val="000000"/>
        </w:rPr>
        <w:t xml:space="preserve">and exit </w:t>
      </w:r>
      <w:r w:rsidR="004C638C" w:rsidRPr="00856CE5">
        <w:rPr>
          <w:rFonts w:cs="Arial"/>
          <w:color w:val="000000"/>
        </w:rPr>
        <w:t xml:space="preserve">criteria for CSI </w:t>
      </w:r>
      <w:r w:rsidRPr="00856CE5">
        <w:rPr>
          <w:rFonts w:cs="Arial"/>
          <w:color w:val="000000"/>
        </w:rPr>
        <w:t xml:space="preserve">and provides data on the schools eligible for CSI. Attachment 2 details the eligibility and exit criteria for ATSI and provides data on the schools eligible for ATSI. </w:t>
      </w:r>
    </w:p>
    <w:p w14:paraId="13BE76CA" w14:textId="77777777" w:rsidR="002D351A" w:rsidRPr="00856CE5" w:rsidRDefault="002D351A" w:rsidP="00531319">
      <w:pPr>
        <w:pStyle w:val="Heading2"/>
        <w:spacing w:before="240" w:after="240"/>
        <w:rPr>
          <w:rFonts w:cs="Arial"/>
          <w:sz w:val="36"/>
          <w:szCs w:val="36"/>
        </w:rPr>
      </w:pPr>
      <w:r w:rsidRPr="00856CE5">
        <w:rPr>
          <w:rFonts w:cs="Arial"/>
          <w:sz w:val="36"/>
          <w:szCs w:val="36"/>
        </w:rPr>
        <w:lastRenderedPageBreak/>
        <w:t>Attachment(s)</w:t>
      </w:r>
    </w:p>
    <w:p w14:paraId="13BE76CB" w14:textId="77777777" w:rsidR="004C638C" w:rsidRPr="00856CE5" w:rsidRDefault="004C638C" w:rsidP="004C638C">
      <w:pPr>
        <w:spacing w:after="240"/>
        <w:rPr>
          <w:rFonts w:cs="Arial"/>
        </w:rPr>
      </w:pPr>
      <w:r w:rsidRPr="00856CE5">
        <w:rPr>
          <w:rFonts w:cs="Arial"/>
        </w:rPr>
        <w:t xml:space="preserve">Attachment 1: Comprehensive Support and Improvement Eligibility Determinations </w:t>
      </w:r>
      <w:r w:rsidRPr="00856CE5">
        <w:rPr>
          <w:rFonts w:cs="Arial"/>
        </w:rPr>
        <w:br/>
        <w:t>(</w:t>
      </w:r>
      <w:r w:rsidR="004C0A3A" w:rsidRPr="00856CE5">
        <w:rPr>
          <w:rFonts w:cs="Arial"/>
        </w:rPr>
        <w:t>3</w:t>
      </w:r>
      <w:r w:rsidRPr="00856CE5">
        <w:rPr>
          <w:rFonts w:cs="Arial"/>
        </w:rPr>
        <w:t xml:space="preserve"> Pages)</w:t>
      </w:r>
    </w:p>
    <w:p w14:paraId="2EBA8454" w14:textId="77777777" w:rsidR="00A32179" w:rsidRPr="00856CE5" w:rsidRDefault="004C638C" w:rsidP="00A32179">
      <w:pPr>
        <w:spacing w:after="240"/>
        <w:rPr>
          <w:rFonts w:cs="Arial"/>
        </w:rPr>
      </w:pPr>
      <w:r w:rsidRPr="00856CE5">
        <w:rPr>
          <w:rFonts w:cs="Arial"/>
        </w:rPr>
        <w:t>Attachment 2: Additional Targeted Support and Improvement Eligibility Determinations (2 Pages</w:t>
      </w:r>
      <w:r w:rsidR="00EC4BF6" w:rsidRPr="00856CE5">
        <w:rPr>
          <w:rFonts w:cs="Arial"/>
        </w:rPr>
        <w:t>)</w:t>
      </w:r>
    </w:p>
    <w:p w14:paraId="2833224F" w14:textId="77777777" w:rsidR="00EB72BE" w:rsidRPr="00856CE5" w:rsidRDefault="00EB72BE" w:rsidP="00A32179">
      <w:pPr>
        <w:spacing w:after="240"/>
        <w:rPr>
          <w:rFonts w:cs="Arial"/>
        </w:rPr>
        <w:sectPr w:rsidR="00EB72BE" w:rsidRPr="00856CE5" w:rsidSect="005B7828">
          <w:headerReference w:type="default" r:id="rId16"/>
          <w:headerReference w:type="first" r:id="rId17"/>
          <w:type w:val="continuous"/>
          <w:pgSz w:w="12240" w:h="15840"/>
          <w:pgMar w:top="1440" w:right="1440" w:bottom="1440" w:left="1440" w:header="720" w:footer="720" w:gutter="0"/>
          <w:pgNumType w:start="1"/>
          <w:cols w:space="720"/>
          <w:titlePg/>
          <w:docGrid w:linePitch="360"/>
        </w:sectPr>
      </w:pPr>
    </w:p>
    <w:p w14:paraId="0FA718B9" w14:textId="77777777" w:rsidR="00331F25" w:rsidRPr="00856CE5" w:rsidRDefault="00331F25" w:rsidP="00331F25">
      <w:pPr>
        <w:pStyle w:val="Heading1"/>
        <w:spacing w:before="0" w:after="240"/>
        <w:rPr>
          <w:rFonts w:ascii="Arial" w:hAnsi="Arial" w:cs="Arial"/>
          <w:sz w:val="40"/>
          <w:szCs w:val="52"/>
        </w:rPr>
      </w:pPr>
      <w:r w:rsidRPr="00856CE5">
        <w:rPr>
          <w:rFonts w:ascii="Arial" w:hAnsi="Arial" w:cs="Arial"/>
          <w:b/>
          <w:color w:val="auto"/>
          <w:sz w:val="40"/>
          <w:szCs w:val="52"/>
        </w:rPr>
        <w:lastRenderedPageBreak/>
        <w:t>Attachment 1</w:t>
      </w:r>
    </w:p>
    <w:p w14:paraId="186C32B2" w14:textId="77777777" w:rsidR="00331F25" w:rsidRPr="00856CE5" w:rsidRDefault="00331F25" w:rsidP="00331F25">
      <w:pPr>
        <w:pStyle w:val="Heading2"/>
        <w:spacing w:before="0" w:after="240"/>
        <w:rPr>
          <w:rFonts w:cs="Arial"/>
          <w:sz w:val="36"/>
          <w:szCs w:val="36"/>
        </w:rPr>
      </w:pPr>
      <w:r w:rsidRPr="00856CE5">
        <w:rPr>
          <w:rFonts w:cs="Arial"/>
          <w:sz w:val="36"/>
          <w:szCs w:val="36"/>
        </w:rPr>
        <w:t>Comprehensive Support and Improvement Eligibility Determinations</w:t>
      </w:r>
    </w:p>
    <w:p w14:paraId="09E1A711" w14:textId="77777777" w:rsidR="00331F25" w:rsidRPr="00856CE5" w:rsidRDefault="00331F25" w:rsidP="00E971C6">
      <w:pPr>
        <w:pStyle w:val="Heading3"/>
        <w:spacing w:after="100" w:afterAutospacing="1"/>
        <w:contextualSpacing/>
        <w:rPr>
          <w:rFonts w:cs="Arial"/>
        </w:rPr>
      </w:pPr>
      <w:r w:rsidRPr="00856CE5">
        <w:rPr>
          <w:rFonts w:cs="Arial"/>
        </w:rPr>
        <w:t xml:space="preserve">Eligibility and Exit Criteria </w:t>
      </w:r>
    </w:p>
    <w:p w14:paraId="25EE40F0" w14:textId="77777777" w:rsidR="00331F25" w:rsidRPr="00856CE5" w:rsidRDefault="00331F25" w:rsidP="00331F25">
      <w:pPr>
        <w:spacing w:after="240"/>
        <w:rPr>
          <w:rFonts w:cs="Arial"/>
        </w:rPr>
      </w:pPr>
      <w:proofErr w:type="gramStart"/>
      <w:r w:rsidRPr="00856CE5">
        <w:rPr>
          <w:rFonts w:cs="Arial"/>
        </w:rPr>
        <w:t>The Every</w:t>
      </w:r>
      <w:proofErr w:type="gramEnd"/>
      <w:r w:rsidRPr="00856CE5">
        <w:rPr>
          <w:rFonts w:cs="Arial"/>
        </w:rPr>
        <w:t xml:space="preserve"> Student Succeeds Act (ESSA) requires states to determine eligibility of schools for Comprehensive Support and Improvement (CSI) in two ways:</w:t>
      </w:r>
    </w:p>
    <w:p w14:paraId="403DFC92" w14:textId="77777777" w:rsidR="00331F25" w:rsidRPr="00856CE5" w:rsidRDefault="00331F25" w:rsidP="00331F25">
      <w:pPr>
        <w:pStyle w:val="ListParagraph"/>
        <w:numPr>
          <w:ilvl w:val="0"/>
          <w:numId w:val="35"/>
        </w:numPr>
        <w:spacing w:after="240" w:line="240" w:lineRule="auto"/>
        <w:ind w:left="720"/>
        <w:contextualSpacing w:val="0"/>
        <w:rPr>
          <w:rFonts w:ascii="Arial" w:hAnsi="Arial" w:cs="Arial"/>
          <w:sz w:val="24"/>
          <w:szCs w:val="24"/>
        </w:rPr>
      </w:pPr>
      <w:r w:rsidRPr="00856CE5">
        <w:rPr>
          <w:rFonts w:ascii="Arial" w:hAnsi="Arial" w:cs="Arial"/>
          <w:sz w:val="24"/>
          <w:szCs w:val="24"/>
        </w:rPr>
        <w:t>All high schools (regardless of whether they received Title I funding) that have a three-year average graduation rate of less than 68 percent.</w:t>
      </w:r>
    </w:p>
    <w:p w14:paraId="250F4E86" w14:textId="77777777" w:rsidR="00331F25" w:rsidRPr="00856CE5" w:rsidRDefault="00331F25" w:rsidP="00331F25">
      <w:pPr>
        <w:pStyle w:val="ListParagraph"/>
        <w:numPr>
          <w:ilvl w:val="0"/>
          <w:numId w:val="36"/>
        </w:numPr>
        <w:spacing w:after="240" w:line="240" w:lineRule="auto"/>
        <w:contextualSpacing w:val="0"/>
        <w:rPr>
          <w:rFonts w:ascii="Arial" w:hAnsi="Arial" w:cs="Arial"/>
          <w:sz w:val="24"/>
          <w:szCs w:val="24"/>
        </w:rPr>
      </w:pPr>
      <w:r w:rsidRPr="00856CE5">
        <w:rPr>
          <w:rFonts w:ascii="Arial" w:hAnsi="Arial" w:cs="Arial"/>
          <w:sz w:val="24"/>
          <w:szCs w:val="24"/>
        </w:rPr>
        <w:t>Under the graduation rate criteria, California’s Consolidated ESSA State Plan requires any public high school whose average graduation rate has fallen below 68 percent for three consecutive years to be automatically eligible for CSI. However, for this year only, a two-year average graduation rate was used. This is due to a transition to the combined four-and five-year graduation rate. The California Department of Education calculated this new rate using information from the graduating classes of 2018 and 2019. Therefore, these two cohorts were used to calculate the two-year average. Moving forward, the three-year average will be used.</w:t>
      </w:r>
    </w:p>
    <w:p w14:paraId="57442A38" w14:textId="7FA58C5C" w:rsidR="00331F25" w:rsidRPr="00856CE5" w:rsidRDefault="00331F25" w:rsidP="00331F25">
      <w:pPr>
        <w:pStyle w:val="ListParagraph"/>
        <w:numPr>
          <w:ilvl w:val="0"/>
          <w:numId w:val="35"/>
        </w:numPr>
        <w:spacing w:after="240" w:line="240" w:lineRule="auto"/>
        <w:ind w:left="634"/>
        <w:rPr>
          <w:rFonts w:ascii="Arial" w:hAnsi="Arial" w:cs="Arial"/>
          <w:sz w:val="24"/>
          <w:szCs w:val="24"/>
        </w:rPr>
      </w:pPr>
      <w:r w:rsidRPr="00856CE5">
        <w:rPr>
          <w:rFonts w:ascii="Arial" w:hAnsi="Arial" w:cs="Arial"/>
          <w:sz w:val="24"/>
          <w:szCs w:val="24"/>
        </w:rPr>
        <w:t>Under California’s ESSA State Plan, at least the lowest performing 5 percent of Title I–funded schools are determined to be eligible based on the state indicator data reported in the Dashboard, using the color combinations that schools receive at the school level (i.e., all student group level). These color combinations were approved by the State Board of Education at its July 2018 meeting (</w:t>
      </w:r>
      <w:hyperlink r:id="rId18" w:tooltip="July 2018 SBE Meeting Item 02 Attachment 1" w:history="1">
        <w:r w:rsidRPr="00856CE5">
          <w:rPr>
            <w:rStyle w:val="Hyperlink"/>
            <w:rFonts w:ascii="Arial" w:hAnsi="Arial" w:cs="Arial"/>
            <w:sz w:val="24"/>
            <w:szCs w:val="24"/>
          </w:rPr>
          <w:t>https://www.cde.ca.gov/be/ag/ag/yr18/documents/jul18item02a1.docx</w:t>
        </w:r>
      </w:hyperlink>
      <w:r w:rsidRPr="00856CE5">
        <w:rPr>
          <w:rFonts w:ascii="Arial" w:hAnsi="Arial" w:cs="Arial"/>
          <w:sz w:val="24"/>
          <w:szCs w:val="24"/>
        </w:rPr>
        <w:t xml:space="preserve">): </w:t>
      </w:r>
    </w:p>
    <w:p w14:paraId="6D148161" w14:textId="77777777" w:rsidR="00331F25" w:rsidRPr="00856CE5" w:rsidRDefault="00331F25" w:rsidP="00331F25">
      <w:pPr>
        <w:pStyle w:val="ListParagraph"/>
        <w:spacing w:after="240" w:line="240" w:lineRule="auto"/>
        <w:ind w:left="630"/>
        <w:rPr>
          <w:rFonts w:ascii="Arial" w:hAnsi="Arial" w:cs="Arial"/>
          <w:sz w:val="24"/>
          <w:szCs w:val="24"/>
        </w:rPr>
      </w:pPr>
    </w:p>
    <w:p w14:paraId="46B45AAD" w14:textId="77777777" w:rsidR="00331F25" w:rsidRPr="00856CE5" w:rsidRDefault="00331F25" w:rsidP="00331F25">
      <w:pPr>
        <w:pStyle w:val="ListParagraph"/>
        <w:numPr>
          <w:ilvl w:val="0"/>
          <w:numId w:val="36"/>
        </w:numPr>
        <w:spacing w:line="240" w:lineRule="auto"/>
        <w:rPr>
          <w:rFonts w:ascii="Arial" w:hAnsi="Arial" w:cs="Arial"/>
          <w:sz w:val="24"/>
          <w:szCs w:val="24"/>
        </w:rPr>
      </w:pPr>
      <w:r w:rsidRPr="00856CE5">
        <w:rPr>
          <w:rFonts w:ascii="Arial" w:hAnsi="Arial" w:cs="Arial"/>
          <w:sz w:val="24"/>
          <w:szCs w:val="24"/>
        </w:rPr>
        <w:t>Schools with all red indicators;</w:t>
      </w:r>
    </w:p>
    <w:p w14:paraId="1007832E" w14:textId="77777777" w:rsidR="00331F25" w:rsidRPr="00856CE5" w:rsidRDefault="00331F25" w:rsidP="00331F25">
      <w:pPr>
        <w:pStyle w:val="ListParagraph"/>
        <w:numPr>
          <w:ilvl w:val="0"/>
          <w:numId w:val="36"/>
        </w:numPr>
        <w:spacing w:line="240" w:lineRule="auto"/>
        <w:rPr>
          <w:rFonts w:ascii="Arial" w:hAnsi="Arial" w:cs="Arial"/>
          <w:sz w:val="24"/>
          <w:szCs w:val="24"/>
        </w:rPr>
      </w:pPr>
      <w:r w:rsidRPr="00856CE5">
        <w:rPr>
          <w:rFonts w:ascii="Arial" w:hAnsi="Arial" w:cs="Arial"/>
          <w:sz w:val="24"/>
          <w:szCs w:val="24"/>
        </w:rPr>
        <w:t>Schools with all red but one indicator of any other color;</w:t>
      </w:r>
    </w:p>
    <w:p w14:paraId="0B403782" w14:textId="77777777" w:rsidR="00331F25" w:rsidRPr="00856CE5" w:rsidRDefault="00331F25" w:rsidP="00331F25">
      <w:pPr>
        <w:pStyle w:val="ListParagraph"/>
        <w:numPr>
          <w:ilvl w:val="0"/>
          <w:numId w:val="36"/>
        </w:numPr>
        <w:spacing w:line="240" w:lineRule="auto"/>
        <w:rPr>
          <w:rFonts w:ascii="Arial" w:hAnsi="Arial" w:cs="Arial"/>
          <w:sz w:val="24"/>
          <w:szCs w:val="24"/>
        </w:rPr>
      </w:pPr>
      <w:r w:rsidRPr="00856CE5">
        <w:rPr>
          <w:rFonts w:ascii="Arial" w:hAnsi="Arial" w:cs="Arial"/>
          <w:sz w:val="24"/>
          <w:szCs w:val="24"/>
        </w:rPr>
        <w:t>Schools with five or more indicators where the majority are red; and</w:t>
      </w:r>
    </w:p>
    <w:p w14:paraId="399E27C1" w14:textId="77777777" w:rsidR="00331F25" w:rsidRPr="00856CE5" w:rsidRDefault="00331F25" w:rsidP="00331F25">
      <w:pPr>
        <w:pStyle w:val="ListParagraph"/>
        <w:numPr>
          <w:ilvl w:val="0"/>
          <w:numId w:val="36"/>
        </w:numPr>
        <w:spacing w:after="0" w:line="240" w:lineRule="auto"/>
        <w:rPr>
          <w:rFonts w:ascii="Arial" w:hAnsi="Arial" w:cs="Arial"/>
          <w:sz w:val="24"/>
          <w:szCs w:val="24"/>
        </w:rPr>
      </w:pPr>
      <w:r w:rsidRPr="00856CE5">
        <w:rPr>
          <w:rFonts w:ascii="Arial" w:hAnsi="Arial" w:cs="Arial"/>
          <w:sz w:val="24"/>
          <w:szCs w:val="24"/>
        </w:rPr>
        <w:t>Schools with all red and orange indicators.</w:t>
      </w:r>
    </w:p>
    <w:p w14:paraId="0367F36E" w14:textId="77777777" w:rsidR="00331F25" w:rsidRPr="00856CE5" w:rsidRDefault="00331F25" w:rsidP="00331F25">
      <w:pPr>
        <w:rPr>
          <w:rFonts w:eastAsiaTheme="minorHAnsi" w:cs="Arial"/>
        </w:rPr>
      </w:pPr>
    </w:p>
    <w:p w14:paraId="45F26E0B" w14:textId="77777777" w:rsidR="00331F25" w:rsidRPr="00856CE5" w:rsidRDefault="00331F25" w:rsidP="00BA3FDA">
      <w:pPr>
        <w:spacing w:after="100" w:afterAutospacing="1"/>
        <w:ind w:left="720"/>
        <w:rPr>
          <w:rFonts w:cs="Arial"/>
        </w:rPr>
      </w:pPr>
      <w:r w:rsidRPr="00856CE5">
        <w:rPr>
          <w:rFonts w:cs="Arial"/>
        </w:rPr>
        <w:t xml:space="preserve">All four criteria are applied, and a school that meets any of the four criteria is eligible. </w:t>
      </w:r>
    </w:p>
    <w:p w14:paraId="1165E70F" w14:textId="77777777" w:rsidR="00331F25" w:rsidRPr="00856CE5" w:rsidRDefault="00331F25" w:rsidP="00331F25">
      <w:pPr>
        <w:rPr>
          <w:rFonts w:cs="Arial"/>
        </w:rPr>
      </w:pPr>
      <w:r w:rsidRPr="00856CE5">
        <w:rPr>
          <w:rFonts w:cs="Arial"/>
        </w:rPr>
        <w:t>Because there are not three years of data necessary to produce a color for the English Learner Progress Indicator (ELPI) a performance level (or color) cannot be determined for the ELPI state indicator on the 2019 Dashboard. The ELPI state indicator criteria for CSI–Lowest Performing Schools will be based on ELPI Status only. An ELPI Status level of ‘Very Low’ will be used as a proxy for the color ‘Red’ as meeting the criteria for</w:t>
      </w:r>
    </w:p>
    <w:p w14:paraId="0D5DF515" w14:textId="011E74EF" w:rsidR="00331F25" w:rsidRPr="00856CE5" w:rsidRDefault="00331F25" w:rsidP="00331F25">
      <w:pPr>
        <w:rPr>
          <w:rFonts w:cs="Arial"/>
        </w:rPr>
      </w:pPr>
      <w:r w:rsidRPr="00856CE5">
        <w:rPr>
          <w:rFonts w:cs="Arial"/>
        </w:rPr>
        <w:lastRenderedPageBreak/>
        <w:t>the ELPI state indicator in 2019–20</w:t>
      </w:r>
      <w:r w:rsidR="004375D3" w:rsidRPr="00856CE5">
        <w:rPr>
          <w:rFonts w:cs="Arial"/>
        </w:rPr>
        <w:t>20</w:t>
      </w:r>
      <w:r w:rsidRPr="00856CE5">
        <w:rPr>
          <w:rFonts w:cs="Arial"/>
        </w:rPr>
        <w:t xml:space="preserve"> CSI – Lowest Performing Schools determinations. ELPI color will be available beginning with the 2020 Dashboard. </w:t>
      </w:r>
    </w:p>
    <w:p w14:paraId="688FE24F" w14:textId="77777777" w:rsidR="00331F25" w:rsidRPr="00856CE5" w:rsidRDefault="00331F25" w:rsidP="00331F25">
      <w:pPr>
        <w:spacing w:before="240" w:after="240"/>
        <w:rPr>
          <w:rFonts w:cs="Arial"/>
        </w:rPr>
      </w:pPr>
      <w:r w:rsidRPr="00856CE5">
        <w:rPr>
          <w:rFonts w:cs="Arial"/>
        </w:rPr>
        <w:t xml:space="preserve">In addition, the U.S. Department of Education requires states to establish a methodology for determining whether schools with a small </w:t>
      </w:r>
      <w:proofErr w:type="spellStart"/>
      <w:r w:rsidRPr="00856CE5">
        <w:rPr>
          <w:rFonts w:cs="Arial"/>
          <w:i/>
        </w:rPr>
        <w:t>n</w:t>
      </w:r>
      <w:proofErr w:type="spellEnd"/>
      <w:r w:rsidRPr="00856CE5">
        <w:rPr>
          <w:rFonts w:cs="Arial"/>
        </w:rPr>
        <w:t xml:space="preserve"> size (less than 30 students) are eligible for CSI regardless of whether they receive a performance color. As a result, criteria were developed to determine eligibility of schools without any performance colors due to their small </w:t>
      </w:r>
      <w:proofErr w:type="spellStart"/>
      <w:r w:rsidRPr="00856CE5">
        <w:rPr>
          <w:rFonts w:cs="Arial"/>
          <w:i/>
        </w:rPr>
        <w:t>n</w:t>
      </w:r>
      <w:proofErr w:type="spellEnd"/>
      <w:r w:rsidRPr="00856CE5">
        <w:rPr>
          <w:rFonts w:cs="Arial"/>
        </w:rPr>
        <w:t xml:space="preserve"> size (see below). </w:t>
      </w:r>
    </w:p>
    <w:p w14:paraId="72E9D151" w14:textId="77777777" w:rsidR="00331F25" w:rsidRPr="00856CE5" w:rsidRDefault="00331F25" w:rsidP="00331F25">
      <w:pPr>
        <w:pStyle w:val="ListParagraph"/>
        <w:numPr>
          <w:ilvl w:val="0"/>
          <w:numId w:val="38"/>
        </w:numPr>
        <w:spacing w:after="240" w:line="240" w:lineRule="auto"/>
        <w:contextualSpacing w:val="0"/>
        <w:rPr>
          <w:rFonts w:ascii="Arial" w:hAnsi="Arial" w:cs="Arial"/>
          <w:sz w:val="24"/>
          <w:szCs w:val="24"/>
        </w:rPr>
      </w:pPr>
      <w:r w:rsidRPr="00856CE5">
        <w:rPr>
          <w:rFonts w:ascii="Arial" w:hAnsi="Arial" w:cs="Arial"/>
          <w:sz w:val="24"/>
          <w:szCs w:val="24"/>
        </w:rPr>
        <w:t>For K–8 schools: Very Low Status for both English language arts (ELA) and mathematics and Very High Status (20.1 percent of more) for Chronic Absenteeism.</w:t>
      </w:r>
    </w:p>
    <w:p w14:paraId="0F100611" w14:textId="77777777" w:rsidR="00331F25" w:rsidRPr="00856CE5" w:rsidRDefault="00331F25" w:rsidP="00331F25">
      <w:pPr>
        <w:pStyle w:val="ListParagraph"/>
        <w:numPr>
          <w:ilvl w:val="0"/>
          <w:numId w:val="38"/>
        </w:numPr>
        <w:spacing w:after="240" w:line="240" w:lineRule="auto"/>
        <w:contextualSpacing w:val="0"/>
        <w:rPr>
          <w:rFonts w:ascii="Arial" w:hAnsi="Arial" w:cs="Arial"/>
          <w:sz w:val="24"/>
          <w:szCs w:val="24"/>
        </w:rPr>
      </w:pPr>
      <w:r w:rsidRPr="00856CE5">
        <w:rPr>
          <w:rFonts w:ascii="Arial" w:hAnsi="Arial" w:cs="Arial"/>
          <w:sz w:val="24"/>
          <w:szCs w:val="24"/>
        </w:rPr>
        <w:t xml:space="preserve">For high schools: Very Low Status for both ELA and mathematics and a graduation rate below 68 percent (Very Low Status). </w:t>
      </w:r>
    </w:p>
    <w:p w14:paraId="74C5748B" w14:textId="77777777" w:rsidR="00331F25" w:rsidRPr="00856CE5" w:rsidRDefault="00331F25" w:rsidP="00331F25">
      <w:pPr>
        <w:spacing w:after="240"/>
        <w:rPr>
          <w:rFonts w:cs="Arial"/>
        </w:rPr>
      </w:pPr>
      <w:r w:rsidRPr="00856CE5">
        <w:rPr>
          <w:rFonts w:cs="Arial"/>
        </w:rPr>
        <w:t xml:space="preserve">No new schools with a small </w:t>
      </w:r>
      <w:proofErr w:type="spellStart"/>
      <w:r w:rsidRPr="00856CE5">
        <w:rPr>
          <w:rFonts w:cs="Arial"/>
          <w:i/>
        </w:rPr>
        <w:t>n</w:t>
      </w:r>
      <w:proofErr w:type="spellEnd"/>
      <w:r w:rsidRPr="00856CE5">
        <w:rPr>
          <w:rFonts w:cs="Arial"/>
        </w:rPr>
        <w:t xml:space="preserve"> size were determined to be eligible for CSI – Lowest Performing this year. However, one school with a small </w:t>
      </w:r>
      <w:proofErr w:type="spellStart"/>
      <w:r w:rsidRPr="00856CE5">
        <w:rPr>
          <w:rFonts w:cs="Arial"/>
          <w:i/>
        </w:rPr>
        <w:t>n</w:t>
      </w:r>
      <w:proofErr w:type="spellEnd"/>
      <w:r w:rsidRPr="00856CE5">
        <w:rPr>
          <w:rFonts w:cs="Arial"/>
        </w:rPr>
        <w:t xml:space="preserve"> size identified in the prior year continued to meet the eligibility criteria in the current year.</w:t>
      </w:r>
    </w:p>
    <w:p w14:paraId="5614E571" w14:textId="4ECE95D8" w:rsidR="00331F25" w:rsidRPr="00856CE5" w:rsidRDefault="00331F25" w:rsidP="00331F25">
      <w:pPr>
        <w:spacing w:after="240"/>
        <w:rPr>
          <w:rFonts w:cs="Arial"/>
        </w:rPr>
      </w:pPr>
      <w:r w:rsidRPr="00856CE5">
        <w:rPr>
          <w:rFonts w:cs="Arial"/>
        </w:rPr>
        <w:t xml:space="preserve">Schools eligible for CSI based on the CSI – Graduation Rate in the 2018–19 year were reevaluated in the 2019–2020 year to determine continued eligibility or exit. Schools with a two-year average graduation rate at 68 percent or above will no longer be eligible for CSI based on the ‘CSI–Low Graduation Rate Schools’ criteria. </w:t>
      </w:r>
    </w:p>
    <w:p w14:paraId="7AB2FE15" w14:textId="7A079155" w:rsidR="00331F25" w:rsidRPr="00856CE5" w:rsidRDefault="00331F25" w:rsidP="00331F25">
      <w:pPr>
        <w:spacing w:after="240"/>
        <w:rPr>
          <w:rFonts w:cs="Arial"/>
        </w:rPr>
      </w:pPr>
      <w:r w:rsidRPr="00856CE5">
        <w:rPr>
          <w:rFonts w:cs="Arial"/>
        </w:rPr>
        <w:t xml:space="preserve">Schools initially eligible for CSI based on the ‘CSI Lowest–Performing Schools’ criteria in the 2018–19 year were reevaluated in the 2019–2020 year to determine continued eligibility or exit. A school is no longer eligible for support based on the ‘CSI Lowest–Performing Schools’ criteria when: 1) the school has improved performance so that it no longer meets any of the initial eligibility color combination criteria; and 2) at least one state indicator </w:t>
      </w:r>
      <w:r w:rsidRPr="00856CE5">
        <w:rPr>
          <w:rFonts w:cs="Arial"/>
          <w:color w:val="000000"/>
        </w:rPr>
        <w:t>that had a red or orange in the prior year showed both an improvement in color and an improvement in status of at least one decimal point in the current year</w:t>
      </w:r>
      <w:r w:rsidRPr="00856CE5">
        <w:rPr>
          <w:rFonts w:cs="Arial"/>
        </w:rPr>
        <w:t xml:space="preserve">. </w:t>
      </w:r>
    </w:p>
    <w:p w14:paraId="3FCA6A42" w14:textId="60FF8B41" w:rsidR="00331F25" w:rsidRPr="00856CE5" w:rsidRDefault="00331F25" w:rsidP="00331F25">
      <w:pPr>
        <w:spacing w:after="240"/>
        <w:rPr>
          <w:rFonts w:cs="Arial"/>
        </w:rPr>
      </w:pPr>
      <w:r w:rsidRPr="00856CE5">
        <w:rPr>
          <w:rFonts w:cs="Arial"/>
        </w:rPr>
        <w:t xml:space="preserve">Additionally, schools designated as CSI Lowest–Performing in the 2018–19 year with a small </w:t>
      </w:r>
      <w:proofErr w:type="spellStart"/>
      <w:r w:rsidRPr="00856CE5">
        <w:rPr>
          <w:rFonts w:cs="Arial"/>
          <w:i/>
        </w:rPr>
        <w:t>n</w:t>
      </w:r>
      <w:proofErr w:type="spellEnd"/>
      <w:r w:rsidRPr="00856CE5">
        <w:rPr>
          <w:rFonts w:cs="Arial"/>
        </w:rPr>
        <w:t xml:space="preserve"> size in the current year will exit CSI Lowest–Performing if the school no longer meets the small </w:t>
      </w:r>
      <w:proofErr w:type="spellStart"/>
      <w:r w:rsidRPr="00856CE5">
        <w:rPr>
          <w:rFonts w:cs="Arial"/>
          <w:i/>
        </w:rPr>
        <w:t>n</w:t>
      </w:r>
      <w:proofErr w:type="spellEnd"/>
      <w:r w:rsidRPr="00856CE5">
        <w:rPr>
          <w:rFonts w:cs="Arial"/>
        </w:rPr>
        <w:t xml:space="preserve"> size school criteria. </w:t>
      </w:r>
    </w:p>
    <w:p w14:paraId="6E898826" w14:textId="77777777" w:rsidR="00331F25" w:rsidRPr="00856CE5" w:rsidRDefault="00331F25" w:rsidP="00331F25">
      <w:pPr>
        <w:spacing w:after="240"/>
        <w:rPr>
          <w:rFonts w:cs="Arial"/>
        </w:rPr>
      </w:pPr>
      <w:r w:rsidRPr="00856CE5">
        <w:rPr>
          <w:rFonts w:cs="Arial"/>
        </w:rPr>
        <w:t>Table 1 shows the number of schools eligible for CSI – Lowest Performing based on colors received on state indicators (i.e., criteria used to determine at least the lowest performing 5 percent of Title I schools).</w:t>
      </w:r>
    </w:p>
    <w:p w14:paraId="7EB5CEF0" w14:textId="77777777" w:rsidR="00BA3FDA" w:rsidRDefault="00BA3FDA" w:rsidP="00BA3FDA">
      <w:pPr>
        <w:spacing w:before="100" w:beforeAutospacing="1" w:after="240"/>
        <w:rPr>
          <w:rFonts w:cs="Arial"/>
          <w:b/>
        </w:rPr>
      </w:pPr>
      <w:r>
        <w:rPr>
          <w:rFonts w:cs="Arial"/>
          <w:b/>
        </w:rPr>
        <w:br w:type="page"/>
      </w:r>
    </w:p>
    <w:p w14:paraId="2D38FE49" w14:textId="71B66E63" w:rsidR="00331F25" w:rsidRPr="00856CE5" w:rsidRDefault="00331F25" w:rsidP="00BA3FDA">
      <w:pPr>
        <w:spacing w:before="100" w:beforeAutospacing="1" w:after="240"/>
        <w:rPr>
          <w:rFonts w:cs="Arial"/>
        </w:rPr>
      </w:pPr>
      <w:r w:rsidRPr="00856CE5">
        <w:rPr>
          <w:rFonts w:cs="Arial"/>
          <w:b/>
        </w:rPr>
        <w:lastRenderedPageBreak/>
        <w:t>Table 1: Number of Schools Eligible for CSI – Lowest Performing by State Indicator Results: Breakdown by Color Performance</w:t>
      </w:r>
    </w:p>
    <w:tbl>
      <w:tblPr>
        <w:tblStyle w:val="TableGrid"/>
        <w:tblW w:w="5000" w:type="pct"/>
        <w:tblLook w:val="04A0" w:firstRow="1" w:lastRow="0" w:firstColumn="1" w:lastColumn="0" w:noHBand="0" w:noVBand="1"/>
        <w:tblDescription w:val="Number of schools eligible for CSI"/>
      </w:tblPr>
      <w:tblGrid>
        <w:gridCol w:w="6425"/>
        <w:gridCol w:w="2925"/>
      </w:tblGrid>
      <w:tr w:rsidR="00331F25" w:rsidRPr="00856CE5" w14:paraId="063CCC83" w14:textId="77777777" w:rsidTr="00E971C6">
        <w:trPr>
          <w:cantSplit/>
          <w:tblHeader/>
        </w:trPr>
        <w:tc>
          <w:tcPr>
            <w:tcW w:w="3436" w:type="pct"/>
            <w:shd w:val="clear" w:color="auto" w:fill="D9D9D9" w:themeFill="background1" w:themeFillShade="D9"/>
            <w:vAlign w:val="center"/>
          </w:tcPr>
          <w:p w14:paraId="7E800052" w14:textId="77777777" w:rsidR="00331F25" w:rsidRPr="00856CE5" w:rsidRDefault="00331F25" w:rsidP="008378B0">
            <w:pPr>
              <w:jc w:val="center"/>
              <w:rPr>
                <w:rFonts w:cs="Arial"/>
                <w:b/>
              </w:rPr>
            </w:pPr>
            <w:r w:rsidRPr="00856CE5">
              <w:rPr>
                <w:rFonts w:cs="Arial"/>
                <w:b/>
              </w:rPr>
              <w:t xml:space="preserve">Color Criteria </w:t>
            </w:r>
          </w:p>
        </w:tc>
        <w:tc>
          <w:tcPr>
            <w:tcW w:w="1564" w:type="pct"/>
            <w:shd w:val="clear" w:color="auto" w:fill="D9D9D9" w:themeFill="background1" w:themeFillShade="D9"/>
            <w:vAlign w:val="center"/>
          </w:tcPr>
          <w:p w14:paraId="0F9946C6" w14:textId="77777777" w:rsidR="00331F25" w:rsidRPr="00856CE5" w:rsidRDefault="00331F25" w:rsidP="008378B0">
            <w:pPr>
              <w:jc w:val="center"/>
              <w:rPr>
                <w:rFonts w:cs="Arial"/>
                <w:b/>
              </w:rPr>
            </w:pPr>
            <w:r w:rsidRPr="00856CE5">
              <w:rPr>
                <w:rFonts w:cs="Arial"/>
                <w:b/>
              </w:rPr>
              <w:t>Number of Schools</w:t>
            </w:r>
          </w:p>
        </w:tc>
      </w:tr>
      <w:tr w:rsidR="00331F25" w:rsidRPr="00856CE5" w14:paraId="7AFABC32" w14:textId="77777777" w:rsidTr="00E971C6">
        <w:trPr>
          <w:cantSplit/>
        </w:trPr>
        <w:tc>
          <w:tcPr>
            <w:tcW w:w="3436" w:type="pct"/>
            <w:vAlign w:val="center"/>
          </w:tcPr>
          <w:p w14:paraId="657E6201" w14:textId="77777777" w:rsidR="00331F25" w:rsidRPr="00856CE5" w:rsidRDefault="00331F25" w:rsidP="008378B0">
            <w:pPr>
              <w:rPr>
                <w:rFonts w:cs="Arial"/>
              </w:rPr>
            </w:pPr>
            <w:r w:rsidRPr="00856CE5">
              <w:rPr>
                <w:rFonts w:cs="Arial"/>
              </w:rPr>
              <w:t>All Indicators Are Red</w:t>
            </w:r>
          </w:p>
        </w:tc>
        <w:tc>
          <w:tcPr>
            <w:tcW w:w="1564" w:type="pct"/>
            <w:vAlign w:val="center"/>
          </w:tcPr>
          <w:p w14:paraId="3C82A4D8" w14:textId="08E17EEF" w:rsidR="00331F25" w:rsidRPr="00856CE5" w:rsidRDefault="00331F25" w:rsidP="008378B0">
            <w:pPr>
              <w:jc w:val="center"/>
              <w:rPr>
                <w:rFonts w:cs="Arial"/>
              </w:rPr>
            </w:pPr>
            <w:r w:rsidRPr="00856CE5">
              <w:rPr>
                <w:rFonts w:cs="Arial"/>
              </w:rPr>
              <w:t>103</w:t>
            </w:r>
          </w:p>
        </w:tc>
      </w:tr>
      <w:tr w:rsidR="00331F25" w:rsidRPr="00856CE5" w14:paraId="00B9756D" w14:textId="77777777" w:rsidTr="00E971C6">
        <w:trPr>
          <w:cantSplit/>
        </w:trPr>
        <w:tc>
          <w:tcPr>
            <w:tcW w:w="3436" w:type="pct"/>
            <w:vAlign w:val="center"/>
          </w:tcPr>
          <w:p w14:paraId="0012C02E" w14:textId="77777777" w:rsidR="00331F25" w:rsidRPr="00856CE5" w:rsidRDefault="00331F25" w:rsidP="008378B0">
            <w:pPr>
              <w:rPr>
                <w:rFonts w:cs="Arial"/>
              </w:rPr>
            </w:pPr>
            <w:r w:rsidRPr="00856CE5">
              <w:rPr>
                <w:rFonts w:cs="Arial"/>
              </w:rPr>
              <w:t>All Indicators Are Red, Except One of Any Color</w:t>
            </w:r>
          </w:p>
        </w:tc>
        <w:tc>
          <w:tcPr>
            <w:tcW w:w="1564" w:type="pct"/>
            <w:vAlign w:val="center"/>
          </w:tcPr>
          <w:p w14:paraId="6A635B7B" w14:textId="4DCF5491" w:rsidR="00331F25" w:rsidRPr="00856CE5" w:rsidRDefault="00331F25" w:rsidP="008378B0">
            <w:pPr>
              <w:jc w:val="center"/>
              <w:rPr>
                <w:rFonts w:cs="Arial"/>
              </w:rPr>
            </w:pPr>
            <w:r w:rsidRPr="00856CE5">
              <w:rPr>
                <w:rFonts w:cs="Arial"/>
              </w:rPr>
              <w:t>119</w:t>
            </w:r>
          </w:p>
        </w:tc>
      </w:tr>
      <w:tr w:rsidR="00331F25" w:rsidRPr="00856CE5" w14:paraId="1B9EF5B0" w14:textId="77777777" w:rsidTr="00E971C6">
        <w:trPr>
          <w:cantSplit/>
        </w:trPr>
        <w:tc>
          <w:tcPr>
            <w:tcW w:w="3436" w:type="pct"/>
            <w:vAlign w:val="center"/>
          </w:tcPr>
          <w:p w14:paraId="65DA7B63" w14:textId="77777777" w:rsidR="00331F25" w:rsidRPr="00856CE5" w:rsidRDefault="00331F25" w:rsidP="008378B0">
            <w:pPr>
              <w:rPr>
                <w:rFonts w:cs="Arial"/>
              </w:rPr>
            </w:pPr>
            <w:r w:rsidRPr="00856CE5">
              <w:rPr>
                <w:rFonts w:cs="Arial"/>
              </w:rPr>
              <w:t>Majority of Five or More Indicators Are Red</w:t>
            </w:r>
          </w:p>
        </w:tc>
        <w:tc>
          <w:tcPr>
            <w:tcW w:w="1564" w:type="pct"/>
            <w:vAlign w:val="center"/>
          </w:tcPr>
          <w:p w14:paraId="09BC65ED" w14:textId="25EC0BEE" w:rsidR="00331F25" w:rsidRPr="00856CE5" w:rsidRDefault="00331F25" w:rsidP="008378B0">
            <w:pPr>
              <w:jc w:val="center"/>
              <w:rPr>
                <w:rFonts w:cs="Arial"/>
              </w:rPr>
            </w:pPr>
            <w:r w:rsidRPr="00856CE5">
              <w:rPr>
                <w:rFonts w:cs="Arial"/>
              </w:rPr>
              <w:t>51</w:t>
            </w:r>
          </w:p>
        </w:tc>
      </w:tr>
      <w:tr w:rsidR="00331F25" w:rsidRPr="00856CE5" w14:paraId="5C4E71F4" w14:textId="77777777" w:rsidTr="00E971C6">
        <w:trPr>
          <w:cantSplit/>
        </w:trPr>
        <w:tc>
          <w:tcPr>
            <w:tcW w:w="3436" w:type="pct"/>
            <w:vAlign w:val="center"/>
          </w:tcPr>
          <w:p w14:paraId="3C442A71" w14:textId="77777777" w:rsidR="00331F25" w:rsidRPr="00856CE5" w:rsidRDefault="00331F25" w:rsidP="008378B0">
            <w:pPr>
              <w:rPr>
                <w:rFonts w:cs="Arial"/>
              </w:rPr>
            </w:pPr>
            <w:r w:rsidRPr="00856CE5">
              <w:rPr>
                <w:rFonts w:cs="Arial"/>
              </w:rPr>
              <w:t>All Indicators Are Red and Orange</w:t>
            </w:r>
          </w:p>
        </w:tc>
        <w:tc>
          <w:tcPr>
            <w:tcW w:w="1564" w:type="pct"/>
            <w:vAlign w:val="center"/>
          </w:tcPr>
          <w:p w14:paraId="1E1D1229" w14:textId="6B926759" w:rsidR="00331F25" w:rsidRPr="00856CE5" w:rsidRDefault="00331F25" w:rsidP="008378B0">
            <w:pPr>
              <w:jc w:val="center"/>
              <w:rPr>
                <w:rFonts w:cs="Arial"/>
              </w:rPr>
            </w:pPr>
            <w:r w:rsidRPr="00856CE5">
              <w:rPr>
                <w:rFonts w:cs="Arial"/>
              </w:rPr>
              <w:t>204</w:t>
            </w:r>
          </w:p>
        </w:tc>
      </w:tr>
    </w:tbl>
    <w:p w14:paraId="48768D49" w14:textId="77777777" w:rsidR="00331F25" w:rsidRPr="00856CE5" w:rsidRDefault="00331F25" w:rsidP="00331F25">
      <w:pPr>
        <w:spacing w:before="240" w:after="240"/>
        <w:rPr>
          <w:rFonts w:cs="Arial"/>
        </w:rPr>
      </w:pPr>
      <w:r w:rsidRPr="00856CE5">
        <w:rPr>
          <w:rFonts w:cs="Arial"/>
        </w:rPr>
        <w:t xml:space="preserve">Tables 2 and 3 provide a breakdown of CSI-eligible schools by </w:t>
      </w:r>
      <w:r w:rsidRPr="00856CE5">
        <w:rPr>
          <w:rFonts w:ascii="Helvetica" w:hAnsi="Helvetica" w:cs="Helvetica"/>
          <w:color w:val="000000"/>
        </w:rPr>
        <w:t>Dashboard Alternative School Status (</w:t>
      </w:r>
      <w:r w:rsidRPr="00856CE5">
        <w:rPr>
          <w:rFonts w:cs="Arial"/>
        </w:rPr>
        <w:t>DASS) and non-DASS status.</w:t>
      </w:r>
    </w:p>
    <w:p w14:paraId="0716F5BA" w14:textId="77777777" w:rsidR="00331F25" w:rsidRPr="00856CE5" w:rsidRDefault="00331F25" w:rsidP="00331F25">
      <w:pPr>
        <w:spacing w:after="240"/>
        <w:rPr>
          <w:rFonts w:cs="Arial"/>
          <w:b/>
        </w:rPr>
      </w:pPr>
      <w:r w:rsidRPr="00856CE5">
        <w:rPr>
          <w:rFonts w:cs="Arial"/>
          <w:b/>
        </w:rPr>
        <w:t>Table 2: Number of Schools Eligible for CSI – Lowest Performing by State Indicator Results: Breakdown by DASS and Non-DASS Schools</w:t>
      </w:r>
    </w:p>
    <w:tbl>
      <w:tblPr>
        <w:tblStyle w:val="TableGrid"/>
        <w:tblW w:w="5000" w:type="pct"/>
        <w:tblLook w:val="04A0" w:firstRow="1" w:lastRow="0" w:firstColumn="1" w:lastColumn="0" w:noHBand="0" w:noVBand="1"/>
        <w:tblDescription w:val="Number of schools eligible for CSI"/>
      </w:tblPr>
      <w:tblGrid>
        <w:gridCol w:w="4855"/>
        <w:gridCol w:w="1980"/>
        <w:gridCol w:w="2515"/>
      </w:tblGrid>
      <w:tr w:rsidR="00331F25" w:rsidRPr="00856CE5" w14:paraId="2F9EF3A7" w14:textId="77777777" w:rsidTr="00E971C6">
        <w:trPr>
          <w:cantSplit/>
          <w:tblHeader/>
        </w:trPr>
        <w:tc>
          <w:tcPr>
            <w:tcW w:w="2596" w:type="pct"/>
            <w:shd w:val="clear" w:color="auto" w:fill="D9D9D9" w:themeFill="background1" w:themeFillShade="D9"/>
            <w:vAlign w:val="center"/>
          </w:tcPr>
          <w:p w14:paraId="16DD89A2" w14:textId="77777777" w:rsidR="00331F25" w:rsidRPr="00856CE5" w:rsidRDefault="00331F25" w:rsidP="008378B0">
            <w:pPr>
              <w:jc w:val="center"/>
              <w:rPr>
                <w:rFonts w:cs="Arial"/>
                <w:b/>
              </w:rPr>
            </w:pPr>
            <w:r w:rsidRPr="00856CE5">
              <w:rPr>
                <w:rFonts w:cs="Arial"/>
                <w:b/>
              </w:rPr>
              <w:t xml:space="preserve">Color Criteria </w:t>
            </w:r>
          </w:p>
        </w:tc>
        <w:tc>
          <w:tcPr>
            <w:tcW w:w="1059" w:type="pct"/>
            <w:shd w:val="clear" w:color="auto" w:fill="D9D9D9" w:themeFill="background1" w:themeFillShade="D9"/>
            <w:vAlign w:val="center"/>
          </w:tcPr>
          <w:p w14:paraId="4BF5D402" w14:textId="77777777" w:rsidR="00331F25" w:rsidRPr="00856CE5" w:rsidRDefault="00331F25" w:rsidP="008378B0">
            <w:pPr>
              <w:jc w:val="center"/>
              <w:rPr>
                <w:rFonts w:cs="Arial"/>
                <w:b/>
              </w:rPr>
            </w:pPr>
            <w:r w:rsidRPr="00856CE5">
              <w:rPr>
                <w:rFonts w:cs="Arial"/>
                <w:b/>
              </w:rPr>
              <w:t>Number of DASS Schools</w:t>
            </w:r>
          </w:p>
        </w:tc>
        <w:tc>
          <w:tcPr>
            <w:tcW w:w="1345" w:type="pct"/>
            <w:shd w:val="clear" w:color="auto" w:fill="D9D9D9" w:themeFill="background1" w:themeFillShade="D9"/>
          </w:tcPr>
          <w:p w14:paraId="30D3277F" w14:textId="77777777" w:rsidR="00331F25" w:rsidRPr="00856CE5" w:rsidRDefault="00331F25" w:rsidP="008378B0">
            <w:pPr>
              <w:jc w:val="center"/>
              <w:rPr>
                <w:rFonts w:cs="Arial"/>
                <w:b/>
              </w:rPr>
            </w:pPr>
            <w:r w:rsidRPr="00856CE5">
              <w:rPr>
                <w:rFonts w:cs="Arial"/>
                <w:b/>
              </w:rPr>
              <w:t>Number of Non-DASS Schools</w:t>
            </w:r>
          </w:p>
        </w:tc>
      </w:tr>
      <w:tr w:rsidR="00331F25" w:rsidRPr="00856CE5" w14:paraId="4B4D01F3" w14:textId="77777777" w:rsidTr="00E971C6">
        <w:trPr>
          <w:cantSplit/>
        </w:trPr>
        <w:tc>
          <w:tcPr>
            <w:tcW w:w="2596" w:type="pct"/>
            <w:vAlign w:val="center"/>
          </w:tcPr>
          <w:p w14:paraId="7FF61033" w14:textId="77777777" w:rsidR="00331F25" w:rsidRPr="00856CE5" w:rsidRDefault="00331F25" w:rsidP="008378B0">
            <w:pPr>
              <w:rPr>
                <w:rFonts w:cs="Arial"/>
              </w:rPr>
            </w:pPr>
            <w:r w:rsidRPr="00856CE5">
              <w:rPr>
                <w:rFonts w:cs="Arial"/>
              </w:rPr>
              <w:t>All Indicators Are Red</w:t>
            </w:r>
          </w:p>
        </w:tc>
        <w:tc>
          <w:tcPr>
            <w:tcW w:w="1059" w:type="pct"/>
            <w:vAlign w:val="center"/>
          </w:tcPr>
          <w:p w14:paraId="1DD8801F" w14:textId="77777777" w:rsidR="00331F25" w:rsidRPr="00856CE5" w:rsidRDefault="00331F25" w:rsidP="008378B0">
            <w:pPr>
              <w:jc w:val="center"/>
              <w:rPr>
                <w:rFonts w:cs="Arial"/>
              </w:rPr>
            </w:pPr>
            <w:r w:rsidRPr="00856CE5">
              <w:rPr>
                <w:rFonts w:cs="Arial"/>
              </w:rPr>
              <w:t>67</w:t>
            </w:r>
          </w:p>
        </w:tc>
        <w:tc>
          <w:tcPr>
            <w:tcW w:w="1345" w:type="pct"/>
            <w:vAlign w:val="center"/>
          </w:tcPr>
          <w:p w14:paraId="15B7E807" w14:textId="6A93C2E1" w:rsidR="00331F25" w:rsidRPr="00856CE5" w:rsidRDefault="00331F25" w:rsidP="008378B0">
            <w:pPr>
              <w:jc w:val="center"/>
              <w:rPr>
                <w:rFonts w:cs="Arial"/>
              </w:rPr>
            </w:pPr>
            <w:r w:rsidRPr="00856CE5">
              <w:rPr>
                <w:rFonts w:cs="Arial"/>
              </w:rPr>
              <w:t>36</w:t>
            </w:r>
          </w:p>
        </w:tc>
      </w:tr>
      <w:tr w:rsidR="00331F25" w:rsidRPr="00856CE5" w14:paraId="7AADB8E3" w14:textId="77777777" w:rsidTr="00E971C6">
        <w:trPr>
          <w:cantSplit/>
        </w:trPr>
        <w:tc>
          <w:tcPr>
            <w:tcW w:w="2596" w:type="pct"/>
            <w:vAlign w:val="center"/>
          </w:tcPr>
          <w:p w14:paraId="6450A3F6" w14:textId="77777777" w:rsidR="00331F25" w:rsidRPr="00856CE5" w:rsidRDefault="00331F25" w:rsidP="008378B0">
            <w:pPr>
              <w:rPr>
                <w:rFonts w:cs="Arial"/>
              </w:rPr>
            </w:pPr>
            <w:r w:rsidRPr="00856CE5">
              <w:rPr>
                <w:rFonts w:cs="Arial"/>
              </w:rPr>
              <w:t>All Indicators Are Red, Except One of Any Color</w:t>
            </w:r>
          </w:p>
        </w:tc>
        <w:tc>
          <w:tcPr>
            <w:tcW w:w="1059" w:type="pct"/>
            <w:vAlign w:val="center"/>
          </w:tcPr>
          <w:p w14:paraId="04AF08A9" w14:textId="77777777" w:rsidR="00331F25" w:rsidRPr="00856CE5" w:rsidRDefault="00331F25" w:rsidP="008378B0">
            <w:pPr>
              <w:jc w:val="center"/>
              <w:rPr>
                <w:rFonts w:cs="Arial"/>
              </w:rPr>
            </w:pPr>
            <w:r w:rsidRPr="00856CE5">
              <w:rPr>
                <w:rFonts w:cs="Arial"/>
              </w:rPr>
              <w:t>34</w:t>
            </w:r>
          </w:p>
        </w:tc>
        <w:tc>
          <w:tcPr>
            <w:tcW w:w="1345" w:type="pct"/>
            <w:vAlign w:val="center"/>
          </w:tcPr>
          <w:p w14:paraId="49EBEB46" w14:textId="41A83430" w:rsidR="00331F25" w:rsidRPr="00856CE5" w:rsidRDefault="00331F25" w:rsidP="008378B0">
            <w:pPr>
              <w:jc w:val="center"/>
              <w:rPr>
                <w:rFonts w:cs="Arial"/>
              </w:rPr>
            </w:pPr>
            <w:r w:rsidRPr="00856CE5">
              <w:rPr>
                <w:rFonts w:cs="Arial"/>
              </w:rPr>
              <w:t>85</w:t>
            </w:r>
          </w:p>
        </w:tc>
      </w:tr>
      <w:tr w:rsidR="00331F25" w:rsidRPr="00856CE5" w14:paraId="65E29BB4" w14:textId="77777777" w:rsidTr="00E971C6">
        <w:trPr>
          <w:cantSplit/>
        </w:trPr>
        <w:tc>
          <w:tcPr>
            <w:tcW w:w="2596" w:type="pct"/>
            <w:vAlign w:val="center"/>
          </w:tcPr>
          <w:p w14:paraId="759AE235" w14:textId="77777777" w:rsidR="00331F25" w:rsidRPr="00856CE5" w:rsidRDefault="00331F25" w:rsidP="008378B0">
            <w:pPr>
              <w:rPr>
                <w:rFonts w:cs="Arial"/>
              </w:rPr>
            </w:pPr>
            <w:r w:rsidRPr="00856CE5">
              <w:rPr>
                <w:rFonts w:cs="Arial"/>
              </w:rPr>
              <w:t>Majority of Five or More Indicators Are Red</w:t>
            </w:r>
          </w:p>
        </w:tc>
        <w:tc>
          <w:tcPr>
            <w:tcW w:w="1059" w:type="pct"/>
            <w:vAlign w:val="center"/>
          </w:tcPr>
          <w:p w14:paraId="51E5144C" w14:textId="77777777" w:rsidR="00331F25" w:rsidRPr="00856CE5" w:rsidRDefault="00331F25" w:rsidP="008378B0">
            <w:pPr>
              <w:jc w:val="center"/>
              <w:rPr>
                <w:rFonts w:cs="Arial"/>
              </w:rPr>
            </w:pPr>
            <w:r w:rsidRPr="00856CE5">
              <w:rPr>
                <w:rFonts w:cs="Arial"/>
              </w:rPr>
              <w:t>12</w:t>
            </w:r>
          </w:p>
        </w:tc>
        <w:tc>
          <w:tcPr>
            <w:tcW w:w="1345" w:type="pct"/>
            <w:vAlign w:val="center"/>
          </w:tcPr>
          <w:p w14:paraId="5C4889FD" w14:textId="6CE6F857" w:rsidR="00331F25" w:rsidRPr="00856CE5" w:rsidRDefault="00331F25" w:rsidP="008378B0">
            <w:pPr>
              <w:jc w:val="center"/>
              <w:rPr>
                <w:rFonts w:cs="Arial"/>
              </w:rPr>
            </w:pPr>
            <w:r w:rsidRPr="00856CE5">
              <w:rPr>
                <w:rFonts w:cs="Arial"/>
              </w:rPr>
              <w:t>39</w:t>
            </w:r>
          </w:p>
        </w:tc>
      </w:tr>
      <w:tr w:rsidR="00331F25" w:rsidRPr="00856CE5" w14:paraId="78400BCD" w14:textId="77777777" w:rsidTr="00E971C6">
        <w:trPr>
          <w:cantSplit/>
        </w:trPr>
        <w:tc>
          <w:tcPr>
            <w:tcW w:w="2596" w:type="pct"/>
            <w:vAlign w:val="center"/>
          </w:tcPr>
          <w:p w14:paraId="417C3EB4" w14:textId="77777777" w:rsidR="00331F25" w:rsidRPr="00856CE5" w:rsidRDefault="00331F25" w:rsidP="008378B0">
            <w:pPr>
              <w:rPr>
                <w:rFonts w:cs="Arial"/>
              </w:rPr>
            </w:pPr>
            <w:r w:rsidRPr="00856CE5">
              <w:rPr>
                <w:rFonts w:cs="Arial"/>
              </w:rPr>
              <w:t>All Indicators Are Red and Orange</w:t>
            </w:r>
          </w:p>
        </w:tc>
        <w:tc>
          <w:tcPr>
            <w:tcW w:w="1059" w:type="pct"/>
            <w:vAlign w:val="center"/>
          </w:tcPr>
          <w:p w14:paraId="567E51F6" w14:textId="77777777" w:rsidR="00331F25" w:rsidRPr="00856CE5" w:rsidRDefault="00331F25" w:rsidP="008378B0">
            <w:pPr>
              <w:jc w:val="center"/>
              <w:rPr>
                <w:rFonts w:cs="Arial"/>
              </w:rPr>
            </w:pPr>
            <w:r w:rsidRPr="00856CE5">
              <w:rPr>
                <w:rFonts w:cs="Arial"/>
              </w:rPr>
              <w:t>7</w:t>
            </w:r>
          </w:p>
        </w:tc>
        <w:tc>
          <w:tcPr>
            <w:tcW w:w="1345" w:type="pct"/>
            <w:vAlign w:val="center"/>
          </w:tcPr>
          <w:p w14:paraId="471B2AA6" w14:textId="73D218D0" w:rsidR="00331F25" w:rsidRPr="00856CE5" w:rsidRDefault="00331F25" w:rsidP="008378B0">
            <w:pPr>
              <w:jc w:val="center"/>
              <w:rPr>
                <w:rFonts w:cs="Arial"/>
              </w:rPr>
            </w:pPr>
            <w:r w:rsidRPr="00856CE5">
              <w:rPr>
                <w:rFonts w:cs="Arial"/>
              </w:rPr>
              <w:t>197</w:t>
            </w:r>
          </w:p>
        </w:tc>
      </w:tr>
    </w:tbl>
    <w:p w14:paraId="4C11AE15" w14:textId="77777777" w:rsidR="00331F25" w:rsidRPr="00856CE5" w:rsidRDefault="00331F25" w:rsidP="00331F25">
      <w:pPr>
        <w:spacing w:before="240" w:after="240"/>
        <w:rPr>
          <w:rFonts w:cs="Arial"/>
        </w:rPr>
      </w:pPr>
      <w:r w:rsidRPr="00856CE5">
        <w:rPr>
          <w:rFonts w:cs="Arial"/>
          <w:b/>
        </w:rPr>
        <w:t>Table 3: Number of Schools Eligible for CSI – Lowest Performing by State Indicator Results: Breakdown by Charter and Non-Charter Schools</w:t>
      </w:r>
    </w:p>
    <w:tbl>
      <w:tblPr>
        <w:tblStyle w:val="TableGrid"/>
        <w:tblW w:w="5000" w:type="pct"/>
        <w:tblLook w:val="04A0" w:firstRow="1" w:lastRow="0" w:firstColumn="1" w:lastColumn="0" w:noHBand="0" w:noVBand="1"/>
        <w:tblDescription w:val="Number of schools eligible for CSI"/>
      </w:tblPr>
      <w:tblGrid>
        <w:gridCol w:w="4855"/>
        <w:gridCol w:w="2070"/>
        <w:gridCol w:w="2425"/>
      </w:tblGrid>
      <w:tr w:rsidR="00331F25" w:rsidRPr="00856CE5" w14:paraId="12B27EFC" w14:textId="77777777" w:rsidTr="00E971C6">
        <w:trPr>
          <w:cantSplit/>
          <w:tblHeader/>
        </w:trPr>
        <w:tc>
          <w:tcPr>
            <w:tcW w:w="2596" w:type="pct"/>
            <w:shd w:val="clear" w:color="auto" w:fill="D9D9D9" w:themeFill="background1" w:themeFillShade="D9"/>
            <w:vAlign w:val="center"/>
          </w:tcPr>
          <w:p w14:paraId="5D504A26" w14:textId="77777777" w:rsidR="00331F25" w:rsidRPr="00856CE5" w:rsidRDefault="00331F25" w:rsidP="008378B0">
            <w:pPr>
              <w:jc w:val="center"/>
              <w:rPr>
                <w:rFonts w:cs="Arial"/>
                <w:b/>
              </w:rPr>
            </w:pPr>
            <w:r w:rsidRPr="00856CE5">
              <w:rPr>
                <w:rFonts w:cs="Arial"/>
                <w:b/>
              </w:rPr>
              <w:t xml:space="preserve">Color Criteria </w:t>
            </w:r>
          </w:p>
        </w:tc>
        <w:tc>
          <w:tcPr>
            <w:tcW w:w="1107" w:type="pct"/>
            <w:shd w:val="clear" w:color="auto" w:fill="D9D9D9" w:themeFill="background1" w:themeFillShade="D9"/>
            <w:vAlign w:val="center"/>
          </w:tcPr>
          <w:p w14:paraId="6C396A92" w14:textId="77777777" w:rsidR="00331F25" w:rsidRPr="00856CE5" w:rsidRDefault="00331F25" w:rsidP="008378B0">
            <w:pPr>
              <w:jc w:val="center"/>
              <w:rPr>
                <w:rFonts w:cs="Arial"/>
                <w:b/>
              </w:rPr>
            </w:pPr>
            <w:r w:rsidRPr="00856CE5">
              <w:rPr>
                <w:rFonts w:cs="Arial"/>
                <w:b/>
              </w:rPr>
              <w:t>Number of Charter Schools</w:t>
            </w:r>
          </w:p>
        </w:tc>
        <w:tc>
          <w:tcPr>
            <w:tcW w:w="1297" w:type="pct"/>
            <w:shd w:val="clear" w:color="auto" w:fill="D9D9D9" w:themeFill="background1" w:themeFillShade="D9"/>
          </w:tcPr>
          <w:p w14:paraId="71BA49EA" w14:textId="77777777" w:rsidR="00331F25" w:rsidRPr="00856CE5" w:rsidRDefault="00331F25" w:rsidP="008378B0">
            <w:pPr>
              <w:jc w:val="center"/>
              <w:rPr>
                <w:rFonts w:cs="Arial"/>
                <w:b/>
              </w:rPr>
            </w:pPr>
            <w:r w:rsidRPr="00856CE5">
              <w:rPr>
                <w:rFonts w:cs="Arial"/>
                <w:b/>
              </w:rPr>
              <w:t>Number of Non-Charter Schools</w:t>
            </w:r>
          </w:p>
        </w:tc>
      </w:tr>
      <w:tr w:rsidR="00331F25" w:rsidRPr="00856CE5" w14:paraId="2CD82EAD" w14:textId="77777777" w:rsidTr="00E971C6">
        <w:trPr>
          <w:cantSplit/>
        </w:trPr>
        <w:tc>
          <w:tcPr>
            <w:tcW w:w="2596" w:type="pct"/>
            <w:vAlign w:val="center"/>
          </w:tcPr>
          <w:p w14:paraId="64BE4F74" w14:textId="77777777" w:rsidR="00331F25" w:rsidRPr="00856CE5" w:rsidRDefault="00331F25" w:rsidP="008378B0">
            <w:pPr>
              <w:rPr>
                <w:rFonts w:cs="Arial"/>
              </w:rPr>
            </w:pPr>
            <w:r w:rsidRPr="00856CE5">
              <w:rPr>
                <w:rFonts w:cs="Arial"/>
              </w:rPr>
              <w:t>All Indicators Are Red</w:t>
            </w:r>
          </w:p>
        </w:tc>
        <w:tc>
          <w:tcPr>
            <w:tcW w:w="1107" w:type="pct"/>
            <w:vAlign w:val="center"/>
          </w:tcPr>
          <w:p w14:paraId="73FB0109" w14:textId="77777777" w:rsidR="00331F25" w:rsidRPr="00856CE5" w:rsidRDefault="00331F25" w:rsidP="008378B0">
            <w:pPr>
              <w:jc w:val="center"/>
              <w:rPr>
                <w:rFonts w:cs="Arial"/>
              </w:rPr>
            </w:pPr>
            <w:r w:rsidRPr="00856CE5">
              <w:rPr>
                <w:rFonts w:cs="Arial"/>
              </w:rPr>
              <w:t>6</w:t>
            </w:r>
          </w:p>
        </w:tc>
        <w:tc>
          <w:tcPr>
            <w:tcW w:w="1297" w:type="pct"/>
            <w:vAlign w:val="center"/>
          </w:tcPr>
          <w:p w14:paraId="7F63A5AF" w14:textId="5E0EE377" w:rsidR="00331F25" w:rsidRPr="00856CE5" w:rsidRDefault="00331F25" w:rsidP="008378B0">
            <w:pPr>
              <w:jc w:val="center"/>
              <w:rPr>
                <w:rFonts w:cs="Arial"/>
              </w:rPr>
            </w:pPr>
            <w:r w:rsidRPr="00856CE5">
              <w:rPr>
                <w:rFonts w:cs="Arial"/>
              </w:rPr>
              <w:t>97</w:t>
            </w:r>
          </w:p>
        </w:tc>
      </w:tr>
      <w:tr w:rsidR="00331F25" w:rsidRPr="00856CE5" w14:paraId="76631B4B" w14:textId="77777777" w:rsidTr="00E971C6">
        <w:trPr>
          <w:cantSplit/>
        </w:trPr>
        <w:tc>
          <w:tcPr>
            <w:tcW w:w="2596" w:type="pct"/>
            <w:vAlign w:val="center"/>
          </w:tcPr>
          <w:p w14:paraId="7C835F50" w14:textId="77777777" w:rsidR="00331F25" w:rsidRPr="00856CE5" w:rsidRDefault="00331F25" w:rsidP="008378B0">
            <w:pPr>
              <w:rPr>
                <w:rFonts w:cs="Arial"/>
              </w:rPr>
            </w:pPr>
            <w:r w:rsidRPr="00856CE5">
              <w:rPr>
                <w:rFonts w:cs="Arial"/>
              </w:rPr>
              <w:t>All Indicators Are Red, Except One of Any Color</w:t>
            </w:r>
          </w:p>
        </w:tc>
        <w:tc>
          <w:tcPr>
            <w:tcW w:w="1107" w:type="pct"/>
            <w:vAlign w:val="center"/>
          </w:tcPr>
          <w:p w14:paraId="56EC704E" w14:textId="77777777" w:rsidR="00331F25" w:rsidRPr="00856CE5" w:rsidRDefault="00331F25" w:rsidP="008378B0">
            <w:pPr>
              <w:jc w:val="center"/>
              <w:rPr>
                <w:rFonts w:cs="Arial"/>
              </w:rPr>
            </w:pPr>
            <w:r w:rsidRPr="00856CE5">
              <w:rPr>
                <w:rFonts w:cs="Arial"/>
              </w:rPr>
              <w:t>8</w:t>
            </w:r>
          </w:p>
        </w:tc>
        <w:tc>
          <w:tcPr>
            <w:tcW w:w="1297" w:type="pct"/>
            <w:vAlign w:val="center"/>
          </w:tcPr>
          <w:p w14:paraId="479D3E12" w14:textId="7C392877" w:rsidR="00331F25" w:rsidRPr="00856CE5" w:rsidRDefault="00331F25" w:rsidP="008378B0">
            <w:pPr>
              <w:jc w:val="center"/>
              <w:rPr>
                <w:rFonts w:cs="Arial"/>
              </w:rPr>
            </w:pPr>
            <w:r w:rsidRPr="00856CE5">
              <w:rPr>
                <w:rFonts w:cs="Arial"/>
              </w:rPr>
              <w:t>111</w:t>
            </w:r>
          </w:p>
        </w:tc>
      </w:tr>
      <w:tr w:rsidR="00331F25" w:rsidRPr="00856CE5" w14:paraId="3B45DDB1" w14:textId="77777777" w:rsidTr="00E971C6">
        <w:trPr>
          <w:cantSplit/>
        </w:trPr>
        <w:tc>
          <w:tcPr>
            <w:tcW w:w="2596" w:type="pct"/>
            <w:vAlign w:val="center"/>
          </w:tcPr>
          <w:p w14:paraId="531AF585" w14:textId="77777777" w:rsidR="00331F25" w:rsidRPr="00856CE5" w:rsidRDefault="00331F25" w:rsidP="008378B0">
            <w:pPr>
              <w:rPr>
                <w:rFonts w:cs="Arial"/>
              </w:rPr>
            </w:pPr>
            <w:r w:rsidRPr="00856CE5">
              <w:rPr>
                <w:rFonts w:cs="Arial"/>
              </w:rPr>
              <w:t>Majority of Five or More Indicators Are Red</w:t>
            </w:r>
          </w:p>
        </w:tc>
        <w:tc>
          <w:tcPr>
            <w:tcW w:w="1107" w:type="pct"/>
            <w:vAlign w:val="center"/>
          </w:tcPr>
          <w:p w14:paraId="4C49D119" w14:textId="77777777" w:rsidR="00331F25" w:rsidRPr="00856CE5" w:rsidRDefault="00331F25" w:rsidP="008378B0">
            <w:pPr>
              <w:jc w:val="center"/>
              <w:rPr>
                <w:rFonts w:cs="Arial"/>
              </w:rPr>
            </w:pPr>
            <w:r w:rsidRPr="00856CE5">
              <w:rPr>
                <w:rFonts w:cs="Arial"/>
              </w:rPr>
              <w:t>7</w:t>
            </w:r>
          </w:p>
        </w:tc>
        <w:tc>
          <w:tcPr>
            <w:tcW w:w="1297" w:type="pct"/>
            <w:vAlign w:val="center"/>
          </w:tcPr>
          <w:p w14:paraId="46E7877F" w14:textId="37D24E13" w:rsidR="00331F25" w:rsidRPr="00856CE5" w:rsidRDefault="00331F25" w:rsidP="008378B0">
            <w:pPr>
              <w:jc w:val="center"/>
              <w:rPr>
                <w:rFonts w:cs="Arial"/>
              </w:rPr>
            </w:pPr>
            <w:r w:rsidRPr="00856CE5">
              <w:rPr>
                <w:rFonts w:cs="Arial"/>
              </w:rPr>
              <w:t>44</w:t>
            </w:r>
          </w:p>
        </w:tc>
      </w:tr>
      <w:tr w:rsidR="00331F25" w:rsidRPr="00856CE5" w14:paraId="6AD7D486" w14:textId="77777777" w:rsidTr="00E971C6">
        <w:trPr>
          <w:cantSplit/>
        </w:trPr>
        <w:tc>
          <w:tcPr>
            <w:tcW w:w="2596" w:type="pct"/>
            <w:vAlign w:val="center"/>
          </w:tcPr>
          <w:p w14:paraId="02569EE1" w14:textId="77777777" w:rsidR="00331F25" w:rsidRPr="00856CE5" w:rsidRDefault="00331F25" w:rsidP="008378B0">
            <w:pPr>
              <w:rPr>
                <w:rFonts w:cs="Arial"/>
              </w:rPr>
            </w:pPr>
            <w:r w:rsidRPr="00856CE5">
              <w:rPr>
                <w:rFonts w:cs="Arial"/>
              </w:rPr>
              <w:t>All Indicators Are Red and Orange</w:t>
            </w:r>
          </w:p>
        </w:tc>
        <w:tc>
          <w:tcPr>
            <w:tcW w:w="1107" w:type="pct"/>
            <w:vAlign w:val="center"/>
          </w:tcPr>
          <w:p w14:paraId="5019CD78" w14:textId="1A09F7A9" w:rsidR="00331F25" w:rsidRPr="00856CE5" w:rsidRDefault="00331F25" w:rsidP="008378B0">
            <w:pPr>
              <w:jc w:val="center"/>
              <w:rPr>
                <w:rFonts w:cs="Arial"/>
              </w:rPr>
            </w:pPr>
            <w:r w:rsidRPr="00856CE5">
              <w:rPr>
                <w:rFonts w:cs="Arial"/>
              </w:rPr>
              <w:t>13</w:t>
            </w:r>
          </w:p>
        </w:tc>
        <w:tc>
          <w:tcPr>
            <w:tcW w:w="1297" w:type="pct"/>
            <w:vAlign w:val="center"/>
          </w:tcPr>
          <w:p w14:paraId="08EC4320" w14:textId="0B6ED02F" w:rsidR="00331F25" w:rsidRPr="00856CE5" w:rsidRDefault="00331F25" w:rsidP="008378B0">
            <w:pPr>
              <w:jc w:val="center"/>
              <w:rPr>
                <w:rFonts w:cs="Arial"/>
              </w:rPr>
            </w:pPr>
            <w:r w:rsidRPr="00856CE5">
              <w:rPr>
                <w:rFonts w:cs="Arial"/>
              </w:rPr>
              <w:t>191</w:t>
            </w:r>
          </w:p>
        </w:tc>
      </w:tr>
    </w:tbl>
    <w:p w14:paraId="750117D5" w14:textId="77777777" w:rsidR="00331F25" w:rsidRPr="00856CE5" w:rsidRDefault="00331F25" w:rsidP="00331F25">
      <w:pPr>
        <w:rPr>
          <w:rFonts w:eastAsiaTheme="majorEastAsia" w:cs="Arial"/>
          <w:color w:val="000000" w:themeColor="text1"/>
        </w:rPr>
      </w:pPr>
    </w:p>
    <w:p w14:paraId="45FC29A9" w14:textId="77777777" w:rsidR="00331F25" w:rsidRPr="00856CE5" w:rsidRDefault="00331F25" w:rsidP="00331F25">
      <w:pPr>
        <w:spacing w:after="240"/>
        <w:rPr>
          <w:rFonts w:eastAsiaTheme="majorEastAsia" w:cs="Arial"/>
          <w:color w:val="000000" w:themeColor="text1"/>
        </w:rPr>
      </w:pPr>
      <w:r w:rsidRPr="00856CE5">
        <w:rPr>
          <w:rFonts w:eastAsiaTheme="majorEastAsia" w:cs="Arial"/>
          <w:color w:val="000000" w:themeColor="text1"/>
        </w:rPr>
        <w:t xml:space="preserve">It is important to note that the counts reflected in Tables 1 through 3 above do not include all schools in the CSI – Lowest Performing category. Schools meeting the small </w:t>
      </w:r>
      <w:proofErr w:type="spellStart"/>
      <w:r w:rsidRPr="00856CE5">
        <w:rPr>
          <w:rFonts w:eastAsiaTheme="majorEastAsia" w:cs="Arial"/>
          <w:i/>
          <w:color w:val="000000" w:themeColor="text1"/>
        </w:rPr>
        <w:t>n</w:t>
      </w:r>
      <w:proofErr w:type="spellEnd"/>
      <w:r w:rsidRPr="00856CE5">
        <w:rPr>
          <w:rFonts w:eastAsiaTheme="majorEastAsia" w:cs="Arial"/>
          <w:i/>
          <w:color w:val="000000" w:themeColor="text1"/>
        </w:rPr>
        <w:t xml:space="preserve"> </w:t>
      </w:r>
      <w:r w:rsidRPr="00856CE5">
        <w:rPr>
          <w:rFonts w:eastAsiaTheme="majorEastAsia" w:cs="Arial"/>
          <w:color w:val="000000" w:themeColor="text1"/>
        </w:rPr>
        <w:t xml:space="preserve">size school eligibility criteria are not included in the counts. This year, there was one small </w:t>
      </w:r>
      <w:proofErr w:type="spellStart"/>
      <w:r w:rsidRPr="00856CE5">
        <w:rPr>
          <w:rFonts w:eastAsiaTheme="majorEastAsia" w:cs="Arial"/>
          <w:i/>
          <w:color w:val="000000" w:themeColor="text1"/>
        </w:rPr>
        <w:t>n</w:t>
      </w:r>
      <w:proofErr w:type="spellEnd"/>
      <w:r w:rsidRPr="00856CE5">
        <w:rPr>
          <w:rFonts w:eastAsiaTheme="majorEastAsia" w:cs="Arial"/>
          <w:color w:val="000000" w:themeColor="text1"/>
        </w:rPr>
        <w:t xml:space="preserve"> size school eligible for CSI – Lowest Performing. </w:t>
      </w:r>
    </w:p>
    <w:p w14:paraId="75D705CB" w14:textId="43553ABE" w:rsidR="00331F25" w:rsidRDefault="00331F25" w:rsidP="00331F25">
      <w:r w:rsidRPr="00856CE5">
        <w:t xml:space="preserve">Lastly, schools that did not meet the current year CSI – Lowest Performing eligibility criteria but also did not meet the exit criteria are excluded in the counts above. </w:t>
      </w:r>
    </w:p>
    <w:p w14:paraId="37BB6011" w14:textId="77777777" w:rsidR="00BA3FDA" w:rsidRPr="00856CE5" w:rsidRDefault="00BA3FDA" w:rsidP="00331F25"/>
    <w:p w14:paraId="38763BFA" w14:textId="47528215" w:rsidR="00596537" w:rsidRPr="00856CE5" w:rsidRDefault="00596537" w:rsidP="00331F25">
      <w:pPr>
        <w:spacing w:after="160" w:line="259" w:lineRule="auto"/>
        <w:rPr>
          <w:rFonts w:eastAsiaTheme="majorEastAsia" w:cs="Arial"/>
          <w:color w:val="000000" w:themeColor="text1"/>
        </w:rPr>
        <w:sectPr w:rsidR="00596537" w:rsidRPr="00856CE5" w:rsidSect="00EB72BE">
          <w:headerReference w:type="default" r:id="rId19"/>
          <w:headerReference w:type="first" r:id="rId20"/>
          <w:pgSz w:w="12240" w:h="15840"/>
          <w:pgMar w:top="1440" w:right="1440" w:bottom="1440" w:left="1440" w:header="720" w:footer="720" w:gutter="0"/>
          <w:pgNumType w:start="1"/>
          <w:cols w:space="720"/>
          <w:titlePg/>
          <w:docGrid w:linePitch="360"/>
        </w:sectPr>
      </w:pPr>
    </w:p>
    <w:p w14:paraId="5D97751C" w14:textId="77777777" w:rsidR="00331F25" w:rsidRPr="00856CE5" w:rsidRDefault="00331F25" w:rsidP="00331F25">
      <w:pPr>
        <w:pStyle w:val="Heading1"/>
        <w:spacing w:before="0" w:after="240"/>
        <w:rPr>
          <w:rFonts w:ascii="Arial" w:hAnsi="Arial" w:cs="Arial"/>
          <w:sz w:val="40"/>
          <w:szCs w:val="52"/>
        </w:rPr>
      </w:pPr>
      <w:r w:rsidRPr="00856CE5">
        <w:rPr>
          <w:rFonts w:ascii="Arial" w:hAnsi="Arial" w:cs="Arial"/>
          <w:b/>
          <w:color w:val="auto"/>
          <w:sz w:val="40"/>
          <w:szCs w:val="52"/>
        </w:rPr>
        <w:lastRenderedPageBreak/>
        <w:t>Attachment 2</w:t>
      </w:r>
    </w:p>
    <w:p w14:paraId="1674AE6F" w14:textId="77777777" w:rsidR="00331F25" w:rsidRPr="00856CE5" w:rsidRDefault="00331F25" w:rsidP="00331F25">
      <w:pPr>
        <w:pStyle w:val="Heading2"/>
        <w:spacing w:before="0" w:after="240"/>
        <w:rPr>
          <w:rFonts w:cs="Arial"/>
          <w:sz w:val="36"/>
          <w:szCs w:val="36"/>
        </w:rPr>
      </w:pPr>
      <w:r w:rsidRPr="00856CE5">
        <w:rPr>
          <w:rFonts w:cs="Arial"/>
          <w:sz w:val="36"/>
          <w:szCs w:val="36"/>
        </w:rPr>
        <w:t xml:space="preserve">Additional Targeted Support and Improvement Eligibility Determinations </w:t>
      </w:r>
    </w:p>
    <w:p w14:paraId="665BF677" w14:textId="79714A7A" w:rsidR="00331F25" w:rsidRPr="00856CE5" w:rsidRDefault="00331F25" w:rsidP="00E971C6">
      <w:pPr>
        <w:pStyle w:val="Heading3"/>
        <w:spacing w:after="100" w:afterAutospacing="1"/>
        <w:contextualSpacing/>
      </w:pPr>
      <w:r w:rsidRPr="00856CE5">
        <w:rPr>
          <w:rFonts w:cs="Arial"/>
        </w:rPr>
        <w:t xml:space="preserve">Eligibility and Exit Criteria </w:t>
      </w:r>
    </w:p>
    <w:p w14:paraId="710B0F17" w14:textId="77777777" w:rsidR="00331F25" w:rsidRPr="00856CE5" w:rsidRDefault="00331F25" w:rsidP="00331F25">
      <w:pPr>
        <w:autoSpaceDE w:val="0"/>
        <w:autoSpaceDN w:val="0"/>
        <w:adjustRightInd w:val="0"/>
        <w:spacing w:after="240"/>
        <w:rPr>
          <w:rFonts w:eastAsiaTheme="minorHAnsi" w:cs="Arial"/>
          <w:color w:val="000000"/>
        </w:rPr>
      </w:pPr>
      <w:r w:rsidRPr="00856CE5">
        <w:rPr>
          <w:rFonts w:eastAsiaTheme="minorHAnsi" w:cs="Arial"/>
        </w:rPr>
        <w:t xml:space="preserve">In accordance with California’s </w:t>
      </w:r>
      <w:r w:rsidRPr="00856CE5">
        <w:rPr>
          <w:rFonts w:cs="Arial"/>
        </w:rPr>
        <w:t xml:space="preserve">Every Student Succeeds Act (ESSA) </w:t>
      </w:r>
      <w:r w:rsidRPr="00856CE5">
        <w:rPr>
          <w:rFonts w:eastAsiaTheme="minorHAnsi" w:cs="Arial"/>
        </w:rPr>
        <w:t xml:space="preserve">State Plan, schools </w:t>
      </w:r>
      <w:r w:rsidRPr="00856CE5">
        <w:rPr>
          <w:rFonts w:eastAsiaTheme="minorHAnsi" w:cs="Arial"/>
          <w:color w:val="000000"/>
        </w:rPr>
        <w:t xml:space="preserve">that are not determined to be eligible for Comprehensive Support and Improvement (CSI) are eligible for Targeted Support and Improvement (TSI) if they have </w:t>
      </w:r>
      <w:r w:rsidRPr="00856CE5">
        <w:rPr>
          <w:rFonts w:eastAsiaTheme="minorHAnsi" w:cs="Arial"/>
          <w:b/>
          <w:color w:val="000000"/>
        </w:rPr>
        <w:t>one or more student group(s) that, for two consecutive years</w:t>
      </w:r>
      <w:r w:rsidRPr="00856CE5">
        <w:rPr>
          <w:rFonts w:eastAsiaTheme="minorHAnsi" w:cs="Arial"/>
          <w:color w:val="000000"/>
        </w:rPr>
        <w:t xml:space="preserve"> (based on the 2018 California School Dashboard [Dashboard] and 2019 Dashboard), meet the same criteria used to determine at least the lowest performing 5 percent of Title I schools. </w:t>
      </w:r>
    </w:p>
    <w:p w14:paraId="504ED9B8" w14:textId="77777777" w:rsidR="00331F25" w:rsidRPr="00856CE5" w:rsidRDefault="00331F25" w:rsidP="00331F25">
      <w:pPr>
        <w:pStyle w:val="ListParagraph"/>
        <w:numPr>
          <w:ilvl w:val="0"/>
          <w:numId w:val="33"/>
        </w:numPr>
        <w:autoSpaceDE w:val="0"/>
        <w:autoSpaceDN w:val="0"/>
        <w:adjustRightInd w:val="0"/>
        <w:spacing w:after="240" w:line="240" w:lineRule="auto"/>
        <w:rPr>
          <w:rFonts w:ascii="Arial" w:hAnsi="Arial" w:cs="Arial"/>
          <w:color w:val="000000"/>
          <w:sz w:val="24"/>
          <w:szCs w:val="24"/>
        </w:rPr>
      </w:pPr>
      <w:r w:rsidRPr="00856CE5">
        <w:rPr>
          <w:rFonts w:ascii="Arial" w:hAnsi="Arial" w:cs="Arial"/>
          <w:color w:val="000000"/>
          <w:sz w:val="24"/>
          <w:szCs w:val="24"/>
        </w:rPr>
        <w:t>All red indicators (student group must have at least two indicators);</w:t>
      </w:r>
    </w:p>
    <w:p w14:paraId="7C034520" w14:textId="77777777" w:rsidR="00331F25" w:rsidRPr="00856CE5" w:rsidRDefault="00331F25" w:rsidP="00331F25">
      <w:pPr>
        <w:pStyle w:val="ListParagraph"/>
        <w:numPr>
          <w:ilvl w:val="0"/>
          <w:numId w:val="33"/>
        </w:numPr>
        <w:autoSpaceDE w:val="0"/>
        <w:autoSpaceDN w:val="0"/>
        <w:adjustRightInd w:val="0"/>
        <w:spacing w:after="240" w:line="240" w:lineRule="auto"/>
        <w:rPr>
          <w:rFonts w:ascii="Arial" w:hAnsi="Arial" w:cs="Arial"/>
          <w:color w:val="000000"/>
          <w:sz w:val="24"/>
          <w:szCs w:val="24"/>
        </w:rPr>
      </w:pPr>
      <w:r w:rsidRPr="00856CE5">
        <w:rPr>
          <w:rFonts w:ascii="Arial" w:hAnsi="Arial" w:cs="Arial"/>
          <w:color w:val="000000"/>
          <w:sz w:val="24"/>
          <w:szCs w:val="24"/>
        </w:rPr>
        <w:t>All red but one indicator of any other color;</w:t>
      </w:r>
    </w:p>
    <w:p w14:paraId="247FE24D" w14:textId="77777777" w:rsidR="00331F25" w:rsidRPr="00856CE5" w:rsidRDefault="00331F25" w:rsidP="00331F25">
      <w:pPr>
        <w:pStyle w:val="ListParagraph"/>
        <w:numPr>
          <w:ilvl w:val="0"/>
          <w:numId w:val="33"/>
        </w:numPr>
        <w:autoSpaceDE w:val="0"/>
        <w:autoSpaceDN w:val="0"/>
        <w:adjustRightInd w:val="0"/>
        <w:spacing w:after="240" w:line="240" w:lineRule="auto"/>
        <w:rPr>
          <w:rFonts w:ascii="Arial" w:hAnsi="Arial" w:cs="Arial"/>
          <w:color w:val="000000"/>
          <w:sz w:val="24"/>
          <w:szCs w:val="24"/>
        </w:rPr>
      </w:pPr>
      <w:r w:rsidRPr="00856CE5">
        <w:rPr>
          <w:rFonts w:ascii="Arial" w:hAnsi="Arial" w:cs="Arial"/>
          <w:color w:val="000000"/>
          <w:sz w:val="24"/>
          <w:szCs w:val="24"/>
        </w:rPr>
        <w:t>Five or more indicators where the majority are red; and</w:t>
      </w:r>
    </w:p>
    <w:p w14:paraId="5919593F" w14:textId="77777777" w:rsidR="00331F25" w:rsidRPr="00856CE5" w:rsidRDefault="00331F25" w:rsidP="00331F25">
      <w:pPr>
        <w:pStyle w:val="ListParagraph"/>
        <w:numPr>
          <w:ilvl w:val="0"/>
          <w:numId w:val="33"/>
        </w:numPr>
        <w:autoSpaceDE w:val="0"/>
        <w:autoSpaceDN w:val="0"/>
        <w:adjustRightInd w:val="0"/>
        <w:spacing w:after="240" w:line="240" w:lineRule="auto"/>
        <w:rPr>
          <w:rFonts w:ascii="Arial" w:hAnsi="Arial" w:cs="Arial"/>
          <w:color w:val="000000"/>
          <w:sz w:val="24"/>
          <w:szCs w:val="24"/>
        </w:rPr>
      </w:pPr>
      <w:r w:rsidRPr="00856CE5">
        <w:rPr>
          <w:rFonts w:ascii="Arial" w:hAnsi="Arial" w:cs="Arial"/>
          <w:color w:val="000000"/>
          <w:sz w:val="24"/>
          <w:szCs w:val="24"/>
        </w:rPr>
        <w:t>All red and orange indicators.</w:t>
      </w:r>
    </w:p>
    <w:p w14:paraId="3C81A559" w14:textId="77777777" w:rsidR="00331F25" w:rsidRPr="00856CE5" w:rsidRDefault="00331F25" w:rsidP="00331F25">
      <w:pPr>
        <w:spacing w:after="240"/>
        <w:rPr>
          <w:rFonts w:eastAsiaTheme="minorHAnsi" w:cs="Arial"/>
        </w:rPr>
      </w:pPr>
      <w:r w:rsidRPr="00856CE5">
        <w:rPr>
          <w:rFonts w:eastAsiaTheme="minorHAnsi" w:cs="Arial"/>
        </w:rPr>
        <w:t xml:space="preserve">Please note that a student group may meet the criteria based on a different color combination from one year to the next, but the </w:t>
      </w:r>
      <w:r w:rsidRPr="00856CE5">
        <w:rPr>
          <w:rFonts w:eastAsiaTheme="minorHAnsi" w:cs="Arial"/>
          <w:b/>
        </w:rPr>
        <w:t>same student group must meet one of the color combinations in both years</w:t>
      </w:r>
      <w:r w:rsidRPr="00856CE5">
        <w:rPr>
          <w:rFonts w:eastAsiaTheme="minorHAnsi" w:cs="Arial"/>
        </w:rPr>
        <w:t xml:space="preserve">. </w:t>
      </w:r>
    </w:p>
    <w:p w14:paraId="54B10A8B" w14:textId="77777777" w:rsidR="00331F25" w:rsidRPr="00856CE5" w:rsidRDefault="00331F25" w:rsidP="00E971C6">
      <w:pPr>
        <w:spacing w:after="100" w:afterAutospacing="1"/>
        <w:rPr>
          <w:rFonts w:cs="Arial"/>
        </w:rPr>
      </w:pPr>
      <w:r w:rsidRPr="00856CE5">
        <w:rPr>
          <w:rFonts w:cs="Arial"/>
        </w:rPr>
        <w:t xml:space="preserve">Because there are not three years of data necessary to produce a color for the English Learner Progress Indicator (ELPI) a performance level (or color) cannot be determined for the ELPI state indicator on the 2019 Dashboard. The ELPI state indicator criteria for </w:t>
      </w:r>
      <w:r w:rsidRPr="00856CE5">
        <w:rPr>
          <w:rFonts w:eastAsiaTheme="minorHAnsi" w:cs="Arial"/>
          <w:color w:val="000000"/>
        </w:rPr>
        <w:t>Additional Targeted Support and Improvement</w:t>
      </w:r>
      <w:r w:rsidRPr="00856CE5">
        <w:rPr>
          <w:rFonts w:cs="Arial"/>
        </w:rPr>
        <w:t xml:space="preserve"> (ATSI) is based on ELPI Status only. An ELPI Status level of ‘Very Low’ is used as a proxy for the color ‘Red’ as meeting the criteria for the ELPI state indicator in 2019–2020 ATSI determinations. ELPI color will be available beginning with the 2020 Dashboard.</w:t>
      </w:r>
    </w:p>
    <w:p w14:paraId="1F282971" w14:textId="77777777" w:rsidR="00331F25" w:rsidRPr="00856CE5" w:rsidRDefault="00331F25" w:rsidP="00331F25">
      <w:pPr>
        <w:spacing w:after="240"/>
        <w:rPr>
          <w:rFonts w:eastAsiaTheme="minorHAnsi" w:cs="Arial"/>
          <w:color w:val="000000"/>
        </w:rPr>
      </w:pPr>
      <w:r w:rsidRPr="00856CE5">
        <w:rPr>
          <w:rFonts w:eastAsiaTheme="minorHAnsi" w:cs="Arial"/>
        </w:rPr>
        <w:t xml:space="preserve">The criteria to determine schools eligible for ATSI are identical to the TSI criteria. Normally, TSI eligibility would be determined annually while ATSI would be determined every three years. However, in order </w:t>
      </w:r>
      <w:r w:rsidRPr="00856CE5">
        <w:rPr>
          <w:rFonts w:eastAsiaTheme="minorHAnsi" w:cs="Arial"/>
          <w:color w:val="000000"/>
        </w:rPr>
        <w:t>to adhere to the State Plan, in 2018–19 all schools that met the criteria for TSI were moved into the ATSI category.</w:t>
      </w:r>
    </w:p>
    <w:p w14:paraId="62CAA439" w14:textId="77777777" w:rsidR="00331F25" w:rsidRPr="00856CE5" w:rsidRDefault="00331F25" w:rsidP="00331F25">
      <w:pPr>
        <w:autoSpaceDE w:val="0"/>
        <w:autoSpaceDN w:val="0"/>
        <w:adjustRightInd w:val="0"/>
        <w:spacing w:after="240"/>
        <w:rPr>
          <w:rFonts w:cs="Arial"/>
          <w:color w:val="000000"/>
        </w:rPr>
      </w:pPr>
      <w:r w:rsidRPr="00856CE5">
        <w:rPr>
          <w:rFonts w:eastAsiaTheme="minorHAnsi" w:cs="Arial"/>
          <w:color w:val="000000"/>
        </w:rPr>
        <w:t xml:space="preserve">Schools that received Title I funds and schools that did not receive Title I funds are both eligible for TSI and ATSI. </w:t>
      </w:r>
      <w:r w:rsidRPr="00856CE5">
        <w:rPr>
          <w:rFonts w:cs="Arial"/>
        </w:rPr>
        <w:t xml:space="preserve">Schools initially eligible for ATSI in the 2018–19 year will be reevaluated in the 2019–2020 year to determine continued eligibility or exit. A school is no longer eligible for support based on the ATSI criteria when the qualifying student group(s) within the school: 1) have improved performance so that they no longer meet any of the initial eligibility color combination criteria; and 2) have at least one state indicator </w:t>
      </w:r>
      <w:r w:rsidRPr="00856CE5">
        <w:rPr>
          <w:rFonts w:cs="Arial"/>
          <w:color w:val="000000"/>
        </w:rPr>
        <w:t>that had a red or orange in the prior year showed both an improvement in color and an improvement in status of at least one decimal point in the current year.</w:t>
      </w:r>
    </w:p>
    <w:p w14:paraId="130B0630" w14:textId="7F2D5032" w:rsidR="00331F25" w:rsidRPr="00856CE5" w:rsidRDefault="00331F25" w:rsidP="00331F25">
      <w:pPr>
        <w:autoSpaceDE w:val="0"/>
        <w:autoSpaceDN w:val="0"/>
        <w:adjustRightInd w:val="0"/>
        <w:spacing w:after="240"/>
        <w:rPr>
          <w:rFonts w:cs="Arial"/>
        </w:rPr>
      </w:pPr>
      <w:r w:rsidRPr="00856CE5">
        <w:rPr>
          <w:rFonts w:cs="Arial"/>
          <w:color w:val="000000"/>
        </w:rPr>
        <w:lastRenderedPageBreak/>
        <w:t xml:space="preserve">Additionally, schools initially eligible for ATSI in the </w:t>
      </w:r>
      <w:r w:rsidRPr="00856CE5">
        <w:rPr>
          <w:rFonts w:cs="Arial"/>
        </w:rPr>
        <w:t xml:space="preserve">2018–19 year with no student groups in the current year meeting the n-size requirements will exit ATSI. </w:t>
      </w:r>
    </w:p>
    <w:p w14:paraId="28F90CFF" w14:textId="36979AB5" w:rsidR="00331F25" w:rsidRPr="00856CE5" w:rsidRDefault="00331F25" w:rsidP="00331F25">
      <w:pPr>
        <w:autoSpaceDE w:val="0"/>
        <w:autoSpaceDN w:val="0"/>
        <w:adjustRightInd w:val="0"/>
        <w:spacing w:after="240"/>
        <w:rPr>
          <w:rFonts w:cs="Arial"/>
        </w:rPr>
      </w:pPr>
      <w:r w:rsidRPr="00856CE5">
        <w:rPr>
          <w:rFonts w:cs="Arial"/>
          <w:b/>
        </w:rPr>
        <w:t>A total of 1,043 schools were eligible for ATSI for the 2019–2020 school year.</w:t>
      </w:r>
      <w:r w:rsidRPr="00856CE5">
        <w:rPr>
          <w:rFonts w:cs="Arial"/>
        </w:rPr>
        <w:t xml:space="preserve"> Two student groups that most prevalently met the ATSI criteria were students with disabilities (598 schools) and African American students (255 schools). </w:t>
      </w:r>
    </w:p>
    <w:p w14:paraId="757456E5" w14:textId="77777777" w:rsidR="00331F25" w:rsidRPr="00856CE5" w:rsidRDefault="00331F25" w:rsidP="00331F25">
      <w:pPr>
        <w:spacing w:after="240"/>
        <w:rPr>
          <w:rFonts w:cs="Arial"/>
        </w:rPr>
      </w:pPr>
      <w:r w:rsidRPr="00856CE5">
        <w:rPr>
          <w:rFonts w:cs="Arial"/>
        </w:rPr>
        <w:t>Table 1 provides a breakdown of ATSI-eligible schools, showing how many schools met the criteria based on:</w:t>
      </w:r>
    </w:p>
    <w:p w14:paraId="0B367B3E" w14:textId="77777777" w:rsidR="00331F25" w:rsidRPr="00856CE5" w:rsidRDefault="00331F25" w:rsidP="00331F25">
      <w:pPr>
        <w:pStyle w:val="ListParagraph"/>
        <w:numPr>
          <w:ilvl w:val="0"/>
          <w:numId w:val="34"/>
        </w:numPr>
        <w:spacing w:after="240" w:line="240" w:lineRule="auto"/>
        <w:ind w:left="778"/>
        <w:rPr>
          <w:rFonts w:ascii="Arial" w:hAnsi="Arial" w:cs="Arial"/>
          <w:sz w:val="24"/>
          <w:szCs w:val="24"/>
        </w:rPr>
      </w:pPr>
      <w:r w:rsidRPr="00856CE5">
        <w:rPr>
          <w:rFonts w:ascii="Arial" w:hAnsi="Arial" w:cs="Arial"/>
          <w:sz w:val="24"/>
          <w:szCs w:val="24"/>
        </w:rPr>
        <w:t xml:space="preserve">One student group; </w:t>
      </w:r>
    </w:p>
    <w:p w14:paraId="4422AA4D" w14:textId="77777777" w:rsidR="00331F25" w:rsidRPr="00856CE5" w:rsidRDefault="00331F25" w:rsidP="00331F25">
      <w:pPr>
        <w:pStyle w:val="ListParagraph"/>
        <w:numPr>
          <w:ilvl w:val="0"/>
          <w:numId w:val="34"/>
        </w:numPr>
        <w:spacing w:after="240" w:line="240" w:lineRule="auto"/>
        <w:ind w:left="778"/>
        <w:rPr>
          <w:rFonts w:ascii="Arial" w:hAnsi="Arial" w:cs="Arial"/>
          <w:sz w:val="24"/>
          <w:szCs w:val="24"/>
        </w:rPr>
      </w:pPr>
      <w:r w:rsidRPr="00856CE5">
        <w:rPr>
          <w:rFonts w:ascii="Arial" w:hAnsi="Arial" w:cs="Arial"/>
          <w:sz w:val="24"/>
          <w:szCs w:val="24"/>
        </w:rPr>
        <w:t xml:space="preserve">Two student groups; </w:t>
      </w:r>
    </w:p>
    <w:p w14:paraId="00EC2F55" w14:textId="77777777" w:rsidR="00331F25" w:rsidRPr="00856CE5" w:rsidRDefault="00331F25" w:rsidP="00331F25">
      <w:pPr>
        <w:pStyle w:val="ListParagraph"/>
        <w:numPr>
          <w:ilvl w:val="0"/>
          <w:numId w:val="34"/>
        </w:numPr>
        <w:spacing w:after="240" w:line="240" w:lineRule="auto"/>
        <w:ind w:left="778"/>
        <w:rPr>
          <w:rFonts w:ascii="Arial" w:hAnsi="Arial" w:cs="Arial"/>
          <w:sz w:val="24"/>
          <w:szCs w:val="24"/>
        </w:rPr>
      </w:pPr>
      <w:r w:rsidRPr="00856CE5">
        <w:rPr>
          <w:rFonts w:ascii="Arial" w:hAnsi="Arial" w:cs="Arial"/>
          <w:sz w:val="24"/>
          <w:szCs w:val="24"/>
        </w:rPr>
        <w:t xml:space="preserve">Three student groups; and </w:t>
      </w:r>
    </w:p>
    <w:p w14:paraId="7FE07DCE" w14:textId="77777777" w:rsidR="00331F25" w:rsidRPr="00856CE5" w:rsidRDefault="00331F25" w:rsidP="00331F25">
      <w:pPr>
        <w:pStyle w:val="ListParagraph"/>
        <w:numPr>
          <w:ilvl w:val="0"/>
          <w:numId w:val="34"/>
        </w:numPr>
        <w:spacing w:after="240" w:line="240" w:lineRule="auto"/>
        <w:ind w:left="778"/>
        <w:contextualSpacing w:val="0"/>
        <w:rPr>
          <w:rFonts w:ascii="Arial" w:hAnsi="Arial" w:cs="Arial"/>
          <w:sz w:val="24"/>
          <w:szCs w:val="24"/>
        </w:rPr>
      </w:pPr>
      <w:r w:rsidRPr="00856CE5">
        <w:rPr>
          <w:rFonts w:ascii="Arial" w:hAnsi="Arial" w:cs="Arial"/>
          <w:sz w:val="24"/>
          <w:szCs w:val="24"/>
        </w:rPr>
        <w:t>Four student groups.</w:t>
      </w:r>
    </w:p>
    <w:p w14:paraId="6247554D" w14:textId="77777777" w:rsidR="00331F25" w:rsidRPr="00856CE5" w:rsidRDefault="00331F25" w:rsidP="00331F25">
      <w:pPr>
        <w:spacing w:after="240"/>
        <w:rPr>
          <w:rFonts w:cs="Arial"/>
          <w:b/>
        </w:rPr>
      </w:pPr>
      <w:r w:rsidRPr="00856CE5">
        <w:rPr>
          <w:rFonts w:cs="Arial"/>
          <w:b/>
        </w:rPr>
        <w:t>Table 1: Schools Eligible for ATSI Based on the Number of Student Groups Meeting the Criteria</w:t>
      </w:r>
    </w:p>
    <w:tbl>
      <w:tblPr>
        <w:tblStyle w:val="TableGrid"/>
        <w:tblW w:w="3078" w:type="pct"/>
        <w:tblLook w:val="04A0" w:firstRow="1" w:lastRow="0" w:firstColumn="1" w:lastColumn="0" w:noHBand="0" w:noVBand="1"/>
        <w:tblDescription w:val="Table 1: Schools Eligible for ATSI Based on the Number of Student Groups Meeting the Criteria"/>
      </w:tblPr>
      <w:tblGrid>
        <w:gridCol w:w="3325"/>
        <w:gridCol w:w="2431"/>
      </w:tblGrid>
      <w:tr w:rsidR="00331F25" w:rsidRPr="00856CE5" w14:paraId="68369AD8" w14:textId="77777777" w:rsidTr="00E971C6">
        <w:trPr>
          <w:cantSplit/>
          <w:tblHeader/>
        </w:trPr>
        <w:tc>
          <w:tcPr>
            <w:tcW w:w="2888" w:type="pct"/>
            <w:shd w:val="clear" w:color="auto" w:fill="D9D9D9" w:themeFill="background1" w:themeFillShade="D9"/>
            <w:vAlign w:val="center"/>
          </w:tcPr>
          <w:p w14:paraId="65A04DF3" w14:textId="77777777" w:rsidR="00331F25" w:rsidRPr="00856CE5" w:rsidRDefault="00331F25" w:rsidP="008378B0">
            <w:pPr>
              <w:jc w:val="center"/>
              <w:rPr>
                <w:rFonts w:cs="Arial"/>
                <w:b/>
              </w:rPr>
            </w:pPr>
            <w:r w:rsidRPr="00856CE5">
              <w:rPr>
                <w:rFonts w:cs="Arial"/>
                <w:b/>
              </w:rPr>
              <w:t>Number of Student Groups</w:t>
            </w:r>
          </w:p>
        </w:tc>
        <w:tc>
          <w:tcPr>
            <w:tcW w:w="2112" w:type="pct"/>
            <w:shd w:val="clear" w:color="auto" w:fill="D9D9D9" w:themeFill="background1" w:themeFillShade="D9"/>
            <w:vAlign w:val="center"/>
          </w:tcPr>
          <w:p w14:paraId="51DB6175" w14:textId="77777777" w:rsidR="00331F25" w:rsidRPr="00856CE5" w:rsidRDefault="00331F25" w:rsidP="008378B0">
            <w:pPr>
              <w:jc w:val="center"/>
              <w:rPr>
                <w:rFonts w:cs="Arial"/>
                <w:b/>
              </w:rPr>
            </w:pPr>
            <w:r w:rsidRPr="00856CE5">
              <w:rPr>
                <w:rFonts w:cs="Arial"/>
                <w:b/>
              </w:rPr>
              <w:t>Number of Schools</w:t>
            </w:r>
          </w:p>
        </w:tc>
      </w:tr>
      <w:tr w:rsidR="00331F25" w:rsidRPr="00856CE5" w14:paraId="3B604C27" w14:textId="77777777" w:rsidTr="00E971C6">
        <w:trPr>
          <w:cantSplit/>
        </w:trPr>
        <w:tc>
          <w:tcPr>
            <w:tcW w:w="2888" w:type="pct"/>
            <w:vAlign w:val="center"/>
          </w:tcPr>
          <w:p w14:paraId="11DF4C67" w14:textId="77777777" w:rsidR="00331F25" w:rsidRPr="00856CE5" w:rsidRDefault="00331F25" w:rsidP="008378B0">
            <w:pPr>
              <w:jc w:val="center"/>
              <w:rPr>
                <w:rFonts w:cs="Arial"/>
              </w:rPr>
            </w:pPr>
            <w:r w:rsidRPr="00856CE5">
              <w:rPr>
                <w:rFonts w:cs="Arial"/>
              </w:rPr>
              <w:t>1</w:t>
            </w:r>
          </w:p>
        </w:tc>
        <w:tc>
          <w:tcPr>
            <w:tcW w:w="2112" w:type="pct"/>
            <w:vAlign w:val="center"/>
          </w:tcPr>
          <w:p w14:paraId="3E82CF87" w14:textId="033A478F" w:rsidR="00331F25" w:rsidRPr="00856CE5" w:rsidRDefault="00331F25" w:rsidP="008378B0">
            <w:pPr>
              <w:jc w:val="center"/>
              <w:rPr>
                <w:rFonts w:cs="Arial"/>
              </w:rPr>
            </w:pPr>
            <w:r w:rsidRPr="00856CE5">
              <w:rPr>
                <w:rFonts w:cs="Arial"/>
              </w:rPr>
              <w:t>801</w:t>
            </w:r>
          </w:p>
        </w:tc>
      </w:tr>
      <w:tr w:rsidR="00331F25" w:rsidRPr="00856CE5" w14:paraId="4A7B0EB9" w14:textId="77777777" w:rsidTr="00E971C6">
        <w:trPr>
          <w:cantSplit/>
        </w:trPr>
        <w:tc>
          <w:tcPr>
            <w:tcW w:w="2888" w:type="pct"/>
            <w:vAlign w:val="center"/>
          </w:tcPr>
          <w:p w14:paraId="78565366" w14:textId="77777777" w:rsidR="00331F25" w:rsidRPr="00856CE5" w:rsidRDefault="00331F25" w:rsidP="008378B0">
            <w:pPr>
              <w:jc w:val="center"/>
              <w:rPr>
                <w:rFonts w:cs="Arial"/>
              </w:rPr>
            </w:pPr>
            <w:r w:rsidRPr="00856CE5">
              <w:rPr>
                <w:rFonts w:cs="Arial"/>
              </w:rPr>
              <w:t>2</w:t>
            </w:r>
          </w:p>
        </w:tc>
        <w:tc>
          <w:tcPr>
            <w:tcW w:w="2112" w:type="pct"/>
            <w:vAlign w:val="center"/>
          </w:tcPr>
          <w:p w14:paraId="22CA6B17" w14:textId="6DD7ECB9" w:rsidR="00331F25" w:rsidRPr="00856CE5" w:rsidRDefault="00331F25" w:rsidP="008378B0">
            <w:pPr>
              <w:jc w:val="center"/>
              <w:rPr>
                <w:rFonts w:cs="Arial"/>
              </w:rPr>
            </w:pPr>
            <w:r w:rsidRPr="00856CE5">
              <w:rPr>
                <w:rFonts w:cs="Arial"/>
              </w:rPr>
              <w:t>183</w:t>
            </w:r>
          </w:p>
        </w:tc>
      </w:tr>
      <w:tr w:rsidR="00331F25" w:rsidRPr="00856CE5" w14:paraId="1143169B" w14:textId="77777777" w:rsidTr="00E971C6">
        <w:trPr>
          <w:cantSplit/>
        </w:trPr>
        <w:tc>
          <w:tcPr>
            <w:tcW w:w="2888" w:type="pct"/>
            <w:vAlign w:val="center"/>
          </w:tcPr>
          <w:p w14:paraId="6DF09FFA" w14:textId="77777777" w:rsidR="00331F25" w:rsidRPr="00856CE5" w:rsidRDefault="00331F25" w:rsidP="008378B0">
            <w:pPr>
              <w:jc w:val="center"/>
              <w:rPr>
                <w:rFonts w:cs="Arial"/>
              </w:rPr>
            </w:pPr>
            <w:r w:rsidRPr="00856CE5">
              <w:rPr>
                <w:rFonts w:cs="Arial"/>
              </w:rPr>
              <w:t>3</w:t>
            </w:r>
          </w:p>
        </w:tc>
        <w:tc>
          <w:tcPr>
            <w:tcW w:w="2112" w:type="pct"/>
            <w:vAlign w:val="center"/>
          </w:tcPr>
          <w:p w14:paraId="433632AE" w14:textId="0FA162C2" w:rsidR="00331F25" w:rsidRPr="00856CE5" w:rsidRDefault="00331F25" w:rsidP="008378B0">
            <w:pPr>
              <w:jc w:val="center"/>
              <w:rPr>
                <w:rFonts w:cs="Arial"/>
              </w:rPr>
            </w:pPr>
            <w:r w:rsidRPr="00856CE5">
              <w:rPr>
                <w:rFonts w:cs="Arial"/>
              </w:rPr>
              <w:t>52</w:t>
            </w:r>
          </w:p>
        </w:tc>
      </w:tr>
      <w:tr w:rsidR="00331F25" w:rsidRPr="00856CE5" w14:paraId="1E6BF5A4" w14:textId="77777777" w:rsidTr="00E971C6">
        <w:trPr>
          <w:cantSplit/>
        </w:trPr>
        <w:tc>
          <w:tcPr>
            <w:tcW w:w="2888" w:type="pct"/>
            <w:vAlign w:val="center"/>
          </w:tcPr>
          <w:p w14:paraId="55C6E02B" w14:textId="77777777" w:rsidR="00331F25" w:rsidRPr="00856CE5" w:rsidRDefault="00331F25" w:rsidP="008378B0">
            <w:pPr>
              <w:jc w:val="center"/>
              <w:rPr>
                <w:rFonts w:cs="Arial"/>
              </w:rPr>
            </w:pPr>
            <w:r w:rsidRPr="00856CE5">
              <w:rPr>
                <w:rFonts w:cs="Arial"/>
              </w:rPr>
              <w:t>4</w:t>
            </w:r>
          </w:p>
        </w:tc>
        <w:tc>
          <w:tcPr>
            <w:tcW w:w="2112" w:type="pct"/>
            <w:vAlign w:val="center"/>
          </w:tcPr>
          <w:p w14:paraId="4992C3BD" w14:textId="77777777" w:rsidR="00331F25" w:rsidRPr="00856CE5" w:rsidRDefault="00331F25" w:rsidP="008378B0">
            <w:pPr>
              <w:jc w:val="center"/>
              <w:rPr>
                <w:rFonts w:cs="Arial"/>
              </w:rPr>
            </w:pPr>
            <w:r w:rsidRPr="00856CE5">
              <w:rPr>
                <w:rFonts w:cs="Arial"/>
              </w:rPr>
              <w:t>7</w:t>
            </w:r>
          </w:p>
        </w:tc>
      </w:tr>
    </w:tbl>
    <w:p w14:paraId="2EBB4F19" w14:textId="77777777" w:rsidR="00331F25" w:rsidRPr="00856CE5" w:rsidRDefault="00331F25" w:rsidP="00331F25">
      <w:pPr>
        <w:spacing w:before="240" w:after="240"/>
        <w:rPr>
          <w:rFonts w:cs="Arial"/>
          <w:color w:val="C00000"/>
        </w:rPr>
      </w:pPr>
      <w:r w:rsidRPr="00856CE5">
        <w:rPr>
          <w:rFonts w:cs="Arial"/>
        </w:rPr>
        <w:t>Tables 2 and 3 provide a breakdown of ATSI-eligible schools by Dashboard Alternative School Status (DASS) and charter status.</w:t>
      </w:r>
    </w:p>
    <w:p w14:paraId="62D64699" w14:textId="77777777" w:rsidR="00331F25" w:rsidRPr="00856CE5" w:rsidRDefault="00331F25" w:rsidP="00331F25">
      <w:pPr>
        <w:spacing w:after="240"/>
        <w:rPr>
          <w:rFonts w:cs="Arial"/>
          <w:color w:val="000000" w:themeColor="text1"/>
        </w:rPr>
      </w:pPr>
      <w:r w:rsidRPr="00856CE5">
        <w:rPr>
          <w:rFonts w:cs="Arial"/>
          <w:b/>
        </w:rPr>
        <w:t>Table 2: Schools Eligible for ATSI: Breakdown by DASS and Non-DASS Schools</w:t>
      </w:r>
    </w:p>
    <w:tbl>
      <w:tblPr>
        <w:tblStyle w:val="TableGrid"/>
        <w:tblW w:w="3751" w:type="pct"/>
        <w:tblLook w:val="04A0" w:firstRow="1" w:lastRow="0" w:firstColumn="1" w:lastColumn="0" w:noHBand="0" w:noVBand="1"/>
        <w:tblDescription w:val="Schools Eligible for ATSI: Breakdown by DASS and Non-DASS Schools"/>
      </w:tblPr>
      <w:tblGrid>
        <w:gridCol w:w="3235"/>
        <w:gridCol w:w="3779"/>
      </w:tblGrid>
      <w:tr w:rsidR="00331F25" w:rsidRPr="00856CE5" w14:paraId="6906D8D0" w14:textId="77777777" w:rsidTr="00E971C6">
        <w:trPr>
          <w:cantSplit/>
          <w:tblHeader/>
        </w:trPr>
        <w:tc>
          <w:tcPr>
            <w:tcW w:w="2306" w:type="pct"/>
            <w:shd w:val="clear" w:color="auto" w:fill="D9D9D9" w:themeFill="background1" w:themeFillShade="D9"/>
            <w:vAlign w:val="center"/>
          </w:tcPr>
          <w:p w14:paraId="515F5796" w14:textId="77777777" w:rsidR="00331F25" w:rsidRPr="00856CE5" w:rsidRDefault="00331F25" w:rsidP="008378B0">
            <w:pPr>
              <w:jc w:val="center"/>
              <w:rPr>
                <w:rFonts w:cs="Arial"/>
                <w:b/>
                <w:color w:val="000000" w:themeColor="text1"/>
              </w:rPr>
            </w:pPr>
            <w:r w:rsidRPr="00856CE5">
              <w:rPr>
                <w:rFonts w:cs="Arial"/>
                <w:b/>
                <w:color w:val="000000" w:themeColor="text1"/>
              </w:rPr>
              <w:t>Number of DASS Schools</w:t>
            </w:r>
          </w:p>
        </w:tc>
        <w:tc>
          <w:tcPr>
            <w:tcW w:w="2694" w:type="pct"/>
            <w:shd w:val="clear" w:color="auto" w:fill="D9D9D9" w:themeFill="background1" w:themeFillShade="D9"/>
            <w:vAlign w:val="center"/>
          </w:tcPr>
          <w:p w14:paraId="51B006EF" w14:textId="77777777" w:rsidR="00331F25" w:rsidRPr="00856CE5" w:rsidRDefault="00331F25" w:rsidP="008378B0">
            <w:pPr>
              <w:jc w:val="center"/>
              <w:rPr>
                <w:rFonts w:cs="Arial"/>
                <w:b/>
                <w:color w:val="000000" w:themeColor="text1"/>
              </w:rPr>
            </w:pPr>
            <w:r w:rsidRPr="00856CE5">
              <w:rPr>
                <w:rFonts w:cs="Arial"/>
                <w:b/>
                <w:color w:val="000000" w:themeColor="text1"/>
              </w:rPr>
              <w:t>Number of Non-DASS Schools</w:t>
            </w:r>
          </w:p>
        </w:tc>
      </w:tr>
      <w:tr w:rsidR="00331F25" w:rsidRPr="00856CE5" w14:paraId="4F4AE753" w14:textId="77777777" w:rsidTr="00E971C6">
        <w:trPr>
          <w:cantSplit/>
        </w:trPr>
        <w:tc>
          <w:tcPr>
            <w:tcW w:w="2306" w:type="pct"/>
            <w:vAlign w:val="center"/>
          </w:tcPr>
          <w:p w14:paraId="46B8832C" w14:textId="7116F27C" w:rsidR="00331F25" w:rsidRPr="00856CE5" w:rsidRDefault="00331F25" w:rsidP="008378B0">
            <w:pPr>
              <w:jc w:val="center"/>
              <w:rPr>
                <w:rFonts w:cs="Arial"/>
                <w:color w:val="000000" w:themeColor="text1"/>
              </w:rPr>
            </w:pPr>
            <w:r w:rsidRPr="00856CE5">
              <w:rPr>
                <w:rFonts w:cs="Arial"/>
                <w:color w:val="000000" w:themeColor="text1"/>
              </w:rPr>
              <w:t>42</w:t>
            </w:r>
          </w:p>
        </w:tc>
        <w:tc>
          <w:tcPr>
            <w:tcW w:w="2694" w:type="pct"/>
            <w:vAlign w:val="center"/>
          </w:tcPr>
          <w:p w14:paraId="2F8D0022" w14:textId="18616BFF" w:rsidR="00331F25" w:rsidRPr="00856CE5" w:rsidRDefault="00331F25" w:rsidP="008378B0">
            <w:pPr>
              <w:jc w:val="center"/>
              <w:rPr>
                <w:rFonts w:cs="Arial"/>
                <w:color w:val="000000" w:themeColor="text1"/>
              </w:rPr>
            </w:pPr>
            <w:r w:rsidRPr="00856CE5">
              <w:rPr>
                <w:rFonts w:cs="Arial"/>
                <w:color w:val="000000" w:themeColor="text1"/>
              </w:rPr>
              <w:t>1,001</w:t>
            </w:r>
          </w:p>
        </w:tc>
      </w:tr>
    </w:tbl>
    <w:p w14:paraId="0799463B" w14:textId="77777777" w:rsidR="00331F25" w:rsidRPr="00856CE5" w:rsidRDefault="00331F25" w:rsidP="00331F25">
      <w:pPr>
        <w:spacing w:before="240" w:after="240"/>
        <w:rPr>
          <w:rFonts w:cs="Arial"/>
          <w:color w:val="000000" w:themeColor="text1"/>
        </w:rPr>
      </w:pPr>
      <w:r w:rsidRPr="00856CE5">
        <w:rPr>
          <w:rFonts w:cs="Arial"/>
          <w:b/>
        </w:rPr>
        <w:t>Table 3: Schools Eligible for ATSI: Breakdown by Charter and Non-Charter Schools</w:t>
      </w:r>
    </w:p>
    <w:tbl>
      <w:tblPr>
        <w:tblStyle w:val="TableGrid"/>
        <w:tblW w:w="3992" w:type="pct"/>
        <w:tblLook w:val="04A0" w:firstRow="1" w:lastRow="0" w:firstColumn="1" w:lastColumn="0" w:noHBand="0" w:noVBand="1"/>
        <w:tblDescription w:val="Schools Eligible for ATSI: Breakdown by Charter and Non-Charter Schools"/>
      </w:tblPr>
      <w:tblGrid>
        <w:gridCol w:w="3416"/>
        <w:gridCol w:w="4049"/>
      </w:tblGrid>
      <w:tr w:rsidR="00331F25" w:rsidRPr="00856CE5" w14:paraId="397BC333" w14:textId="77777777" w:rsidTr="00BA3FDA">
        <w:trPr>
          <w:cantSplit/>
          <w:tblHeader/>
        </w:trPr>
        <w:tc>
          <w:tcPr>
            <w:tcW w:w="2288" w:type="pct"/>
            <w:shd w:val="clear" w:color="auto" w:fill="D9D9D9" w:themeFill="background1" w:themeFillShade="D9"/>
            <w:vAlign w:val="center"/>
          </w:tcPr>
          <w:p w14:paraId="1E27E834" w14:textId="77777777" w:rsidR="00331F25" w:rsidRPr="00856CE5" w:rsidRDefault="00331F25" w:rsidP="008378B0">
            <w:pPr>
              <w:jc w:val="center"/>
              <w:rPr>
                <w:rFonts w:cs="Arial"/>
                <w:b/>
                <w:color w:val="000000" w:themeColor="text1"/>
              </w:rPr>
            </w:pPr>
            <w:r w:rsidRPr="00856CE5">
              <w:rPr>
                <w:rFonts w:cs="Arial"/>
                <w:b/>
                <w:color w:val="000000" w:themeColor="text1"/>
              </w:rPr>
              <w:t>Number of Charter Schools</w:t>
            </w:r>
          </w:p>
        </w:tc>
        <w:tc>
          <w:tcPr>
            <w:tcW w:w="2712" w:type="pct"/>
            <w:shd w:val="clear" w:color="auto" w:fill="D9D9D9" w:themeFill="background1" w:themeFillShade="D9"/>
            <w:vAlign w:val="center"/>
          </w:tcPr>
          <w:p w14:paraId="7C03D127" w14:textId="77777777" w:rsidR="00331F25" w:rsidRPr="00856CE5" w:rsidRDefault="00331F25" w:rsidP="008378B0">
            <w:pPr>
              <w:jc w:val="center"/>
              <w:rPr>
                <w:rFonts w:cs="Arial"/>
                <w:b/>
                <w:color w:val="000000" w:themeColor="text1"/>
              </w:rPr>
            </w:pPr>
            <w:r w:rsidRPr="00856CE5">
              <w:rPr>
                <w:rFonts w:cs="Arial"/>
                <w:b/>
                <w:color w:val="000000" w:themeColor="text1"/>
              </w:rPr>
              <w:t>Number of Non-Charter Schools</w:t>
            </w:r>
          </w:p>
        </w:tc>
      </w:tr>
      <w:tr w:rsidR="00331F25" w:rsidRPr="00F27E8D" w14:paraId="45FF0C5B" w14:textId="77777777" w:rsidTr="00BA3FDA">
        <w:trPr>
          <w:cantSplit/>
        </w:trPr>
        <w:tc>
          <w:tcPr>
            <w:tcW w:w="2288" w:type="pct"/>
            <w:vAlign w:val="center"/>
          </w:tcPr>
          <w:p w14:paraId="5BFC4315" w14:textId="6C78CD4E" w:rsidR="00331F25" w:rsidRPr="00856CE5" w:rsidRDefault="00331F25" w:rsidP="008378B0">
            <w:pPr>
              <w:jc w:val="center"/>
              <w:rPr>
                <w:rFonts w:cs="Arial"/>
                <w:color w:val="000000" w:themeColor="text1"/>
              </w:rPr>
            </w:pPr>
            <w:r w:rsidRPr="00856CE5">
              <w:rPr>
                <w:rFonts w:cs="Arial"/>
                <w:color w:val="000000" w:themeColor="text1"/>
              </w:rPr>
              <w:t>54</w:t>
            </w:r>
          </w:p>
        </w:tc>
        <w:tc>
          <w:tcPr>
            <w:tcW w:w="2712" w:type="pct"/>
            <w:vAlign w:val="center"/>
          </w:tcPr>
          <w:p w14:paraId="77A6685F" w14:textId="716927F6" w:rsidR="00331F25" w:rsidRPr="00EB54E5" w:rsidRDefault="00331F25" w:rsidP="008378B0">
            <w:pPr>
              <w:jc w:val="center"/>
              <w:rPr>
                <w:rFonts w:cs="Arial"/>
                <w:color w:val="000000" w:themeColor="text1"/>
              </w:rPr>
            </w:pPr>
            <w:r w:rsidRPr="00856CE5">
              <w:rPr>
                <w:rFonts w:cs="Arial"/>
                <w:color w:val="000000" w:themeColor="text1"/>
              </w:rPr>
              <w:t>989</w:t>
            </w:r>
          </w:p>
        </w:tc>
      </w:tr>
    </w:tbl>
    <w:p w14:paraId="13BE775D" w14:textId="77777777" w:rsidR="005255C2" w:rsidRPr="00F27E8D" w:rsidRDefault="005255C2" w:rsidP="00331F25">
      <w:pPr>
        <w:pStyle w:val="Heading1"/>
        <w:spacing w:before="0" w:after="240"/>
        <w:rPr>
          <w:rFonts w:eastAsiaTheme="minorHAnsi" w:cs="Arial"/>
          <w:color w:val="000000"/>
        </w:rPr>
      </w:pPr>
    </w:p>
    <w:sectPr w:rsidR="005255C2" w:rsidRPr="00F27E8D" w:rsidSect="00710D62">
      <w:headerReference w:type="default" r:id="rId21"/>
      <w:headerReference w:type="first" r:id="rId2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8AE49" w14:textId="77777777" w:rsidR="007400CC" w:rsidRDefault="007400CC" w:rsidP="007C0AA4">
      <w:r>
        <w:separator/>
      </w:r>
    </w:p>
  </w:endnote>
  <w:endnote w:type="continuationSeparator" w:id="0">
    <w:p w14:paraId="70512F44" w14:textId="77777777" w:rsidR="007400CC" w:rsidRDefault="007400CC"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472FB" w14:textId="77777777" w:rsidR="007400CC" w:rsidRDefault="007400CC" w:rsidP="007C0AA4">
      <w:r>
        <w:separator/>
      </w:r>
    </w:p>
  </w:footnote>
  <w:footnote w:type="continuationSeparator" w:id="0">
    <w:p w14:paraId="55C7092A" w14:textId="77777777" w:rsidR="007400CC" w:rsidRDefault="007400CC"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7762" w14:textId="77777777" w:rsidR="005D195E" w:rsidRDefault="005D195E" w:rsidP="00B664B2">
    <w:pPr>
      <w:tabs>
        <w:tab w:val="center" w:pos="4680"/>
        <w:tab w:val="right" w:pos="9360"/>
      </w:tabs>
      <w:jc w:val="right"/>
    </w:pPr>
    <w:r>
      <w:t>memo</w:t>
    </w:r>
    <w:r w:rsidRPr="00BC505C">
      <w:t>-pptb</w:t>
    </w:r>
    <w:r>
      <w:t>-amard</w:t>
    </w:r>
    <w:r w:rsidRPr="00BC505C">
      <w:t>-</w:t>
    </w:r>
    <w:r>
      <w:t>feb19</w:t>
    </w:r>
    <w:r w:rsidRPr="00BC505C">
      <w:t>item0</w:t>
    </w:r>
    <w:r>
      <w:t>1</w:t>
    </w:r>
  </w:p>
  <w:p w14:paraId="13BE7763" w14:textId="77777777" w:rsidR="005D195E" w:rsidRDefault="005D195E" w:rsidP="005B7828">
    <w:pPr>
      <w:tabs>
        <w:tab w:val="center" w:pos="4680"/>
        <w:tab w:val="right" w:pos="9360"/>
      </w:tabs>
      <w:spacing w:after="360"/>
      <w:jc w:val="right"/>
      <w:rPr>
        <w:rFonts w:cs="Arial"/>
      </w:rPr>
    </w:pPr>
    <w:r w:rsidRPr="003E06F5">
      <w:rPr>
        <w:rFonts w:cs="Arial"/>
      </w:rPr>
      <w:t xml:space="preserve">Page </w:t>
    </w:r>
    <w:r w:rsidR="000475CA" w:rsidRPr="003E06F5">
      <w:rPr>
        <w:rFonts w:cs="Arial"/>
      </w:rPr>
      <w:fldChar w:fldCharType="begin"/>
    </w:r>
    <w:r w:rsidRPr="003E06F5">
      <w:rPr>
        <w:rFonts w:cs="Arial"/>
      </w:rPr>
      <w:instrText xml:space="preserve"> PAGE   \* MERGEFORMAT </w:instrText>
    </w:r>
    <w:r w:rsidR="000475CA" w:rsidRPr="003E06F5">
      <w:rPr>
        <w:rFonts w:cs="Arial"/>
      </w:rPr>
      <w:fldChar w:fldCharType="separate"/>
    </w:r>
    <w:r>
      <w:rPr>
        <w:rFonts w:cs="Arial"/>
        <w:noProof/>
      </w:rPr>
      <w:t>4</w:t>
    </w:r>
    <w:r w:rsidR="000475CA" w:rsidRPr="003E06F5">
      <w:rPr>
        <w:rFonts w:cs="Arial"/>
        <w:noProof/>
      </w:rPr>
      <w:fldChar w:fldCharType="end"/>
    </w:r>
    <w:r w:rsidRPr="003E06F5">
      <w:rPr>
        <w:rFonts w:cs="Arial"/>
      </w:rPr>
      <w:t xml:space="preserve"> of </w:t>
    </w:r>
    <w:r>
      <w:rPr>
        <w:rFonts w:cs="Arial"/>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64D0" w14:textId="02919C12" w:rsidR="003200B3" w:rsidRDefault="00E34F5B" w:rsidP="00A80E08">
    <w:pPr>
      <w:pStyle w:val="Header"/>
      <w:jc w:val="right"/>
      <w:rPr>
        <w:rFonts w:ascii="Arial" w:hAnsi="Arial" w:cs="Arial"/>
        <w:sz w:val="24"/>
        <w:szCs w:val="24"/>
      </w:rPr>
    </w:pPr>
    <w:r>
      <w:rPr>
        <w:rFonts w:ascii="Arial" w:hAnsi="Arial" w:cs="Arial"/>
        <w:sz w:val="24"/>
        <w:szCs w:val="24"/>
      </w:rPr>
      <w:t>memo-</w:t>
    </w:r>
    <w:r w:rsidR="00B57297">
      <w:rPr>
        <w:rFonts w:ascii="Arial" w:hAnsi="Arial" w:cs="Arial"/>
        <w:sz w:val="24"/>
        <w:szCs w:val="24"/>
      </w:rPr>
      <w:t>imb</w:t>
    </w:r>
    <w:r w:rsidR="005D195E" w:rsidRPr="00BB5923">
      <w:rPr>
        <w:rFonts w:ascii="Arial" w:hAnsi="Arial" w:cs="Arial"/>
        <w:sz w:val="24"/>
        <w:szCs w:val="24"/>
      </w:rPr>
      <w:t>-amard-</w:t>
    </w:r>
    <w:r w:rsidR="00DF3794">
      <w:rPr>
        <w:rFonts w:ascii="Arial" w:hAnsi="Arial" w:cs="Arial"/>
        <w:sz w:val="24"/>
        <w:szCs w:val="24"/>
      </w:rPr>
      <w:t>april</w:t>
    </w:r>
    <w:r w:rsidR="0087117E">
      <w:rPr>
        <w:rFonts w:ascii="Arial" w:hAnsi="Arial" w:cs="Arial"/>
        <w:sz w:val="24"/>
        <w:szCs w:val="24"/>
      </w:rPr>
      <w:t>20</w:t>
    </w:r>
    <w:r w:rsidR="005D195E" w:rsidRPr="00BB5923">
      <w:rPr>
        <w:rFonts w:ascii="Arial" w:hAnsi="Arial" w:cs="Arial"/>
        <w:sz w:val="24"/>
        <w:szCs w:val="24"/>
      </w:rPr>
      <w:t>item0</w:t>
    </w:r>
    <w:r w:rsidR="00DF3794">
      <w:rPr>
        <w:rFonts w:ascii="Arial" w:hAnsi="Arial" w:cs="Arial"/>
        <w:sz w:val="24"/>
        <w:szCs w:val="24"/>
      </w:rPr>
      <w:t>2</w:t>
    </w:r>
  </w:p>
  <w:p w14:paraId="13BE7765" w14:textId="372ACFA9" w:rsidR="005D195E" w:rsidRPr="00BB5923" w:rsidRDefault="005D195E" w:rsidP="0071775B">
    <w:pPr>
      <w:pStyle w:val="Header"/>
      <w:spacing w:after="480"/>
      <w:jc w:val="right"/>
      <w:rPr>
        <w:rFonts w:ascii="Arial" w:hAnsi="Arial" w:cs="Arial"/>
        <w:sz w:val="24"/>
        <w:szCs w:val="24"/>
      </w:rPr>
    </w:pPr>
    <w:r w:rsidRPr="00BB5923">
      <w:rPr>
        <w:rFonts w:ascii="Arial" w:hAnsi="Arial" w:cs="Arial"/>
        <w:sz w:val="24"/>
        <w:szCs w:val="24"/>
      </w:rPr>
      <w:t xml:space="preserve">Page </w:t>
    </w:r>
    <w:r w:rsidR="000475CA"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000475CA" w:rsidRPr="00BB5923">
      <w:rPr>
        <w:rFonts w:ascii="Arial" w:hAnsi="Arial" w:cs="Arial"/>
        <w:sz w:val="24"/>
        <w:szCs w:val="24"/>
      </w:rPr>
      <w:fldChar w:fldCharType="separate"/>
    </w:r>
    <w:r w:rsidR="00856CE5">
      <w:rPr>
        <w:rFonts w:ascii="Arial" w:hAnsi="Arial" w:cs="Arial"/>
        <w:noProof/>
        <w:sz w:val="24"/>
        <w:szCs w:val="24"/>
      </w:rPr>
      <w:t>4</w:t>
    </w:r>
    <w:r w:rsidR="000475CA"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B90D03">
      <w:rPr>
        <w:rFonts w:ascii="Arial" w:hAnsi="Arial" w:cs="Arial"/>
        <w:sz w:val="24"/>
        <w:szCs w:val="2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sz w:val="22"/>
        <w:szCs w:val="22"/>
      </w:rPr>
      <w:id w:val="-1318336367"/>
      <w:docPartObj>
        <w:docPartGallery w:val="Page Numbers (Top of Page)"/>
        <w:docPartUnique/>
      </w:docPartObj>
    </w:sdtPr>
    <w:sdtEndPr>
      <w:rPr>
        <w:rFonts w:cs="Arial"/>
      </w:rPr>
    </w:sdtEndPr>
    <w:sdtContent>
      <w:p w14:paraId="6DF2B0D8" w14:textId="0B035CB9" w:rsidR="007A5F7A" w:rsidRDefault="007A5F7A" w:rsidP="007A5F7A">
        <w:pPr>
          <w:jc w:val="right"/>
          <w:rPr>
            <w:rFonts w:asciiTheme="minorHAnsi" w:eastAsiaTheme="minorHAnsi" w:hAnsiTheme="minorHAnsi" w:cstheme="minorBidi"/>
            <w:sz w:val="22"/>
            <w:szCs w:val="22"/>
          </w:rPr>
        </w:pPr>
      </w:p>
      <w:p w14:paraId="1E197A9F" w14:textId="677A0D75" w:rsidR="00710D62" w:rsidRPr="00710D62" w:rsidRDefault="00B90D03">
        <w:pPr>
          <w:pStyle w:val="Header"/>
          <w:jc w:val="right"/>
          <w:rPr>
            <w:rFonts w:ascii="Arial" w:hAnsi="Arial" w:cs="Arial"/>
            <w:sz w:val="24"/>
            <w:szCs w:val="24"/>
          </w:rPr>
        </w:pPr>
      </w:p>
    </w:sdtContent>
  </w:sdt>
  <w:p w14:paraId="13BE7769" w14:textId="77777777" w:rsidR="005D195E" w:rsidRDefault="005D19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7C87B" w14:textId="2867B14B" w:rsidR="00A80E08" w:rsidRDefault="00A80E08" w:rsidP="00EB7598">
    <w:pPr>
      <w:pStyle w:val="Header"/>
      <w:jc w:val="right"/>
      <w:rPr>
        <w:rFonts w:ascii="Arial" w:hAnsi="Arial" w:cs="Arial"/>
        <w:sz w:val="24"/>
        <w:szCs w:val="24"/>
      </w:rPr>
    </w:pPr>
    <w:r>
      <w:rPr>
        <w:rFonts w:ascii="Arial" w:hAnsi="Arial" w:cs="Arial"/>
        <w:sz w:val="24"/>
        <w:szCs w:val="24"/>
      </w:rPr>
      <w:t>memo-imb</w:t>
    </w:r>
    <w:r w:rsidRPr="00BB5923">
      <w:rPr>
        <w:rFonts w:ascii="Arial" w:hAnsi="Arial" w:cs="Arial"/>
        <w:sz w:val="24"/>
        <w:szCs w:val="24"/>
      </w:rPr>
      <w:t>-amard-</w:t>
    </w:r>
    <w:r w:rsidR="000D5E7A">
      <w:rPr>
        <w:rFonts w:ascii="Arial" w:hAnsi="Arial" w:cs="Arial"/>
        <w:sz w:val="24"/>
        <w:szCs w:val="24"/>
      </w:rPr>
      <w:t>april</w:t>
    </w:r>
    <w:r>
      <w:rPr>
        <w:rFonts w:ascii="Arial" w:hAnsi="Arial" w:cs="Arial"/>
        <w:sz w:val="24"/>
        <w:szCs w:val="24"/>
      </w:rPr>
      <w:t>20</w:t>
    </w:r>
    <w:r w:rsidRPr="00BB5923">
      <w:rPr>
        <w:rFonts w:ascii="Arial" w:hAnsi="Arial" w:cs="Arial"/>
        <w:sz w:val="24"/>
        <w:szCs w:val="24"/>
      </w:rPr>
      <w:t>item0</w:t>
    </w:r>
    <w:r w:rsidR="000D5E7A">
      <w:rPr>
        <w:rFonts w:ascii="Arial" w:hAnsi="Arial" w:cs="Arial"/>
        <w:sz w:val="24"/>
        <w:szCs w:val="24"/>
      </w:rPr>
      <w:t>2</w:t>
    </w:r>
  </w:p>
  <w:p w14:paraId="69231DA1" w14:textId="77777777" w:rsidR="00A80E08" w:rsidRDefault="00A80E08" w:rsidP="00EB7598">
    <w:pPr>
      <w:pStyle w:val="Header"/>
      <w:jc w:val="right"/>
      <w:rPr>
        <w:rFonts w:ascii="Arial" w:hAnsi="Arial" w:cs="Arial"/>
        <w:sz w:val="24"/>
        <w:szCs w:val="24"/>
      </w:rPr>
    </w:pPr>
    <w:r>
      <w:rPr>
        <w:rFonts w:ascii="Arial" w:hAnsi="Arial" w:cs="Arial"/>
        <w:sz w:val="24"/>
        <w:szCs w:val="24"/>
      </w:rPr>
      <w:t>Attachment 1</w:t>
    </w:r>
  </w:p>
  <w:p w14:paraId="03348894" w14:textId="77777777" w:rsidR="00A80E08" w:rsidRPr="00BB5923" w:rsidRDefault="00A80E08" w:rsidP="0071775B">
    <w:pPr>
      <w:pStyle w:val="Header"/>
      <w:spacing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sidR="00856CE5">
      <w:rPr>
        <w:rFonts w:ascii="Arial" w:hAnsi="Arial" w:cs="Arial"/>
        <w:noProof/>
        <w:sz w:val="24"/>
        <w:szCs w:val="24"/>
      </w:rPr>
      <w:t>3</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Pr>
        <w:rFonts w:ascii="Arial" w:hAnsi="Arial" w:cs="Arial"/>
        <w:sz w:val="24"/>
        <w:szCs w:val="24"/>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887031"/>
      <w:docPartObj>
        <w:docPartGallery w:val="Page Numbers (Top of Page)"/>
        <w:docPartUnique/>
      </w:docPartObj>
    </w:sdtPr>
    <w:sdtEndPr>
      <w:rPr>
        <w:rFonts w:ascii="Arial" w:hAnsi="Arial" w:cs="Arial"/>
        <w:sz w:val="24"/>
        <w:szCs w:val="24"/>
      </w:rPr>
    </w:sdtEndPr>
    <w:sdtContent>
      <w:p w14:paraId="572C240E" w14:textId="31AF7E76" w:rsidR="00F24FC6" w:rsidRPr="00F24FC6" w:rsidRDefault="00F24FC6" w:rsidP="00F24FC6">
        <w:pPr>
          <w:pStyle w:val="Header"/>
          <w:jc w:val="right"/>
          <w:rPr>
            <w:rFonts w:ascii="Arial" w:hAnsi="Arial" w:cs="Arial"/>
            <w:sz w:val="24"/>
            <w:szCs w:val="24"/>
          </w:rPr>
        </w:pPr>
        <w:r w:rsidRPr="00F24FC6">
          <w:rPr>
            <w:rFonts w:ascii="Arial" w:hAnsi="Arial" w:cs="Arial"/>
            <w:sz w:val="24"/>
            <w:szCs w:val="24"/>
          </w:rPr>
          <w:t>memo-imb-amard-</w:t>
        </w:r>
        <w:r w:rsidR="00DF3794">
          <w:rPr>
            <w:rFonts w:ascii="Arial" w:hAnsi="Arial" w:cs="Arial"/>
            <w:sz w:val="24"/>
            <w:szCs w:val="24"/>
          </w:rPr>
          <w:t>april</w:t>
        </w:r>
        <w:r w:rsidRPr="00F24FC6">
          <w:rPr>
            <w:rFonts w:ascii="Arial" w:hAnsi="Arial" w:cs="Arial"/>
            <w:sz w:val="24"/>
            <w:szCs w:val="24"/>
          </w:rPr>
          <w:t>20item0</w:t>
        </w:r>
        <w:r w:rsidR="00DF3794">
          <w:rPr>
            <w:rFonts w:ascii="Arial" w:hAnsi="Arial" w:cs="Arial"/>
            <w:sz w:val="24"/>
            <w:szCs w:val="24"/>
          </w:rPr>
          <w:t>2</w:t>
        </w:r>
      </w:p>
      <w:p w14:paraId="0B4228C4" w14:textId="5F960C60" w:rsidR="00F24FC6" w:rsidRPr="00F24FC6" w:rsidRDefault="00F24FC6">
        <w:pPr>
          <w:pStyle w:val="Header"/>
          <w:jc w:val="right"/>
          <w:rPr>
            <w:rFonts w:ascii="Arial" w:hAnsi="Arial" w:cs="Arial"/>
            <w:sz w:val="24"/>
            <w:szCs w:val="24"/>
          </w:rPr>
        </w:pPr>
        <w:r w:rsidRPr="00F24FC6">
          <w:rPr>
            <w:rFonts w:ascii="Arial" w:hAnsi="Arial" w:cs="Arial"/>
            <w:sz w:val="24"/>
            <w:szCs w:val="24"/>
          </w:rPr>
          <w:t>Attachment 1</w:t>
        </w:r>
      </w:p>
      <w:p w14:paraId="773D44C0" w14:textId="15A4C77A" w:rsidR="00995220" w:rsidRPr="00E971C6" w:rsidRDefault="00995220" w:rsidP="00E971C6">
        <w:pPr>
          <w:pStyle w:val="Header"/>
          <w:spacing w:after="100" w:afterAutospacing="1"/>
          <w:jc w:val="right"/>
          <w:rPr>
            <w:rFonts w:ascii="Arial" w:hAnsi="Arial" w:cs="Arial"/>
            <w:sz w:val="24"/>
            <w:szCs w:val="24"/>
          </w:rPr>
        </w:pPr>
        <w:r w:rsidRPr="00F24FC6">
          <w:rPr>
            <w:rFonts w:ascii="Arial" w:hAnsi="Arial" w:cs="Arial"/>
            <w:sz w:val="24"/>
            <w:szCs w:val="24"/>
          </w:rPr>
          <w:t xml:space="preserve">Page </w:t>
        </w:r>
        <w:r w:rsidRPr="00F24FC6">
          <w:rPr>
            <w:rFonts w:ascii="Arial" w:hAnsi="Arial" w:cs="Arial"/>
            <w:sz w:val="24"/>
            <w:szCs w:val="24"/>
          </w:rPr>
          <w:fldChar w:fldCharType="begin"/>
        </w:r>
        <w:r w:rsidRPr="00F24FC6">
          <w:rPr>
            <w:rFonts w:ascii="Arial" w:hAnsi="Arial" w:cs="Arial"/>
            <w:sz w:val="24"/>
            <w:szCs w:val="24"/>
          </w:rPr>
          <w:instrText xml:space="preserve"> PAGE </w:instrText>
        </w:r>
        <w:r w:rsidRPr="00F24FC6">
          <w:rPr>
            <w:rFonts w:ascii="Arial" w:hAnsi="Arial" w:cs="Arial"/>
            <w:sz w:val="24"/>
            <w:szCs w:val="24"/>
          </w:rPr>
          <w:fldChar w:fldCharType="separate"/>
        </w:r>
        <w:r w:rsidR="00856CE5">
          <w:rPr>
            <w:rFonts w:ascii="Arial" w:hAnsi="Arial" w:cs="Arial"/>
            <w:noProof/>
            <w:sz w:val="24"/>
            <w:szCs w:val="24"/>
          </w:rPr>
          <w:t>1</w:t>
        </w:r>
        <w:r w:rsidRPr="00F24FC6">
          <w:rPr>
            <w:rFonts w:ascii="Arial" w:hAnsi="Arial" w:cs="Arial"/>
            <w:sz w:val="24"/>
            <w:szCs w:val="24"/>
          </w:rPr>
          <w:fldChar w:fldCharType="end"/>
        </w:r>
        <w:r w:rsidRPr="00F24FC6">
          <w:rPr>
            <w:rFonts w:ascii="Arial" w:hAnsi="Arial" w:cs="Arial"/>
            <w:sz w:val="24"/>
            <w:szCs w:val="24"/>
          </w:rPr>
          <w:t xml:space="preserve"> of </w:t>
        </w:r>
        <w:r w:rsidR="003200B3">
          <w:rPr>
            <w:rFonts w:ascii="Arial" w:hAnsi="Arial" w:cs="Arial"/>
            <w:sz w:val="24"/>
            <w:szCs w:val="24"/>
          </w:rPr>
          <w:t>3</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A08F7" w14:textId="7CDFD30E" w:rsidR="00533E72" w:rsidRDefault="00533E72" w:rsidP="00EB7598">
    <w:pPr>
      <w:pStyle w:val="Header"/>
      <w:jc w:val="right"/>
      <w:rPr>
        <w:rFonts w:ascii="Arial" w:hAnsi="Arial" w:cs="Arial"/>
        <w:sz w:val="24"/>
        <w:szCs w:val="24"/>
      </w:rPr>
    </w:pPr>
    <w:r>
      <w:rPr>
        <w:rFonts w:ascii="Arial" w:hAnsi="Arial" w:cs="Arial"/>
        <w:sz w:val="24"/>
        <w:szCs w:val="24"/>
      </w:rPr>
      <w:t>memo-imb</w:t>
    </w:r>
    <w:r w:rsidRPr="00BB5923">
      <w:rPr>
        <w:rFonts w:ascii="Arial" w:hAnsi="Arial" w:cs="Arial"/>
        <w:sz w:val="24"/>
        <w:szCs w:val="24"/>
      </w:rPr>
      <w:t>-amard-</w:t>
    </w:r>
    <w:r w:rsidR="000D5E7A">
      <w:rPr>
        <w:rFonts w:ascii="Arial" w:hAnsi="Arial" w:cs="Arial"/>
        <w:sz w:val="24"/>
        <w:szCs w:val="24"/>
      </w:rPr>
      <w:t>april</w:t>
    </w:r>
    <w:r>
      <w:rPr>
        <w:rFonts w:ascii="Arial" w:hAnsi="Arial" w:cs="Arial"/>
        <w:sz w:val="24"/>
        <w:szCs w:val="24"/>
      </w:rPr>
      <w:t>20</w:t>
    </w:r>
    <w:r w:rsidRPr="00BB5923">
      <w:rPr>
        <w:rFonts w:ascii="Arial" w:hAnsi="Arial" w:cs="Arial"/>
        <w:sz w:val="24"/>
        <w:szCs w:val="24"/>
      </w:rPr>
      <w:t>item0</w:t>
    </w:r>
    <w:r w:rsidR="000D5E7A">
      <w:rPr>
        <w:rFonts w:ascii="Arial" w:hAnsi="Arial" w:cs="Arial"/>
        <w:sz w:val="24"/>
        <w:szCs w:val="24"/>
      </w:rPr>
      <w:t>2</w:t>
    </w:r>
  </w:p>
  <w:p w14:paraId="0C46B0BE" w14:textId="78600F14" w:rsidR="00533E72" w:rsidRDefault="00533E72" w:rsidP="00EB7598">
    <w:pPr>
      <w:pStyle w:val="Header"/>
      <w:jc w:val="right"/>
      <w:rPr>
        <w:rFonts w:ascii="Arial" w:hAnsi="Arial" w:cs="Arial"/>
        <w:sz w:val="24"/>
        <w:szCs w:val="24"/>
      </w:rPr>
    </w:pPr>
    <w:r>
      <w:rPr>
        <w:rFonts w:ascii="Arial" w:hAnsi="Arial" w:cs="Arial"/>
        <w:sz w:val="24"/>
        <w:szCs w:val="24"/>
      </w:rPr>
      <w:t>Attachment 2</w:t>
    </w:r>
  </w:p>
  <w:p w14:paraId="0EF727AB" w14:textId="70276D40" w:rsidR="00533E72" w:rsidRPr="00BB5923" w:rsidRDefault="00533E72" w:rsidP="0071775B">
    <w:pPr>
      <w:pStyle w:val="Header"/>
      <w:spacing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sidR="00856CE5">
      <w:rPr>
        <w:rFonts w:ascii="Arial" w:hAnsi="Arial" w:cs="Arial"/>
        <w:noProof/>
        <w:sz w:val="24"/>
        <w:szCs w:val="24"/>
      </w:rPr>
      <w:t>2</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Pr>
        <w:rFonts w:ascii="Arial" w:hAnsi="Arial" w:cs="Arial"/>
        <w:sz w:val="24"/>
        <w:szCs w:val="24"/>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502426"/>
      <w:docPartObj>
        <w:docPartGallery w:val="Page Numbers (Top of Page)"/>
        <w:docPartUnique/>
      </w:docPartObj>
    </w:sdtPr>
    <w:sdtEndPr>
      <w:rPr>
        <w:rFonts w:ascii="Arial" w:hAnsi="Arial" w:cs="Arial"/>
        <w:sz w:val="24"/>
        <w:szCs w:val="24"/>
      </w:rPr>
    </w:sdtEndPr>
    <w:sdtContent>
      <w:p w14:paraId="66BE5763" w14:textId="0781F168" w:rsidR="00A80E08" w:rsidRPr="00F24FC6" w:rsidRDefault="00A80E08" w:rsidP="00F24FC6">
        <w:pPr>
          <w:pStyle w:val="Header"/>
          <w:jc w:val="right"/>
          <w:rPr>
            <w:rFonts w:ascii="Arial" w:hAnsi="Arial" w:cs="Arial"/>
            <w:sz w:val="24"/>
            <w:szCs w:val="24"/>
          </w:rPr>
        </w:pPr>
        <w:r w:rsidRPr="00F24FC6">
          <w:rPr>
            <w:rFonts w:ascii="Arial" w:hAnsi="Arial" w:cs="Arial"/>
            <w:sz w:val="24"/>
            <w:szCs w:val="24"/>
          </w:rPr>
          <w:t>memo-imb-amard-</w:t>
        </w:r>
        <w:r w:rsidR="000D5E7A">
          <w:rPr>
            <w:rFonts w:ascii="Arial" w:hAnsi="Arial" w:cs="Arial"/>
            <w:sz w:val="24"/>
            <w:szCs w:val="24"/>
          </w:rPr>
          <w:t>april</w:t>
        </w:r>
        <w:r w:rsidRPr="00F24FC6">
          <w:rPr>
            <w:rFonts w:ascii="Arial" w:hAnsi="Arial" w:cs="Arial"/>
            <w:sz w:val="24"/>
            <w:szCs w:val="24"/>
          </w:rPr>
          <w:t>20item0</w:t>
        </w:r>
        <w:r w:rsidR="000D5E7A">
          <w:rPr>
            <w:rFonts w:ascii="Arial" w:hAnsi="Arial" w:cs="Arial"/>
            <w:sz w:val="24"/>
            <w:szCs w:val="24"/>
          </w:rPr>
          <w:t>2</w:t>
        </w:r>
      </w:p>
      <w:p w14:paraId="2F2B6D59" w14:textId="352523BE" w:rsidR="00A80E08" w:rsidRPr="00F24FC6" w:rsidRDefault="00A80E08">
        <w:pPr>
          <w:pStyle w:val="Header"/>
          <w:jc w:val="right"/>
          <w:rPr>
            <w:rFonts w:ascii="Arial" w:hAnsi="Arial" w:cs="Arial"/>
            <w:sz w:val="24"/>
            <w:szCs w:val="24"/>
          </w:rPr>
        </w:pPr>
        <w:r w:rsidRPr="00F24FC6">
          <w:rPr>
            <w:rFonts w:ascii="Arial" w:hAnsi="Arial" w:cs="Arial"/>
            <w:sz w:val="24"/>
            <w:szCs w:val="24"/>
          </w:rPr>
          <w:t xml:space="preserve">Attachment </w:t>
        </w:r>
        <w:r w:rsidR="00533E72">
          <w:rPr>
            <w:rFonts w:ascii="Arial" w:hAnsi="Arial" w:cs="Arial"/>
            <w:sz w:val="24"/>
            <w:szCs w:val="24"/>
          </w:rPr>
          <w:t>2</w:t>
        </w:r>
      </w:p>
      <w:p w14:paraId="300EB6E4" w14:textId="56545B2C" w:rsidR="00A80E08" w:rsidRPr="00F24FC6" w:rsidRDefault="00A80E08" w:rsidP="00E971C6">
        <w:pPr>
          <w:pStyle w:val="Header"/>
          <w:spacing w:after="100" w:afterAutospacing="1"/>
          <w:jc w:val="right"/>
          <w:rPr>
            <w:rFonts w:ascii="Arial" w:hAnsi="Arial" w:cs="Arial"/>
            <w:sz w:val="24"/>
            <w:szCs w:val="24"/>
          </w:rPr>
        </w:pPr>
        <w:r w:rsidRPr="00F24FC6">
          <w:rPr>
            <w:rFonts w:ascii="Arial" w:hAnsi="Arial" w:cs="Arial"/>
            <w:sz w:val="24"/>
            <w:szCs w:val="24"/>
          </w:rPr>
          <w:t xml:space="preserve">Page </w:t>
        </w:r>
        <w:r w:rsidRPr="00F24FC6">
          <w:rPr>
            <w:rFonts w:ascii="Arial" w:hAnsi="Arial" w:cs="Arial"/>
            <w:sz w:val="24"/>
            <w:szCs w:val="24"/>
          </w:rPr>
          <w:fldChar w:fldCharType="begin"/>
        </w:r>
        <w:r w:rsidRPr="00F24FC6">
          <w:rPr>
            <w:rFonts w:ascii="Arial" w:hAnsi="Arial" w:cs="Arial"/>
            <w:sz w:val="24"/>
            <w:szCs w:val="24"/>
          </w:rPr>
          <w:instrText xml:space="preserve"> PAGE </w:instrText>
        </w:r>
        <w:r w:rsidRPr="00F24FC6">
          <w:rPr>
            <w:rFonts w:ascii="Arial" w:hAnsi="Arial" w:cs="Arial"/>
            <w:sz w:val="24"/>
            <w:szCs w:val="24"/>
          </w:rPr>
          <w:fldChar w:fldCharType="separate"/>
        </w:r>
        <w:r w:rsidR="00856CE5">
          <w:rPr>
            <w:rFonts w:ascii="Arial" w:hAnsi="Arial" w:cs="Arial"/>
            <w:noProof/>
            <w:sz w:val="24"/>
            <w:szCs w:val="24"/>
          </w:rPr>
          <w:t>1</w:t>
        </w:r>
        <w:r w:rsidRPr="00F24FC6">
          <w:rPr>
            <w:rFonts w:ascii="Arial" w:hAnsi="Arial" w:cs="Arial"/>
            <w:sz w:val="24"/>
            <w:szCs w:val="24"/>
          </w:rPr>
          <w:fldChar w:fldCharType="end"/>
        </w:r>
        <w:r w:rsidRPr="00F24FC6">
          <w:rPr>
            <w:rFonts w:ascii="Arial" w:hAnsi="Arial" w:cs="Arial"/>
            <w:sz w:val="24"/>
            <w:szCs w:val="24"/>
          </w:rPr>
          <w:t xml:space="preserve"> of </w:t>
        </w:r>
        <w:r w:rsidR="00533E72">
          <w:rPr>
            <w:rFonts w:ascii="Arial" w:hAnsi="Arial" w:cs="Arial"/>
            <w:sz w:val="24"/>
            <w:szCs w:val="24"/>
          </w:rPr>
          <w:t>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1F8AB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A4E3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294C1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A603E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BE86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2886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1289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ACF9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F876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5C4C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F5612"/>
    <w:multiLevelType w:val="hybridMultilevel"/>
    <w:tmpl w:val="5D842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B93118"/>
    <w:multiLevelType w:val="hybridMultilevel"/>
    <w:tmpl w:val="656A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76E98"/>
    <w:multiLevelType w:val="hybridMultilevel"/>
    <w:tmpl w:val="341699EE"/>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526AB"/>
    <w:multiLevelType w:val="hybridMultilevel"/>
    <w:tmpl w:val="3434FAB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4" w15:restartNumberingAfterBreak="0">
    <w:nsid w:val="0FFB48AD"/>
    <w:multiLevelType w:val="hybridMultilevel"/>
    <w:tmpl w:val="C38C4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6F439FE"/>
    <w:multiLevelType w:val="hybridMultilevel"/>
    <w:tmpl w:val="2E641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0E167C"/>
    <w:multiLevelType w:val="hybridMultilevel"/>
    <w:tmpl w:val="1CDEBF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6A33E5"/>
    <w:multiLevelType w:val="hybridMultilevel"/>
    <w:tmpl w:val="4F1C70D2"/>
    <w:lvl w:ilvl="0" w:tplc="C0E6BA38">
      <w:start w:val="1"/>
      <w:numFmt w:val="bullet"/>
      <w:lvlText w:val="•"/>
      <w:lvlJc w:val="left"/>
      <w:pPr>
        <w:tabs>
          <w:tab w:val="num" w:pos="360"/>
        </w:tabs>
        <w:ind w:left="360" w:hanging="360"/>
      </w:pPr>
      <w:rPr>
        <w:rFonts w:ascii="Arial" w:hAnsi="Arial" w:hint="default"/>
      </w:rPr>
    </w:lvl>
    <w:lvl w:ilvl="1" w:tplc="AE22CCAA" w:tentative="1">
      <w:start w:val="1"/>
      <w:numFmt w:val="bullet"/>
      <w:lvlText w:val="•"/>
      <w:lvlJc w:val="left"/>
      <w:pPr>
        <w:tabs>
          <w:tab w:val="num" w:pos="1080"/>
        </w:tabs>
        <w:ind w:left="1080" w:hanging="360"/>
      </w:pPr>
      <w:rPr>
        <w:rFonts w:ascii="Arial" w:hAnsi="Arial" w:hint="default"/>
      </w:rPr>
    </w:lvl>
    <w:lvl w:ilvl="2" w:tplc="1F906232" w:tentative="1">
      <w:start w:val="1"/>
      <w:numFmt w:val="bullet"/>
      <w:lvlText w:val="•"/>
      <w:lvlJc w:val="left"/>
      <w:pPr>
        <w:tabs>
          <w:tab w:val="num" w:pos="1800"/>
        </w:tabs>
        <w:ind w:left="1800" w:hanging="360"/>
      </w:pPr>
      <w:rPr>
        <w:rFonts w:ascii="Arial" w:hAnsi="Arial" w:hint="default"/>
      </w:rPr>
    </w:lvl>
    <w:lvl w:ilvl="3" w:tplc="8916A9EE" w:tentative="1">
      <w:start w:val="1"/>
      <w:numFmt w:val="bullet"/>
      <w:lvlText w:val="•"/>
      <w:lvlJc w:val="left"/>
      <w:pPr>
        <w:tabs>
          <w:tab w:val="num" w:pos="2520"/>
        </w:tabs>
        <w:ind w:left="2520" w:hanging="360"/>
      </w:pPr>
      <w:rPr>
        <w:rFonts w:ascii="Arial" w:hAnsi="Arial" w:hint="default"/>
      </w:rPr>
    </w:lvl>
    <w:lvl w:ilvl="4" w:tplc="B84CF546" w:tentative="1">
      <w:start w:val="1"/>
      <w:numFmt w:val="bullet"/>
      <w:lvlText w:val="•"/>
      <w:lvlJc w:val="left"/>
      <w:pPr>
        <w:tabs>
          <w:tab w:val="num" w:pos="3240"/>
        </w:tabs>
        <w:ind w:left="3240" w:hanging="360"/>
      </w:pPr>
      <w:rPr>
        <w:rFonts w:ascii="Arial" w:hAnsi="Arial" w:hint="default"/>
      </w:rPr>
    </w:lvl>
    <w:lvl w:ilvl="5" w:tplc="2C485514" w:tentative="1">
      <w:start w:val="1"/>
      <w:numFmt w:val="bullet"/>
      <w:lvlText w:val="•"/>
      <w:lvlJc w:val="left"/>
      <w:pPr>
        <w:tabs>
          <w:tab w:val="num" w:pos="3960"/>
        </w:tabs>
        <w:ind w:left="3960" w:hanging="360"/>
      </w:pPr>
      <w:rPr>
        <w:rFonts w:ascii="Arial" w:hAnsi="Arial" w:hint="default"/>
      </w:rPr>
    </w:lvl>
    <w:lvl w:ilvl="6" w:tplc="71346C40" w:tentative="1">
      <w:start w:val="1"/>
      <w:numFmt w:val="bullet"/>
      <w:lvlText w:val="•"/>
      <w:lvlJc w:val="left"/>
      <w:pPr>
        <w:tabs>
          <w:tab w:val="num" w:pos="4680"/>
        </w:tabs>
        <w:ind w:left="4680" w:hanging="360"/>
      </w:pPr>
      <w:rPr>
        <w:rFonts w:ascii="Arial" w:hAnsi="Arial" w:hint="default"/>
      </w:rPr>
    </w:lvl>
    <w:lvl w:ilvl="7" w:tplc="2D661E9E" w:tentative="1">
      <w:start w:val="1"/>
      <w:numFmt w:val="bullet"/>
      <w:lvlText w:val="•"/>
      <w:lvlJc w:val="left"/>
      <w:pPr>
        <w:tabs>
          <w:tab w:val="num" w:pos="5400"/>
        </w:tabs>
        <w:ind w:left="5400" w:hanging="360"/>
      </w:pPr>
      <w:rPr>
        <w:rFonts w:ascii="Arial" w:hAnsi="Arial" w:hint="default"/>
      </w:rPr>
    </w:lvl>
    <w:lvl w:ilvl="8" w:tplc="D5CCA2C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1C4374F1"/>
    <w:multiLevelType w:val="hybridMultilevel"/>
    <w:tmpl w:val="FE6AE028"/>
    <w:lvl w:ilvl="0" w:tplc="04090001">
      <w:start w:val="1"/>
      <w:numFmt w:val="bullet"/>
      <w:lvlText w:val=""/>
      <w:lvlJc w:val="left"/>
      <w:pPr>
        <w:ind w:left="720" w:hanging="360"/>
      </w:pPr>
      <w:rPr>
        <w:rFonts w:ascii="Symbol" w:hAnsi="Symbol" w:hint="default"/>
      </w:rPr>
    </w:lvl>
    <w:lvl w:ilvl="1" w:tplc="3AE02B20">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7E5B79"/>
    <w:multiLevelType w:val="hybridMultilevel"/>
    <w:tmpl w:val="D484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AD6A9A"/>
    <w:multiLevelType w:val="hybridMultilevel"/>
    <w:tmpl w:val="D284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456275"/>
    <w:multiLevelType w:val="hybridMultilevel"/>
    <w:tmpl w:val="299CC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5713D7"/>
    <w:multiLevelType w:val="hybridMultilevel"/>
    <w:tmpl w:val="642A15E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F64AB0"/>
    <w:multiLevelType w:val="hybridMultilevel"/>
    <w:tmpl w:val="242858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BCB4663"/>
    <w:multiLevelType w:val="hybridMultilevel"/>
    <w:tmpl w:val="13C4B26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2D097B3E"/>
    <w:multiLevelType w:val="hybridMultilevel"/>
    <w:tmpl w:val="71E832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304BC6"/>
    <w:multiLevelType w:val="hybridMultilevel"/>
    <w:tmpl w:val="4A5059A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31D86D37"/>
    <w:multiLevelType w:val="hybridMultilevel"/>
    <w:tmpl w:val="5244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B74CFA"/>
    <w:multiLevelType w:val="hybridMultilevel"/>
    <w:tmpl w:val="A498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F3749"/>
    <w:multiLevelType w:val="hybridMultilevel"/>
    <w:tmpl w:val="0C32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7C53FD"/>
    <w:multiLevelType w:val="hybridMultilevel"/>
    <w:tmpl w:val="E28E16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CDA33F3"/>
    <w:multiLevelType w:val="hybridMultilevel"/>
    <w:tmpl w:val="6F50E9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B052A4"/>
    <w:multiLevelType w:val="hybridMultilevel"/>
    <w:tmpl w:val="ADC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16E9B"/>
    <w:multiLevelType w:val="hybridMultilevel"/>
    <w:tmpl w:val="F65E07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4C1206FC"/>
    <w:multiLevelType w:val="hybridMultilevel"/>
    <w:tmpl w:val="49E4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D10076"/>
    <w:multiLevelType w:val="hybridMultilevel"/>
    <w:tmpl w:val="CE788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5706418E"/>
    <w:multiLevelType w:val="hybridMultilevel"/>
    <w:tmpl w:val="236E7A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5898138E"/>
    <w:multiLevelType w:val="hybridMultilevel"/>
    <w:tmpl w:val="A504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602447"/>
    <w:multiLevelType w:val="hybridMultilevel"/>
    <w:tmpl w:val="BC9400CA"/>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E5CEB"/>
    <w:multiLevelType w:val="hybridMultilevel"/>
    <w:tmpl w:val="F5625F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604D2FB2"/>
    <w:multiLevelType w:val="hybridMultilevel"/>
    <w:tmpl w:val="11986D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B014F9"/>
    <w:multiLevelType w:val="hybridMultilevel"/>
    <w:tmpl w:val="A95A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15459D"/>
    <w:multiLevelType w:val="hybridMultilevel"/>
    <w:tmpl w:val="94F6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E026C"/>
    <w:multiLevelType w:val="hybridMultilevel"/>
    <w:tmpl w:val="391EAF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6E4D4B1E"/>
    <w:multiLevelType w:val="hybridMultilevel"/>
    <w:tmpl w:val="C8ACE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F8218FB"/>
    <w:multiLevelType w:val="hybridMultilevel"/>
    <w:tmpl w:val="12861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F74110"/>
    <w:multiLevelType w:val="hybridMultilevel"/>
    <w:tmpl w:val="B0785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D27DCD"/>
    <w:multiLevelType w:val="hybridMultilevel"/>
    <w:tmpl w:val="FE42F008"/>
    <w:lvl w:ilvl="0" w:tplc="B4DE4AD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7DDD6907"/>
    <w:multiLevelType w:val="hybridMultilevel"/>
    <w:tmpl w:val="8004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4"/>
  </w:num>
  <w:num w:numId="3">
    <w:abstractNumId w:val="13"/>
  </w:num>
  <w:num w:numId="4">
    <w:abstractNumId w:val="17"/>
  </w:num>
  <w:num w:numId="5">
    <w:abstractNumId w:val="31"/>
  </w:num>
  <w:num w:numId="6">
    <w:abstractNumId w:val="22"/>
  </w:num>
  <w:num w:numId="7">
    <w:abstractNumId w:val="16"/>
  </w:num>
  <w:num w:numId="8">
    <w:abstractNumId w:val="45"/>
  </w:num>
  <w:num w:numId="9">
    <w:abstractNumId w:val="10"/>
  </w:num>
  <w:num w:numId="10">
    <w:abstractNumId w:val="14"/>
  </w:num>
  <w:num w:numId="11">
    <w:abstractNumId w:val="41"/>
  </w:num>
  <w:num w:numId="12">
    <w:abstractNumId w:val="32"/>
  </w:num>
  <w:num w:numId="13">
    <w:abstractNumId w:val="26"/>
  </w:num>
  <w:num w:numId="14">
    <w:abstractNumId w:val="21"/>
  </w:num>
  <w:num w:numId="15">
    <w:abstractNumId w:val="15"/>
  </w:num>
  <w:num w:numId="16">
    <w:abstractNumId w:val="48"/>
  </w:num>
  <w:num w:numId="17">
    <w:abstractNumId w:val="33"/>
  </w:num>
  <w:num w:numId="18">
    <w:abstractNumId w:val="27"/>
  </w:num>
  <w:num w:numId="19">
    <w:abstractNumId w:val="11"/>
  </w:num>
  <w:num w:numId="20">
    <w:abstractNumId w:val="37"/>
  </w:num>
  <w:num w:numId="21">
    <w:abstractNumId w:val="36"/>
  </w:num>
  <w:num w:numId="22">
    <w:abstractNumId w:val="39"/>
  </w:num>
  <w:num w:numId="23">
    <w:abstractNumId w:val="44"/>
  </w:num>
  <w:num w:numId="24">
    <w:abstractNumId w:val="46"/>
  </w:num>
  <w:num w:numId="25">
    <w:abstractNumId w:val="12"/>
  </w:num>
  <w:num w:numId="26">
    <w:abstractNumId w:val="38"/>
  </w:num>
  <w:num w:numId="27">
    <w:abstractNumId w:val="18"/>
  </w:num>
  <w:num w:numId="28">
    <w:abstractNumId w:val="25"/>
  </w:num>
  <w:num w:numId="29">
    <w:abstractNumId w:val="20"/>
  </w:num>
  <w:num w:numId="30">
    <w:abstractNumId w:val="29"/>
  </w:num>
  <w:num w:numId="31">
    <w:abstractNumId w:val="28"/>
  </w:num>
  <w:num w:numId="32">
    <w:abstractNumId w:val="19"/>
  </w:num>
  <w:num w:numId="33">
    <w:abstractNumId w:val="42"/>
  </w:num>
  <w:num w:numId="34">
    <w:abstractNumId w:val="23"/>
  </w:num>
  <w:num w:numId="35">
    <w:abstractNumId w:val="47"/>
  </w:num>
  <w:num w:numId="36">
    <w:abstractNumId w:val="35"/>
  </w:num>
  <w:num w:numId="37">
    <w:abstractNumId w:val="30"/>
  </w:num>
  <w:num w:numId="38">
    <w:abstractNumId w:val="24"/>
  </w:num>
  <w:num w:numId="39">
    <w:abstractNumId w:val="40"/>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6612"/>
    <w:rsid w:val="00007946"/>
    <w:rsid w:val="00010220"/>
    <w:rsid w:val="00012773"/>
    <w:rsid w:val="0001445D"/>
    <w:rsid w:val="0001462C"/>
    <w:rsid w:val="00021AD3"/>
    <w:rsid w:val="000225E1"/>
    <w:rsid w:val="000249B6"/>
    <w:rsid w:val="000254A5"/>
    <w:rsid w:val="00030FD8"/>
    <w:rsid w:val="00043450"/>
    <w:rsid w:val="000475CA"/>
    <w:rsid w:val="00053205"/>
    <w:rsid w:val="00053B2A"/>
    <w:rsid w:val="000570F0"/>
    <w:rsid w:val="00057A96"/>
    <w:rsid w:val="00061B26"/>
    <w:rsid w:val="00063C5D"/>
    <w:rsid w:val="0006721D"/>
    <w:rsid w:val="0007215F"/>
    <w:rsid w:val="000737D6"/>
    <w:rsid w:val="00077927"/>
    <w:rsid w:val="000B50CC"/>
    <w:rsid w:val="000C139F"/>
    <w:rsid w:val="000C5BAA"/>
    <w:rsid w:val="000D1D15"/>
    <w:rsid w:val="000D5E7A"/>
    <w:rsid w:val="000E15F4"/>
    <w:rsid w:val="000E53B7"/>
    <w:rsid w:val="000F146C"/>
    <w:rsid w:val="000F4663"/>
    <w:rsid w:val="000F5B6C"/>
    <w:rsid w:val="00112ED9"/>
    <w:rsid w:val="0012516C"/>
    <w:rsid w:val="001273B5"/>
    <w:rsid w:val="00135B29"/>
    <w:rsid w:val="00147A65"/>
    <w:rsid w:val="00150057"/>
    <w:rsid w:val="001500D8"/>
    <w:rsid w:val="00150DC6"/>
    <w:rsid w:val="00154971"/>
    <w:rsid w:val="0016173B"/>
    <w:rsid w:val="001623D0"/>
    <w:rsid w:val="001648E9"/>
    <w:rsid w:val="0016700A"/>
    <w:rsid w:val="00171FE9"/>
    <w:rsid w:val="00172EB7"/>
    <w:rsid w:val="001744B5"/>
    <w:rsid w:val="00175BF1"/>
    <w:rsid w:val="00184DEF"/>
    <w:rsid w:val="00185A92"/>
    <w:rsid w:val="00190105"/>
    <w:rsid w:val="001971FF"/>
    <w:rsid w:val="001A24AF"/>
    <w:rsid w:val="001A386E"/>
    <w:rsid w:val="001A7093"/>
    <w:rsid w:val="001B0176"/>
    <w:rsid w:val="001B5224"/>
    <w:rsid w:val="001C6499"/>
    <w:rsid w:val="001D39E8"/>
    <w:rsid w:val="001F42F3"/>
    <w:rsid w:val="00210637"/>
    <w:rsid w:val="002150AE"/>
    <w:rsid w:val="00216718"/>
    <w:rsid w:val="00222A00"/>
    <w:rsid w:val="00226270"/>
    <w:rsid w:val="00232597"/>
    <w:rsid w:val="00237A26"/>
    <w:rsid w:val="0023BA10"/>
    <w:rsid w:val="002408E4"/>
    <w:rsid w:val="0024223A"/>
    <w:rsid w:val="00243C55"/>
    <w:rsid w:val="00246219"/>
    <w:rsid w:val="002608D7"/>
    <w:rsid w:val="00261335"/>
    <w:rsid w:val="00261343"/>
    <w:rsid w:val="00263F10"/>
    <w:rsid w:val="00270470"/>
    <w:rsid w:val="00273BA0"/>
    <w:rsid w:val="002810AF"/>
    <w:rsid w:val="00283FF4"/>
    <w:rsid w:val="002864DA"/>
    <w:rsid w:val="002868CF"/>
    <w:rsid w:val="0029286A"/>
    <w:rsid w:val="00294351"/>
    <w:rsid w:val="00294D00"/>
    <w:rsid w:val="00296A5A"/>
    <w:rsid w:val="002A5757"/>
    <w:rsid w:val="002B1214"/>
    <w:rsid w:val="002B16F5"/>
    <w:rsid w:val="002B3DEF"/>
    <w:rsid w:val="002B59A3"/>
    <w:rsid w:val="002B63EC"/>
    <w:rsid w:val="002C0147"/>
    <w:rsid w:val="002C5161"/>
    <w:rsid w:val="002C67FE"/>
    <w:rsid w:val="002C725A"/>
    <w:rsid w:val="002D2FE0"/>
    <w:rsid w:val="002D351A"/>
    <w:rsid w:val="002E284E"/>
    <w:rsid w:val="002E5358"/>
    <w:rsid w:val="002F2F8E"/>
    <w:rsid w:val="0030550F"/>
    <w:rsid w:val="003069E7"/>
    <w:rsid w:val="00311CC8"/>
    <w:rsid w:val="003200B3"/>
    <w:rsid w:val="00321D49"/>
    <w:rsid w:val="00322C00"/>
    <w:rsid w:val="00325EAA"/>
    <w:rsid w:val="0033157A"/>
    <w:rsid w:val="00331F25"/>
    <w:rsid w:val="0033616F"/>
    <w:rsid w:val="00343E99"/>
    <w:rsid w:val="00346E9D"/>
    <w:rsid w:val="00353182"/>
    <w:rsid w:val="00356411"/>
    <w:rsid w:val="00360B9D"/>
    <w:rsid w:val="00364C1F"/>
    <w:rsid w:val="0036724B"/>
    <w:rsid w:val="003676E5"/>
    <w:rsid w:val="00380D2A"/>
    <w:rsid w:val="003842A6"/>
    <w:rsid w:val="00384B7F"/>
    <w:rsid w:val="00386600"/>
    <w:rsid w:val="00391101"/>
    <w:rsid w:val="003979B0"/>
    <w:rsid w:val="003A5C5A"/>
    <w:rsid w:val="003A78AA"/>
    <w:rsid w:val="003C6010"/>
    <w:rsid w:val="003C7C3A"/>
    <w:rsid w:val="003D0123"/>
    <w:rsid w:val="003D6A46"/>
    <w:rsid w:val="003E06F5"/>
    <w:rsid w:val="003E3B94"/>
    <w:rsid w:val="003E47EE"/>
    <w:rsid w:val="003E55D6"/>
    <w:rsid w:val="003E6EE9"/>
    <w:rsid w:val="003F783C"/>
    <w:rsid w:val="00400D86"/>
    <w:rsid w:val="00404FAE"/>
    <w:rsid w:val="00411555"/>
    <w:rsid w:val="004210F5"/>
    <w:rsid w:val="00423A85"/>
    <w:rsid w:val="00424300"/>
    <w:rsid w:val="00431174"/>
    <w:rsid w:val="00434D57"/>
    <w:rsid w:val="004356C5"/>
    <w:rsid w:val="004375D3"/>
    <w:rsid w:val="00442DD5"/>
    <w:rsid w:val="00446446"/>
    <w:rsid w:val="00462DB1"/>
    <w:rsid w:val="00472B1E"/>
    <w:rsid w:val="00474A2F"/>
    <w:rsid w:val="0047543F"/>
    <w:rsid w:val="00475614"/>
    <w:rsid w:val="00485D39"/>
    <w:rsid w:val="00491278"/>
    <w:rsid w:val="004941A8"/>
    <w:rsid w:val="0049571A"/>
    <w:rsid w:val="004B6088"/>
    <w:rsid w:val="004B7BDE"/>
    <w:rsid w:val="004C0A3A"/>
    <w:rsid w:val="004C0E5C"/>
    <w:rsid w:val="004C638C"/>
    <w:rsid w:val="004D0E26"/>
    <w:rsid w:val="004D72C7"/>
    <w:rsid w:val="004D7B9D"/>
    <w:rsid w:val="004E121C"/>
    <w:rsid w:val="004F154E"/>
    <w:rsid w:val="005032BA"/>
    <w:rsid w:val="0051479B"/>
    <w:rsid w:val="00515C91"/>
    <w:rsid w:val="005203DF"/>
    <w:rsid w:val="005255C2"/>
    <w:rsid w:val="00530F6D"/>
    <w:rsid w:val="00531319"/>
    <w:rsid w:val="00533E72"/>
    <w:rsid w:val="00535CBB"/>
    <w:rsid w:val="0054334A"/>
    <w:rsid w:val="0054565D"/>
    <w:rsid w:val="00550A9B"/>
    <w:rsid w:val="00552978"/>
    <w:rsid w:val="005532C7"/>
    <w:rsid w:val="00567812"/>
    <w:rsid w:val="00570C01"/>
    <w:rsid w:val="00580143"/>
    <w:rsid w:val="00581A4D"/>
    <w:rsid w:val="005862E4"/>
    <w:rsid w:val="00596537"/>
    <w:rsid w:val="005A30DF"/>
    <w:rsid w:val="005B1325"/>
    <w:rsid w:val="005B4375"/>
    <w:rsid w:val="005B6CE6"/>
    <w:rsid w:val="005B7828"/>
    <w:rsid w:val="005C0C54"/>
    <w:rsid w:val="005C2F7B"/>
    <w:rsid w:val="005C596D"/>
    <w:rsid w:val="005D06A8"/>
    <w:rsid w:val="005D195E"/>
    <w:rsid w:val="005D4857"/>
    <w:rsid w:val="005D600A"/>
    <w:rsid w:val="005E5F34"/>
    <w:rsid w:val="005E68DC"/>
    <w:rsid w:val="005F0CC9"/>
    <w:rsid w:val="005F264D"/>
    <w:rsid w:val="005F3C16"/>
    <w:rsid w:val="005F4C3C"/>
    <w:rsid w:val="005F77BB"/>
    <w:rsid w:val="006065A2"/>
    <w:rsid w:val="006074D9"/>
    <w:rsid w:val="00607835"/>
    <w:rsid w:val="0061089D"/>
    <w:rsid w:val="00625FF9"/>
    <w:rsid w:val="006332BB"/>
    <w:rsid w:val="006361A7"/>
    <w:rsid w:val="006431D2"/>
    <w:rsid w:val="00655A00"/>
    <w:rsid w:val="00657FDA"/>
    <w:rsid w:val="006611CC"/>
    <w:rsid w:val="00671408"/>
    <w:rsid w:val="0067632E"/>
    <w:rsid w:val="00681207"/>
    <w:rsid w:val="00690305"/>
    <w:rsid w:val="006912EE"/>
    <w:rsid w:val="006A2A7E"/>
    <w:rsid w:val="006A5209"/>
    <w:rsid w:val="006A6500"/>
    <w:rsid w:val="006B2763"/>
    <w:rsid w:val="006B3DB6"/>
    <w:rsid w:val="006B7B0E"/>
    <w:rsid w:val="006C2B3F"/>
    <w:rsid w:val="006C6469"/>
    <w:rsid w:val="006C6920"/>
    <w:rsid w:val="006E1B3E"/>
    <w:rsid w:val="006F22F2"/>
    <w:rsid w:val="006F4407"/>
    <w:rsid w:val="0070161B"/>
    <w:rsid w:val="00710D62"/>
    <w:rsid w:val="00714921"/>
    <w:rsid w:val="007153E9"/>
    <w:rsid w:val="0071775B"/>
    <w:rsid w:val="0072155A"/>
    <w:rsid w:val="00721606"/>
    <w:rsid w:val="00721FEB"/>
    <w:rsid w:val="00732700"/>
    <w:rsid w:val="007400CC"/>
    <w:rsid w:val="00740740"/>
    <w:rsid w:val="00742F6B"/>
    <w:rsid w:val="00760095"/>
    <w:rsid w:val="00762A8F"/>
    <w:rsid w:val="007728AD"/>
    <w:rsid w:val="00775FCF"/>
    <w:rsid w:val="00783AD7"/>
    <w:rsid w:val="0078748E"/>
    <w:rsid w:val="00793DBC"/>
    <w:rsid w:val="007948E5"/>
    <w:rsid w:val="007A08DD"/>
    <w:rsid w:val="007A2202"/>
    <w:rsid w:val="007A2653"/>
    <w:rsid w:val="007A37D2"/>
    <w:rsid w:val="007A5F7A"/>
    <w:rsid w:val="007B6591"/>
    <w:rsid w:val="007C0AA4"/>
    <w:rsid w:val="007C1FFE"/>
    <w:rsid w:val="007C275C"/>
    <w:rsid w:val="007C3B96"/>
    <w:rsid w:val="007C4A99"/>
    <w:rsid w:val="007C6952"/>
    <w:rsid w:val="007C7311"/>
    <w:rsid w:val="007D518A"/>
    <w:rsid w:val="007E37F6"/>
    <w:rsid w:val="007E54EC"/>
    <w:rsid w:val="007E7EA0"/>
    <w:rsid w:val="007F2156"/>
    <w:rsid w:val="007F27E3"/>
    <w:rsid w:val="007F293B"/>
    <w:rsid w:val="007F5F53"/>
    <w:rsid w:val="00805405"/>
    <w:rsid w:val="00810639"/>
    <w:rsid w:val="00811B4B"/>
    <w:rsid w:val="00813906"/>
    <w:rsid w:val="0081473F"/>
    <w:rsid w:val="00820F8C"/>
    <w:rsid w:val="008213F2"/>
    <w:rsid w:val="00821A32"/>
    <w:rsid w:val="00823888"/>
    <w:rsid w:val="008252A8"/>
    <w:rsid w:val="0083221A"/>
    <w:rsid w:val="00832AA1"/>
    <w:rsid w:val="00844EBF"/>
    <w:rsid w:val="00856CE5"/>
    <w:rsid w:val="00863F8D"/>
    <w:rsid w:val="008673A2"/>
    <w:rsid w:val="0087117E"/>
    <w:rsid w:val="00893480"/>
    <w:rsid w:val="00893C71"/>
    <w:rsid w:val="008A4343"/>
    <w:rsid w:val="008B1135"/>
    <w:rsid w:val="008B1F74"/>
    <w:rsid w:val="008C256A"/>
    <w:rsid w:val="008C64D8"/>
    <w:rsid w:val="008C7818"/>
    <w:rsid w:val="008D2B05"/>
    <w:rsid w:val="008E2185"/>
    <w:rsid w:val="008E2F4B"/>
    <w:rsid w:val="008E39BB"/>
    <w:rsid w:val="008E5180"/>
    <w:rsid w:val="008E5AB5"/>
    <w:rsid w:val="008E6541"/>
    <w:rsid w:val="008F2BD3"/>
    <w:rsid w:val="008F5E77"/>
    <w:rsid w:val="008F6CA0"/>
    <w:rsid w:val="009063E9"/>
    <w:rsid w:val="00912DF5"/>
    <w:rsid w:val="009234DC"/>
    <w:rsid w:val="0092510F"/>
    <w:rsid w:val="009327B7"/>
    <w:rsid w:val="009335E9"/>
    <w:rsid w:val="00944E39"/>
    <w:rsid w:val="00952DBB"/>
    <w:rsid w:val="00961F67"/>
    <w:rsid w:val="00963290"/>
    <w:rsid w:val="0096557B"/>
    <w:rsid w:val="00982A10"/>
    <w:rsid w:val="0099311E"/>
    <w:rsid w:val="00995220"/>
    <w:rsid w:val="009C4051"/>
    <w:rsid w:val="009D04BA"/>
    <w:rsid w:val="009D2041"/>
    <w:rsid w:val="009D234C"/>
    <w:rsid w:val="009F30D0"/>
    <w:rsid w:val="009F5742"/>
    <w:rsid w:val="009F6601"/>
    <w:rsid w:val="00A0001C"/>
    <w:rsid w:val="00A11875"/>
    <w:rsid w:val="00A12940"/>
    <w:rsid w:val="00A129D1"/>
    <w:rsid w:val="00A1502E"/>
    <w:rsid w:val="00A32179"/>
    <w:rsid w:val="00A35C73"/>
    <w:rsid w:val="00A4134C"/>
    <w:rsid w:val="00A41E44"/>
    <w:rsid w:val="00A41E45"/>
    <w:rsid w:val="00A53673"/>
    <w:rsid w:val="00A53A02"/>
    <w:rsid w:val="00A57A63"/>
    <w:rsid w:val="00A66790"/>
    <w:rsid w:val="00A7150A"/>
    <w:rsid w:val="00A80E08"/>
    <w:rsid w:val="00A841AF"/>
    <w:rsid w:val="00A84E05"/>
    <w:rsid w:val="00A8543A"/>
    <w:rsid w:val="00A917D1"/>
    <w:rsid w:val="00A92C5C"/>
    <w:rsid w:val="00A96FF6"/>
    <w:rsid w:val="00AA2964"/>
    <w:rsid w:val="00AA3D06"/>
    <w:rsid w:val="00AA5089"/>
    <w:rsid w:val="00AB3419"/>
    <w:rsid w:val="00AB416C"/>
    <w:rsid w:val="00AB4C92"/>
    <w:rsid w:val="00AB579A"/>
    <w:rsid w:val="00AB7867"/>
    <w:rsid w:val="00AD45BE"/>
    <w:rsid w:val="00AE0A90"/>
    <w:rsid w:val="00AF086D"/>
    <w:rsid w:val="00AF2178"/>
    <w:rsid w:val="00AF5063"/>
    <w:rsid w:val="00AF6A57"/>
    <w:rsid w:val="00B07BF4"/>
    <w:rsid w:val="00B10DEA"/>
    <w:rsid w:val="00B12647"/>
    <w:rsid w:val="00B1336F"/>
    <w:rsid w:val="00B16FD0"/>
    <w:rsid w:val="00B271CF"/>
    <w:rsid w:val="00B31FBA"/>
    <w:rsid w:val="00B324F8"/>
    <w:rsid w:val="00B378A9"/>
    <w:rsid w:val="00B51EB7"/>
    <w:rsid w:val="00B57297"/>
    <w:rsid w:val="00B64665"/>
    <w:rsid w:val="00B664B2"/>
    <w:rsid w:val="00B8471B"/>
    <w:rsid w:val="00B90D03"/>
    <w:rsid w:val="00B93134"/>
    <w:rsid w:val="00B9403E"/>
    <w:rsid w:val="00B956D2"/>
    <w:rsid w:val="00B975A0"/>
    <w:rsid w:val="00BA2E54"/>
    <w:rsid w:val="00BA3FDA"/>
    <w:rsid w:val="00BB3E1C"/>
    <w:rsid w:val="00BB5923"/>
    <w:rsid w:val="00BC134A"/>
    <w:rsid w:val="00BC3667"/>
    <w:rsid w:val="00BC376B"/>
    <w:rsid w:val="00BC505C"/>
    <w:rsid w:val="00BC6CA2"/>
    <w:rsid w:val="00BD1D9D"/>
    <w:rsid w:val="00BE4B40"/>
    <w:rsid w:val="00BE55E8"/>
    <w:rsid w:val="00BF20EA"/>
    <w:rsid w:val="00BF7F32"/>
    <w:rsid w:val="00C039F5"/>
    <w:rsid w:val="00C04FDE"/>
    <w:rsid w:val="00C05B8C"/>
    <w:rsid w:val="00C0681D"/>
    <w:rsid w:val="00C10531"/>
    <w:rsid w:val="00C30641"/>
    <w:rsid w:val="00C32BD4"/>
    <w:rsid w:val="00C41841"/>
    <w:rsid w:val="00C420BB"/>
    <w:rsid w:val="00C45E21"/>
    <w:rsid w:val="00C500C2"/>
    <w:rsid w:val="00C5533E"/>
    <w:rsid w:val="00C61F78"/>
    <w:rsid w:val="00C64D95"/>
    <w:rsid w:val="00C6708D"/>
    <w:rsid w:val="00C75773"/>
    <w:rsid w:val="00C8479D"/>
    <w:rsid w:val="00C850AB"/>
    <w:rsid w:val="00C866AE"/>
    <w:rsid w:val="00C86FC1"/>
    <w:rsid w:val="00C877B4"/>
    <w:rsid w:val="00C91054"/>
    <w:rsid w:val="00C92FC2"/>
    <w:rsid w:val="00CA04CE"/>
    <w:rsid w:val="00CB1F6A"/>
    <w:rsid w:val="00CB6D78"/>
    <w:rsid w:val="00CC2170"/>
    <w:rsid w:val="00CC5474"/>
    <w:rsid w:val="00CC7060"/>
    <w:rsid w:val="00CC753B"/>
    <w:rsid w:val="00CD1025"/>
    <w:rsid w:val="00CD14F0"/>
    <w:rsid w:val="00CD38D4"/>
    <w:rsid w:val="00CF4E1D"/>
    <w:rsid w:val="00CF547F"/>
    <w:rsid w:val="00D124A0"/>
    <w:rsid w:val="00D141C1"/>
    <w:rsid w:val="00D22830"/>
    <w:rsid w:val="00D22BA6"/>
    <w:rsid w:val="00D368A9"/>
    <w:rsid w:val="00D37AAA"/>
    <w:rsid w:val="00D42A9D"/>
    <w:rsid w:val="00D4456E"/>
    <w:rsid w:val="00D47174"/>
    <w:rsid w:val="00D569B3"/>
    <w:rsid w:val="00D62F71"/>
    <w:rsid w:val="00D655E2"/>
    <w:rsid w:val="00D71E4E"/>
    <w:rsid w:val="00D768A1"/>
    <w:rsid w:val="00D81E7D"/>
    <w:rsid w:val="00D844A7"/>
    <w:rsid w:val="00D84D27"/>
    <w:rsid w:val="00D9674A"/>
    <w:rsid w:val="00DA01F6"/>
    <w:rsid w:val="00DA0DAF"/>
    <w:rsid w:val="00DB061B"/>
    <w:rsid w:val="00DB6C9A"/>
    <w:rsid w:val="00DB74F0"/>
    <w:rsid w:val="00DC5FAA"/>
    <w:rsid w:val="00DC74DE"/>
    <w:rsid w:val="00DD572B"/>
    <w:rsid w:val="00DF3393"/>
    <w:rsid w:val="00DF3794"/>
    <w:rsid w:val="00E04FF9"/>
    <w:rsid w:val="00E14F52"/>
    <w:rsid w:val="00E22DB8"/>
    <w:rsid w:val="00E32FDC"/>
    <w:rsid w:val="00E34F5B"/>
    <w:rsid w:val="00E47439"/>
    <w:rsid w:val="00E57227"/>
    <w:rsid w:val="00E65726"/>
    <w:rsid w:val="00E73324"/>
    <w:rsid w:val="00E77D69"/>
    <w:rsid w:val="00E8078C"/>
    <w:rsid w:val="00E82C67"/>
    <w:rsid w:val="00E93E41"/>
    <w:rsid w:val="00E94863"/>
    <w:rsid w:val="00E971C6"/>
    <w:rsid w:val="00EA1128"/>
    <w:rsid w:val="00EA1873"/>
    <w:rsid w:val="00EA38FE"/>
    <w:rsid w:val="00EA4B64"/>
    <w:rsid w:val="00EA6484"/>
    <w:rsid w:val="00EB54E5"/>
    <w:rsid w:val="00EB5CBB"/>
    <w:rsid w:val="00EB6107"/>
    <w:rsid w:val="00EB72BE"/>
    <w:rsid w:val="00EB7598"/>
    <w:rsid w:val="00EC3FF1"/>
    <w:rsid w:val="00EC4BF6"/>
    <w:rsid w:val="00ED3F72"/>
    <w:rsid w:val="00ED5113"/>
    <w:rsid w:val="00ED6F03"/>
    <w:rsid w:val="00EE0D8B"/>
    <w:rsid w:val="00EF48DF"/>
    <w:rsid w:val="00EF7A17"/>
    <w:rsid w:val="00F06887"/>
    <w:rsid w:val="00F15E0F"/>
    <w:rsid w:val="00F24FC6"/>
    <w:rsid w:val="00F27E8D"/>
    <w:rsid w:val="00F31D86"/>
    <w:rsid w:val="00F3684C"/>
    <w:rsid w:val="00F37CA7"/>
    <w:rsid w:val="00F4231A"/>
    <w:rsid w:val="00F46635"/>
    <w:rsid w:val="00F475EC"/>
    <w:rsid w:val="00F517FA"/>
    <w:rsid w:val="00F608C9"/>
    <w:rsid w:val="00F77EB0"/>
    <w:rsid w:val="00F91CC3"/>
    <w:rsid w:val="00F94665"/>
    <w:rsid w:val="00F9712B"/>
    <w:rsid w:val="00FA1196"/>
    <w:rsid w:val="00FA3D36"/>
    <w:rsid w:val="00FA677C"/>
    <w:rsid w:val="00FA7446"/>
    <w:rsid w:val="00FC3202"/>
    <w:rsid w:val="00FD64A7"/>
    <w:rsid w:val="00FE51B8"/>
    <w:rsid w:val="00FE7785"/>
    <w:rsid w:val="00FE785E"/>
    <w:rsid w:val="00FF4E31"/>
    <w:rsid w:val="00FF550B"/>
    <w:rsid w:val="00FF5D58"/>
    <w:rsid w:val="3BC85B7D"/>
    <w:rsid w:val="3E6AAA00"/>
    <w:rsid w:val="464730D9"/>
    <w:rsid w:val="46BF41B0"/>
    <w:rsid w:val="6AC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BE7625"/>
  <w15:docId w15:val="{62179F7F-84D5-4DF5-96BD-81E947F7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EB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21FEB"/>
    <w:pPr>
      <w:keepNext/>
      <w:keepLines/>
      <w:outlineLvl w:val="2"/>
    </w:pPr>
    <w:rPr>
      <w:rFonts w:eastAsiaTheme="majorEastAsia" w:cstheme="majorBidi"/>
      <w:b/>
    </w:rPr>
  </w:style>
  <w:style w:type="paragraph" w:styleId="Heading4">
    <w:name w:val="heading 4"/>
    <w:basedOn w:val="Normal"/>
    <w:next w:val="Normal"/>
    <w:link w:val="Heading4Char"/>
    <w:uiPriority w:val="9"/>
    <w:unhideWhenUsed/>
    <w:qFormat/>
    <w:rsid w:val="000B50C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semiHidden/>
    <w:unhideWhenUsed/>
    <w:rsid w:val="00431174"/>
    <w:rPr>
      <w:sz w:val="20"/>
      <w:szCs w:val="20"/>
    </w:rPr>
  </w:style>
  <w:style w:type="character" w:customStyle="1" w:styleId="CommentTextChar">
    <w:name w:val="Comment Text Char"/>
    <w:basedOn w:val="DefaultParagraphFont"/>
    <w:link w:val="CommentText"/>
    <w:uiPriority w:val="99"/>
    <w:semiHidden/>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
    <w:basedOn w:val="Normal"/>
    <w:link w:val="ListParagraphChar"/>
    <w:uiPriority w:val="34"/>
    <w:qFormat/>
    <w:rsid w:val="000737D6"/>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customStyle="1" w:styleId="PlainTable11">
    <w:name w:val="Plain Table 11"/>
    <w:basedOn w:val="TableNormal"/>
    <w:uiPriority w:val="41"/>
    <w:rsid w:val="00346E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1">
    <w:name w:val="Grid Table 31"/>
    <w:basedOn w:val="TableNormal"/>
    <w:uiPriority w:val="48"/>
    <w:rsid w:val="00346E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31">
    <w:name w:val="Plain Table 31"/>
    <w:basedOn w:val="TableNormal"/>
    <w:uiPriority w:val="43"/>
    <w:rsid w:val="00346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customStyle="1" w:styleId="GridTable2-Accent31">
    <w:name w:val="Grid Table 2 - Accent 31"/>
    <w:basedOn w:val="TableNormal"/>
    <w:uiPriority w:val="47"/>
    <w:rsid w:val="00F608C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721FEB"/>
    <w:rPr>
      <w:rFonts w:ascii="Arial" w:eastAsiaTheme="majorEastAsia" w:hAnsi="Arial" w:cstheme="majorBidi"/>
      <w:b/>
      <w:sz w:val="24"/>
      <w:szCs w:val="24"/>
    </w:rPr>
  </w:style>
  <w:style w:type="character" w:customStyle="1" w:styleId="Heading5Char">
    <w:name w:val="Heading 5 Char"/>
    <w:basedOn w:val="DefaultParagraphFont"/>
    <w:link w:val="Heading5"/>
    <w:uiPriority w:val="9"/>
    <w:semiHidden/>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
    <w:basedOn w:val="DefaultParagraphFont"/>
    <w:link w:val="ListParagraph"/>
    <w:uiPriority w:val="34"/>
    <w:locked/>
    <w:rsid w:val="00E77D69"/>
  </w:style>
  <w:style w:type="table" w:styleId="TableGrid">
    <w:name w:val="Table Grid"/>
    <w:basedOn w:val="TableNormal"/>
    <w:uiPriority w:val="39"/>
    <w:rsid w:val="00FA3D3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pPr>
      <w:spacing w:after="120"/>
    </w:pPr>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D844A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0B50CC"/>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semiHidden/>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057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595019507">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be/ag/ag/yr19/documents/jul19item01.docx" TargetMode="External"/><Relationship Id="rId18" Type="http://schemas.openxmlformats.org/officeDocument/2006/relationships/hyperlink" Target="https://www.cde.ca.gov/be/ag/ag/yr18/documents/jul18item02a1.docx"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cde.ca.gov/be/pn/im/documents/dec19memogad01.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e.ca.gov/sp/sw/t1/schoolsupport.as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be/ag/ag/yr19/documents/nov19item04.docx"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6" ma:contentTypeDescription="Create a new document." ma:contentTypeScope="" ma:versionID="081a58a473b62bf266c3a16d636b4bf6">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378148ebd5c62d163fa41123e1abab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56A93-1C06-44B1-A430-A768E6C6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5C8C3-B6E2-4814-B052-D50ACA40F89C}">
  <ds:schemaRefs>
    <ds:schemaRef ds:uri="http://schemas.microsoft.com/sharepoint/v3/contenttype/forms"/>
  </ds:schemaRefs>
</ds:datastoreItem>
</file>

<file path=customXml/itemProps3.xml><?xml version="1.0" encoding="utf-8"?>
<ds:datastoreItem xmlns:ds="http://schemas.openxmlformats.org/officeDocument/2006/customXml" ds:itemID="{01573C4C-4E54-4FB8-985C-E06898C7F6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aae30ff-d7bc-47e3-882e-cd3423d00d62"/>
    <ds:schemaRef ds:uri="http://purl.org/dc/terms/"/>
    <ds:schemaRef ds:uri="f89dec18-d0c2-45d2-8a15-31051f2519f8"/>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379AE11-2DAF-435F-B9F5-A4EFA307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2795</Words>
  <Characters>15932</Characters>
  <DocSecurity>0</DocSecurity>
  <Lines>132</Lines>
  <Paragraphs>37</Paragraphs>
  <ScaleCrop>false</ScaleCrop>
  <HeadingPairs>
    <vt:vector size="2" baseType="variant">
      <vt:variant>
        <vt:lpstr>Title</vt:lpstr>
      </vt:variant>
      <vt:variant>
        <vt:i4>1</vt:i4>
      </vt:variant>
    </vt:vector>
  </HeadingPairs>
  <TitlesOfParts>
    <vt:vector size="1" baseType="lpstr">
      <vt:lpstr>April 2020 Memo IMB AMARD Item 02 - Information Memorandum (CA State Board of Education)</vt:lpstr>
    </vt:vector>
  </TitlesOfParts>
  <Company>California State Board of Education</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2020 Memo IMB AMARD Item 02 - Information Memorandum (CA State Board of Education)</dc:title>
  <dc:subject>Update on the Implementation of the Integrated Local, State, and Federal Accountability System. Revision from the February 2020 Information Memoranda.</dc:subject>
  <dc:creator/>
  <cp:keywords/>
  <dc:description/>
  <cp:lastPrinted>2020-01-30T22:13:00Z</cp:lastPrinted>
  <dcterms:created xsi:type="dcterms:W3CDTF">2020-04-01T16:33:00Z</dcterms:created>
  <dcterms:modified xsi:type="dcterms:W3CDTF">2020-04-16T00:46:00Z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