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5D5B" w14:textId="77777777" w:rsidR="00E77F9E" w:rsidRPr="007C25F9" w:rsidRDefault="00E77F9E" w:rsidP="00EA4CF5">
      <w:pPr>
        <w:pStyle w:val="Header"/>
        <w:jc w:val="right"/>
      </w:pPr>
      <w:r w:rsidRPr="007C25F9">
        <w:t>California Department of Education</w:t>
      </w:r>
    </w:p>
    <w:p w14:paraId="2C851F63" w14:textId="77777777" w:rsidR="00E77F9E" w:rsidRPr="007C25F9" w:rsidRDefault="00E77F9E" w:rsidP="00EA4CF5">
      <w:pPr>
        <w:pStyle w:val="Header"/>
        <w:jc w:val="right"/>
      </w:pPr>
      <w:r w:rsidRPr="007C25F9">
        <w:t>Charter Schools Division</w:t>
      </w:r>
    </w:p>
    <w:p w14:paraId="0A11DCB4" w14:textId="77777777" w:rsidR="00E77F9E" w:rsidRPr="007C25F9" w:rsidRDefault="00E77F9E" w:rsidP="00EA4CF5">
      <w:pPr>
        <w:pStyle w:val="Header"/>
        <w:jc w:val="right"/>
      </w:pPr>
      <w:r w:rsidRPr="007C25F9">
        <w:t xml:space="preserve">Created </w:t>
      </w:r>
      <w:r>
        <w:t>12</w:t>
      </w:r>
      <w:r w:rsidRPr="007C25F9">
        <w:t>/202</w:t>
      </w:r>
      <w:r>
        <w:t>6</w:t>
      </w:r>
    </w:p>
    <w:p w14:paraId="6A4CA0A8" w14:textId="49C451F7" w:rsidR="00E77F9E" w:rsidRPr="007C25F9" w:rsidRDefault="009717B1" w:rsidP="00EA4CF5">
      <w:pPr>
        <w:pStyle w:val="Header"/>
        <w:jc w:val="right"/>
      </w:pPr>
      <w:r>
        <w:t>memo-</w:t>
      </w:r>
      <w:r w:rsidR="00E77F9E" w:rsidRPr="007C25F9">
        <w:t>lacb-csd-</w:t>
      </w:r>
      <w:r>
        <w:t>apr</w:t>
      </w:r>
      <w:r w:rsidR="00E77F9E" w:rsidRPr="007C25F9">
        <w:t>2</w:t>
      </w:r>
      <w:r w:rsidR="00E77F9E">
        <w:t>6</w:t>
      </w:r>
      <w:r w:rsidR="00E77F9E" w:rsidRPr="007C25F9">
        <w:t>item</w:t>
      </w:r>
      <w:r>
        <w:t>02</w:t>
      </w:r>
    </w:p>
    <w:p w14:paraId="18BC40E0" w14:textId="43676FF7" w:rsidR="00E77F9E" w:rsidRPr="007C25F9" w:rsidRDefault="00E77F9E" w:rsidP="00EA4CF5">
      <w:pPr>
        <w:pStyle w:val="Header"/>
        <w:jc w:val="right"/>
      </w:pPr>
      <w:r w:rsidRPr="007C25F9">
        <w:t xml:space="preserve">Attachment </w:t>
      </w:r>
      <w:r w:rsidR="009717B1">
        <w:t>10</w:t>
      </w:r>
    </w:p>
    <w:p w14:paraId="09117DD0" w14:textId="77777777" w:rsidR="00E77F9E" w:rsidRPr="007C25F9" w:rsidRDefault="00E77F9E" w:rsidP="008C1CCA">
      <w:pPr>
        <w:pStyle w:val="Heading1"/>
      </w:pPr>
      <w:r w:rsidRPr="007C25F9">
        <w:t>California State Board of Education-Authorized Charter School Academic Memorandum Form</w:t>
      </w:r>
    </w:p>
    <w:p w14:paraId="7F143D05" w14:textId="77777777" w:rsidR="00E77F9E" w:rsidRPr="007C25F9" w:rsidRDefault="00E77F9E" w:rsidP="008C1CCA">
      <w:pPr>
        <w:spacing w:after="480"/>
        <w:jc w:val="center"/>
        <w:rPr>
          <w:rFonts w:eastAsia="Calibri" w:cs="Arial"/>
          <w14:ligatures w14:val="none"/>
        </w:rPr>
      </w:pPr>
      <w:r w:rsidRPr="007C25F9">
        <w:rPr>
          <w:rFonts w:eastAsia="Calibri" w:cs="Arial"/>
          <w14:ligatures w14:val="none"/>
        </w:rPr>
        <w:t>CALIFORNIA DEPARTMENT OF EDUCATION</w:t>
      </w:r>
    </w:p>
    <w:p w14:paraId="4675EC51" w14:textId="66B38B2F" w:rsidR="00E77F9E" w:rsidRPr="007C25F9" w:rsidRDefault="00E77F9E"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 xml:space="preserve">New School </w:t>
      </w:r>
      <w:r w:rsidR="009038BD">
        <w:rPr>
          <w:rFonts w:eastAsia="Calibri" w:cs="Arial"/>
          <w:noProof/>
          <w14:ligatures w14:val="none"/>
        </w:rPr>
        <w:t xml:space="preserve">of </w:t>
      </w:r>
      <w:r w:rsidRPr="00DF6992">
        <w:rPr>
          <w:rFonts w:eastAsia="Calibri" w:cs="Arial"/>
          <w:noProof/>
          <w14:ligatures w14:val="none"/>
        </w:rPr>
        <w:t>San Francisco</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1742</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34F7B0E0" w14:textId="77777777" w:rsidR="00E77F9E" w:rsidRPr="007C25F9" w:rsidRDefault="00E77F9E" w:rsidP="00D852E7">
      <w:pPr>
        <w:spacing w:after="160" w:line="259" w:lineRule="auto"/>
        <w:rPr>
          <w:rFonts w:eastAsiaTheme="majorEastAsia" w:cstheme="majorBidi"/>
          <w:b/>
          <w:sz w:val="32"/>
          <w:szCs w:val="26"/>
        </w:rPr>
      </w:pPr>
      <w:r w:rsidRPr="007C25F9">
        <w:br w:type="page"/>
      </w:r>
    </w:p>
    <w:p w14:paraId="1D4945DD" w14:textId="0DC4C5F2" w:rsidR="00E77F9E" w:rsidRPr="007C25F9" w:rsidRDefault="00E77F9E" w:rsidP="00A42D0A">
      <w:pPr>
        <w:pStyle w:val="Heading2"/>
      </w:pPr>
      <w:r w:rsidRPr="00DF6992">
        <w:lastRenderedPageBreak/>
        <w:t>New School</w:t>
      </w:r>
      <w:r w:rsidR="009038BD">
        <w:t xml:space="preserve"> of</w:t>
      </w:r>
      <w:r w:rsidRPr="00DF6992">
        <w:t xml:space="preserve"> San Francisco</w:t>
      </w:r>
      <w:r w:rsidRPr="007C25F9">
        <w:br/>
        <w:t>Academic Memorandum Form</w:t>
      </w:r>
    </w:p>
    <w:p w14:paraId="1F09E383" w14:textId="77777777" w:rsidR="00E77F9E" w:rsidRPr="007C25F9" w:rsidRDefault="00E77F9E" w:rsidP="00A42D0A">
      <w:pPr>
        <w:pStyle w:val="Heading3"/>
      </w:pPr>
      <w:r w:rsidRPr="007C25F9">
        <w:t>Section 1. Charter School Information</w:t>
      </w:r>
    </w:p>
    <w:p w14:paraId="5969E338" w14:textId="77777777" w:rsidR="00E77F9E" w:rsidRPr="007C25F9" w:rsidRDefault="00E77F9E"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E77F9E" w:rsidRPr="007C25F9" w14:paraId="5392B498" w14:textId="77777777" w:rsidTr="007929F6">
        <w:trPr>
          <w:cantSplit/>
          <w:tblHeader/>
        </w:trPr>
        <w:tc>
          <w:tcPr>
            <w:tcW w:w="4675" w:type="dxa"/>
            <w:shd w:val="clear" w:color="auto" w:fill="D9D9D9" w:themeFill="background1" w:themeFillShade="D9"/>
          </w:tcPr>
          <w:p w14:paraId="563B236F" w14:textId="77777777" w:rsidR="00E77F9E" w:rsidRPr="007C25F9" w:rsidRDefault="00E77F9E" w:rsidP="00765AEF">
            <w:pPr>
              <w:rPr>
                <w:b/>
                <w:bCs/>
              </w:rPr>
            </w:pPr>
            <w:r w:rsidRPr="007C25F9">
              <w:rPr>
                <w:b/>
                <w:bCs/>
              </w:rPr>
              <w:t>Prompt</w:t>
            </w:r>
          </w:p>
        </w:tc>
        <w:tc>
          <w:tcPr>
            <w:tcW w:w="4675" w:type="dxa"/>
            <w:shd w:val="clear" w:color="auto" w:fill="D9D9D9" w:themeFill="background1" w:themeFillShade="D9"/>
          </w:tcPr>
          <w:p w14:paraId="35CB4E97" w14:textId="77777777" w:rsidR="00E77F9E" w:rsidRPr="007C25F9" w:rsidRDefault="00E77F9E" w:rsidP="00765AEF">
            <w:pPr>
              <w:rPr>
                <w:b/>
                <w:bCs/>
              </w:rPr>
            </w:pPr>
            <w:r w:rsidRPr="007C25F9">
              <w:rPr>
                <w:b/>
                <w:bCs/>
              </w:rPr>
              <w:t>Response</w:t>
            </w:r>
          </w:p>
        </w:tc>
      </w:tr>
      <w:tr w:rsidR="00E77F9E" w:rsidRPr="007C25F9" w14:paraId="3102E30A" w14:textId="77777777" w:rsidTr="00C2622E">
        <w:tc>
          <w:tcPr>
            <w:tcW w:w="4675" w:type="dxa"/>
          </w:tcPr>
          <w:p w14:paraId="3E271ED5" w14:textId="77777777" w:rsidR="00E77F9E" w:rsidRPr="007C25F9" w:rsidRDefault="00E77F9E" w:rsidP="00765AEF">
            <w:r w:rsidRPr="007C25F9">
              <w:t>Charter School Name</w:t>
            </w:r>
          </w:p>
        </w:tc>
        <w:tc>
          <w:tcPr>
            <w:tcW w:w="4675" w:type="dxa"/>
          </w:tcPr>
          <w:p w14:paraId="7DD6B5A1" w14:textId="77777777" w:rsidR="00E77F9E" w:rsidRPr="007C25F9" w:rsidRDefault="00E77F9E" w:rsidP="00765AEF">
            <w:r w:rsidRPr="00DF6992">
              <w:rPr>
                <w:noProof/>
              </w:rPr>
              <w:t>New School San Francisco</w:t>
            </w:r>
          </w:p>
        </w:tc>
      </w:tr>
      <w:tr w:rsidR="00E77F9E" w:rsidRPr="007C25F9" w14:paraId="0614F99A" w14:textId="77777777" w:rsidTr="00C2622E">
        <w:tc>
          <w:tcPr>
            <w:tcW w:w="4675" w:type="dxa"/>
          </w:tcPr>
          <w:p w14:paraId="56CCD2B8" w14:textId="77777777" w:rsidR="00E77F9E" w:rsidRPr="007C25F9" w:rsidRDefault="00E77F9E" w:rsidP="00765AEF">
            <w:r w:rsidRPr="007C25F9">
              <w:t>School Address</w:t>
            </w:r>
          </w:p>
        </w:tc>
        <w:tc>
          <w:tcPr>
            <w:tcW w:w="4675" w:type="dxa"/>
          </w:tcPr>
          <w:p w14:paraId="0ABCBFC1" w14:textId="77777777" w:rsidR="00E77F9E" w:rsidRPr="007C25F9" w:rsidRDefault="00E77F9E" w:rsidP="00765AEF">
            <w:r w:rsidRPr="00DF6992">
              <w:rPr>
                <w:noProof/>
              </w:rPr>
              <w:t>940 Filbert Street</w:t>
            </w:r>
          </w:p>
        </w:tc>
      </w:tr>
      <w:tr w:rsidR="00E77F9E" w:rsidRPr="007C25F9" w14:paraId="094BA84C" w14:textId="77777777" w:rsidTr="00C2622E">
        <w:tc>
          <w:tcPr>
            <w:tcW w:w="4675" w:type="dxa"/>
          </w:tcPr>
          <w:p w14:paraId="6DB83C0B" w14:textId="77777777" w:rsidR="00E77F9E" w:rsidRPr="007C25F9" w:rsidRDefault="00E77F9E" w:rsidP="00765AEF">
            <w:r w:rsidRPr="007C25F9">
              <w:t>City</w:t>
            </w:r>
          </w:p>
        </w:tc>
        <w:tc>
          <w:tcPr>
            <w:tcW w:w="4675" w:type="dxa"/>
          </w:tcPr>
          <w:p w14:paraId="4FE46D8D" w14:textId="77777777" w:rsidR="00E77F9E" w:rsidRPr="007C25F9" w:rsidRDefault="00E77F9E" w:rsidP="00765AEF">
            <w:r w:rsidRPr="00DF6992">
              <w:rPr>
                <w:noProof/>
              </w:rPr>
              <w:t>San Francisco</w:t>
            </w:r>
          </w:p>
        </w:tc>
      </w:tr>
      <w:tr w:rsidR="00E77F9E" w:rsidRPr="007C25F9" w14:paraId="540036A9" w14:textId="77777777" w:rsidTr="00C2622E">
        <w:tc>
          <w:tcPr>
            <w:tcW w:w="4675" w:type="dxa"/>
          </w:tcPr>
          <w:p w14:paraId="36841891" w14:textId="77777777" w:rsidR="00E77F9E" w:rsidRPr="007C25F9" w:rsidRDefault="00E77F9E" w:rsidP="00765AEF">
            <w:r w:rsidRPr="007C25F9">
              <w:t>ZIP Code</w:t>
            </w:r>
          </w:p>
        </w:tc>
        <w:tc>
          <w:tcPr>
            <w:tcW w:w="4675" w:type="dxa"/>
          </w:tcPr>
          <w:p w14:paraId="04AF4BEB" w14:textId="77777777" w:rsidR="00E77F9E" w:rsidRPr="007C25F9" w:rsidRDefault="00E77F9E" w:rsidP="00765AEF">
            <w:r w:rsidRPr="00DF6992">
              <w:rPr>
                <w:noProof/>
              </w:rPr>
              <w:t>94133</w:t>
            </w:r>
          </w:p>
        </w:tc>
      </w:tr>
      <w:tr w:rsidR="00E77F9E" w:rsidRPr="007C25F9" w14:paraId="78B42782" w14:textId="77777777" w:rsidTr="00C2622E">
        <w:tc>
          <w:tcPr>
            <w:tcW w:w="4675" w:type="dxa"/>
          </w:tcPr>
          <w:p w14:paraId="273DC564" w14:textId="77777777" w:rsidR="00E77F9E" w:rsidRPr="007C25F9" w:rsidRDefault="00E77F9E" w:rsidP="00765AEF">
            <w:r w:rsidRPr="007C25F9">
              <w:t>Located in District</w:t>
            </w:r>
          </w:p>
        </w:tc>
        <w:tc>
          <w:tcPr>
            <w:tcW w:w="4675" w:type="dxa"/>
          </w:tcPr>
          <w:p w14:paraId="07CA588F" w14:textId="77777777" w:rsidR="00E77F9E" w:rsidRPr="007C25F9" w:rsidRDefault="00E77F9E" w:rsidP="00765AEF">
            <w:r w:rsidRPr="00DF6992">
              <w:rPr>
                <w:noProof/>
              </w:rPr>
              <w:t>San Francisco</w:t>
            </w:r>
          </w:p>
        </w:tc>
      </w:tr>
      <w:tr w:rsidR="00E77F9E" w:rsidRPr="007C25F9" w14:paraId="62768897" w14:textId="77777777" w:rsidTr="00C2622E">
        <w:tc>
          <w:tcPr>
            <w:tcW w:w="4675" w:type="dxa"/>
          </w:tcPr>
          <w:p w14:paraId="325CA3F5" w14:textId="77777777" w:rsidR="00E77F9E" w:rsidRPr="007C25F9" w:rsidRDefault="00E77F9E" w:rsidP="00765AEF">
            <w:r w:rsidRPr="007C25F9">
              <w:t>County</w:t>
            </w:r>
          </w:p>
        </w:tc>
        <w:tc>
          <w:tcPr>
            <w:tcW w:w="4675" w:type="dxa"/>
          </w:tcPr>
          <w:p w14:paraId="270AC00D" w14:textId="77777777" w:rsidR="00E77F9E" w:rsidRPr="007C25F9" w:rsidRDefault="00E77F9E" w:rsidP="00765AEF">
            <w:r w:rsidRPr="00DF6992">
              <w:rPr>
                <w:noProof/>
              </w:rPr>
              <w:t>California</w:t>
            </w:r>
          </w:p>
        </w:tc>
      </w:tr>
      <w:tr w:rsidR="00E77F9E" w:rsidRPr="007C25F9" w14:paraId="4C31DFAA" w14:textId="77777777" w:rsidTr="00C2622E">
        <w:tc>
          <w:tcPr>
            <w:tcW w:w="4675" w:type="dxa"/>
          </w:tcPr>
          <w:p w14:paraId="7862E8D6" w14:textId="77777777" w:rsidR="00E77F9E" w:rsidRPr="007C25F9" w:rsidRDefault="00E77F9E" w:rsidP="00765AEF">
            <w:r w:rsidRPr="007C25F9">
              <w:t>Website Address</w:t>
            </w:r>
          </w:p>
        </w:tc>
        <w:tc>
          <w:tcPr>
            <w:tcW w:w="4675" w:type="dxa"/>
          </w:tcPr>
          <w:p w14:paraId="058B4DBC" w14:textId="77777777" w:rsidR="00E77F9E" w:rsidRPr="007C25F9" w:rsidRDefault="00E77F9E" w:rsidP="00765AEF">
            <w:r w:rsidRPr="00DF6992">
              <w:rPr>
                <w:noProof/>
              </w:rPr>
              <w:t>www.newschoolsf.org</w:t>
            </w:r>
          </w:p>
        </w:tc>
      </w:tr>
      <w:tr w:rsidR="00E77F9E" w:rsidRPr="007C25F9" w14:paraId="671FFA1F" w14:textId="77777777" w:rsidTr="00C2622E">
        <w:tc>
          <w:tcPr>
            <w:tcW w:w="4675" w:type="dxa"/>
          </w:tcPr>
          <w:p w14:paraId="305E69B4" w14:textId="77777777" w:rsidR="00E77F9E" w:rsidRPr="007C25F9" w:rsidRDefault="00E77F9E" w:rsidP="00765AEF">
            <w:r w:rsidRPr="007C25F9">
              <w:t>County District School (CDS) Code</w:t>
            </w:r>
          </w:p>
        </w:tc>
        <w:tc>
          <w:tcPr>
            <w:tcW w:w="4675" w:type="dxa"/>
          </w:tcPr>
          <w:p w14:paraId="3109FC47" w14:textId="77777777" w:rsidR="00E77F9E" w:rsidRPr="007C25F9" w:rsidRDefault="00E77F9E" w:rsidP="00765AEF">
            <w:r w:rsidRPr="00DF6992">
              <w:rPr>
                <w:noProof/>
              </w:rPr>
              <w:t>38-76927-0132183</w:t>
            </w:r>
          </w:p>
        </w:tc>
      </w:tr>
      <w:tr w:rsidR="00E77F9E" w:rsidRPr="007C25F9" w14:paraId="3F2521CB" w14:textId="77777777" w:rsidTr="00C2622E">
        <w:tc>
          <w:tcPr>
            <w:tcW w:w="4675" w:type="dxa"/>
          </w:tcPr>
          <w:p w14:paraId="50CB584B" w14:textId="77777777" w:rsidR="00E77F9E" w:rsidRPr="007C25F9" w:rsidRDefault="00E77F9E" w:rsidP="00765AEF">
            <w:r w:rsidRPr="007C25F9">
              <w:t>Charter Number</w:t>
            </w:r>
          </w:p>
        </w:tc>
        <w:tc>
          <w:tcPr>
            <w:tcW w:w="4675" w:type="dxa"/>
          </w:tcPr>
          <w:p w14:paraId="240717B4" w14:textId="77777777" w:rsidR="00E77F9E" w:rsidRPr="007C25F9" w:rsidRDefault="00E77F9E" w:rsidP="00765AEF">
            <w:r w:rsidRPr="00DF6992">
              <w:rPr>
                <w:noProof/>
              </w:rPr>
              <w:t>1742</w:t>
            </w:r>
          </w:p>
        </w:tc>
      </w:tr>
      <w:tr w:rsidR="00E77F9E" w:rsidRPr="007C25F9" w14:paraId="592A3918" w14:textId="77777777" w:rsidTr="00C2622E">
        <w:tc>
          <w:tcPr>
            <w:tcW w:w="4675" w:type="dxa"/>
          </w:tcPr>
          <w:p w14:paraId="0E8E3494" w14:textId="77777777" w:rsidR="00E77F9E" w:rsidRPr="007C25F9" w:rsidRDefault="00E77F9E" w:rsidP="00765AEF">
            <w:r w:rsidRPr="007C25F9">
              <w:t>Current Charter Term Start Date</w:t>
            </w:r>
          </w:p>
        </w:tc>
        <w:tc>
          <w:tcPr>
            <w:tcW w:w="4675" w:type="dxa"/>
          </w:tcPr>
          <w:p w14:paraId="0083BE5A" w14:textId="77777777" w:rsidR="00E77F9E" w:rsidRPr="007C25F9" w:rsidRDefault="00E77F9E" w:rsidP="00765AEF">
            <w:r w:rsidRPr="00DF6992">
              <w:rPr>
                <w:noProof/>
              </w:rPr>
              <w:t>8/17/2015</w:t>
            </w:r>
          </w:p>
        </w:tc>
      </w:tr>
      <w:tr w:rsidR="00E77F9E" w:rsidRPr="007C25F9" w14:paraId="46EEAE95" w14:textId="77777777" w:rsidTr="00C2622E">
        <w:tc>
          <w:tcPr>
            <w:tcW w:w="4675" w:type="dxa"/>
          </w:tcPr>
          <w:p w14:paraId="43DD229D" w14:textId="77777777" w:rsidR="00E77F9E" w:rsidRPr="007C25F9" w:rsidRDefault="00E77F9E" w:rsidP="00765AEF">
            <w:r w:rsidRPr="007C25F9">
              <w:t>Current Charter Term End Date</w:t>
            </w:r>
          </w:p>
        </w:tc>
        <w:tc>
          <w:tcPr>
            <w:tcW w:w="4675" w:type="dxa"/>
          </w:tcPr>
          <w:p w14:paraId="1585BEA0" w14:textId="77777777" w:rsidR="00E77F9E" w:rsidRPr="007C25F9" w:rsidRDefault="00E77F9E" w:rsidP="00765AEF">
            <w:r w:rsidRPr="00DF6992">
              <w:rPr>
                <w:noProof/>
              </w:rPr>
              <w:t>6/30/2028</w:t>
            </w:r>
          </w:p>
        </w:tc>
      </w:tr>
      <w:tr w:rsidR="00E77F9E" w:rsidRPr="007C25F9" w14:paraId="181C1006" w14:textId="77777777" w:rsidTr="00C2622E">
        <w:tc>
          <w:tcPr>
            <w:tcW w:w="4675" w:type="dxa"/>
          </w:tcPr>
          <w:p w14:paraId="4DAC5548" w14:textId="77777777" w:rsidR="00E77F9E" w:rsidRPr="007C25F9" w:rsidRDefault="00E77F9E" w:rsidP="00765AEF">
            <w:r w:rsidRPr="007C25F9">
              <w:t>Grade Levels Served</w:t>
            </w:r>
          </w:p>
        </w:tc>
        <w:tc>
          <w:tcPr>
            <w:tcW w:w="4675" w:type="dxa"/>
          </w:tcPr>
          <w:p w14:paraId="67508C1D" w14:textId="77777777" w:rsidR="00E77F9E" w:rsidRPr="007C25F9" w:rsidRDefault="00E77F9E" w:rsidP="00765AEF">
            <w:r w:rsidRPr="00DF6992">
              <w:rPr>
                <w:noProof/>
              </w:rPr>
              <w:t>K-8</w:t>
            </w:r>
          </w:p>
        </w:tc>
      </w:tr>
      <w:tr w:rsidR="00E77F9E" w:rsidRPr="007C25F9" w14:paraId="5BA367EF" w14:textId="77777777" w:rsidTr="00C2622E">
        <w:tc>
          <w:tcPr>
            <w:tcW w:w="4675" w:type="dxa"/>
          </w:tcPr>
          <w:p w14:paraId="079F87B5" w14:textId="77777777" w:rsidR="00E77F9E" w:rsidRPr="007C25F9" w:rsidRDefault="00E77F9E" w:rsidP="00765AEF">
            <w:r w:rsidRPr="007C25F9">
              <w:t>202</w:t>
            </w:r>
            <w:r>
              <w:t>4</w:t>
            </w:r>
            <w:r w:rsidRPr="007C25F9">
              <w:t>–2</w:t>
            </w:r>
            <w:r>
              <w:t>5</w:t>
            </w:r>
            <w:r w:rsidRPr="007C25F9">
              <w:t xml:space="preserve"> Enrollment</w:t>
            </w:r>
          </w:p>
        </w:tc>
        <w:tc>
          <w:tcPr>
            <w:tcW w:w="4675" w:type="dxa"/>
          </w:tcPr>
          <w:p w14:paraId="0E25CFD9" w14:textId="77777777" w:rsidR="00E77F9E" w:rsidRPr="007C25F9" w:rsidRDefault="00E77F9E" w:rsidP="00765AEF">
            <w:r w:rsidRPr="00DF6992">
              <w:rPr>
                <w:noProof/>
              </w:rPr>
              <w:t>457</w:t>
            </w:r>
          </w:p>
        </w:tc>
      </w:tr>
      <w:tr w:rsidR="00E77F9E" w:rsidRPr="007C25F9" w14:paraId="5DE6F304" w14:textId="77777777" w:rsidTr="00C2622E">
        <w:tc>
          <w:tcPr>
            <w:tcW w:w="4675" w:type="dxa"/>
          </w:tcPr>
          <w:p w14:paraId="26D72D31" w14:textId="77777777" w:rsidR="00E77F9E" w:rsidRPr="007C25F9" w:rsidRDefault="00E77F9E" w:rsidP="00765AEF">
            <w:r w:rsidRPr="007C25F9">
              <w:t>Instruction Type</w:t>
            </w:r>
          </w:p>
        </w:tc>
        <w:tc>
          <w:tcPr>
            <w:tcW w:w="4675" w:type="dxa"/>
          </w:tcPr>
          <w:p w14:paraId="27ED83D3" w14:textId="77777777" w:rsidR="00E77F9E" w:rsidRPr="007C25F9" w:rsidRDefault="00E77F9E" w:rsidP="00765AEF">
            <w:r w:rsidRPr="00DF6992">
              <w:rPr>
                <w:noProof/>
              </w:rPr>
              <w:t>Classroom-based</w:t>
            </w:r>
          </w:p>
        </w:tc>
      </w:tr>
    </w:tbl>
    <w:p w14:paraId="0005D798" w14:textId="77777777" w:rsidR="00E77F9E" w:rsidRPr="007C25F9" w:rsidRDefault="00E77F9E" w:rsidP="00765AEF">
      <w:pPr>
        <w:rPr>
          <w:b/>
          <w:bCs/>
        </w:rPr>
      </w:pPr>
      <w:r>
        <w:rPr>
          <w:b/>
          <w:bCs/>
        </w:rPr>
        <w:t xml:space="preserve">Charter </w:t>
      </w:r>
      <w:r w:rsidRPr="007C25F9">
        <w:rPr>
          <w:b/>
          <w:bCs/>
        </w:rPr>
        <w:t>School Description:</w:t>
      </w:r>
    </w:p>
    <w:p w14:paraId="46769F83" w14:textId="77777777" w:rsidR="003F3CC2" w:rsidRDefault="00E77F9E" w:rsidP="00C2622E">
      <w:pPr>
        <w:rPr>
          <w:bCs/>
          <w:noProof/>
        </w:rPr>
      </w:pPr>
      <w:r w:rsidRPr="00DF6992">
        <w:rPr>
          <w:bCs/>
          <w:noProof/>
        </w:rPr>
        <w:t>The mission of The New School of San Francisco (NSSF) is to demonstrate a holistic 21st century education that instills a love of learning now and prepares students and families for success in the future.</w:t>
      </w:r>
    </w:p>
    <w:p w14:paraId="07922450" w14:textId="77777777" w:rsidR="003F3CC2" w:rsidRDefault="00E77F9E" w:rsidP="00C2622E">
      <w:pPr>
        <w:rPr>
          <w:bCs/>
          <w:noProof/>
        </w:rPr>
      </w:pPr>
      <w:r w:rsidRPr="00DF6992">
        <w:rPr>
          <w:bCs/>
          <w:noProof/>
        </w:rPr>
        <w:t xml:space="preserve">The NSSF educational model has four guiding principles: we believe every child is unique; we learn by doing; we celebrate diversity and practice equity; and we build </w:t>
      </w:r>
      <w:r w:rsidRPr="00DF6992">
        <w:rPr>
          <w:bCs/>
          <w:noProof/>
        </w:rPr>
        <w:lastRenderedPageBreak/>
        <w:t>community through partnerships. These guiding principles inform our approach to teaching and learning with the aim of meeting each child’s social, emotional, physical, and academic needs in preparation for an increasingly complex and globalized world.</w:t>
      </w:r>
    </w:p>
    <w:p w14:paraId="4D8EAB7C" w14:textId="77777777" w:rsidR="003F3CC2" w:rsidRDefault="00E77F9E" w:rsidP="00C2622E">
      <w:pPr>
        <w:rPr>
          <w:bCs/>
          <w:noProof/>
        </w:rPr>
      </w:pPr>
      <w:r w:rsidRPr="00DF6992">
        <w:rPr>
          <w:bCs/>
          <w:noProof/>
        </w:rPr>
        <w:t>NSSF utilizes a rigorous, inquiry-based instructional model in service of deeper learning that is also aligned with the Common Core State Standards. The use of an Individualized Learning Plan (ILP) documents and communicates the unique goals for each student and the differentiated strategies educators and families will pursue to reach them.</w:t>
      </w:r>
    </w:p>
    <w:p w14:paraId="2E82F471" w14:textId="77777777" w:rsidR="003F3CC2" w:rsidRDefault="00E77F9E" w:rsidP="00C2622E">
      <w:pPr>
        <w:rPr>
          <w:bCs/>
          <w:noProof/>
        </w:rPr>
      </w:pPr>
      <w:r w:rsidRPr="00DF6992">
        <w:rPr>
          <w:bCs/>
          <w:noProof/>
        </w:rPr>
        <w:t>NSSF puts equity at the forefront of our practice, meaning that every child has what they need to thrive academically and social-emotionally. Identity development and tiers of intervention, including our SEL, PBIS, and restorative practices, are critical components of the school’s commitment to diversity, equity, and inclusion.</w:t>
      </w:r>
    </w:p>
    <w:p w14:paraId="7B2C8E59" w14:textId="7DEE0000" w:rsidR="00E77F9E" w:rsidRPr="007C25F9" w:rsidRDefault="00E77F9E" w:rsidP="00C2622E">
      <w:pPr>
        <w:rPr>
          <w:bCs/>
        </w:rPr>
      </w:pPr>
      <w:r w:rsidRPr="00DF6992">
        <w:rPr>
          <w:bCs/>
          <w:noProof/>
        </w:rPr>
        <w:t>NSSF is a city-wide public charter is committed to having a student body that reflects and celebrates the rich diversity of San Francisco. We know that a balanced student body across race, ethnicity, language, income, gender identification, and family life (among others) makes for a truly diverse and enriching learning community. We are committed to recruiting with this purpose in mind.</w:t>
      </w:r>
    </w:p>
    <w:p w14:paraId="775DEC02" w14:textId="77777777" w:rsidR="00E77F9E" w:rsidRPr="007C25F9" w:rsidRDefault="00E77F9E" w:rsidP="00A42D0A">
      <w:pPr>
        <w:pStyle w:val="Heading5"/>
      </w:pPr>
      <w:r w:rsidRPr="007C25F9">
        <w:t>Demographic Information</w:t>
      </w:r>
    </w:p>
    <w:p w14:paraId="69340448" w14:textId="77777777" w:rsidR="00E77F9E" w:rsidRPr="007C25F9" w:rsidRDefault="00E77F9E"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0B952C3B" w14:textId="77777777" w:rsidR="00E77F9E" w:rsidRPr="007C25F9" w:rsidRDefault="00E77F9E" w:rsidP="00A42D0A">
      <w:pPr>
        <w:pStyle w:val="Heading6"/>
      </w:pPr>
      <w:r w:rsidRPr="007C25F9">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E77F9E" w:rsidRPr="007C25F9" w14:paraId="407F8267" w14:textId="77777777" w:rsidTr="007929F6">
        <w:trPr>
          <w:cantSplit/>
          <w:tblHeader/>
        </w:trPr>
        <w:tc>
          <w:tcPr>
            <w:tcW w:w="4675" w:type="dxa"/>
            <w:shd w:val="clear" w:color="auto" w:fill="D9D9D9" w:themeFill="background1" w:themeFillShade="D9"/>
          </w:tcPr>
          <w:p w14:paraId="74CE8063" w14:textId="77777777" w:rsidR="00E77F9E" w:rsidRPr="007C25F9" w:rsidRDefault="00E77F9E" w:rsidP="00D41927">
            <w:pPr>
              <w:rPr>
                <w:b/>
                <w:bCs/>
              </w:rPr>
            </w:pPr>
            <w:r w:rsidRPr="007C25F9">
              <w:rPr>
                <w:b/>
                <w:bCs/>
              </w:rPr>
              <w:t>Prompt</w:t>
            </w:r>
          </w:p>
        </w:tc>
        <w:tc>
          <w:tcPr>
            <w:tcW w:w="4675" w:type="dxa"/>
            <w:shd w:val="clear" w:color="auto" w:fill="D9D9D9" w:themeFill="background1" w:themeFillShade="D9"/>
          </w:tcPr>
          <w:p w14:paraId="31205592" w14:textId="77777777" w:rsidR="00E77F9E" w:rsidRPr="007C25F9" w:rsidRDefault="00E77F9E" w:rsidP="00D41927">
            <w:pPr>
              <w:rPr>
                <w:b/>
                <w:bCs/>
              </w:rPr>
            </w:pPr>
            <w:r w:rsidRPr="007C25F9">
              <w:rPr>
                <w:b/>
                <w:bCs/>
              </w:rPr>
              <w:t>Percentage</w:t>
            </w:r>
          </w:p>
        </w:tc>
      </w:tr>
      <w:tr w:rsidR="00E77F9E" w:rsidRPr="007C25F9" w14:paraId="6F8B8A20" w14:textId="77777777" w:rsidTr="007929F6">
        <w:trPr>
          <w:cantSplit/>
          <w:tblHeader/>
        </w:trPr>
        <w:tc>
          <w:tcPr>
            <w:tcW w:w="4675" w:type="dxa"/>
          </w:tcPr>
          <w:p w14:paraId="76BA8461" w14:textId="77777777" w:rsidR="00E77F9E" w:rsidRPr="007C25F9" w:rsidRDefault="00E77F9E" w:rsidP="00D41927">
            <w:r w:rsidRPr="007C25F9">
              <w:t>English Learners</w:t>
            </w:r>
          </w:p>
        </w:tc>
        <w:tc>
          <w:tcPr>
            <w:tcW w:w="4675" w:type="dxa"/>
          </w:tcPr>
          <w:p w14:paraId="6C756AB5" w14:textId="77777777" w:rsidR="00E77F9E" w:rsidRPr="007C25F9" w:rsidRDefault="00E77F9E" w:rsidP="00D41927">
            <w:r w:rsidRPr="00DF6992">
              <w:rPr>
                <w:noProof/>
              </w:rPr>
              <w:t>18.2</w:t>
            </w:r>
          </w:p>
        </w:tc>
      </w:tr>
      <w:tr w:rsidR="00E77F9E" w:rsidRPr="007C25F9" w14:paraId="68DB76AA" w14:textId="77777777" w:rsidTr="007929F6">
        <w:trPr>
          <w:cantSplit/>
          <w:tblHeader/>
        </w:trPr>
        <w:tc>
          <w:tcPr>
            <w:tcW w:w="4675" w:type="dxa"/>
          </w:tcPr>
          <w:p w14:paraId="573EEEE0" w14:textId="77777777" w:rsidR="00E77F9E" w:rsidRPr="007C25F9" w:rsidRDefault="00E77F9E" w:rsidP="00D41927">
            <w:r w:rsidRPr="007C25F9">
              <w:t>Foster Youth</w:t>
            </w:r>
          </w:p>
        </w:tc>
        <w:tc>
          <w:tcPr>
            <w:tcW w:w="4675" w:type="dxa"/>
          </w:tcPr>
          <w:p w14:paraId="245EEDF4" w14:textId="77777777" w:rsidR="00E77F9E" w:rsidRPr="007C25F9" w:rsidRDefault="00E77F9E" w:rsidP="00D41927">
            <w:r w:rsidRPr="00DF6992">
              <w:rPr>
                <w:noProof/>
              </w:rPr>
              <w:t>0.2</w:t>
            </w:r>
          </w:p>
        </w:tc>
      </w:tr>
      <w:tr w:rsidR="00E77F9E" w:rsidRPr="007C25F9" w14:paraId="4F965254" w14:textId="77777777" w:rsidTr="007929F6">
        <w:trPr>
          <w:cantSplit/>
          <w:tblHeader/>
        </w:trPr>
        <w:tc>
          <w:tcPr>
            <w:tcW w:w="4675" w:type="dxa"/>
          </w:tcPr>
          <w:p w14:paraId="46644D78" w14:textId="77777777" w:rsidR="00E77F9E" w:rsidRPr="007C25F9" w:rsidRDefault="00E77F9E" w:rsidP="00D41927">
            <w:r w:rsidRPr="007C25F9">
              <w:t>Homeless</w:t>
            </w:r>
          </w:p>
        </w:tc>
        <w:tc>
          <w:tcPr>
            <w:tcW w:w="4675" w:type="dxa"/>
          </w:tcPr>
          <w:p w14:paraId="10FCDC26" w14:textId="77777777" w:rsidR="00E77F9E" w:rsidRPr="007C25F9" w:rsidRDefault="00E77F9E" w:rsidP="00D41927">
            <w:r w:rsidRPr="00DF6992">
              <w:rPr>
                <w:noProof/>
              </w:rPr>
              <w:t>0</w:t>
            </w:r>
          </w:p>
        </w:tc>
      </w:tr>
      <w:tr w:rsidR="00E77F9E" w:rsidRPr="007C25F9" w14:paraId="602174D8" w14:textId="77777777" w:rsidTr="007929F6">
        <w:trPr>
          <w:cantSplit/>
          <w:tblHeader/>
        </w:trPr>
        <w:tc>
          <w:tcPr>
            <w:tcW w:w="4675" w:type="dxa"/>
          </w:tcPr>
          <w:p w14:paraId="54E14704" w14:textId="77777777" w:rsidR="00E77F9E" w:rsidRPr="007C25F9" w:rsidRDefault="00E77F9E" w:rsidP="00D41927">
            <w:r w:rsidRPr="007C25F9">
              <w:t>Socioeconomically Disadvantaged</w:t>
            </w:r>
          </w:p>
        </w:tc>
        <w:tc>
          <w:tcPr>
            <w:tcW w:w="4675" w:type="dxa"/>
          </w:tcPr>
          <w:p w14:paraId="616E50DF" w14:textId="77777777" w:rsidR="00E77F9E" w:rsidRPr="007C25F9" w:rsidRDefault="00E77F9E" w:rsidP="00D41927">
            <w:r w:rsidRPr="00DF6992">
              <w:rPr>
                <w:noProof/>
              </w:rPr>
              <w:t>36.8</w:t>
            </w:r>
          </w:p>
        </w:tc>
      </w:tr>
      <w:tr w:rsidR="00E77F9E" w:rsidRPr="007C25F9" w14:paraId="6915FA70" w14:textId="77777777" w:rsidTr="007929F6">
        <w:trPr>
          <w:cantSplit/>
          <w:tblHeader/>
        </w:trPr>
        <w:tc>
          <w:tcPr>
            <w:tcW w:w="4675" w:type="dxa"/>
          </w:tcPr>
          <w:p w14:paraId="7E8C69A4" w14:textId="77777777" w:rsidR="00E77F9E" w:rsidRPr="007C25F9" w:rsidRDefault="00E77F9E" w:rsidP="00D41927">
            <w:r w:rsidRPr="007C25F9">
              <w:t>Students with Disabilities</w:t>
            </w:r>
          </w:p>
        </w:tc>
        <w:tc>
          <w:tcPr>
            <w:tcW w:w="4675" w:type="dxa"/>
          </w:tcPr>
          <w:p w14:paraId="6BBDBD59" w14:textId="77777777" w:rsidR="00E77F9E" w:rsidRPr="007C25F9" w:rsidRDefault="00E77F9E" w:rsidP="00D41927">
            <w:r w:rsidRPr="00DF6992">
              <w:rPr>
                <w:noProof/>
              </w:rPr>
              <w:t>14.7</w:t>
            </w:r>
          </w:p>
        </w:tc>
      </w:tr>
    </w:tbl>
    <w:p w14:paraId="0B358550" w14:textId="77777777" w:rsidR="00E77F9E" w:rsidRPr="007C25F9" w:rsidRDefault="00E77F9E" w:rsidP="00A42D0A">
      <w:pPr>
        <w:pStyle w:val="Heading6"/>
      </w:pPr>
      <w:r w:rsidRPr="007C25F9">
        <w:lastRenderedPageBreak/>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E77F9E" w:rsidRPr="007C25F9" w14:paraId="134D27A9" w14:textId="77777777" w:rsidTr="007929F6">
        <w:trPr>
          <w:cantSplit/>
          <w:tblHeader/>
        </w:trPr>
        <w:tc>
          <w:tcPr>
            <w:tcW w:w="4675" w:type="dxa"/>
            <w:shd w:val="clear" w:color="auto" w:fill="D9D9D9" w:themeFill="background1" w:themeFillShade="D9"/>
          </w:tcPr>
          <w:p w14:paraId="1F4813C0" w14:textId="77777777" w:rsidR="00E77F9E" w:rsidRPr="007C25F9" w:rsidRDefault="00E77F9E" w:rsidP="00D41927">
            <w:pPr>
              <w:rPr>
                <w:b/>
                <w:bCs/>
              </w:rPr>
            </w:pPr>
            <w:r w:rsidRPr="007C25F9">
              <w:rPr>
                <w:b/>
                <w:bCs/>
              </w:rPr>
              <w:t>Prompt</w:t>
            </w:r>
          </w:p>
        </w:tc>
        <w:tc>
          <w:tcPr>
            <w:tcW w:w="4675" w:type="dxa"/>
            <w:shd w:val="clear" w:color="auto" w:fill="D9D9D9" w:themeFill="background1" w:themeFillShade="D9"/>
          </w:tcPr>
          <w:p w14:paraId="2B2A5D61" w14:textId="77777777" w:rsidR="00E77F9E" w:rsidRPr="007C25F9" w:rsidRDefault="00E77F9E" w:rsidP="00D41927">
            <w:pPr>
              <w:rPr>
                <w:b/>
                <w:bCs/>
              </w:rPr>
            </w:pPr>
            <w:r w:rsidRPr="007C25F9">
              <w:rPr>
                <w:b/>
                <w:bCs/>
              </w:rPr>
              <w:t>Percentage</w:t>
            </w:r>
          </w:p>
        </w:tc>
      </w:tr>
      <w:tr w:rsidR="00E77F9E" w:rsidRPr="007C25F9" w14:paraId="03043C08" w14:textId="77777777" w:rsidTr="007929F6">
        <w:trPr>
          <w:cantSplit/>
          <w:tblHeader/>
        </w:trPr>
        <w:tc>
          <w:tcPr>
            <w:tcW w:w="4675" w:type="dxa"/>
          </w:tcPr>
          <w:p w14:paraId="11F73492" w14:textId="77777777" w:rsidR="00E77F9E" w:rsidRPr="007C25F9" w:rsidRDefault="00E77F9E" w:rsidP="00D41927">
            <w:r w:rsidRPr="007C25F9">
              <w:t>African American</w:t>
            </w:r>
          </w:p>
        </w:tc>
        <w:tc>
          <w:tcPr>
            <w:tcW w:w="4675" w:type="dxa"/>
          </w:tcPr>
          <w:p w14:paraId="53A88507" w14:textId="77777777" w:rsidR="00E77F9E" w:rsidRPr="007C25F9" w:rsidRDefault="00E77F9E" w:rsidP="00D41927">
            <w:r w:rsidRPr="00DF6992">
              <w:rPr>
                <w:noProof/>
              </w:rPr>
              <w:t>7.7</w:t>
            </w:r>
          </w:p>
        </w:tc>
      </w:tr>
      <w:tr w:rsidR="00E77F9E" w:rsidRPr="007C25F9" w14:paraId="3AC86417" w14:textId="77777777" w:rsidTr="007929F6">
        <w:trPr>
          <w:cantSplit/>
          <w:tblHeader/>
        </w:trPr>
        <w:tc>
          <w:tcPr>
            <w:tcW w:w="4675" w:type="dxa"/>
          </w:tcPr>
          <w:p w14:paraId="547FB441" w14:textId="77777777" w:rsidR="00E77F9E" w:rsidRPr="007C25F9" w:rsidRDefault="00E77F9E" w:rsidP="00D41927">
            <w:r w:rsidRPr="007C25F9">
              <w:t>American Indian</w:t>
            </w:r>
          </w:p>
        </w:tc>
        <w:tc>
          <w:tcPr>
            <w:tcW w:w="4675" w:type="dxa"/>
          </w:tcPr>
          <w:p w14:paraId="4233080B" w14:textId="77777777" w:rsidR="00E77F9E" w:rsidRPr="007C25F9" w:rsidRDefault="00E77F9E" w:rsidP="00D41927">
            <w:r w:rsidRPr="00DF6992">
              <w:rPr>
                <w:noProof/>
              </w:rPr>
              <w:t>0</w:t>
            </w:r>
          </w:p>
        </w:tc>
      </w:tr>
      <w:tr w:rsidR="00E77F9E" w:rsidRPr="007C25F9" w14:paraId="05B0C8A5" w14:textId="77777777" w:rsidTr="007929F6">
        <w:trPr>
          <w:cantSplit/>
          <w:tblHeader/>
        </w:trPr>
        <w:tc>
          <w:tcPr>
            <w:tcW w:w="4675" w:type="dxa"/>
          </w:tcPr>
          <w:p w14:paraId="34B494E2" w14:textId="77777777" w:rsidR="00E77F9E" w:rsidRPr="007C25F9" w:rsidRDefault="00E77F9E" w:rsidP="00D41927">
            <w:r w:rsidRPr="007C25F9">
              <w:t>Asian</w:t>
            </w:r>
          </w:p>
        </w:tc>
        <w:tc>
          <w:tcPr>
            <w:tcW w:w="4675" w:type="dxa"/>
          </w:tcPr>
          <w:p w14:paraId="0EC0635E" w14:textId="77777777" w:rsidR="00E77F9E" w:rsidRPr="007C25F9" w:rsidRDefault="00E77F9E" w:rsidP="00D41927">
            <w:r w:rsidRPr="00DF6992">
              <w:rPr>
                <w:noProof/>
              </w:rPr>
              <w:t>12.9</w:t>
            </w:r>
          </w:p>
        </w:tc>
      </w:tr>
      <w:tr w:rsidR="00E77F9E" w:rsidRPr="007C25F9" w14:paraId="2DE3846C" w14:textId="77777777" w:rsidTr="007929F6">
        <w:trPr>
          <w:cantSplit/>
          <w:tblHeader/>
        </w:trPr>
        <w:tc>
          <w:tcPr>
            <w:tcW w:w="4675" w:type="dxa"/>
          </w:tcPr>
          <w:p w14:paraId="6A0E1DF5" w14:textId="77777777" w:rsidR="00E77F9E" w:rsidRPr="007C25F9" w:rsidRDefault="00E77F9E" w:rsidP="00D41927">
            <w:r w:rsidRPr="007C25F9">
              <w:t>Filipino</w:t>
            </w:r>
          </w:p>
        </w:tc>
        <w:tc>
          <w:tcPr>
            <w:tcW w:w="4675" w:type="dxa"/>
          </w:tcPr>
          <w:p w14:paraId="3AA02CCD" w14:textId="77777777" w:rsidR="00E77F9E" w:rsidRPr="007C25F9" w:rsidRDefault="00E77F9E" w:rsidP="00D41927">
            <w:r w:rsidRPr="00DF6992">
              <w:rPr>
                <w:noProof/>
              </w:rPr>
              <w:t>1.1</w:t>
            </w:r>
          </w:p>
        </w:tc>
      </w:tr>
      <w:tr w:rsidR="00E77F9E" w:rsidRPr="007C25F9" w14:paraId="5B642865" w14:textId="77777777" w:rsidTr="007929F6">
        <w:trPr>
          <w:cantSplit/>
          <w:tblHeader/>
        </w:trPr>
        <w:tc>
          <w:tcPr>
            <w:tcW w:w="4675" w:type="dxa"/>
          </w:tcPr>
          <w:p w14:paraId="0C5BF5CF" w14:textId="77777777" w:rsidR="00E77F9E" w:rsidRPr="007C25F9" w:rsidRDefault="00E77F9E" w:rsidP="00D41927">
            <w:r w:rsidRPr="007C25F9">
              <w:t>Hispanic</w:t>
            </w:r>
          </w:p>
        </w:tc>
        <w:tc>
          <w:tcPr>
            <w:tcW w:w="4675" w:type="dxa"/>
          </w:tcPr>
          <w:p w14:paraId="3EF1C01F" w14:textId="77777777" w:rsidR="00E77F9E" w:rsidRPr="007C25F9" w:rsidRDefault="00E77F9E" w:rsidP="00D41927">
            <w:r w:rsidRPr="00DF6992">
              <w:rPr>
                <w:noProof/>
              </w:rPr>
              <w:t>37.2</w:t>
            </w:r>
          </w:p>
        </w:tc>
      </w:tr>
      <w:tr w:rsidR="00E77F9E" w:rsidRPr="007C25F9" w14:paraId="4389D9AB" w14:textId="77777777" w:rsidTr="007929F6">
        <w:trPr>
          <w:cantSplit/>
          <w:tblHeader/>
        </w:trPr>
        <w:tc>
          <w:tcPr>
            <w:tcW w:w="4675" w:type="dxa"/>
          </w:tcPr>
          <w:p w14:paraId="2C6EA14E" w14:textId="77777777" w:rsidR="00E77F9E" w:rsidRPr="007C25F9" w:rsidRDefault="00E77F9E" w:rsidP="00D41927">
            <w:r w:rsidRPr="007C25F9">
              <w:t>Pacific Islander</w:t>
            </w:r>
          </w:p>
        </w:tc>
        <w:tc>
          <w:tcPr>
            <w:tcW w:w="4675" w:type="dxa"/>
          </w:tcPr>
          <w:p w14:paraId="2B2EF56B" w14:textId="77777777" w:rsidR="00E77F9E" w:rsidRPr="007C25F9" w:rsidRDefault="00E77F9E" w:rsidP="00D41927">
            <w:r w:rsidRPr="00DF6992">
              <w:rPr>
                <w:noProof/>
              </w:rPr>
              <w:t>0.9</w:t>
            </w:r>
          </w:p>
        </w:tc>
      </w:tr>
      <w:tr w:rsidR="00E77F9E" w:rsidRPr="007C25F9" w14:paraId="5ED4E2FC" w14:textId="77777777" w:rsidTr="007929F6">
        <w:trPr>
          <w:cantSplit/>
          <w:tblHeader/>
        </w:trPr>
        <w:tc>
          <w:tcPr>
            <w:tcW w:w="4675" w:type="dxa"/>
          </w:tcPr>
          <w:p w14:paraId="1A70601F" w14:textId="77777777" w:rsidR="00E77F9E" w:rsidRPr="007C25F9" w:rsidRDefault="00E77F9E" w:rsidP="00D41927">
            <w:r w:rsidRPr="007C25F9">
              <w:t>Two or More Races</w:t>
            </w:r>
          </w:p>
        </w:tc>
        <w:tc>
          <w:tcPr>
            <w:tcW w:w="4675" w:type="dxa"/>
          </w:tcPr>
          <w:p w14:paraId="6424476C" w14:textId="77777777" w:rsidR="00E77F9E" w:rsidRPr="007C25F9" w:rsidRDefault="00E77F9E" w:rsidP="00D41927">
            <w:r w:rsidRPr="00DF6992">
              <w:rPr>
                <w:noProof/>
              </w:rPr>
              <w:t>11.8</w:t>
            </w:r>
          </w:p>
        </w:tc>
      </w:tr>
      <w:tr w:rsidR="00E77F9E" w:rsidRPr="007C25F9" w14:paraId="35FF9053" w14:textId="77777777" w:rsidTr="007929F6">
        <w:trPr>
          <w:cantSplit/>
          <w:tblHeader/>
        </w:trPr>
        <w:tc>
          <w:tcPr>
            <w:tcW w:w="4675" w:type="dxa"/>
          </w:tcPr>
          <w:p w14:paraId="2814B4D7" w14:textId="77777777" w:rsidR="00E77F9E" w:rsidRPr="007C25F9" w:rsidRDefault="00E77F9E" w:rsidP="00D41927">
            <w:r w:rsidRPr="007C25F9">
              <w:t>White</w:t>
            </w:r>
          </w:p>
        </w:tc>
        <w:tc>
          <w:tcPr>
            <w:tcW w:w="4675" w:type="dxa"/>
          </w:tcPr>
          <w:p w14:paraId="3D6A6709" w14:textId="77777777" w:rsidR="00E77F9E" w:rsidRPr="007C25F9" w:rsidRDefault="00E77F9E" w:rsidP="00D41927">
            <w:r w:rsidRPr="00DF6992">
              <w:rPr>
                <w:noProof/>
              </w:rPr>
              <w:t>28.2</w:t>
            </w:r>
          </w:p>
        </w:tc>
      </w:tr>
    </w:tbl>
    <w:p w14:paraId="285081A4" w14:textId="77777777" w:rsidR="00E77F9E" w:rsidRPr="007C25F9" w:rsidRDefault="00E77F9E">
      <w:pPr>
        <w:spacing w:before="0"/>
        <w:rPr>
          <w:rFonts w:eastAsiaTheme="majorEastAsia"/>
          <w:b/>
          <w:bCs/>
          <w:sz w:val="32"/>
          <w:szCs w:val="32"/>
        </w:rPr>
      </w:pPr>
      <w:r w:rsidRPr="007C25F9">
        <w:br w:type="page"/>
      </w:r>
    </w:p>
    <w:p w14:paraId="338A40FA" w14:textId="77777777" w:rsidR="00E77F9E" w:rsidRPr="007C25F9" w:rsidRDefault="00E77F9E" w:rsidP="00A42D0A">
      <w:pPr>
        <w:pStyle w:val="Heading3"/>
      </w:pPr>
      <w:r w:rsidRPr="007C25F9">
        <w:lastRenderedPageBreak/>
        <w:t>Section 2. California School Dashboard Data Overview</w:t>
      </w:r>
    </w:p>
    <w:p w14:paraId="59EB8CD6" w14:textId="77777777" w:rsidR="00E77F9E" w:rsidRPr="007C25F9" w:rsidRDefault="00E77F9E" w:rsidP="00A42D0A">
      <w:pPr>
        <w:pStyle w:val="Heading4"/>
      </w:pPr>
      <w:r w:rsidRPr="007C25F9">
        <w:t>California School Dashboard</w:t>
      </w:r>
    </w:p>
    <w:p w14:paraId="1CA5CE25" w14:textId="77777777" w:rsidR="00E77F9E" w:rsidRPr="007C25F9" w:rsidRDefault="00E77F9E"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E77F9E" w:rsidRPr="007C25F9" w14:paraId="280830E0" w14:textId="77777777" w:rsidTr="007929F6">
        <w:trPr>
          <w:cantSplit/>
          <w:tblHeader/>
        </w:trPr>
        <w:tc>
          <w:tcPr>
            <w:tcW w:w="3350" w:type="dxa"/>
            <w:shd w:val="clear" w:color="auto" w:fill="D9D9D9" w:themeFill="background1" w:themeFillShade="D9"/>
          </w:tcPr>
          <w:p w14:paraId="1FE21C90" w14:textId="77777777" w:rsidR="00E77F9E" w:rsidRPr="007C25F9" w:rsidRDefault="00E77F9E" w:rsidP="00D41927">
            <w:pPr>
              <w:rPr>
                <w:b/>
                <w:bCs/>
              </w:rPr>
            </w:pPr>
            <w:r w:rsidRPr="007C25F9">
              <w:rPr>
                <w:b/>
                <w:bCs/>
              </w:rPr>
              <w:t>Prompt</w:t>
            </w:r>
          </w:p>
        </w:tc>
        <w:tc>
          <w:tcPr>
            <w:tcW w:w="3246" w:type="dxa"/>
            <w:shd w:val="clear" w:color="auto" w:fill="D9D9D9" w:themeFill="background1" w:themeFillShade="D9"/>
          </w:tcPr>
          <w:p w14:paraId="406E7FDA" w14:textId="77777777" w:rsidR="00E77F9E" w:rsidRPr="007C25F9" w:rsidRDefault="00E77F9E" w:rsidP="00D41927">
            <w:pPr>
              <w:rPr>
                <w:b/>
                <w:bCs/>
              </w:rPr>
            </w:pPr>
            <w:r w:rsidRPr="007C25F9">
              <w:rPr>
                <w:b/>
                <w:bCs/>
              </w:rPr>
              <w:t>Percentage</w:t>
            </w:r>
          </w:p>
        </w:tc>
        <w:tc>
          <w:tcPr>
            <w:tcW w:w="2754" w:type="dxa"/>
            <w:shd w:val="clear" w:color="auto" w:fill="D9D9D9" w:themeFill="background1" w:themeFillShade="D9"/>
          </w:tcPr>
          <w:p w14:paraId="6A2BA93B" w14:textId="77777777" w:rsidR="00E77F9E" w:rsidRPr="007C25F9" w:rsidRDefault="00E77F9E" w:rsidP="00D41927">
            <w:pPr>
              <w:rPr>
                <w:b/>
                <w:bCs/>
              </w:rPr>
            </w:pPr>
            <w:r w:rsidRPr="007C25F9">
              <w:rPr>
                <w:b/>
                <w:bCs/>
              </w:rPr>
              <w:t>Color</w:t>
            </w:r>
          </w:p>
        </w:tc>
      </w:tr>
      <w:tr w:rsidR="00E77F9E" w:rsidRPr="007C25F9" w14:paraId="3CAF4FD7" w14:textId="77777777" w:rsidTr="007929F6">
        <w:trPr>
          <w:cantSplit/>
          <w:tblHeader/>
        </w:trPr>
        <w:tc>
          <w:tcPr>
            <w:tcW w:w="3350" w:type="dxa"/>
          </w:tcPr>
          <w:p w14:paraId="5D47BF30" w14:textId="77777777" w:rsidR="00E77F9E" w:rsidRPr="007C25F9" w:rsidRDefault="00E77F9E" w:rsidP="00D41927">
            <w:r w:rsidRPr="007C25F9">
              <w:t>Chronic Absenteeism</w:t>
            </w:r>
          </w:p>
        </w:tc>
        <w:tc>
          <w:tcPr>
            <w:tcW w:w="3246" w:type="dxa"/>
          </w:tcPr>
          <w:p w14:paraId="247E8F06" w14:textId="77777777" w:rsidR="00E77F9E" w:rsidRPr="007C25F9" w:rsidRDefault="00E77F9E" w:rsidP="00D41927">
            <w:r w:rsidRPr="00DF6992">
              <w:rPr>
                <w:noProof/>
              </w:rPr>
              <w:t>20.3</w:t>
            </w:r>
          </w:p>
        </w:tc>
        <w:tc>
          <w:tcPr>
            <w:tcW w:w="2754" w:type="dxa"/>
          </w:tcPr>
          <w:p w14:paraId="264192F4" w14:textId="77777777" w:rsidR="00E77F9E" w:rsidRPr="007C25F9" w:rsidRDefault="00E77F9E" w:rsidP="00D41927">
            <w:r w:rsidRPr="00DF6992">
              <w:rPr>
                <w:noProof/>
              </w:rPr>
              <w:t>Red</w:t>
            </w:r>
          </w:p>
        </w:tc>
      </w:tr>
      <w:tr w:rsidR="00E77F9E" w:rsidRPr="007C25F9" w14:paraId="6F1480AD" w14:textId="77777777" w:rsidTr="007929F6">
        <w:trPr>
          <w:cantSplit/>
          <w:tblHeader/>
        </w:trPr>
        <w:tc>
          <w:tcPr>
            <w:tcW w:w="3350" w:type="dxa"/>
          </w:tcPr>
          <w:p w14:paraId="2C96C399" w14:textId="77777777" w:rsidR="00E77F9E" w:rsidRPr="007C25F9" w:rsidRDefault="00E77F9E" w:rsidP="00D41927">
            <w:r w:rsidRPr="007C25F9">
              <w:t>Suspension Rate</w:t>
            </w:r>
          </w:p>
        </w:tc>
        <w:tc>
          <w:tcPr>
            <w:tcW w:w="3246" w:type="dxa"/>
          </w:tcPr>
          <w:p w14:paraId="2EDA8BEA" w14:textId="77777777" w:rsidR="00E77F9E" w:rsidRPr="007C25F9" w:rsidRDefault="00E77F9E" w:rsidP="00D41927">
            <w:r w:rsidRPr="00DF6992">
              <w:rPr>
                <w:noProof/>
              </w:rPr>
              <w:t>3</w:t>
            </w:r>
          </w:p>
        </w:tc>
        <w:tc>
          <w:tcPr>
            <w:tcW w:w="2754" w:type="dxa"/>
          </w:tcPr>
          <w:p w14:paraId="113666DA" w14:textId="77777777" w:rsidR="00E77F9E" w:rsidRPr="007C25F9" w:rsidRDefault="00E77F9E" w:rsidP="00D41927">
            <w:r w:rsidRPr="00DF6992">
              <w:rPr>
                <w:noProof/>
              </w:rPr>
              <w:t>Orange</w:t>
            </w:r>
          </w:p>
        </w:tc>
      </w:tr>
      <w:tr w:rsidR="00E77F9E" w:rsidRPr="007C25F9" w14:paraId="6B415008" w14:textId="77777777" w:rsidTr="007929F6">
        <w:trPr>
          <w:cantSplit/>
          <w:tblHeader/>
        </w:trPr>
        <w:tc>
          <w:tcPr>
            <w:tcW w:w="3350" w:type="dxa"/>
          </w:tcPr>
          <w:p w14:paraId="009951A1" w14:textId="77777777" w:rsidR="00E77F9E" w:rsidRPr="007C25F9" w:rsidRDefault="00E77F9E" w:rsidP="00D41927">
            <w:r w:rsidRPr="007C25F9">
              <w:t>English Learner Progress</w:t>
            </w:r>
          </w:p>
        </w:tc>
        <w:tc>
          <w:tcPr>
            <w:tcW w:w="3246" w:type="dxa"/>
          </w:tcPr>
          <w:p w14:paraId="14DD4CCE" w14:textId="77777777" w:rsidR="00E77F9E" w:rsidRPr="007C25F9" w:rsidRDefault="00E77F9E" w:rsidP="00D41927">
            <w:r w:rsidRPr="00DF6992">
              <w:rPr>
                <w:noProof/>
              </w:rPr>
              <w:t>57.9</w:t>
            </w:r>
          </w:p>
        </w:tc>
        <w:tc>
          <w:tcPr>
            <w:tcW w:w="2754" w:type="dxa"/>
          </w:tcPr>
          <w:p w14:paraId="08D840F9" w14:textId="77777777" w:rsidR="00E77F9E" w:rsidRPr="007C25F9" w:rsidRDefault="00E77F9E" w:rsidP="00D41927">
            <w:r w:rsidRPr="00DF6992">
              <w:rPr>
                <w:noProof/>
              </w:rPr>
              <w:t>Yellow</w:t>
            </w:r>
          </w:p>
        </w:tc>
      </w:tr>
      <w:tr w:rsidR="00E77F9E" w:rsidRPr="007C25F9" w14:paraId="35ED00DC" w14:textId="77777777" w:rsidTr="007929F6">
        <w:trPr>
          <w:cantSplit/>
          <w:tblHeader/>
        </w:trPr>
        <w:tc>
          <w:tcPr>
            <w:tcW w:w="3350" w:type="dxa"/>
          </w:tcPr>
          <w:p w14:paraId="43A8349C" w14:textId="77777777" w:rsidR="00E77F9E" w:rsidRPr="007C25F9" w:rsidRDefault="00E77F9E" w:rsidP="00D41927">
            <w:r w:rsidRPr="007C25F9">
              <w:t>Graduation Rate</w:t>
            </w:r>
          </w:p>
        </w:tc>
        <w:tc>
          <w:tcPr>
            <w:tcW w:w="3246" w:type="dxa"/>
          </w:tcPr>
          <w:p w14:paraId="26F723E8" w14:textId="0FA1E657" w:rsidR="00E77F9E" w:rsidRPr="007C25F9" w:rsidRDefault="0079037D" w:rsidP="00D41927">
            <w:r>
              <w:t>Not applicable*</w:t>
            </w:r>
          </w:p>
        </w:tc>
        <w:tc>
          <w:tcPr>
            <w:tcW w:w="2754" w:type="dxa"/>
          </w:tcPr>
          <w:p w14:paraId="72294FF3" w14:textId="77777777" w:rsidR="00E77F9E" w:rsidRPr="007C25F9" w:rsidRDefault="00E77F9E" w:rsidP="00D41927">
            <w:r w:rsidRPr="00DF6992">
              <w:rPr>
                <w:noProof/>
              </w:rPr>
              <w:t>No Performance Color</w:t>
            </w:r>
          </w:p>
        </w:tc>
      </w:tr>
      <w:tr w:rsidR="00E77F9E" w:rsidRPr="007C25F9" w14:paraId="21F0CE5D" w14:textId="77777777" w:rsidTr="007929F6">
        <w:trPr>
          <w:cantSplit/>
          <w:tblHeader/>
        </w:trPr>
        <w:tc>
          <w:tcPr>
            <w:tcW w:w="3350" w:type="dxa"/>
          </w:tcPr>
          <w:p w14:paraId="6046BAD5" w14:textId="77777777" w:rsidR="00E77F9E" w:rsidRPr="007C25F9" w:rsidRDefault="00E77F9E" w:rsidP="00D41927">
            <w:r w:rsidRPr="007C25F9">
              <w:t>College/Career</w:t>
            </w:r>
          </w:p>
        </w:tc>
        <w:tc>
          <w:tcPr>
            <w:tcW w:w="3246" w:type="dxa"/>
          </w:tcPr>
          <w:p w14:paraId="147A5F17" w14:textId="37521A24" w:rsidR="00E77F9E" w:rsidRPr="007C25F9" w:rsidRDefault="0079037D" w:rsidP="00D41927">
            <w:r>
              <w:t>Not applicable*</w:t>
            </w:r>
          </w:p>
        </w:tc>
        <w:tc>
          <w:tcPr>
            <w:tcW w:w="2754" w:type="dxa"/>
          </w:tcPr>
          <w:p w14:paraId="359EA370" w14:textId="77777777" w:rsidR="00E77F9E" w:rsidRPr="007C25F9" w:rsidRDefault="00E77F9E" w:rsidP="00D41927">
            <w:r w:rsidRPr="00DF6992">
              <w:rPr>
                <w:noProof/>
              </w:rPr>
              <w:t>No Performance Color</w:t>
            </w:r>
          </w:p>
        </w:tc>
      </w:tr>
    </w:tbl>
    <w:p w14:paraId="7E1CF832" w14:textId="746EC221" w:rsidR="00F908EB" w:rsidRPr="00F908EB" w:rsidRDefault="00F908EB" w:rsidP="00F908EB">
      <w:pPr>
        <w:pStyle w:val="FootnoteText"/>
        <w:rPr>
          <w:sz w:val="24"/>
          <w:szCs w:val="24"/>
        </w:rPr>
      </w:pPr>
      <w:r w:rsidRPr="00F908EB">
        <w:rPr>
          <w:sz w:val="24"/>
          <w:szCs w:val="24"/>
        </w:rPr>
        <w:t>* The Graduation Rate and College/Career Indicators represent outcomes for students finishing high school. As New School of San Francisco serves only grades K through eight, these indicators do not apply.</w:t>
      </w:r>
    </w:p>
    <w:p w14:paraId="2E2994FC" w14:textId="04B7113D" w:rsidR="00E77F9E" w:rsidRPr="007C25F9" w:rsidRDefault="00E77F9E"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E77F9E" w:rsidRPr="007C25F9" w14:paraId="21251F7E" w14:textId="77777777" w:rsidTr="00927BE3">
        <w:trPr>
          <w:cantSplit/>
          <w:tblHeader/>
        </w:trPr>
        <w:tc>
          <w:tcPr>
            <w:tcW w:w="2655" w:type="dxa"/>
            <w:shd w:val="clear" w:color="auto" w:fill="D9D9D9" w:themeFill="background1" w:themeFillShade="D9"/>
          </w:tcPr>
          <w:p w14:paraId="0C45612A" w14:textId="77777777" w:rsidR="00E77F9E" w:rsidRPr="007C25F9" w:rsidRDefault="00E77F9E" w:rsidP="00D41927">
            <w:pPr>
              <w:rPr>
                <w:b/>
                <w:bCs/>
              </w:rPr>
            </w:pPr>
            <w:r w:rsidRPr="007C25F9">
              <w:rPr>
                <w:b/>
                <w:bCs/>
              </w:rPr>
              <w:t>Prompt</w:t>
            </w:r>
          </w:p>
        </w:tc>
        <w:tc>
          <w:tcPr>
            <w:tcW w:w="2061" w:type="dxa"/>
            <w:shd w:val="clear" w:color="auto" w:fill="D9D9D9" w:themeFill="background1" w:themeFillShade="D9"/>
          </w:tcPr>
          <w:p w14:paraId="5CAD4506" w14:textId="77777777" w:rsidR="00E77F9E" w:rsidRPr="007C25F9" w:rsidRDefault="00E77F9E" w:rsidP="00D41927">
            <w:pPr>
              <w:rPr>
                <w:b/>
                <w:bCs/>
              </w:rPr>
            </w:pPr>
            <w:r w:rsidRPr="007C25F9">
              <w:rPr>
                <w:b/>
                <w:bCs/>
              </w:rPr>
              <w:t>Color</w:t>
            </w:r>
          </w:p>
        </w:tc>
        <w:tc>
          <w:tcPr>
            <w:tcW w:w="2467" w:type="dxa"/>
            <w:shd w:val="clear" w:color="auto" w:fill="D9D9D9" w:themeFill="background1" w:themeFillShade="D9"/>
          </w:tcPr>
          <w:p w14:paraId="7E3DDCEE" w14:textId="77777777" w:rsidR="00E77F9E" w:rsidRPr="007C25F9" w:rsidRDefault="00E77F9E" w:rsidP="00D41927">
            <w:pPr>
              <w:rPr>
                <w:b/>
                <w:bCs/>
              </w:rPr>
            </w:pPr>
            <w:r w:rsidRPr="007C25F9">
              <w:rPr>
                <w:b/>
                <w:bCs/>
              </w:rPr>
              <w:t>Above or Below Standard</w:t>
            </w:r>
          </w:p>
        </w:tc>
        <w:tc>
          <w:tcPr>
            <w:tcW w:w="2167" w:type="dxa"/>
            <w:shd w:val="clear" w:color="auto" w:fill="D9D9D9" w:themeFill="background1" w:themeFillShade="D9"/>
          </w:tcPr>
          <w:p w14:paraId="265189ED" w14:textId="77777777" w:rsidR="00E77F9E" w:rsidRPr="007C25F9" w:rsidRDefault="00E77F9E" w:rsidP="00D41927">
            <w:pPr>
              <w:rPr>
                <w:b/>
                <w:bCs/>
              </w:rPr>
            </w:pPr>
            <w:r w:rsidRPr="007C25F9">
              <w:rPr>
                <w:b/>
                <w:bCs/>
              </w:rPr>
              <w:t>Distance From Standard</w:t>
            </w:r>
          </w:p>
        </w:tc>
      </w:tr>
      <w:tr w:rsidR="00E77F9E" w:rsidRPr="007C25F9" w14:paraId="7F258791" w14:textId="77777777" w:rsidTr="00927BE3">
        <w:trPr>
          <w:cantSplit/>
          <w:tblHeader/>
        </w:trPr>
        <w:tc>
          <w:tcPr>
            <w:tcW w:w="2655" w:type="dxa"/>
          </w:tcPr>
          <w:p w14:paraId="2835E8CF" w14:textId="77777777" w:rsidR="00E77F9E" w:rsidRPr="007C25F9" w:rsidRDefault="00E77F9E" w:rsidP="00D41927">
            <w:r w:rsidRPr="007C25F9">
              <w:t>English Language Arts</w:t>
            </w:r>
          </w:p>
        </w:tc>
        <w:tc>
          <w:tcPr>
            <w:tcW w:w="2061" w:type="dxa"/>
          </w:tcPr>
          <w:p w14:paraId="37312457" w14:textId="77777777" w:rsidR="00E77F9E" w:rsidRPr="007C25F9" w:rsidRDefault="00E77F9E" w:rsidP="00D41927">
            <w:r w:rsidRPr="00DF6992">
              <w:rPr>
                <w:noProof/>
              </w:rPr>
              <w:t>Blue</w:t>
            </w:r>
          </w:p>
        </w:tc>
        <w:tc>
          <w:tcPr>
            <w:tcW w:w="2467" w:type="dxa"/>
          </w:tcPr>
          <w:p w14:paraId="734C00F5" w14:textId="77777777" w:rsidR="00E77F9E" w:rsidRPr="007C25F9" w:rsidRDefault="00E77F9E" w:rsidP="00D41927">
            <w:r w:rsidRPr="00DF6992">
              <w:rPr>
                <w:noProof/>
              </w:rPr>
              <w:t>Above standard</w:t>
            </w:r>
          </w:p>
        </w:tc>
        <w:tc>
          <w:tcPr>
            <w:tcW w:w="2167" w:type="dxa"/>
          </w:tcPr>
          <w:p w14:paraId="45CDB1A9" w14:textId="77777777" w:rsidR="00E77F9E" w:rsidRPr="007C25F9" w:rsidRDefault="00E77F9E" w:rsidP="00D41927">
            <w:r w:rsidRPr="00DF6992">
              <w:rPr>
                <w:noProof/>
              </w:rPr>
              <w:t>46</w:t>
            </w:r>
          </w:p>
        </w:tc>
      </w:tr>
      <w:tr w:rsidR="00E77F9E" w:rsidRPr="007C25F9" w14:paraId="40B4B3F9" w14:textId="77777777" w:rsidTr="00927BE3">
        <w:trPr>
          <w:cantSplit/>
          <w:tblHeader/>
        </w:trPr>
        <w:tc>
          <w:tcPr>
            <w:tcW w:w="2655" w:type="dxa"/>
          </w:tcPr>
          <w:p w14:paraId="5DCECA72" w14:textId="77777777" w:rsidR="00E77F9E" w:rsidRPr="007C25F9" w:rsidRDefault="00E77F9E" w:rsidP="00D41927">
            <w:r w:rsidRPr="007C25F9">
              <w:t>Mathematics</w:t>
            </w:r>
          </w:p>
        </w:tc>
        <w:tc>
          <w:tcPr>
            <w:tcW w:w="2061" w:type="dxa"/>
          </w:tcPr>
          <w:p w14:paraId="61397285" w14:textId="77777777" w:rsidR="00E77F9E" w:rsidRPr="007C25F9" w:rsidRDefault="00E77F9E" w:rsidP="00D41927">
            <w:r w:rsidRPr="00DF6992">
              <w:rPr>
                <w:noProof/>
              </w:rPr>
              <w:t>Green</w:t>
            </w:r>
          </w:p>
        </w:tc>
        <w:tc>
          <w:tcPr>
            <w:tcW w:w="2467" w:type="dxa"/>
          </w:tcPr>
          <w:p w14:paraId="73EB42DD" w14:textId="77777777" w:rsidR="00E77F9E" w:rsidRPr="007C25F9" w:rsidRDefault="00E77F9E" w:rsidP="00D41927">
            <w:r w:rsidRPr="00DF6992">
              <w:rPr>
                <w:noProof/>
              </w:rPr>
              <w:t>Above standard</w:t>
            </w:r>
          </w:p>
        </w:tc>
        <w:tc>
          <w:tcPr>
            <w:tcW w:w="2167" w:type="dxa"/>
          </w:tcPr>
          <w:p w14:paraId="2370FD5E" w14:textId="77777777" w:rsidR="00E77F9E" w:rsidRPr="007C25F9" w:rsidRDefault="00E77F9E" w:rsidP="00D41927">
            <w:r w:rsidRPr="00DF6992">
              <w:rPr>
                <w:noProof/>
              </w:rPr>
              <w:t>29.8</w:t>
            </w:r>
          </w:p>
        </w:tc>
      </w:tr>
    </w:tbl>
    <w:p w14:paraId="6F693377" w14:textId="2AFC4000" w:rsidR="00E77F9E" w:rsidRPr="007C25F9" w:rsidRDefault="00E77F9E" w:rsidP="00A42D0A">
      <w:pPr>
        <w:pStyle w:val="Heading4"/>
      </w:pPr>
      <w:r>
        <w:t xml:space="preserve">2024–25 </w:t>
      </w:r>
      <w:r w:rsidRPr="007C25F9">
        <w:t>California Assessment of Student Performance and Progress</w:t>
      </w:r>
    </w:p>
    <w:p w14:paraId="31E85E88" w14:textId="77777777" w:rsidR="00E77F9E" w:rsidRPr="007C25F9" w:rsidRDefault="00E77F9E">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E77F9E" w:rsidRPr="007C25F9" w14:paraId="0609F157" w14:textId="77777777" w:rsidTr="007929F6">
        <w:trPr>
          <w:cantSplit/>
          <w:tblHeader/>
        </w:trPr>
        <w:tc>
          <w:tcPr>
            <w:tcW w:w="4675" w:type="dxa"/>
            <w:shd w:val="clear" w:color="auto" w:fill="D9D9D9" w:themeFill="background1" w:themeFillShade="D9"/>
          </w:tcPr>
          <w:p w14:paraId="3A7F5C73" w14:textId="77777777" w:rsidR="00E77F9E" w:rsidRPr="007C25F9" w:rsidRDefault="00E77F9E" w:rsidP="00D41927">
            <w:pPr>
              <w:rPr>
                <w:b/>
                <w:bCs/>
              </w:rPr>
            </w:pPr>
            <w:r w:rsidRPr="007C25F9">
              <w:rPr>
                <w:b/>
                <w:bCs/>
              </w:rPr>
              <w:t>Prompt</w:t>
            </w:r>
          </w:p>
        </w:tc>
        <w:tc>
          <w:tcPr>
            <w:tcW w:w="4675" w:type="dxa"/>
            <w:shd w:val="clear" w:color="auto" w:fill="D9D9D9" w:themeFill="background1" w:themeFillShade="D9"/>
          </w:tcPr>
          <w:p w14:paraId="430A87D6" w14:textId="77777777" w:rsidR="00E77F9E" w:rsidRPr="007C25F9" w:rsidRDefault="00E77F9E" w:rsidP="00D41927">
            <w:pPr>
              <w:rPr>
                <w:b/>
                <w:bCs/>
              </w:rPr>
            </w:pPr>
            <w:r w:rsidRPr="007C25F9">
              <w:rPr>
                <w:b/>
                <w:bCs/>
              </w:rPr>
              <w:t>Percentage</w:t>
            </w:r>
          </w:p>
        </w:tc>
      </w:tr>
      <w:tr w:rsidR="00E77F9E" w:rsidRPr="007C25F9" w14:paraId="0EF48652" w14:textId="77777777" w:rsidTr="007929F6">
        <w:trPr>
          <w:cantSplit/>
          <w:tblHeader/>
        </w:trPr>
        <w:tc>
          <w:tcPr>
            <w:tcW w:w="4675" w:type="dxa"/>
          </w:tcPr>
          <w:p w14:paraId="467C4CDA" w14:textId="77777777" w:rsidR="00E77F9E" w:rsidRPr="007C25F9" w:rsidRDefault="00E77F9E" w:rsidP="00D41927">
            <w:r w:rsidRPr="007C25F9">
              <w:t>English Language Arts</w:t>
            </w:r>
          </w:p>
        </w:tc>
        <w:tc>
          <w:tcPr>
            <w:tcW w:w="4675" w:type="dxa"/>
          </w:tcPr>
          <w:p w14:paraId="299D3484" w14:textId="77777777" w:rsidR="00E77F9E" w:rsidRPr="007C25F9" w:rsidRDefault="00E77F9E" w:rsidP="00D41927">
            <w:r w:rsidRPr="00DF6992">
              <w:rPr>
                <w:noProof/>
              </w:rPr>
              <w:t>70</w:t>
            </w:r>
          </w:p>
        </w:tc>
      </w:tr>
      <w:tr w:rsidR="00E77F9E" w:rsidRPr="007C25F9" w14:paraId="0AE1A1FD" w14:textId="77777777" w:rsidTr="007929F6">
        <w:trPr>
          <w:cantSplit/>
          <w:tblHeader/>
        </w:trPr>
        <w:tc>
          <w:tcPr>
            <w:tcW w:w="4675" w:type="dxa"/>
          </w:tcPr>
          <w:p w14:paraId="55D1AD83" w14:textId="77777777" w:rsidR="00E77F9E" w:rsidRPr="007C25F9" w:rsidRDefault="00E77F9E" w:rsidP="00D41927">
            <w:r w:rsidRPr="007C25F9">
              <w:t>Mathematics</w:t>
            </w:r>
          </w:p>
        </w:tc>
        <w:tc>
          <w:tcPr>
            <w:tcW w:w="4675" w:type="dxa"/>
          </w:tcPr>
          <w:p w14:paraId="67FA5D7E" w14:textId="77777777" w:rsidR="00E77F9E" w:rsidRPr="007C25F9" w:rsidRDefault="00E77F9E" w:rsidP="00D41927">
            <w:r w:rsidRPr="00DF6992">
              <w:rPr>
                <w:noProof/>
              </w:rPr>
              <w:t>62</w:t>
            </w:r>
          </w:p>
        </w:tc>
      </w:tr>
    </w:tbl>
    <w:p w14:paraId="0D101A04" w14:textId="77777777" w:rsidR="00E77F9E" w:rsidRPr="007C25F9" w:rsidRDefault="00E77F9E">
      <w:pPr>
        <w:spacing w:before="0"/>
        <w:rPr>
          <w:rFonts w:eastAsiaTheme="majorEastAsia"/>
          <w:b/>
          <w:bCs/>
          <w:sz w:val="32"/>
          <w:szCs w:val="32"/>
        </w:rPr>
      </w:pPr>
      <w:r w:rsidRPr="007C25F9">
        <w:br w:type="page"/>
      </w:r>
    </w:p>
    <w:p w14:paraId="3DC2BA49" w14:textId="77777777" w:rsidR="00E77F9E" w:rsidRPr="007C25F9" w:rsidRDefault="00E77F9E" w:rsidP="00A42D0A">
      <w:pPr>
        <w:pStyle w:val="Heading3"/>
      </w:pPr>
      <w:r w:rsidRPr="007C25F9">
        <w:lastRenderedPageBreak/>
        <w:t>Section 3. Areas of Greatest Progress and Need</w:t>
      </w:r>
    </w:p>
    <w:p w14:paraId="7F368684" w14:textId="77777777" w:rsidR="00E77F9E" w:rsidRPr="00EA4CF5" w:rsidRDefault="00E77F9E" w:rsidP="00EA4CF5">
      <w:pPr>
        <w:numPr>
          <w:ilvl w:val="0"/>
          <w:numId w:val="13"/>
        </w:numPr>
        <w:ind w:left="0"/>
        <w:rPr>
          <w:b/>
          <w:bCs/>
        </w:rPr>
      </w:pPr>
      <w:r w:rsidRPr="00EA4CF5">
        <w:rPr>
          <w:b/>
          <w:bCs/>
        </w:rPr>
        <w:t>Based on California School Dashboard (Dashboard) data, identify the charter school’s areas of greatest progress.</w:t>
      </w:r>
    </w:p>
    <w:p w14:paraId="69D379C0" w14:textId="77777777" w:rsidR="00E77F9E" w:rsidRPr="007C25F9" w:rsidRDefault="00E77F9E" w:rsidP="0003147F">
      <w:r w:rsidRPr="00DF6992">
        <w:rPr>
          <w:noProof/>
        </w:rPr>
        <w:t>We are most proud that, overall, our academic outcomes for all student subgroups are higher than the state averages, classifying our school as a “High Performing School.” We work intention to ensure all students have individualized learning plans and are receiving the specific support they need to excel academically. Our outcomes are also higher than those of the District in which we reside.</w:t>
      </w:r>
    </w:p>
    <w:p w14:paraId="70F2A811" w14:textId="77777777" w:rsidR="00E77F9E" w:rsidRPr="00EA4CF5" w:rsidRDefault="00E77F9E"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282694E8" w14:textId="77777777" w:rsidR="00E77F9E" w:rsidRPr="007C25F9" w:rsidRDefault="00E77F9E" w:rsidP="0003147F">
      <w:r w:rsidRPr="00DF6992">
        <w:rPr>
          <w:noProof/>
        </w:rPr>
        <w:t>NWEA MAP is on the list of approved internal assessments and we implement MAP three times per year to assess student growth and progress.</w:t>
      </w:r>
    </w:p>
    <w:p w14:paraId="6B2B3E27" w14:textId="77777777" w:rsidR="00E77F9E" w:rsidRPr="00EA4CF5" w:rsidRDefault="00E77F9E" w:rsidP="00EA4CF5">
      <w:pPr>
        <w:numPr>
          <w:ilvl w:val="0"/>
          <w:numId w:val="13"/>
        </w:numPr>
        <w:ind w:left="0"/>
        <w:rPr>
          <w:b/>
          <w:bCs/>
        </w:rPr>
      </w:pPr>
      <w:r w:rsidRPr="00EA4CF5">
        <w:rPr>
          <w:b/>
          <w:bCs/>
        </w:rPr>
        <w:t>Based on Dashboard data, identify the charter school’s areas of greatest need. Include references to student groups.</w:t>
      </w:r>
    </w:p>
    <w:p w14:paraId="74FC4F02" w14:textId="77777777" w:rsidR="00E77F9E" w:rsidRPr="007C25F9" w:rsidRDefault="00E77F9E" w:rsidP="0003147F">
      <w:r w:rsidRPr="00DF6992">
        <w:rPr>
          <w:noProof/>
        </w:rPr>
        <w:t>Our school’s greatest areas of need include: 1) reducing chronic absenteeism, 2) improving the performance of African-American/ Black students, students with IEPs and English Learners. While all student sub-groups outperform the state averages and we are proud of our designation as a High Performing School, we remain focused on ensuring student proficiency levels continue to increase such that there are no gaps along lines of race or learning profile at our school.</w:t>
      </w:r>
    </w:p>
    <w:p w14:paraId="0E6FEED9" w14:textId="77777777" w:rsidR="00E77F9E" w:rsidRDefault="00E77F9E" w:rsidP="00EA4CF5">
      <w:pPr>
        <w:numPr>
          <w:ilvl w:val="0"/>
          <w:numId w:val="13"/>
        </w:numPr>
        <w:ind w:left="0"/>
        <w:rPr>
          <w:b/>
          <w:bCs/>
        </w:rPr>
      </w:pPr>
      <w:r w:rsidRPr="00EA4CF5">
        <w:rPr>
          <w:b/>
          <w:bCs/>
        </w:rPr>
        <w:t>How is the charter school addressing these areas of need? Include references to student groups.</w:t>
      </w:r>
    </w:p>
    <w:p w14:paraId="7B38CF5A" w14:textId="77777777" w:rsidR="003F3CC2" w:rsidRDefault="009B209B" w:rsidP="009B209B">
      <w:r w:rsidRPr="009B209B">
        <w:t xml:space="preserve">For absenteeism, we are working to intervene more quickly when a student is absent for more than one day by immediately contacting the family to learn why a student is absent (if we have not heard proactively from them). We have also created an attendance dashboard that is shared weekly with all </w:t>
      </w:r>
      <w:proofErr w:type="gramStart"/>
      <w:r w:rsidRPr="009B209B">
        <w:t>teachers</w:t>
      </w:r>
      <w:proofErr w:type="gramEnd"/>
      <w:r w:rsidRPr="009B209B">
        <w:t xml:space="preserve"> so they are aware of any patterns or concerns. We meet with a family after three unexcused absences and develop a support plan to address what the root issues are (i.e. lack of transportation). We also offer a bus that makes four stops in San Francisco to help students get to school.</w:t>
      </w:r>
    </w:p>
    <w:p w14:paraId="4AA0B687" w14:textId="77777777" w:rsidR="003F3CC2" w:rsidRDefault="009B209B" w:rsidP="009B209B">
      <w:r w:rsidRPr="009B209B">
        <w:t xml:space="preserve">With respect to improving academic outcomes, we start by hiring strong, credentialed teachers with a track record of serving focal students well. We also offer professional development for all teachers with two weeks of learning before the school year begins, early release days once per week, and four PD days during the school year. We use this time in both a proactive and reactive way to build our skill and address student needs. PD ranges from analyzing data to planning for small group instruction to </w:t>
      </w:r>
      <w:r w:rsidRPr="009B209B">
        <w:lastRenderedPageBreak/>
        <w:t>culturally relevant pedagogy to developing safe and supportive classroom environments.</w:t>
      </w:r>
    </w:p>
    <w:p w14:paraId="73A1113E" w14:textId="008D5FCC" w:rsidR="009B209B" w:rsidRPr="009B209B" w:rsidRDefault="009B209B" w:rsidP="009B209B">
      <w:r w:rsidRPr="009B209B">
        <w:t xml:space="preserve">We also provide instructional coaching to teachers. Finally, we invest in high-quality curriculum with a UDL approach to ensure it supports all learners. Finally, we maintain a low adult to student ratio across our campus to better differentiate and provide </w:t>
      </w:r>
      <w:proofErr w:type="gramStart"/>
      <w:r w:rsidRPr="009B209B">
        <w:t>needed supports</w:t>
      </w:r>
      <w:proofErr w:type="gramEnd"/>
      <w:r w:rsidRPr="009B209B">
        <w:t xml:space="preserve"> to students.</w:t>
      </w:r>
    </w:p>
    <w:p w14:paraId="772ABCB1" w14:textId="77777777" w:rsidR="00E77F9E" w:rsidRPr="007C25F9" w:rsidRDefault="00E77F9E">
      <w:pPr>
        <w:spacing w:before="0"/>
        <w:rPr>
          <w:rFonts w:eastAsiaTheme="majorEastAsia"/>
          <w:b/>
          <w:bCs/>
          <w:sz w:val="32"/>
          <w:szCs w:val="32"/>
        </w:rPr>
      </w:pPr>
      <w:r w:rsidRPr="007C25F9">
        <w:br w:type="page"/>
      </w:r>
    </w:p>
    <w:p w14:paraId="3D95C58A" w14:textId="77777777" w:rsidR="00E77F9E" w:rsidRPr="007C25F9" w:rsidRDefault="00E77F9E" w:rsidP="00A42D0A">
      <w:pPr>
        <w:pStyle w:val="Heading3"/>
      </w:pPr>
      <w:r w:rsidRPr="007C25F9">
        <w:lastRenderedPageBreak/>
        <w:t>Section 4. Summary of Performance on Measurable Pupil Outcomes</w:t>
      </w:r>
    </w:p>
    <w:p w14:paraId="5A8F41D0" w14:textId="77777777" w:rsidR="00E77F9E" w:rsidRDefault="00E77F9E" w:rsidP="00EA4CF5">
      <w:pPr>
        <w:numPr>
          <w:ilvl w:val="0"/>
          <w:numId w:val="14"/>
        </w:numPr>
        <w:ind w:left="0"/>
        <w:rPr>
          <w:b/>
          <w:bCs/>
        </w:rPr>
      </w:pPr>
      <w:r w:rsidRPr="00EA4CF5">
        <w:rPr>
          <w:b/>
          <w:bCs/>
        </w:rPr>
        <w:t>Identify the Measurable Pupil Outcomes in Element 2 of the charter petition. Summarize the performance for each outcome.</w:t>
      </w:r>
    </w:p>
    <w:p w14:paraId="56B6F480" w14:textId="77777777" w:rsidR="003F3CC2" w:rsidRDefault="009B209B" w:rsidP="009B209B">
      <w:r w:rsidRPr="009B209B">
        <w:t>All core academic classes taught by fully credentialed, appropriately assigned teachers: 3 teachers mis-aligned</w:t>
      </w:r>
    </w:p>
    <w:p w14:paraId="03631DEF" w14:textId="77777777" w:rsidR="003F3CC2" w:rsidRDefault="009B209B" w:rsidP="009B209B">
      <w:r w:rsidRPr="009B209B">
        <w:t>100% of students have access to standards-aligned content and projects: Goal met</w:t>
      </w:r>
    </w:p>
    <w:p w14:paraId="123A7EF3" w14:textId="77777777" w:rsidR="003F3CC2" w:rsidRDefault="009B209B" w:rsidP="009B209B">
      <w:r w:rsidRPr="009B209B">
        <w:t>NSSF passes its lunch audit and fire inspections. School is maintained in good repair: Goal met</w:t>
      </w:r>
    </w:p>
    <w:p w14:paraId="3A321564" w14:textId="77777777" w:rsidR="003F3CC2" w:rsidRDefault="009B209B" w:rsidP="009B209B">
      <w:r w:rsidRPr="009B209B">
        <w:t xml:space="preserve">100% of curriculum implemented in core subjects are based </w:t>
      </w:r>
      <w:proofErr w:type="gramStart"/>
      <w:r w:rsidRPr="009B209B">
        <w:t>in</w:t>
      </w:r>
      <w:proofErr w:type="gramEnd"/>
      <w:r w:rsidRPr="009B209B">
        <w:t xml:space="preserve"> Common Core Standards: Goal met</w:t>
      </w:r>
    </w:p>
    <w:p w14:paraId="675CE151" w14:textId="77777777" w:rsidR="003F3CC2" w:rsidRDefault="009B209B" w:rsidP="009B209B">
      <w:r w:rsidRPr="009B209B">
        <w:t>EL subgroup performance on CAASPP assessments exceeds the average performance levels of EL students in the District and State: Goal met</w:t>
      </w:r>
    </w:p>
    <w:p w14:paraId="7ABA5D7F" w14:textId="6A7A0D4B" w:rsidR="003F3CC2" w:rsidRDefault="009B209B" w:rsidP="009B209B">
      <w:r w:rsidRPr="009B209B">
        <w:t>Families respond positively to “I feel like a valued member of the community” on the Climate Survey; 75% or higher: Goal met, 83.8%</w:t>
      </w:r>
    </w:p>
    <w:p w14:paraId="5E408ABD" w14:textId="77777777" w:rsidR="003F3CC2" w:rsidRDefault="009B209B" w:rsidP="009B209B">
      <w:r w:rsidRPr="009B209B">
        <w:t>Families respond positively to “I believe in the vision, direction and leadership of the school” on the Family Climate Survey; 75% or higher: Goal met, 86.4%</w:t>
      </w:r>
    </w:p>
    <w:p w14:paraId="68542E32" w14:textId="77777777" w:rsidR="003F3CC2" w:rsidRDefault="009B209B" w:rsidP="009B209B">
      <w:r w:rsidRPr="009B209B">
        <w:t>Families respond positively to “I receive timely and relevant communications from the school” on Family Climate Survey; 75% or higher: Goal met, 88.0%</w:t>
      </w:r>
    </w:p>
    <w:p w14:paraId="5F49C51F" w14:textId="77777777" w:rsidR="003F3CC2" w:rsidRDefault="009B209B" w:rsidP="009B209B">
      <w:r w:rsidRPr="009B209B">
        <w:t>Families respond positively to “The school provides adequate opportunities for my family to engage” on Family Climate Survey; 75% or higher: Goal met, 86.1%</w:t>
      </w:r>
    </w:p>
    <w:p w14:paraId="0BDF6DC6" w14:textId="77777777" w:rsidR="003F3CC2" w:rsidRDefault="009B209B" w:rsidP="009B209B">
      <w:r w:rsidRPr="009B209B">
        <w:t>Families respond positively to “My concerns and comments are heard” on Family Climate Survey; 75% or higher: Goal met, 81.2%</w:t>
      </w:r>
    </w:p>
    <w:p w14:paraId="42753DE9" w14:textId="77777777" w:rsidR="003F3CC2" w:rsidRDefault="009B209B" w:rsidP="009B209B">
      <w:r w:rsidRPr="009B209B">
        <w:t>100% of families attend at least one conference per year: Goal met</w:t>
      </w:r>
    </w:p>
    <w:p w14:paraId="31CBE1E1" w14:textId="77777777" w:rsidR="003F3CC2" w:rsidRDefault="009B209B" w:rsidP="009B209B">
      <w:r w:rsidRPr="009B209B">
        <w:t>100% of families attend at least one school-wide event: Goal met</w:t>
      </w:r>
    </w:p>
    <w:p w14:paraId="5F88C7CB" w14:textId="77777777" w:rsidR="003F3CC2" w:rsidRDefault="009B209B" w:rsidP="009B209B">
      <w:r w:rsidRPr="009B209B">
        <w:t>90% of families contribute to the classroom or school community: 87% of families gave back in terms of time or money to the school.</w:t>
      </w:r>
    </w:p>
    <w:p w14:paraId="089182A4" w14:textId="77777777" w:rsidR="003F3CC2" w:rsidRDefault="009B209B" w:rsidP="009B209B">
      <w:r w:rsidRPr="009B209B">
        <w:t>Students will exceed the average performance levels of students in schools serving a similar student population on CAASPP statewide assessments: Goal met</w:t>
      </w:r>
    </w:p>
    <w:p w14:paraId="479ECBC0" w14:textId="77777777" w:rsidR="003F3CC2" w:rsidRDefault="009B209B" w:rsidP="009B209B">
      <w:r w:rsidRPr="009B209B">
        <w:t>Students are reclassified as English Proficient within 2 years on average: Goal not met</w:t>
      </w:r>
    </w:p>
    <w:p w14:paraId="757787C3" w14:textId="77777777" w:rsidR="003F3CC2" w:rsidRDefault="009B209B" w:rsidP="009B209B">
      <w:r w:rsidRPr="009B209B">
        <w:lastRenderedPageBreak/>
        <w:t>Approximately 25% of our students are reclassified per year.</w:t>
      </w:r>
    </w:p>
    <w:p w14:paraId="1E8C3BF7" w14:textId="77777777" w:rsidR="003F3CC2" w:rsidRDefault="009B209B" w:rsidP="009B209B">
      <w:r w:rsidRPr="009B209B">
        <w:t>ADA is at or above 95% of enrollment: ADA was approximately 93%</w:t>
      </w:r>
    </w:p>
    <w:p w14:paraId="7533426C" w14:textId="77777777" w:rsidR="003F3CC2" w:rsidRDefault="009B209B" w:rsidP="009B209B">
      <w:r w:rsidRPr="009B209B">
        <w:t>Less than 10% rate of chronic absenteeism (students who are absent 10 percent or more of the schooldays in the school year): chronic absenteeism was 20.3%</w:t>
      </w:r>
    </w:p>
    <w:p w14:paraId="05C49175" w14:textId="77777777" w:rsidR="003F3CC2" w:rsidRDefault="009B209B" w:rsidP="009B209B">
      <w:r w:rsidRPr="009B209B">
        <w:t xml:space="preserve">0% </w:t>
      </w:r>
      <w:proofErr w:type="gramStart"/>
      <w:r w:rsidRPr="009B209B">
        <w:t>drop out</w:t>
      </w:r>
      <w:proofErr w:type="gramEnd"/>
      <w:r w:rsidRPr="009B209B">
        <w:t xml:space="preserve"> rate for grades 7 &amp; 8: Goal met</w:t>
      </w:r>
    </w:p>
    <w:p w14:paraId="37FAA619" w14:textId="77777777" w:rsidR="003F3CC2" w:rsidRDefault="009B209B" w:rsidP="009B209B">
      <w:r w:rsidRPr="009B209B">
        <w:t>Annually, 2% or fewer of all enrolled students suspended: Goal met</w:t>
      </w:r>
    </w:p>
    <w:p w14:paraId="1D24153C" w14:textId="77777777" w:rsidR="003F3CC2" w:rsidRDefault="009B209B" w:rsidP="009B209B">
      <w:r w:rsidRPr="009B209B">
        <w:t>Annually, 1% or fewer of all enrolled students expelled: Goal met</w:t>
      </w:r>
    </w:p>
    <w:p w14:paraId="75FB235F" w14:textId="77777777" w:rsidR="003F3CC2" w:rsidRDefault="003F3CC2" w:rsidP="009B209B">
      <w:r>
        <w:t>7</w:t>
      </w:r>
      <w:r w:rsidR="009B209B" w:rsidRPr="009B209B">
        <w:t>5% or more of staff report feeling valued and welcomed in the school community: Goal met, 91.1%</w:t>
      </w:r>
    </w:p>
    <w:p w14:paraId="238F12A7" w14:textId="77777777" w:rsidR="003F3CC2" w:rsidRDefault="009B209B" w:rsidP="009B209B">
      <w:r w:rsidRPr="009B209B">
        <w:t>75% or more of staff report feeling like their opinions matter: Goal nearly met with 69.6%</w:t>
      </w:r>
    </w:p>
    <w:p w14:paraId="577EABB5" w14:textId="77777777" w:rsidR="003F3CC2" w:rsidRDefault="009B209B" w:rsidP="009B209B">
      <w:r w:rsidRPr="009B209B">
        <w:t xml:space="preserve">75% or more of </w:t>
      </w:r>
      <w:proofErr w:type="gramStart"/>
      <w:r w:rsidRPr="009B209B">
        <w:t>students</w:t>
      </w:r>
      <w:proofErr w:type="gramEnd"/>
      <w:r w:rsidRPr="009B209B">
        <w:t xml:space="preserve"> report feeling valued and welcomed in the school community: We need to change our survey questions to ask this directly</w:t>
      </w:r>
    </w:p>
    <w:p w14:paraId="5A187715" w14:textId="77777777" w:rsidR="003F3CC2" w:rsidRDefault="009B209B" w:rsidP="009B209B">
      <w:r w:rsidRPr="009B209B">
        <w:t xml:space="preserve">75% or more of </w:t>
      </w:r>
      <w:proofErr w:type="gramStart"/>
      <w:r w:rsidRPr="009B209B">
        <w:t>students</w:t>
      </w:r>
      <w:proofErr w:type="gramEnd"/>
      <w:r w:rsidRPr="009B209B">
        <w:t xml:space="preserve"> report feeling like their opinions matter: We need to change our survey questions to ask this directly</w:t>
      </w:r>
    </w:p>
    <w:p w14:paraId="65301680" w14:textId="77777777" w:rsidR="003F3CC2" w:rsidRDefault="009B209B" w:rsidP="009B209B">
      <w:r w:rsidRPr="009B209B">
        <w:t>At minimum, 75% or more of all students will meet or exceed proficiency for English Language Arts on California Assessment of Student Performance and Progress: Goal nearly met with 70%</w:t>
      </w:r>
    </w:p>
    <w:p w14:paraId="77A5C6E0" w14:textId="574762DE" w:rsidR="001F4AE6" w:rsidRDefault="009B209B" w:rsidP="009B209B">
      <w:r w:rsidRPr="009B209B">
        <w:t>At minimum, 75% or more of all students will meet or exceed proficiency for Mathematics on California Assessment of Student Performance &amp; Progress: Room for continued growth with 62%</w:t>
      </w:r>
    </w:p>
    <w:p w14:paraId="12FEE296" w14:textId="2BB4A558" w:rsidR="009B209B" w:rsidRPr="009B209B" w:rsidRDefault="001F4AE6" w:rsidP="001F4AE6">
      <w:pPr>
        <w:spacing w:before="0"/>
      </w:pPr>
      <w:r>
        <w:br w:type="page"/>
      </w:r>
    </w:p>
    <w:p w14:paraId="44DCC0D3" w14:textId="77777777" w:rsidR="00E77F9E" w:rsidRPr="007C25F9" w:rsidRDefault="00E77F9E" w:rsidP="00A42D0A">
      <w:pPr>
        <w:pStyle w:val="Heading3"/>
      </w:pPr>
      <w:r w:rsidRPr="007C25F9">
        <w:lastRenderedPageBreak/>
        <w:t>Section 5. Local Control and Accountability Plan Progress</w:t>
      </w:r>
    </w:p>
    <w:p w14:paraId="5C7B0A5A" w14:textId="77777777" w:rsidR="00E77F9E" w:rsidRDefault="00E77F9E"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28D1695B" w14:textId="77777777" w:rsidR="002D66EB" w:rsidRDefault="009B209B" w:rsidP="009B209B">
      <w:r w:rsidRPr="009B209B">
        <w:t>Student performance in ELA increased significantly, with an overall gain of +11.7 points, moving the school into the blue performance level and placing 47.6 points above the standard. While all students improved overall, subgroup trends were mixed. White students made a notable gain of (+29.4), moving from the green to the blue performance level. Hispanic students-maintained performance with a slight decline (−0.9) and remained in the orange level. English Learners declined by −10 points, Students with Disabilities by −4.5 points, and Socioeconomically Disadvantaged students increased slightly by +2.1 points—but all three groups moved from the yellow to the orange performance level.</w:t>
      </w:r>
    </w:p>
    <w:p w14:paraId="60762029" w14:textId="77777777" w:rsidR="002D66EB" w:rsidRDefault="009B209B" w:rsidP="009B209B">
      <w:r w:rsidRPr="009B209B">
        <w:t xml:space="preserve">Math performance improved overall, with a schoolwide gain of +13.2 points, moving the school </w:t>
      </w:r>
      <w:proofErr w:type="gramStart"/>
      <w:r w:rsidRPr="009B209B">
        <w:t>into</w:t>
      </w:r>
      <w:proofErr w:type="gramEnd"/>
      <w:r w:rsidRPr="009B209B">
        <w:t xml:space="preserve"> the green performance level. Hispanic students made notable gains (+6.6), advancing from the yellow to the green performance level. English Learners (+11.4) and Socioeconomically Disadvantaged students (+23.2) also demonstrated strong growth, maintaining performance in the yellow level. White students maintained their status in the blue performance level with a gain of +20.1 points. In contrast, Students with Disabilities declined slightly (−1.4) and dropped from the yellow to the orange performance level. These results highlight the impact of strengthened instructional strategies and targeted math interventions, while also emphasizing the need for more focused support for Students with Disabilities.</w:t>
      </w:r>
    </w:p>
    <w:p w14:paraId="7E1180A4" w14:textId="00811D00" w:rsidR="002D66EB" w:rsidRDefault="009B209B" w:rsidP="009B209B">
      <w:r w:rsidRPr="009B209B">
        <w:t>English Learners made significant progress, with 65.4% demonstrating growth toward English language proficiency—an increase of 39.7% from the previous year—placing the school in the blue performance level. This growth reflects the impact of Action 1.6, which includes daily 30-minute ELD small group instruction using EL Achieve, individualized support from teachers and instructional aides, and ILPs aligned to ELPAC results.</w:t>
      </w:r>
    </w:p>
    <w:p w14:paraId="0611AC8F" w14:textId="77777777" w:rsidR="002D66EB" w:rsidRDefault="009B209B" w:rsidP="009B209B">
      <w:r w:rsidRPr="009B209B">
        <w:t>The chronic absenteeism rate declined by 6.4%, moving the schoolwide indicator from the red to the yellow performance level, with 18.6% of students chronically absent. Hispanic students decreased by 7.1%, Socioeconomically Disadvantaged students by 6.7%, and White students by 2.7%—each moving from the red to the yellow performance level. Students with Disabilities showed a 9.5% decline and moved from the red to the orange performance level, while English Learners declined by 9.7% and remained in the orange level. Notably, Asian students decreased by 5.5% and students identifying as Two or More Races decreased by 4.1%, with both groups moving from the orange to the green performance level. These reductions reflect the effectiveness of the school’s comprehensive attendance initiative, which includes daily monitoring, individualized family engagement, and proactive outreach. The school remains committed to sustaining and deepening these efforts to further reduce chronic absence and support consistent attendance for all students.</w:t>
      </w:r>
    </w:p>
    <w:p w14:paraId="01330CA0" w14:textId="77777777" w:rsidR="002D66EB" w:rsidRDefault="009B209B" w:rsidP="009B209B">
      <w:r w:rsidRPr="009B209B">
        <w:lastRenderedPageBreak/>
        <w:t xml:space="preserve">The suspension rate increased slightly by 0.4%, rising to 1.1% and placing the school </w:t>
      </w:r>
      <w:proofErr w:type="gramStart"/>
      <w:r w:rsidRPr="009B209B">
        <w:t>in</w:t>
      </w:r>
      <w:proofErr w:type="gramEnd"/>
      <w:r w:rsidRPr="009B209B">
        <w:t xml:space="preserve"> the orange performance level. While some groups, including Asian students (−2.3%) and students identifying as Two or More Races (0.0%), performed in the blue category, other subgroups experienced increases: English Learners (+2.6%), Hispanic students (+1.2%), Socioeconomically Disadvantaged (+1.1%), Students with Disabilities (+2.9%), and White students (+1.3%). These trends highlight the need for expanded restorative practices, proactive behavioral </w:t>
      </w:r>
      <w:proofErr w:type="gramStart"/>
      <w:r w:rsidRPr="009B209B">
        <w:t>supports</w:t>
      </w:r>
      <w:proofErr w:type="gramEnd"/>
      <w:r w:rsidRPr="009B209B">
        <w:t>, and culturally responsive interventions to promote a safe and inclusive school climate.</w:t>
      </w:r>
    </w:p>
    <w:p w14:paraId="4D4FFB81" w14:textId="77777777" w:rsidR="002D66EB" w:rsidRDefault="009B209B" w:rsidP="009B209B">
      <w:r w:rsidRPr="009B209B">
        <w:t>All local indicators were met reflecting the school’s strong performance across key priority areas. A notable area of success is our ongoing commitment to fostering a safe, supportive, and joyful learning environment that promotes student engagement and encourages meaningful family participation. These efforts demonstrate our dedication to cultivating a school culture where students thrive and a strong sense of community is shared among families, staff, and students.</w:t>
      </w:r>
    </w:p>
    <w:p w14:paraId="34900297" w14:textId="756F63AE" w:rsidR="009B209B" w:rsidRPr="009B209B" w:rsidRDefault="009B209B" w:rsidP="009B209B">
      <w:r w:rsidRPr="009B209B">
        <w:t xml:space="preserve">Lowest Performing Student </w:t>
      </w:r>
      <w:proofErr w:type="gramStart"/>
      <w:r w:rsidRPr="009B209B">
        <w:t>Groups  This</w:t>
      </w:r>
      <w:proofErr w:type="gramEnd"/>
      <w:r w:rsidRPr="009B209B">
        <w:t xml:space="preserve"> LCAP includes required actions to address the need for improvement related to Chronic Absenteeism on the 2023 Dashboard:  Chronic Absenteeism: All students, Hispanic, Socioeconomically Disadvantaged, Students with Disabilities and White students (See Goal 2, Action 2.5 Attendance Initiatives)</w:t>
      </w:r>
    </w:p>
    <w:p w14:paraId="774911EF" w14:textId="77777777" w:rsidR="00E77F9E" w:rsidRDefault="00E77F9E"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3E160ACF" w14:textId="77777777" w:rsidR="002D66EB" w:rsidRDefault="009B209B" w:rsidP="009B209B">
      <w:r w:rsidRPr="009B209B">
        <w:t xml:space="preserve">Actions to promote a welcoming environment and encourage family participation focused on consistent and clear communications that are targeted, translated, and directed in multiple mediums to ensure accessibility. We are continuously improving in-person </w:t>
      </w:r>
      <w:proofErr w:type="gramStart"/>
      <w:r w:rsidRPr="009B209B">
        <w:t>touch-points</w:t>
      </w:r>
      <w:proofErr w:type="gramEnd"/>
      <w:r w:rsidRPr="009B209B">
        <w:t xml:space="preserve"> with families including family orientations, back-to-school nights, conferences, coffee chats with school leadership, and parent workshops on SEL, curriculum, and equity, and special events and affinity sessions are being held throughout the year (at least 1-2 per month).</w:t>
      </w:r>
    </w:p>
    <w:p w14:paraId="4D241B7A" w14:textId="77777777" w:rsidR="002D66EB" w:rsidRDefault="009B209B" w:rsidP="009B209B">
      <w:r w:rsidRPr="009B209B">
        <w:t xml:space="preserve">The NSSF family group continued to host informal gatherings, and the Collaboration Space remains available for family use. Family/teacher conferences </w:t>
      </w:r>
      <w:proofErr w:type="spellStart"/>
      <w:r w:rsidRPr="009B209B">
        <w:t>occurr</w:t>
      </w:r>
      <w:proofErr w:type="spellEnd"/>
      <w:r w:rsidRPr="009B209B">
        <w:t xml:space="preserve"> 2–3 times as scheduled, supporting ongoing communication and collaboration.</w:t>
      </w:r>
    </w:p>
    <w:p w14:paraId="3922A4F7" w14:textId="1AD3DF24" w:rsidR="009B209B" w:rsidRPr="009B209B" w:rsidRDefault="009B209B" w:rsidP="009B209B">
      <w:r w:rsidRPr="009B209B">
        <w:t>Our Directors for Culture and Climate (one each for middle and elementary schools) play an active role in maintaining strong relationships across enrollment, outreach, and engagement. Regular communication—via email, text, social media, and translated paper correspondence—ensured families received timely and accessible information.</w:t>
      </w:r>
    </w:p>
    <w:p w14:paraId="4941E59A" w14:textId="77777777" w:rsidR="00E77F9E" w:rsidRPr="007C25F9" w:rsidRDefault="00E77F9E">
      <w:pPr>
        <w:spacing w:before="0"/>
        <w:rPr>
          <w:rFonts w:eastAsiaTheme="majorEastAsia"/>
          <w:b/>
          <w:bCs/>
          <w:sz w:val="32"/>
          <w:szCs w:val="32"/>
        </w:rPr>
      </w:pPr>
      <w:r w:rsidRPr="007C25F9">
        <w:br w:type="page"/>
      </w:r>
    </w:p>
    <w:p w14:paraId="00120E74" w14:textId="77777777" w:rsidR="00E77F9E" w:rsidRPr="007C25F9" w:rsidRDefault="00E77F9E" w:rsidP="00A42D0A">
      <w:pPr>
        <w:pStyle w:val="Heading3"/>
      </w:pPr>
      <w:r w:rsidRPr="007C25F9">
        <w:lastRenderedPageBreak/>
        <w:t>Section 6. Differentiated Assistance</w:t>
      </w:r>
    </w:p>
    <w:p w14:paraId="4FC132E2" w14:textId="77777777" w:rsidR="00E77F9E" w:rsidRPr="00EA4CF5" w:rsidRDefault="00E77F9E"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41C9F187" w14:textId="77777777" w:rsidR="00E77F9E" w:rsidRDefault="00E77F9E" w:rsidP="00E57C07">
      <w:pPr>
        <w:rPr>
          <w:noProof/>
        </w:rPr>
      </w:pPr>
      <w:r w:rsidRPr="00DF6992">
        <w:rPr>
          <w:noProof/>
        </w:rPr>
        <w:t>No</w:t>
      </w:r>
    </w:p>
    <w:p w14:paraId="7B439EF5" w14:textId="77777777" w:rsidR="00E77F9E" w:rsidRPr="003735D5" w:rsidRDefault="00E77F9E"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6C3611D1" w14:textId="77777777" w:rsidR="00E77F9E" w:rsidRPr="007C25F9" w:rsidRDefault="00E77F9E" w:rsidP="00D46026">
      <w:r w:rsidRPr="00DF6992">
        <w:rPr>
          <w:noProof/>
        </w:rPr>
        <w:t>[No Response]</w:t>
      </w:r>
    </w:p>
    <w:p w14:paraId="71565FA8" w14:textId="77777777" w:rsidR="00E77F9E" w:rsidRPr="003735D5" w:rsidRDefault="00E77F9E" w:rsidP="003735D5">
      <w:pPr>
        <w:numPr>
          <w:ilvl w:val="0"/>
          <w:numId w:val="16"/>
        </w:numPr>
        <w:ind w:left="0"/>
        <w:rPr>
          <w:b/>
          <w:bCs/>
        </w:rPr>
      </w:pPr>
      <w:r w:rsidRPr="003735D5">
        <w:rPr>
          <w:b/>
          <w:bCs/>
        </w:rPr>
        <w:t>Identify the support provider the charter school will be working with for technical assistance with DA.</w:t>
      </w:r>
    </w:p>
    <w:p w14:paraId="19A09D0E" w14:textId="77777777" w:rsidR="00E77F9E" w:rsidRPr="007C25F9" w:rsidRDefault="00E77F9E" w:rsidP="00D46026">
      <w:r w:rsidRPr="00DF6992">
        <w:rPr>
          <w:noProof/>
        </w:rPr>
        <w:t>[No Response]</w:t>
      </w:r>
    </w:p>
    <w:p w14:paraId="41B5E0A7" w14:textId="77777777" w:rsidR="00E77F9E" w:rsidRPr="003735D5" w:rsidRDefault="00E77F9E"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797833D7" w14:textId="77777777" w:rsidR="00E77F9E" w:rsidRPr="007C25F9" w:rsidRDefault="00E77F9E" w:rsidP="00D46026">
      <w:r w:rsidRPr="00DF6992">
        <w:rPr>
          <w:noProof/>
        </w:rPr>
        <w:t>[No Response]</w:t>
      </w:r>
    </w:p>
    <w:p w14:paraId="1369C2C2" w14:textId="77777777" w:rsidR="00E77F9E" w:rsidRPr="007C25F9" w:rsidRDefault="00E77F9E">
      <w:pPr>
        <w:spacing w:before="0"/>
        <w:rPr>
          <w:rFonts w:eastAsiaTheme="majorEastAsia"/>
          <w:b/>
          <w:bCs/>
          <w:sz w:val="32"/>
          <w:szCs w:val="32"/>
        </w:rPr>
      </w:pPr>
      <w:r w:rsidRPr="007C25F9">
        <w:br w:type="page"/>
      </w:r>
    </w:p>
    <w:p w14:paraId="5B61457F" w14:textId="77777777" w:rsidR="00E77F9E" w:rsidRPr="007C25F9" w:rsidRDefault="00E77F9E" w:rsidP="00A42D0A">
      <w:pPr>
        <w:pStyle w:val="Heading3"/>
      </w:pPr>
      <w:r w:rsidRPr="007C25F9">
        <w:lastRenderedPageBreak/>
        <w:t>Section 7. Acknowledgment, Certification, and Submission</w:t>
      </w:r>
    </w:p>
    <w:p w14:paraId="3DB3FBBE" w14:textId="77777777" w:rsidR="00E77F9E" w:rsidRPr="007C25F9" w:rsidRDefault="00E77F9E" w:rsidP="00B9677C">
      <w:r w:rsidRPr="007C25F9">
        <w:t>Initial each of the statements</w:t>
      </w:r>
      <w:r>
        <w:t xml:space="preserve"> below</w:t>
      </w:r>
      <w:r w:rsidRPr="007C25F9">
        <w:t xml:space="preserve"> to confirm that you have read and understand following:</w:t>
      </w:r>
    </w:p>
    <w:p w14:paraId="3CCD835D" w14:textId="77777777" w:rsidR="00E77F9E" w:rsidRPr="007C25F9" w:rsidRDefault="00E77F9E" w:rsidP="00A42D0A">
      <w:pPr>
        <w:pStyle w:val="Heading4"/>
      </w:pPr>
      <w:r w:rsidRPr="007C25F9">
        <w:t>Acknowledgment</w:t>
      </w:r>
    </w:p>
    <w:p w14:paraId="33354A5F" w14:textId="77777777" w:rsidR="00E77F9E" w:rsidRPr="007C25F9" w:rsidRDefault="00E77F9E"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1E72F236" w14:textId="77777777" w:rsidR="00E77F9E" w:rsidRPr="007C25F9" w:rsidRDefault="00E77F9E" w:rsidP="00783ABE">
      <w:r w:rsidRPr="00DF6992">
        <w:rPr>
          <w:noProof/>
        </w:rPr>
        <w:t>EK</w:t>
      </w:r>
    </w:p>
    <w:p w14:paraId="3AC2B0F9" w14:textId="77777777" w:rsidR="00E77F9E" w:rsidRPr="007C25F9" w:rsidRDefault="00E77F9E" w:rsidP="00A42D0A">
      <w:pPr>
        <w:pStyle w:val="Heading4"/>
      </w:pPr>
      <w:r w:rsidRPr="007C25F9">
        <w:t>Certification</w:t>
      </w:r>
    </w:p>
    <w:p w14:paraId="5A0C1281" w14:textId="77777777" w:rsidR="00E77F9E" w:rsidRPr="007C25F9" w:rsidRDefault="00E77F9E"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1C2EB4BC" w14:textId="77777777" w:rsidR="00E77F9E" w:rsidRPr="007C25F9" w:rsidRDefault="00E77F9E" w:rsidP="00783ABE">
      <w:r w:rsidRPr="00DF6992">
        <w:rPr>
          <w:noProof/>
        </w:rPr>
        <w:t>EK</w:t>
      </w:r>
    </w:p>
    <w:p w14:paraId="46D849EB" w14:textId="77777777" w:rsidR="00E77F9E" w:rsidRPr="007C25F9" w:rsidRDefault="00E77F9E"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E77F9E" w:rsidRPr="007C25F9" w14:paraId="5FFCEF2B" w14:textId="77777777" w:rsidTr="007929F6">
        <w:trPr>
          <w:cantSplit/>
          <w:tblHeader/>
        </w:trPr>
        <w:tc>
          <w:tcPr>
            <w:tcW w:w="4675" w:type="dxa"/>
            <w:shd w:val="clear" w:color="auto" w:fill="D9D9D9" w:themeFill="background1" w:themeFillShade="D9"/>
          </w:tcPr>
          <w:p w14:paraId="729889FE" w14:textId="77777777" w:rsidR="00E77F9E" w:rsidRPr="007C25F9" w:rsidRDefault="00E77F9E" w:rsidP="00D41927">
            <w:pPr>
              <w:rPr>
                <w:b/>
                <w:bCs/>
              </w:rPr>
            </w:pPr>
            <w:r w:rsidRPr="007C25F9">
              <w:rPr>
                <w:b/>
                <w:bCs/>
              </w:rPr>
              <w:t>Prompt</w:t>
            </w:r>
          </w:p>
        </w:tc>
        <w:tc>
          <w:tcPr>
            <w:tcW w:w="4675" w:type="dxa"/>
            <w:shd w:val="clear" w:color="auto" w:fill="D9D9D9" w:themeFill="background1" w:themeFillShade="D9"/>
          </w:tcPr>
          <w:p w14:paraId="60F2DC5E" w14:textId="77777777" w:rsidR="00E77F9E" w:rsidRPr="007C25F9" w:rsidRDefault="00E77F9E" w:rsidP="00D41927">
            <w:pPr>
              <w:rPr>
                <w:b/>
                <w:bCs/>
              </w:rPr>
            </w:pPr>
            <w:r w:rsidRPr="007C25F9">
              <w:rPr>
                <w:b/>
                <w:bCs/>
              </w:rPr>
              <w:t>Response</w:t>
            </w:r>
          </w:p>
        </w:tc>
      </w:tr>
      <w:tr w:rsidR="00E77F9E" w:rsidRPr="007C25F9" w14:paraId="3BD26373" w14:textId="77777777" w:rsidTr="007929F6">
        <w:trPr>
          <w:cantSplit/>
          <w:tblHeader/>
        </w:trPr>
        <w:tc>
          <w:tcPr>
            <w:tcW w:w="4675" w:type="dxa"/>
          </w:tcPr>
          <w:p w14:paraId="0570297A" w14:textId="77777777" w:rsidR="00E77F9E" w:rsidRPr="007C25F9" w:rsidRDefault="00E77F9E" w:rsidP="00D41927">
            <w:r w:rsidRPr="007C25F9">
              <w:t>Full Legal Name</w:t>
            </w:r>
          </w:p>
        </w:tc>
        <w:tc>
          <w:tcPr>
            <w:tcW w:w="4675" w:type="dxa"/>
          </w:tcPr>
          <w:p w14:paraId="3AF3F387" w14:textId="77777777" w:rsidR="00E77F9E" w:rsidRPr="007C25F9" w:rsidRDefault="00E77F9E" w:rsidP="00D41927">
            <w:r w:rsidRPr="00DF6992">
              <w:rPr>
                <w:noProof/>
              </w:rPr>
              <w:t>Emily Bobel Kilduff</w:t>
            </w:r>
          </w:p>
        </w:tc>
      </w:tr>
      <w:tr w:rsidR="00E77F9E" w:rsidRPr="007C25F9" w14:paraId="79733B7E" w14:textId="77777777" w:rsidTr="007929F6">
        <w:trPr>
          <w:cantSplit/>
          <w:tblHeader/>
        </w:trPr>
        <w:tc>
          <w:tcPr>
            <w:tcW w:w="4675" w:type="dxa"/>
          </w:tcPr>
          <w:p w14:paraId="113E11B7" w14:textId="77777777" w:rsidR="00E77F9E" w:rsidRPr="007C25F9" w:rsidRDefault="00E77F9E" w:rsidP="00D41927">
            <w:r w:rsidRPr="007C25F9">
              <w:t>Job Title</w:t>
            </w:r>
          </w:p>
        </w:tc>
        <w:tc>
          <w:tcPr>
            <w:tcW w:w="4675" w:type="dxa"/>
          </w:tcPr>
          <w:p w14:paraId="153A5247" w14:textId="77777777" w:rsidR="00E77F9E" w:rsidRPr="007C25F9" w:rsidRDefault="00E77F9E" w:rsidP="00D41927">
            <w:r w:rsidRPr="00DF6992">
              <w:rPr>
                <w:noProof/>
              </w:rPr>
              <w:t>Executive Director</w:t>
            </w:r>
          </w:p>
        </w:tc>
      </w:tr>
      <w:tr w:rsidR="00E77F9E" w:rsidRPr="007C25F9" w14:paraId="519F70EA" w14:textId="77777777" w:rsidTr="007929F6">
        <w:trPr>
          <w:cantSplit/>
          <w:tblHeader/>
        </w:trPr>
        <w:tc>
          <w:tcPr>
            <w:tcW w:w="4675" w:type="dxa"/>
          </w:tcPr>
          <w:p w14:paraId="54BE3879" w14:textId="77777777" w:rsidR="00E77F9E" w:rsidRPr="007C25F9" w:rsidRDefault="00E77F9E" w:rsidP="00D41927">
            <w:r w:rsidRPr="007C25F9">
              <w:t>Email Address</w:t>
            </w:r>
          </w:p>
        </w:tc>
        <w:tc>
          <w:tcPr>
            <w:tcW w:w="4675" w:type="dxa"/>
          </w:tcPr>
          <w:p w14:paraId="208962C9" w14:textId="77777777" w:rsidR="00E77F9E" w:rsidRPr="007C25F9" w:rsidRDefault="00E77F9E" w:rsidP="00D41927">
            <w:r w:rsidRPr="00DF6992">
              <w:rPr>
                <w:noProof/>
              </w:rPr>
              <w:t>emily@newschoolsf.org</w:t>
            </w:r>
          </w:p>
        </w:tc>
      </w:tr>
      <w:tr w:rsidR="00E77F9E" w14:paraId="1E510E0C" w14:textId="77777777" w:rsidTr="007929F6">
        <w:trPr>
          <w:cantSplit/>
          <w:tblHeader/>
        </w:trPr>
        <w:tc>
          <w:tcPr>
            <w:tcW w:w="4675" w:type="dxa"/>
          </w:tcPr>
          <w:p w14:paraId="6CBBAE2D" w14:textId="77777777" w:rsidR="00E77F9E" w:rsidRPr="007C25F9" w:rsidRDefault="00E77F9E" w:rsidP="00D41927">
            <w:r w:rsidRPr="007C25F9">
              <w:t>Phone Number</w:t>
            </w:r>
          </w:p>
        </w:tc>
        <w:tc>
          <w:tcPr>
            <w:tcW w:w="4675" w:type="dxa"/>
          </w:tcPr>
          <w:p w14:paraId="7715E722" w14:textId="77777777" w:rsidR="00E77F9E" w:rsidRDefault="00E77F9E" w:rsidP="00D41927">
            <w:r w:rsidRPr="00DF6992">
              <w:rPr>
                <w:noProof/>
              </w:rPr>
              <w:t>408-202-2848</w:t>
            </w:r>
          </w:p>
        </w:tc>
      </w:tr>
    </w:tbl>
    <w:p w14:paraId="2E86F5EE" w14:textId="77777777" w:rsidR="00E77F9E" w:rsidRPr="00E810BB" w:rsidRDefault="00E77F9E" w:rsidP="009B209B"/>
    <w:sectPr w:rsidR="00E77F9E" w:rsidRPr="00E810BB" w:rsidSect="00E77F9E">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A507" w14:textId="77777777" w:rsidR="0075164D" w:rsidRDefault="0075164D" w:rsidP="002174BD">
      <w:pPr>
        <w:spacing w:after="0"/>
      </w:pPr>
      <w:r>
        <w:separator/>
      </w:r>
    </w:p>
  </w:endnote>
  <w:endnote w:type="continuationSeparator" w:id="0">
    <w:p w14:paraId="15971AEA" w14:textId="77777777" w:rsidR="0075164D" w:rsidRDefault="0075164D"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1427" w14:textId="77777777" w:rsidR="0075164D" w:rsidRDefault="0075164D" w:rsidP="002174BD">
      <w:pPr>
        <w:spacing w:after="0"/>
      </w:pPr>
      <w:r>
        <w:separator/>
      </w:r>
    </w:p>
  </w:footnote>
  <w:footnote w:type="continuationSeparator" w:id="0">
    <w:p w14:paraId="5647A0B9" w14:textId="77777777" w:rsidR="0075164D" w:rsidRDefault="0075164D"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1172" w14:textId="2CD38171" w:rsidR="00E77F9E" w:rsidRDefault="009717B1" w:rsidP="00EA4CF5">
    <w:pPr>
      <w:pStyle w:val="Header"/>
      <w:jc w:val="right"/>
    </w:pPr>
    <w:r>
      <w:t>memo-lacb-csd-apr26item02</w:t>
    </w:r>
  </w:p>
  <w:p w14:paraId="33944D8F" w14:textId="634E1DF6" w:rsidR="00E77F9E" w:rsidRDefault="009717B1" w:rsidP="00EA4CF5">
    <w:pPr>
      <w:pStyle w:val="Header"/>
      <w:jc w:val="right"/>
    </w:pPr>
    <w:r>
      <w:t>Attachment 10 – New School of San Francisco (Charter #1742)</w:t>
    </w:r>
  </w:p>
  <w:p w14:paraId="5B702643" w14:textId="77777777" w:rsidR="00E77F9E" w:rsidRPr="00D852E7" w:rsidRDefault="00E77F9E"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A3E"/>
    <w:rsid w:val="00045F06"/>
    <w:rsid w:val="00051528"/>
    <w:rsid w:val="000548C3"/>
    <w:rsid w:val="00093A2F"/>
    <w:rsid w:val="000A6A2D"/>
    <w:rsid w:val="000B1CA8"/>
    <w:rsid w:val="000C603E"/>
    <w:rsid w:val="000E067F"/>
    <w:rsid w:val="00104EE5"/>
    <w:rsid w:val="001173E5"/>
    <w:rsid w:val="00140B3A"/>
    <w:rsid w:val="00145B44"/>
    <w:rsid w:val="0016607E"/>
    <w:rsid w:val="0019053F"/>
    <w:rsid w:val="00196813"/>
    <w:rsid w:val="001B482D"/>
    <w:rsid w:val="001B765D"/>
    <w:rsid w:val="001D3296"/>
    <w:rsid w:val="001D68D9"/>
    <w:rsid w:val="001E2C89"/>
    <w:rsid w:val="001F249C"/>
    <w:rsid w:val="001F4AE6"/>
    <w:rsid w:val="001F6EDC"/>
    <w:rsid w:val="0020095A"/>
    <w:rsid w:val="00203DA8"/>
    <w:rsid w:val="002040BB"/>
    <w:rsid w:val="002174BD"/>
    <w:rsid w:val="002278F5"/>
    <w:rsid w:val="00247F98"/>
    <w:rsid w:val="00261BA3"/>
    <w:rsid w:val="00272F2D"/>
    <w:rsid w:val="002967DB"/>
    <w:rsid w:val="002A6AF3"/>
    <w:rsid w:val="002B6DCA"/>
    <w:rsid w:val="002D66EB"/>
    <w:rsid w:val="002E43F0"/>
    <w:rsid w:val="002F3887"/>
    <w:rsid w:val="003002B4"/>
    <w:rsid w:val="0031666F"/>
    <w:rsid w:val="00330138"/>
    <w:rsid w:val="00334354"/>
    <w:rsid w:val="003418E1"/>
    <w:rsid w:val="003425F0"/>
    <w:rsid w:val="00342FE5"/>
    <w:rsid w:val="0034471C"/>
    <w:rsid w:val="003735D5"/>
    <w:rsid w:val="003878C5"/>
    <w:rsid w:val="003B125B"/>
    <w:rsid w:val="003C68FE"/>
    <w:rsid w:val="003F24F5"/>
    <w:rsid w:val="003F3CC2"/>
    <w:rsid w:val="0040704F"/>
    <w:rsid w:val="004235EF"/>
    <w:rsid w:val="0045774B"/>
    <w:rsid w:val="00484C51"/>
    <w:rsid w:val="0049151F"/>
    <w:rsid w:val="004926FC"/>
    <w:rsid w:val="004D7A03"/>
    <w:rsid w:val="004E145F"/>
    <w:rsid w:val="004F6124"/>
    <w:rsid w:val="00510405"/>
    <w:rsid w:val="00526D4F"/>
    <w:rsid w:val="005302B7"/>
    <w:rsid w:val="005315CB"/>
    <w:rsid w:val="005428AF"/>
    <w:rsid w:val="00570E5D"/>
    <w:rsid w:val="005710BF"/>
    <w:rsid w:val="00577450"/>
    <w:rsid w:val="00580996"/>
    <w:rsid w:val="00582F1F"/>
    <w:rsid w:val="005A278A"/>
    <w:rsid w:val="005A4D11"/>
    <w:rsid w:val="005A596B"/>
    <w:rsid w:val="005E1711"/>
    <w:rsid w:val="005E21DD"/>
    <w:rsid w:val="005F171A"/>
    <w:rsid w:val="005F6FE2"/>
    <w:rsid w:val="00617D8F"/>
    <w:rsid w:val="00671EE8"/>
    <w:rsid w:val="006758A6"/>
    <w:rsid w:val="006A5890"/>
    <w:rsid w:val="006C3EF7"/>
    <w:rsid w:val="006D2661"/>
    <w:rsid w:val="00700651"/>
    <w:rsid w:val="007252DE"/>
    <w:rsid w:val="0075164D"/>
    <w:rsid w:val="00757322"/>
    <w:rsid w:val="00765AEF"/>
    <w:rsid w:val="007834EF"/>
    <w:rsid w:val="00783ABE"/>
    <w:rsid w:val="0079037D"/>
    <w:rsid w:val="0079179B"/>
    <w:rsid w:val="00791C13"/>
    <w:rsid w:val="007929F6"/>
    <w:rsid w:val="007A2AFF"/>
    <w:rsid w:val="007A747D"/>
    <w:rsid w:val="007B0294"/>
    <w:rsid w:val="007B23AC"/>
    <w:rsid w:val="007C25F9"/>
    <w:rsid w:val="007D02A9"/>
    <w:rsid w:val="007D6A6B"/>
    <w:rsid w:val="007E5BE2"/>
    <w:rsid w:val="007E7027"/>
    <w:rsid w:val="0081087F"/>
    <w:rsid w:val="00831AA3"/>
    <w:rsid w:val="00834891"/>
    <w:rsid w:val="0083596B"/>
    <w:rsid w:val="008676F5"/>
    <w:rsid w:val="008B72BC"/>
    <w:rsid w:val="008B759D"/>
    <w:rsid w:val="008C1CCA"/>
    <w:rsid w:val="008D6A61"/>
    <w:rsid w:val="009038BD"/>
    <w:rsid w:val="009051A8"/>
    <w:rsid w:val="0092002A"/>
    <w:rsid w:val="00927BE3"/>
    <w:rsid w:val="00930E5D"/>
    <w:rsid w:val="00936A50"/>
    <w:rsid w:val="00951441"/>
    <w:rsid w:val="00961A90"/>
    <w:rsid w:val="00966DD8"/>
    <w:rsid w:val="009717B1"/>
    <w:rsid w:val="009767A1"/>
    <w:rsid w:val="009853B6"/>
    <w:rsid w:val="009A4E4A"/>
    <w:rsid w:val="009B0CD2"/>
    <w:rsid w:val="009B209B"/>
    <w:rsid w:val="009C5880"/>
    <w:rsid w:val="00A0719E"/>
    <w:rsid w:val="00A3600D"/>
    <w:rsid w:val="00A42D0A"/>
    <w:rsid w:val="00A45C62"/>
    <w:rsid w:val="00A579D8"/>
    <w:rsid w:val="00A971A6"/>
    <w:rsid w:val="00AB2A51"/>
    <w:rsid w:val="00AC0320"/>
    <w:rsid w:val="00AC2B91"/>
    <w:rsid w:val="00AC4AEF"/>
    <w:rsid w:val="00AE4773"/>
    <w:rsid w:val="00B4292B"/>
    <w:rsid w:val="00B63405"/>
    <w:rsid w:val="00B849EC"/>
    <w:rsid w:val="00B9677C"/>
    <w:rsid w:val="00B97A3C"/>
    <w:rsid w:val="00BC6BA7"/>
    <w:rsid w:val="00BD0CFD"/>
    <w:rsid w:val="00BE1ECA"/>
    <w:rsid w:val="00BE661E"/>
    <w:rsid w:val="00BF0851"/>
    <w:rsid w:val="00C025A1"/>
    <w:rsid w:val="00C235D2"/>
    <w:rsid w:val="00C2622E"/>
    <w:rsid w:val="00C31395"/>
    <w:rsid w:val="00C537DE"/>
    <w:rsid w:val="00C555F8"/>
    <w:rsid w:val="00C71FEB"/>
    <w:rsid w:val="00CB3B9E"/>
    <w:rsid w:val="00CC6A9D"/>
    <w:rsid w:val="00CE0005"/>
    <w:rsid w:val="00CE1DD0"/>
    <w:rsid w:val="00CE2217"/>
    <w:rsid w:val="00CF328E"/>
    <w:rsid w:val="00D03EE1"/>
    <w:rsid w:val="00D06EC2"/>
    <w:rsid w:val="00D11CF3"/>
    <w:rsid w:val="00D1322F"/>
    <w:rsid w:val="00D20871"/>
    <w:rsid w:val="00D33CCE"/>
    <w:rsid w:val="00D369FF"/>
    <w:rsid w:val="00D46026"/>
    <w:rsid w:val="00D50328"/>
    <w:rsid w:val="00D65A99"/>
    <w:rsid w:val="00D75BC8"/>
    <w:rsid w:val="00D80696"/>
    <w:rsid w:val="00D83731"/>
    <w:rsid w:val="00D852E7"/>
    <w:rsid w:val="00DA7848"/>
    <w:rsid w:val="00DC5A7E"/>
    <w:rsid w:val="00DE3428"/>
    <w:rsid w:val="00DE56CE"/>
    <w:rsid w:val="00DF32B9"/>
    <w:rsid w:val="00E12D4A"/>
    <w:rsid w:val="00E324EF"/>
    <w:rsid w:val="00E33535"/>
    <w:rsid w:val="00E47889"/>
    <w:rsid w:val="00E50B16"/>
    <w:rsid w:val="00E57C07"/>
    <w:rsid w:val="00E76516"/>
    <w:rsid w:val="00E77F9E"/>
    <w:rsid w:val="00E810BB"/>
    <w:rsid w:val="00EA4CF5"/>
    <w:rsid w:val="00EA5C07"/>
    <w:rsid w:val="00EB4763"/>
    <w:rsid w:val="00ED0EF1"/>
    <w:rsid w:val="00ED5A89"/>
    <w:rsid w:val="00EE6229"/>
    <w:rsid w:val="00EF054D"/>
    <w:rsid w:val="00EF0E1C"/>
    <w:rsid w:val="00F303BC"/>
    <w:rsid w:val="00F30E3C"/>
    <w:rsid w:val="00F35436"/>
    <w:rsid w:val="00F36F1F"/>
    <w:rsid w:val="00F908EB"/>
    <w:rsid w:val="00FD31AF"/>
    <w:rsid w:val="00FD65C3"/>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388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2709</Words>
  <Characters>15490</Characters>
  <DocSecurity>0</DocSecurity>
  <Lines>370</Lines>
  <Paragraphs>205</Paragraphs>
  <ScaleCrop>false</ScaleCrop>
  <HeadingPairs>
    <vt:vector size="2" baseType="variant">
      <vt:variant>
        <vt:lpstr>Title</vt:lpstr>
      </vt:variant>
      <vt:variant>
        <vt:i4>1</vt:i4>
      </vt:variant>
    </vt:vector>
  </HeadingPairs>
  <TitlesOfParts>
    <vt:vector size="1" baseType="lpstr">
      <vt:lpstr>April 2026 Memo LACB CSD Item XX Attachment 10 - Information Memorandum (CA State Board of Education)</vt:lpstr>
    </vt:vector>
  </TitlesOfParts>
  <Company>CA State Board of Education</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10 - Information Memoranda (CA State Board of Education)</dc:title>
  <dc:subject>The New School of San Francisco – Academic Memorandum.</dc:subject>
  <dc:creator/>
  <cp:keywords/>
  <dc:description/>
  <cp:lastModifiedBy/>
  <dcterms:created xsi:type="dcterms:W3CDTF">2026-03-10T22:58:00Z</dcterms:created>
  <dcterms:modified xsi:type="dcterms:W3CDTF">2026-04-08T20:26:00Z</dcterms:modified>
</cp:coreProperties>
</file>