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8BF4" w14:textId="77777777" w:rsidR="00255527" w:rsidRPr="007C25F9" w:rsidRDefault="00255527" w:rsidP="00EA4CF5">
      <w:pPr>
        <w:pStyle w:val="Header"/>
        <w:jc w:val="right"/>
      </w:pPr>
      <w:r w:rsidRPr="007C25F9">
        <w:t>California Department of Education</w:t>
      </w:r>
    </w:p>
    <w:p w14:paraId="48D9E715" w14:textId="77777777" w:rsidR="00255527" w:rsidRPr="007C25F9" w:rsidRDefault="00255527" w:rsidP="00EA4CF5">
      <w:pPr>
        <w:pStyle w:val="Header"/>
        <w:jc w:val="right"/>
      </w:pPr>
      <w:r w:rsidRPr="007C25F9">
        <w:t>Charter Schools Division</w:t>
      </w:r>
    </w:p>
    <w:p w14:paraId="6A82E97E" w14:textId="77777777" w:rsidR="00255527" w:rsidRPr="007C25F9" w:rsidRDefault="00255527" w:rsidP="00EA4CF5">
      <w:pPr>
        <w:pStyle w:val="Header"/>
        <w:jc w:val="right"/>
      </w:pPr>
      <w:r w:rsidRPr="007C25F9">
        <w:t xml:space="preserve">Created </w:t>
      </w:r>
      <w:r>
        <w:t>12</w:t>
      </w:r>
      <w:r w:rsidRPr="007C25F9">
        <w:t>/202</w:t>
      </w:r>
      <w:r>
        <w:t>6</w:t>
      </w:r>
    </w:p>
    <w:p w14:paraId="3B4470F3" w14:textId="1282024E" w:rsidR="00255527" w:rsidRPr="007C25F9" w:rsidRDefault="00084023" w:rsidP="00EA4CF5">
      <w:pPr>
        <w:pStyle w:val="Header"/>
        <w:jc w:val="right"/>
      </w:pPr>
      <w:r>
        <w:t>m</w:t>
      </w:r>
      <w:r w:rsidR="007D0313">
        <w:t>emo-</w:t>
      </w:r>
      <w:r w:rsidR="00255527" w:rsidRPr="007C25F9">
        <w:t>lacb-csd-</w:t>
      </w:r>
      <w:r w:rsidR="007D0313">
        <w:t>apr</w:t>
      </w:r>
      <w:r w:rsidR="00255527" w:rsidRPr="007C25F9">
        <w:t>2</w:t>
      </w:r>
      <w:r w:rsidR="00255527">
        <w:t>6</w:t>
      </w:r>
      <w:r w:rsidR="00255527" w:rsidRPr="007C25F9">
        <w:t>item</w:t>
      </w:r>
      <w:r w:rsidR="007D0313">
        <w:t>02</w:t>
      </w:r>
    </w:p>
    <w:p w14:paraId="4BADDC83" w14:textId="1D82DF85" w:rsidR="00255527" w:rsidRPr="007C25F9" w:rsidRDefault="00255527" w:rsidP="00EA4CF5">
      <w:pPr>
        <w:pStyle w:val="Header"/>
        <w:jc w:val="right"/>
      </w:pPr>
      <w:r w:rsidRPr="007C25F9">
        <w:t xml:space="preserve">Attachment </w:t>
      </w:r>
      <w:r w:rsidR="007C10C1">
        <w:t>5</w:t>
      </w:r>
    </w:p>
    <w:p w14:paraId="67F17D4E" w14:textId="77777777" w:rsidR="00255527" w:rsidRPr="007C25F9" w:rsidRDefault="00255527" w:rsidP="008C1CCA">
      <w:pPr>
        <w:pStyle w:val="Heading1"/>
      </w:pPr>
      <w:r w:rsidRPr="007C25F9">
        <w:t>California State Board of Education-Authorized Charter School Academic Memorandum Form</w:t>
      </w:r>
    </w:p>
    <w:p w14:paraId="366112DF" w14:textId="77777777" w:rsidR="00255527" w:rsidRPr="007C25F9" w:rsidRDefault="00255527" w:rsidP="008C1CCA">
      <w:pPr>
        <w:spacing w:after="480"/>
        <w:jc w:val="center"/>
        <w:rPr>
          <w:rFonts w:eastAsia="Calibri" w:cs="Arial"/>
          <w14:ligatures w14:val="none"/>
        </w:rPr>
      </w:pPr>
      <w:r w:rsidRPr="007C25F9">
        <w:rPr>
          <w:rFonts w:eastAsia="Calibri" w:cs="Arial"/>
          <w14:ligatures w14:val="none"/>
        </w:rPr>
        <w:t>CALIFORNIA DEPARTMENT OF EDUCATION</w:t>
      </w:r>
    </w:p>
    <w:p w14:paraId="451DC051" w14:textId="77777777" w:rsidR="00255527" w:rsidRPr="007C25F9" w:rsidRDefault="00255527"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John Henry High School</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1741</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2167ABF5" w14:textId="77777777" w:rsidR="00255527" w:rsidRPr="007C25F9" w:rsidRDefault="00255527" w:rsidP="00D852E7">
      <w:pPr>
        <w:spacing w:after="160" w:line="259" w:lineRule="auto"/>
        <w:rPr>
          <w:rFonts w:eastAsiaTheme="majorEastAsia" w:cstheme="majorBidi"/>
          <w:b/>
          <w:sz w:val="32"/>
          <w:szCs w:val="26"/>
        </w:rPr>
      </w:pPr>
      <w:r w:rsidRPr="007C25F9">
        <w:br w:type="page"/>
      </w:r>
    </w:p>
    <w:p w14:paraId="213CA940" w14:textId="77777777" w:rsidR="00255527" w:rsidRPr="007C25F9" w:rsidRDefault="00255527" w:rsidP="00A42D0A">
      <w:pPr>
        <w:pStyle w:val="Heading2"/>
      </w:pPr>
      <w:r w:rsidRPr="00DF6992">
        <w:lastRenderedPageBreak/>
        <w:t>John Henry High School</w:t>
      </w:r>
      <w:r w:rsidRPr="007C25F9">
        <w:br/>
        <w:t>Academic Memorandum Form</w:t>
      </w:r>
    </w:p>
    <w:p w14:paraId="2F35CE86" w14:textId="77777777" w:rsidR="00255527" w:rsidRPr="007C25F9" w:rsidRDefault="00255527" w:rsidP="00A42D0A">
      <w:pPr>
        <w:pStyle w:val="Heading3"/>
      </w:pPr>
      <w:r w:rsidRPr="007C25F9">
        <w:t>Section 1. Charter School Information</w:t>
      </w:r>
    </w:p>
    <w:p w14:paraId="3E40AF17" w14:textId="77777777" w:rsidR="00255527" w:rsidRPr="007C25F9" w:rsidRDefault="00255527" w:rsidP="00A42D0A">
      <w:pPr>
        <w:pStyle w:val="Heading4"/>
      </w:pPr>
      <w:r w:rsidRPr="007C25F9">
        <w:t>General Information</w:t>
      </w:r>
    </w:p>
    <w:p w14:paraId="5289D8FA" w14:textId="77777777" w:rsidR="00255527" w:rsidRPr="007C25F9" w:rsidRDefault="00255527"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255527" w:rsidRPr="007C25F9" w14:paraId="65B5A6BF" w14:textId="77777777" w:rsidTr="007929F6">
        <w:trPr>
          <w:cantSplit/>
          <w:tblHeader/>
        </w:trPr>
        <w:tc>
          <w:tcPr>
            <w:tcW w:w="4675" w:type="dxa"/>
            <w:shd w:val="clear" w:color="auto" w:fill="D9D9D9" w:themeFill="background1" w:themeFillShade="D9"/>
          </w:tcPr>
          <w:p w14:paraId="0D55BD93" w14:textId="77777777" w:rsidR="00255527" w:rsidRPr="007C25F9" w:rsidRDefault="00255527" w:rsidP="00765AEF">
            <w:pPr>
              <w:rPr>
                <w:b/>
                <w:bCs/>
              </w:rPr>
            </w:pPr>
            <w:r w:rsidRPr="007C25F9">
              <w:rPr>
                <w:b/>
                <w:bCs/>
              </w:rPr>
              <w:t>Prompt</w:t>
            </w:r>
          </w:p>
        </w:tc>
        <w:tc>
          <w:tcPr>
            <w:tcW w:w="4675" w:type="dxa"/>
            <w:shd w:val="clear" w:color="auto" w:fill="D9D9D9" w:themeFill="background1" w:themeFillShade="D9"/>
          </w:tcPr>
          <w:p w14:paraId="2D566035" w14:textId="77777777" w:rsidR="00255527" w:rsidRPr="007C25F9" w:rsidRDefault="00255527" w:rsidP="00765AEF">
            <w:pPr>
              <w:rPr>
                <w:b/>
                <w:bCs/>
              </w:rPr>
            </w:pPr>
            <w:r w:rsidRPr="007C25F9">
              <w:rPr>
                <w:b/>
                <w:bCs/>
              </w:rPr>
              <w:t>Response</w:t>
            </w:r>
          </w:p>
        </w:tc>
      </w:tr>
      <w:tr w:rsidR="00255527" w:rsidRPr="007C25F9" w14:paraId="25E2274F" w14:textId="77777777" w:rsidTr="00C2622E">
        <w:tc>
          <w:tcPr>
            <w:tcW w:w="4675" w:type="dxa"/>
          </w:tcPr>
          <w:p w14:paraId="04CAD0E5" w14:textId="77777777" w:rsidR="00255527" w:rsidRPr="007C25F9" w:rsidRDefault="00255527" w:rsidP="00765AEF">
            <w:r w:rsidRPr="007C25F9">
              <w:t>Charter School Name</w:t>
            </w:r>
          </w:p>
        </w:tc>
        <w:tc>
          <w:tcPr>
            <w:tcW w:w="4675" w:type="dxa"/>
          </w:tcPr>
          <w:p w14:paraId="73BC9D0E" w14:textId="77777777" w:rsidR="00255527" w:rsidRPr="007C25F9" w:rsidRDefault="00255527" w:rsidP="00765AEF">
            <w:r w:rsidRPr="00DF6992">
              <w:rPr>
                <w:noProof/>
              </w:rPr>
              <w:t>John Henry High School</w:t>
            </w:r>
          </w:p>
        </w:tc>
      </w:tr>
      <w:tr w:rsidR="00255527" w:rsidRPr="007C25F9" w14:paraId="32E58890" w14:textId="77777777" w:rsidTr="00C2622E">
        <w:tc>
          <w:tcPr>
            <w:tcW w:w="4675" w:type="dxa"/>
          </w:tcPr>
          <w:p w14:paraId="700ADA09" w14:textId="77777777" w:rsidR="00255527" w:rsidRPr="007C25F9" w:rsidRDefault="00255527" w:rsidP="00765AEF">
            <w:r w:rsidRPr="007C25F9">
              <w:t>School Address</w:t>
            </w:r>
          </w:p>
        </w:tc>
        <w:tc>
          <w:tcPr>
            <w:tcW w:w="4675" w:type="dxa"/>
          </w:tcPr>
          <w:p w14:paraId="6B5B9164" w14:textId="77777777" w:rsidR="00255527" w:rsidRPr="007C25F9" w:rsidRDefault="00255527" w:rsidP="00765AEF">
            <w:r w:rsidRPr="00DF6992">
              <w:rPr>
                <w:noProof/>
              </w:rPr>
              <w:t>1402 Marina Way South</w:t>
            </w:r>
          </w:p>
        </w:tc>
      </w:tr>
      <w:tr w:rsidR="00255527" w:rsidRPr="007C25F9" w14:paraId="1F505BEF" w14:textId="77777777" w:rsidTr="00C2622E">
        <w:tc>
          <w:tcPr>
            <w:tcW w:w="4675" w:type="dxa"/>
          </w:tcPr>
          <w:p w14:paraId="2AB4D10F" w14:textId="77777777" w:rsidR="00255527" w:rsidRPr="007C25F9" w:rsidRDefault="00255527" w:rsidP="00765AEF">
            <w:r w:rsidRPr="007C25F9">
              <w:t>City</w:t>
            </w:r>
          </w:p>
        </w:tc>
        <w:tc>
          <w:tcPr>
            <w:tcW w:w="4675" w:type="dxa"/>
          </w:tcPr>
          <w:p w14:paraId="75C4F0A2" w14:textId="77777777" w:rsidR="00255527" w:rsidRPr="007C25F9" w:rsidRDefault="00255527" w:rsidP="00765AEF">
            <w:r w:rsidRPr="00DF6992">
              <w:rPr>
                <w:noProof/>
              </w:rPr>
              <w:t>Richmond</w:t>
            </w:r>
          </w:p>
        </w:tc>
      </w:tr>
      <w:tr w:rsidR="00255527" w:rsidRPr="007C25F9" w14:paraId="5CA97F5D" w14:textId="77777777" w:rsidTr="00C2622E">
        <w:tc>
          <w:tcPr>
            <w:tcW w:w="4675" w:type="dxa"/>
          </w:tcPr>
          <w:p w14:paraId="68E394A6" w14:textId="77777777" w:rsidR="00255527" w:rsidRPr="007C25F9" w:rsidRDefault="00255527" w:rsidP="00765AEF">
            <w:r w:rsidRPr="007C25F9">
              <w:t>ZIP Code</w:t>
            </w:r>
          </w:p>
        </w:tc>
        <w:tc>
          <w:tcPr>
            <w:tcW w:w="4675" w:type="dxa"/>
          </w:tcPr>
          <w:p w14:paraId="7DCA8050" w14:textId="77777777" w:rsidR="00255527" w:rsidRPr="007C25F9" w:rsidRDefault="00255527" w:rsidP="00765AEF">
            <w:r w:rsidRPr="00DF6992">
              <w:rPr>
                <w:noProof/>
              </w:rPr>
              <w:t>94804</w:t>
            </w:r>
          </w:p>
        </w:tc>
      </w:tr>
      <w:tr w:rsidR="00255527" w:rsidRPr="007C25F9" w14:paraId="4904FDA5" w14:textId="77777777" w:rsidTr="00C2622E">
        <w:tc>
          <w:tcPr>
            <w:tcW w:w="4675" w:type="dxa"/>
          </w:tcPr>
          <w:p w14:paraId="6D87E7D4" w14:textId="77777777" w:rsidR="00255527" w:rsidRPr="007C25F9" w:rsidRDefault="00255527" w:rsidP="00765AEF">
            <w:r w:rsidRPr="007C25F9">
              <w:t>Located in District</w:t>
            </w:r>
          </w:p>
        </w:tc>
        <w:tc>
          <w:tcPr>
            <w:tcW w:w="4675" w:type="dxa"/>
          </w:tcPr>
          <w:p w14:paraId="11D59014" w14:textId="77777777" w:rsidR="00255527" w:rsidRPr="007C25F9" w:rsidRDefault="00255527" w:rsidP="00765AEF">
            <w:r w:rsidRPr="00DF6992">
              <w:rPr>
                <w:noProof/>
              </w:rPr>
              <w:t>West Contra County USD</w:t>
            </w:r>
          </w:p>
        </w:tc>
      </w:tr>
      <w:tr w:rsidR="00255527" w:rsidRPr="007C25F9" w14:paraId="77BF6B85" w14:textId="77777777" w:rsidTr="00C2622E">
        <w:tc>
          <w:tcPr>
            <w:tcW w:w="4675" w:type="dxa"/>
          </w:tcPr>
          <w:p w14:paraId="5F838D7D" w14:textId="77777777" w:rsidR="00255527" w:rsidRPr="007C25F9" w:rsidRDefault="00255527" w:rsidP="00765AEF">
            <w:r w:rsidRPr="007C25F9">
              <w:t>County</w:t>
            </w:r>
          </w:p>
        </w:tc>
        <w:tc>
          <w:tcPr>
            <w:tcW w:w="4675" w:type="dxa"/>
          </w:tcPr>
          <w:p w14:paraId="54D7D97D" w14:textId="77777777" w:rsidR="00255527" w:rsidRPr="007C25F9" w:rsidRDefault="00255527" w:rsidP="00765AEF">
            <w:r w:rsidRPr="00DF6992">
              <w:rPr>
                <w:noProof/>
              </w:rPr>
              <w:t>Contra County</w:t>
            </w:r>
          </w:p>
        </w:tc>
      </w:tr>
      <w:tr w:rsidR="00255527" w:rsidRPr="007C25F9" w14:paraId="02C0822C" w14:textId="77777777" w:rsidTr="00C2622E">
        <w:tc>
          <w:tcPr>
            <w:tcW w:w="4675" w:type="dxa"/>
          </w:tcPr>
          <w:p w14:paraId="058CC8BA" w14:textId="77777777" w:rsidR="00255527" w:rsidRPr="007C25F9" w:rsidRDefault="00255527" w:rsidP="00765AEF">
            <w:r w:rsidRPr="007C25F9">
              <w:t>Website Address</w:t>
            </w:r>
          </w:p>
        </w:tc>
        <w:tc>
          <w:tcPr>
            <w:tcW w:w="4675" w:type="dxa"/>
          </w:tcPr>
          <w:p w14:paraId="04FD4158" w14:textId="77777777" w:rsidR="00255527" w:rsidRPr="007C25F9" w:rsidRDefault="00255527" w:rsidP="00765AEF">
            <w:r w:rsidRPr="00DF6992">
              <w:rPr>
                <w:noProof/>
              </w:rPr>
              <w:t>jhhs.amethodschools.org</w:t>
            </w:r>
          </w:p>
        </w:tc>
      </w:tr>
      <w:tr w:rsidR="00255527" w:rsidRPr="007C25F9" w14:paraId="4A1A197E" w14:textId="77777777" w:rsidTr="00C2622E">
        <w:tc>
          <w:tcPr>
            <w:tcW w:w="4675" w:type="dxa"/>
          </w:tcPr>
          <w:p w14:paraId="2E4E841D" w14:textId="77777777" w:rsidR="00255527" w:rsidRPr="007C25F9" w:rsidRDefault="00255527" w:rsidP="00765AEF">
            <w:r w:rsidRPr="007C25F9">
              <w:t>County District School (CDS) Code</w:t>
            </w:r>
          </w:p>
        </w:tc>
        <w:tc>
          <w:tcPr>
            <w:tcW w:w="4675" w:type="dxa"/>
          </w:tcPr>
          <w:p w14:paraId="152F13DF" w14:textId="77777777" w:rsidR="00255527" w:rsidRPr="007C25F9" w:rsidRDefault="00255527" w:rsidP="00765AEF">
            <w:r w:rsidRPr="00DF6992">
              <w:rPr>
                <w:noProof/>
              </w:rPr>
              <w:t>07-77354-0132233</w:t>
            </w:r>
          </w:p>
        </w:tc>
      </w:tr>
      <w:tr w:rsidR="00255527" w:rsidRPr="007C25F9" w14:paraId="6F97A52D" w14:textId="77777777" w:rsidTr="00C2622E">
        <w:tc>
          <w:tcPr>
            <w:tcW w:w="4675" w:type="dxa"/>
          </w:tcPr>
          <w:p w14:paraId="6650DB8D" w14:textId="77777777" w:rsidR="00255527" w:rsidRPr="007C25F9" w:rsidRDefault="00255527" w:rsidP="00765AEF">
            <w:r w:rsidRPr="007C25F9">
              <w:t>Charter Number</w:t>
            </w:r>
          </w:p>
        </w:tc>
        <w:tc>
          <w:tcPr>
            <w:tcW w:w="4675" w:type="dxa"/>
          </w:tcPr>
          <w:p w14:paraId="470395D3" w14:textId="77777777" w:rsidR="00255527" w:rsidRPr="007C25F9" w:rsidRDefault="00255527" w:rsidP="00765AEF">
            <w:r w:rsidRPr="00DF6992">
              <w:rPr>
                <w:noProof/>
              </w:rPr>
              <w:t>1741</w:t>
            </w:r>
          </w:p>
        </w:tc>
      </w:tr>
      <w:tr w:rsidR="00255527" w:rsidRPr="007C25F9" w14:paraId="616E4A6F" w14:textId="77777777" w:rsidTr="00C2622E">
        <w:tc>
          <w:tcPr>
            <w:tcW w:w="4675" w:type="dxa"/>
          </w:tcPr>
          <w:p w14:paraId="27A8B446" w14:textId="77777777" w:rsidR="00255527" w:rsidRPr="007C25F9" w:rsidRDefault="00255527" w:rsidP="00765AEF">
            <w:r w:rsidRPr="007C25F9">
              <w:t>Current Charter Term Start Date</w:t>
            </w:r>
          </w:p>
        </w:tc>
        <w:tc>
          <w:tcPr>
            <w:tcW w:w="4675" w:type="dxa"/>
          </w:tcPr>
          <w:p w14:paraId="0E189DE6" w14:textId="77777777" w:rsidR="00255527" w:rsidRPr="007C25F9" w:rsidRDefault="00255527" w:rsidP="00765AEF">
            <w:r w:rsidRPr="00DF6992">
              <w:rPr>
                <w:noProof/>
              </w:rPr>
              <w:t>7/1/2020</w:t>
            </w:r>
          </w:p>
        </w:tc>
      </w:tr>
      <w:tr w:rsidR="00255527" w:rsidRPr="007C25F9" w14:paraId="72B42C61" w14:textId="77777777" w:rsidTr="00C2622E">
        <w:tc>
          <w:tcPr>
            <w:tcW w:w="4675" w:type="dxa"/>
          </w:tcPr>
          <w:p w14:paraId="5F2A61E8" w14:textId="77777777" w:rsidR="00255527" w:rsidRPr="007C25F9" w:rsidRDefault="00255527" w:rsidP="00765AEF">
            <w:r w:rsidRPr="007C25F9">
              <w:t>Current Charter Term End Date</w:t>
            </w:r>
          </w:p>
        </w:tc>
        <w:tc>
          <w:tcPr>
            <w:tcW w:w="4675" w:type="dxa"/>
          </w:tcPr>
          <w:p w14:paraId="77FAFC76" w14:textId="77777777" w:rsidR="00255527" w:rsidRPr="007C25F9" w:rsidRDefault="00255527" w:rsidP="00765AEF">
            <w:r w:rsidRPr="00DF6992">
              <w:rPr>
                <w:noProof/>
              </w:rPr>
              <w:t>6/30/2028</w:t>
            </w:r>
          </w:p>
        </w:tc>
      </w:tr>
      <w:tr w:rsidR="00255527" w:rsidRPr="007C25F9" w14:paraId="518A54F8" w14:textId="77777777" w:rsidTr="00C2622E">
        <w:tc>
          <w:tcPr>
            <w:tcW w:w="4675" w:type="dxa"/>
          </w:tcPr>
          <w:p w14:paraId="05178CA3" w14:textId="77777777" w:rsidR="00255527" w:rsidRPr="007C25F9" w:rsidRDefault="00255527" w:rsidP="00765AEF">
            <w:r w:rsidRPr="007C25F9">
              <w:t>Grade Levels Served</w:t>
            </w:r>
          </w:p>
        </w:tc>
        <w:tc>
          <w:tcPr>
            <w:tcW w:w="4675" w:type="dxa"/>
          </w:tcPr>
          <w:p w14:paraId="737B0561" w14:textId="77777777" w:rsidR="00255527" w:rsidRPr="007C25F9" w:rsidRDefault="00255527" w:rsidP="00765AEF">
            <w:r w:rsidRPr="00DF6992">
              <w:rPr>
                <w:noProof/>
              </w:rPr>
              <w:t>9-12</w:t>
            </w:r>
          </w:p>
        </w:tc>
      </w:tr>
      <w:tr w:rsidR="00255527" w:rsidRPr="007C25F9" w14:paraId="47763CC9" w14:textId="77777777" w:rsidTr="00C2622E">
        <w:tc>
          <w:tcPr>
            <w:tcW w:w="4675" w:type="dxa"/>
          </w:tcPr>
          <w:p w14:paraId="42EA9C50" w14:textId="77777777" w:rsidR="00255527" w:rsidRPr="007C25F9" w:rsidRDefault="00255527" w:rsidP="00765AEF">
            <w:r w:rsidRPr="007C25F9">
              <w:t>202</w:t>
            </w:r>
            <w:r>
              <w:t>4</w:t>
            </w:r>
            <w:r w:rsidRPr="007C25F9">
              <w:t>–2</w:t>
            </w:r>
            <w:r>
              <w:t>5</w:t>
            </w:r>
            <w:r w:rsidRPr="007C25F9">
              <w:t xml:space="preserve"> Enrollment</w:t>
            </w:r>
          </w:p>
        </w:tc>
        <w:tc>
          <w:tcPr>
            <w:tcW w:w="4675" w:type="dxa"/>
          </w:tcPr>
          <w:p w14:paraId="3D7B8A52" w14:textId="77777777" w:rsidR="00255527" w:rsidRPr="007C25F9" w:rsidRDefault="00255527" w:rsidP="00765AEF">
            <w:r w:rsidRPr="00DF6992">
              <w:rPr>
                <w:noProof/>
              </w:rPr>
              <w:t>333</w:t>
            </w:r>
          </w:p>
        </w:tc>
      </w:tr>
      <w:tr w:rsidR="00255527" w:rsidRPr="007C25F9" w14:paraId="0C6867D2" w14:textId="77777777" w:rsidTr="00C2622E">
        <w:tc>
          <w:tcPr>
            <w:tcW w:w="4675" w:type="dxa"/>
          </w:tcPr>
          <w:p w14:paraId="1E06D26C" w14:textId="77777777" w:rsidR="00255527" w:rsidRPr="007C25F9" w:rsidRDefault="00255527" w:rsidP="00765AEF">
            <w:r w:rsidRPr="007C25F9">
              <w:t>Instruction Type</w:t>
            </w:r>
          </w:p>
        </w:tc>
        <w:tc>
          <w:tcPr>
            <w:tcW w:w="4675" w:type="dxa"/>
          </w:tcPr>
          <w:p w14:paraId="06C34631" w14:textId="77777777" w:rsidR="00255527" w:rsidRPr="007C25F9" w:rsidRDefault="00255527" w:rsidP="00765AEF">
            <w:r w:rsidRPr="00DF6992">
              <w:rPr>
                <w:noProof/>
              </w:rPr>
              <w:t>Classroom-based</w:t>
            </w:r>
          </w:p>
        </w:tc>
      </w:tr>
    </w:tbl>
    <w:p w14:paraId="1C63A89A" w14:textId="77777777" w:rsidR="00255527" w:rsidRPr="007C25F9" w:rsidRDefault="00255527" w:rsidP="00765AEF">
      <w:pPr>
        <w:rPr>
          <w:b/>
          <w:bCs/>
        </w:rPr>
      </w:pPr>
      <w:r>
        <w:rPr>
          <w:b/>
          <w:bCs/>
        </w:rPr>
        <w:t xml:space="preserve">Charter </w:t>
      </w:r>
      <w:r w:rsidRPr="007C25F9">
        <w:rPr>
          <w:b/>
          <w:bCs/>
        </w:rPr>
        <w:t>School Description:</w:t>
      </w:r>
    </w:p>
    <w:p w14:paraId="4E2D2857" w14:textId="77777777" w:rsidR="00364A5D" w:rsidRDefault="00255527" w:rsidP="00C2622E">
      <w:pPr>
        <w:rPr>
          <w:bCs/>
          <w:noProof/>
        </w:rPr>
      </w:pPr>
      <w:r w:rsidRPr="00DF6992">
        <w:rPr>
          <w:bCs/>
          <w:noProof/>
        </w:rPr>
        <w:t xml:space="preserve">Located in Richmond, California, John Henry High School (JHHS)), established in 2015, is a public charter school serving 330 students in grades 9–12. The school is part of the Amethod Public Schools (AMPS) charter organization, which manages five schools spanning grades TK-12 and serves over 1,500 students in the Bay Area. Established in </w:t>
      </w:r>
      <w:r w:rsidRPr="00DF6992">
        <w:rPr>
          <w:bCs/>
          <w:noProof/>
        </w:rPr>
        <w:lastRenderedPageBreak/>
        <w:t>2015, JHHS grounds its work in improving academic achievement for all students, fostering a positive school environment, and inspiring leadership for public service by implementing the AMPS core values:</w:t>
      </w:r>
    </w:p>
    <w:p w14:paraId="5925BDC0" w14:textId="77777777" w:rsidR="00364A5D" w:rsidRDefault="00255527" w:rsidP="00C2622E">
      <w:pPr>
        <w:rPr>
          <w:bCs/>
          <w:noProof/>
        </w:rPr>
      </w:pPr>
      <w:r w:rsidRPr="00DF6992">
        <w:rPr>
          <w:bCs/>
          <w:noProof/>
        </w:rPr>
        <w:t>Student First</w:t>
      </w:r>
    </w:p>
    <w:p w14:paraId="08BE0FB9" w14:textId="77777777" w:rsidR="00364A5D" w:rsidRDefault="00255527" w:rsidP="00C2622E">
      <w:pPr>
        <w:rPr>
          <w:bCs/>
          <w:noProof/>
        </w:rPr>
      </w:pPr>
      <w:r w:rsidRPr="00DF6992">
        <w:rPr>
          <w:bCs/>
          <w:noProof/>
        </w:rPr>
        <w:t>Be Adaptable</w:t>
      </w:r>
    </w:p>
    <w:p w14:paraId="5AA651AA" w14:textId="77777777" w:rsidR="00364A5D" w:rsidRDefault="00255527" w:rsidP="00C2622E">
      <w:pPr>
        <w:rPr>
          <w:bCs/>
          <w:noProof/>
        </w:rPr>
      </w:pPr>
      <w:r w:rsidRPr="00DF6992">
        <w:rPr>
          <w:bCs/>
          <w:noProof/>
        </w:rPr>
        <w:t>Persevere</w:t>
      </w:r>
    </w:p>
    <w:p w14:paraId="0F346EB4" w14:textId="77777777" w:rsidR="00364A5D" w:rsidRDefault="00255527" w:rsidP="00C2622E">
      <w:pPr>
        <w:rPr>
          <w:bCs/>
          <w:noProof/>
        </w:rPr>
      </w:pPr>
      <w:r w:rsidRPr="00DF6992">
        <w:rPr>
          <w:bCs/>
          <w:noProof/>
        </w:rPr>
        <w:t>Take Responsibility</w:t>
      </w:r>
    </w:p>
    <w:p w14:paraId="14DEA08C" w14:textId="77777777" w:rsidR="00364A5D" w:rsidRDefault="00255527" w:rsidP="00C2622E">
      <w:pPr>
        <w:rPr>
          <w:bCs/>
          <w:noProof/>
        </w:rPr>
      </w:pPr>
      <w:r w:rsidRPr="00DF6992">
        <w:rPr>
          <w:bCs/>
          <w:noProof/>
        </w:rPr>
        <w:t>Commitment to Distinction</w:t>
      </w:r>
    </w:p>
    <w:p w14:paraId="146912AD" w14:textId="52CDB048" w:rsidR="00364A5D" w:rsidRDefault="00255527" w:rsidP="00C2622E">
      <w:pPr>
        <w:rPr>
          <w:bCs/>
          <w:noProof/>
        </w:rPr>
      </w:pPr>
      <w:r w:rsidRPr="00DF6992">
        <w:rPr>
          <w:bCs/>
          <w:noProof/>
        </w:rPr>
        <w:t>Programs &amp; Demographics JHHS offers a rigorous A-G college preparatory program (requiring a 2.0 minimum GPA and 230 credits for graduation), featuring six AP courses, seven honors courses, and dual  enrollment at Contra Costa Community College. The school serves a high-need demographic, with 86.7% of students identified as socioeconomically disadvantaged, 40.4% as English Learners, and 12.1% as students with disabilities.</w:t>
      </w:r>
    </w:p>
    <w:p w14:paraId="3647D019" w14:textId="3BC1C9D7" w:rsidR="00255527" w:rsidRPr="007C25F9" w:rsidRDefault="00255527" w:rsidP="00C2622E">
      <w:pPr>
        <w:rPr>
          <w:bCs/>
        </w:rPr>
      </w:pPr>
      <w:r w:rsidRPr="00DF6992">
        <w:rPr>
          <w:bCs/>
          <w:noProof/>
        </w:rPr>
        <w:t>It is the objective of JHHS and Amethod Public Schools to create a positive school environment and culture, where being diligent and taking personal responsibility is the norm. We are demonstrating that public schools, at the secondary level, can produce successful students if they are operated in small and organized settings. It is the organizational belief that any child has the opportunity to be successful if they receive the proper education they need to be triumphant in college, family, and life.</w:t>
      </w:r>
    </w:p>
    <w:p w14:paraId="7C0712BD" w14:textId="77777777" w:rsidR="00255527" w:rsidRPr="007C25F9" w:rsidRDefault="00255527" w:rsidP="00A42D0A">
      <w:pPr>
        <w:pStyle w:val="Heading5"/>
      </w:pPr>
      <w:r w:rsidRPr="007C25F9">
        <w:t>Demographic Information</w:t>
      </w:r>
    </w:p>
    <w:p w14:paraId="3666DDB0" w14:textId="77777777" w:rsidR="00255527" w:rsidRPr="007C25F9" w:rsidRDefault="00255527" w:rsidP="00CE1DD0">
      <w:r w:rsidRPr="007C25F9">
        <w:t xml:space="preserve">Provide the following information as a percentage of the charter school's total student population. Provide the information </w:t>
      </w:r>
      <w:proofErr w:type="gramStart"/>
      <w:r w:rsidRPr="007C25F9">
        <w:t>as it</w:t>
      </w:r>
      <w:proofErr w:type="gramEnd"/>
      <w:r w:rsidRPr="007C25F9">
        <w:t xml:space="preserve"> is reported on the 202</w:t>
      </w:r>
      <w:r>
        <w:t>5</w:t>
      </w:r>
      <w:r w:rsidRPr="007C25F9">
        <w:t xml:space="preserve"> California School Dashboard.</w:t>
      </w:r>
    </w:p>
    <w:p w14:paraId="23537AB0" w14:textId="77777777" w:rsidR="00255527" w:rsidRPr="007C25F9" w:rsidRDefault="00255527" w:rsidP="00A42D0A">
      <w:pPr>
        <w:pStyle w:val="Heading6"/>
      </w:pPr>
      <w:r w:rsidRPr="007C25F9">
        <w:lastRenderedPageBreak/>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255527" w:rsidRPr="007C25F9" w14:paraId="7ECD6B96" w14:textId="77777777" w:rsidTr="007929F6">
        <w:trPr>
          <w:cantSplit/>
          <w:tblHeader/>
        </w:trPr>
        <w:tc>
          <w:tcPr>
            <w:tcW w:w="4675" w:type="dxa"/>
            <w:shd w:val="clear" w:color="auto" w:fill="D9D9D9" w:themeFill="background1" w:themeFillShade="D9"/>
          </w:tcPr>
          <w:p w14:paraId="54966BEE" w14:textId="77777777" w:rsidR="00255527" w:rsidRPr="007C25F9" w:rsidRDefault="00255527" w:rsidP="00A92174">
            <w:pPr>
              <w:rPr>
                <w:b/>
                <w:bCs/>
              </w:rPr>
            </w:pPr>
            <w:r w:rsidRPr="007C25F9">
              <w:rPr>
                <w:b/>
                <w:bCs/>
              </w:rPr>
              <w:t>Prompt</w:t>
            </w:r>
          </w:p>
        </w:tc>
        <w:tc>
          <w:tcPr>
            <w:tcW w:w="4675" w:type="dxa"/>
            <w:shd w:val="clear" w:color="auto" w:fill="D9D9D9" w:themeFill="background1" w:themeFillShade="D9"/>
          </w:tcPr>
          <w:p w14:paraId="29B779EE" w14:textId="77777777" w:rsidR="00255527" w:rsidRPr="007C25F9" w:rsidRDefault="00255527" w:rsidP="00A92174">
            <w:pPr>
              <w:rPr>
                <w:b/>
                <w:bCs/>
              </w:rPr>
            </w:pPr>
            <w:r w:rsidRPr="007C25F9">
              <w:rPr>
                <w:b/>
                <w:bCs/>
              </w:rPr>
              <w:t>Percentage</w:t>
            </w:r>
          </w:p>
        </w:tc>
      </w:tr>
      <w:tr w:rsidR="00255527" w:rsidRPr="007C25F9" w14:paraId="11E14CDF" w14:textId="77777777" w:rsidTr="007929F6">
        <w:trPr>
          <w:cantSplit/>
          <w:tblHeader/>
        </w:trPr>
        <w:tc>
          <w:tcPr>
            <w:tcW w:w="4675" w:type="dxa"/>
          </w:tcPr>
          <w:p w14:paraId="29A54850" w14:textId="77777777" w:rsidR="00255527" w:rsidRPr="007C25F9" w:rsidRDefault="00255527" w:rsidP="00A92174">
            <w:r w:rsidRPr="007C25F9">
              <w:t>English Learners</w:t>
            </w:r>
          </w:p>
        </w:tc>
        <w:tc>
          <w:tcPr>
            <w:tcW w:w="4675" w:type="dxa"/>
          </w:tcPr>
          <w:p w14:paraId="44D3F16A" w14:textId="77777777" w:rsidR="00255527" w:rsidRPr="007C25F9" w:rsidRDefault="00255527" w:rsidP="00A92174">
            <w:r w:rsidRPr="00DF6992">
              <w:rPr>
                <w:noProof/>
              </w:rPr>
              <w:t>40.2</w:t>
            </w:r>
          </w:p>
        </w:tc>
      </w:tr>
      <w:tr w:rsidR="00255527" w:rsidRPr="007C25F9" w14:paraId="6C3EEBDE" w14:textId="77777777" w:rsidTr="007929F6">
        <w:trPr>
          <w:cantSplit/>
          <w:tblHeader/>
        </w:trPr>
        <w:tc>
          <w:tcPr>
            <w:tcW w:w="4675" w:type="dxa"/>
          </w:tcPr>
          <w:p w14:paraId="0B4EC6EE" w14:textId="77777777" w:rsidR="00255527" w:rsidRPr="007C25F9" w:rsidRDefault="00255527" w:rsidP="00A92174">
            <w:r w:rsidRPr="007C25F9">
              <w:t>Foster Youth</w:t>
            </w:r>
          </w:p>
        </w:tc>
        <w:tc>
          <w:tcPr>
            <w:tcW w:w="4675" w:type="dxa"/>
          </w:tcPr>
          <w:p w14:paraId="6832499D" w14:textId="77777777" w:rsidR="00255527" w:rsidRPr="007C25F9" w:rsidRDefault="00255527" w:rsidP="00A92174">
            <w:r w:rsidRPr="00DF6992">
              <w:rPr>
                <w:noProof/>
              </w:rPr>
              <w:t>0</w:t>
            </w:r>
          </w:p>
        </w:tc>
      </w:tr>
      <w:tr w:rsidR="00255527" w:rsidRPr="007C25F9" w14:paraId="167D88F1" w14:textId="77777777" w:rsidTr="007929F6">
        <w:trPr>
          <w:cantSplit/>
          <w:tblHeader/>
        </w:trPr>
        <w:tc>
          <w:tcPr>
            <w:tcW w:w="4675" w:type="dxa"/>
          </w:tcPr>
          <w:p w14:paraId="44EB89B3" w14:textId="77777777" w:rsidR="00255527" w:rsidRPr="007C25F9" w:rsidRDefault="00255527" w:rsidP="00A92174">
            <w:r w:rsidRPr="007C25F9">
              <w:t>Homeless</w:t>
            </w:r>
          </w:p>
        </w:tc>
        <w:tc>
          <w:tcPr>
            <w:tcW w:w="4675" w:type="dxa"/>
          </w:tcPr>
          <w:p w14:paraId="1B0E8128" w14:textId="77777777" w:rsidR="00255527" w:rsidRPr="007C25F9" w:rsidRDefault="00255527" w:rsidP="00A92174">
            <w:r w:rsidRPr="00DF6992">
              <w:rPr>
                <w:noProof/>
              </w:rPr>
              <w:t>0</w:t>
            </w:r>
          </w:p>
        </w:tc>
      </w:tr>
      <w:tr w:rsidR="00255527" w:rsidRPr="007C25F9" w14:paraId="49DB3637" w14:textId="77777777" w:rsidTr="007929F6">
        <w:trPr>
          <w:cantSplit/>
          <w:tblHeader/>
        </w:trPr>
        <w:tc>
          <w:tcPr>
            <w:tcW w:w="4675" w:type="dxa"/>
          </w:tcPr>
          <w:p w14:paraId="68FB3BDF" w14:textId="77777777" w:rsidR="00255527" w:rsidRPr="007C25F9" w:rsidRDefault="00255527" w:rsidP="00A92174">
            <w:r w:rsidRPr="007C25F9">
              <w:t>Socioeconomically Disadvantaged</w:t>
            </w:r>
          </w:p>
        </w:tc>
        <w:tc>
          <w:tcPr>
            <w:tcW w:w="4675" w:type="dxa"/>
          </w:tcPr>
          <w:p w14:paraId="0934CE4E" w14:textId="77777777" w:rsidR="00255527" w:rsidRPr="007C25F9" w:rsidRDefault="00255527" w:rsidP="00A92174">
            <w:r w:rsidRPr="00DF6992">
              <w:rPr>
                <w:noProof/>
              </w:rPr>
              <w:t>86.7</w:t>
            </w:r>
          </w:p>
        </w:tc>
      </w:tr>
      <w:tr w:rsidR="00255527" w:rsidRPr="007C25F9" w14:paraId="54C0D301" w14:textId="77777777" w:rsidTr="007929F6">
        <w:trPr>
          <w:cantSplit/>
          <w:tblHeader/>
        </w:trPr>
        <w:tc>
          <w:tcPr>
            <w:tcW w:w="4675" w:type="dxa"/>
          </w:tcPr>
          <w:p w14:paraId="79BBB870" w14:textId="77777777" w:rsidR="00255527" w:rsidRPr="007C25F9" w:rsidRDefault="00255527" w:rsidP="00A92174">
            <w:r w:rsidRPr="007C25F9">
              <w:t>Students with Disabilities</w:t>
            </w:r>
          </w:p>
        </w:tc>
        <w:tc>
          <w:tcPr>
            <w:tcW w:w="4675" w:type="dxa"/>
          </w:tcPr>
          <w:p w14:paraId="319FA670" w14:textId="77777777" w:rsidR="00255527" w:rsidRPr="007C25F9" w:rsidRDefault="00255527" w:rsidP="00A92174">
            <w:r w:rsidRPr="00DF6992">
              <w:rPr>
                <w:noProof/>
              </w:rPr>
              <w:t>12.1</w:t>
            </w:r>
          </w:p>
        </w:tc>
      </w:tr>
    </w:tbl>
    <w:p w14:paraId="046BAFAC" w14:textId="77777777" w:rsidR="00255527" w:rsidRPr="007C25F9" w:rsidRDefault="00255527"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255527" w:rsidRPr="007C25F9" w14:paraId="3B738687" w14:textId="77777777" w:rsidTr="007929F6">
        <w:trPr>
          <w:cantSplit/>
          <w:tblHeader/>
        </w:trPr>
        <w:tc>
          <w:tcPr>
            <w:tcW w:w="4675" w:type="dxa"/>
            <w:shd w:val="clear" w:color="auto" w:fill="D9D9D9" w:themeFill="background1" w:themeFillShade="D9"/>
          </w:tcPr>
          <w:p w14:paraId="323F18F3" w14:textId="77777777" w:rsidR="00255527" w:rsidRPr="007C25F9" w:rsidRDefault="00255527" w:rsidP="00A92174">
            <w:pPr>
              <w:rPr>
                <w:b/>
                <w:bCs/>
              </w:rPr>
            </w:pPr>
            <w:r w:rsidRPr="007C25F9">
              <w:rPr>
                <w:b/>
                <w:bCs/>
              </w:rPr>
              <w:t>Prompt</w:t>
            </w:r>
          </w:p>
        </w:tc>
        <w:tc>
          <w:tcPr>
            <w:tcW w:w="4675" w:type="dxa"/>
            <w:shd w:val="clear" w:color="auto" w:fill="D9D9D9" w:themeFill="background1" w:themeFillShade="D9"/>
          </w:tcPr>
          <w:p w14:paraId="39ACF659" w14:textId="77777777" w:rsidR="00255527" w:rsidRPr="007C25F9" w:rsidRDefault="00255527" w:rsidP="00A92174">
            <w:pPr>
              <w:rPr>
                <w:b/>
                <w:bCs/>
              </w:rPr>
            </w:pPr>
            <w:r w:rsidRPr="007C25F9">
              <w:rPr>
                <w:b/>
                <w:bCs/>
              </w:rPr>
              <w:t>Percentage</w:t>
            </w:r>
          </w:p>
        </w:tc>
      </w:tr>
      <w:tr w:rsidR="00255527" w:rsidRPr="007C25F9" w14:paraId="345D6DC7" w14:textId="77777777" w:rsidTr="007929F6">
        <w:trPr>
          <w:cantSplit/>
          <w:tblHeader/>
        </w:trPr>
        <w:tc>
          <w:tcPr>
            <w:tcW w:w="4675" w:type="dxa"/>
          </w:tcPr>
          <w:p w14:paraId="59FCCCD9" w14:textId="77777777" w:rsidR="00255527" w:rsidRPr="007C25F9" w:rsidRDefault="00255527" w:rsidP="00A92174">
            <w:r w:rsidRPr="007C25F9">
              <w:t>African American</w:t>
            </w:r>
          </w:p>
        </w:tc>
        <w:tc>
          <w:tcPr>
            <w:tcW w:w="4675" w:type="dxa"/>
          </w:tcPr>
          <w:p w14:paraId="524B7893" w14:textId="77777777" w:rsidR="00255527" w:rsidRPr="007C25F9" w:rsidRDefault="00255527" w:rsidP="00A92174">
            <w:r w:rsidRPr="00DF6992">
              <w:rPr>
                <w:noProof/>
              </w:rPr>
              <w:t>4.7</w:t>
            </w:r>
          </w:p>
        </w:tc>
      </w:tr>
      <w:tr w:rsidR="00255527" w:rsidRPr="007C25F9" w14:paraId="40371ACA" w14:textId="77777777" w:rsidTr="007929F6">
        <w:trPr>
          <w:cantSplit/>
          <w:tblHeader/>
        </w:trPr>
        <w:tc>
          <w:tcPr>
            <w:tcW w:w="4675" w:type="dxa"/>
          </w:tcPr>
          <w:p w14:paraId="7F4944FB" w14:textId="77777777" w:rsidR="00255527" w:rsidRPr="007C25F9" w:rsidRDefault="00255527" w:rsidP="00A92174">
            <w:r w:rsidRPr="007C25F9">
              <w:t>American Indian</w:t>
            </w:r>
          </w:p>
        </w:tc>
        <w:tc>
          <w:tcPr>
            <w:tcW w:w="4675" w:type="dxa"/>
          </w:tcPr>
          <w:p w14:paraId="38E83B48" w14:textId="77777777" w:rsidR="00255527" w:rsidRPr="007C25F9" w:rsidRDefault="00255527" w:rsidP="00A92174">
            <w:r w:rsidRPr="00DF6992">
              <w:rPr>
                <w:noProof/>
              </w:rPr>
              <w:t>0</w:t>
            </w:r>
          </w:p>
        </w:tc>
      </w:tr>
      <w:tr w:rsidR="00255527" w:rsidRPr="007C25F9" w14:paraId="114567AC" w14:textId="77777777" w:rsidTr="007929F6">
        <w:trPr>
          <w:cantSplit/>
          <w:tblHeader/>
        </w:trPr>
        <w:tc>
          <w:tcPr>
            <w:tcW w:w="4675" w:type="dxa"/>
          </w:tcPr>
          <w:p w14:paraId="1D0B84DC" w14:textId="77777777" w:rsidR="00255527" w:rsidRPr="007C25F9" w:rsidRDefault="00255527" w:rsidP="00A92174">
            <w:r w:rsidRPr="007C25F9">
              <w:t>Asian</w:t>
            </w:r>
          </w:p>
        </w:tc>
        <w:tc>
          <w:tcPr>
            <w:tcW w:w="4675" w:type="dxa"/>
          </w:tcPr>
          <w:p w14:paraId="5DF4BEB7" w14:textId="77777777" w:rsidR="00255527" w:rsidRPr="007C25F9" w:rsidRDefault="00255527" w:rsidP="00A92174">
            <w:r w:rsidRPr="00DF6992">
              <w:rPr>
                <w:noProof/>
              </w:rPr>
              <w:t>0.6</w:t>
            </w:r>
          </w:p>
        </w:tc>
      </w:tr>
      <w:tr w:rsidR="00255527" w:rsidRPr="007C25F9" w14:paraId="438C2336" w14:textId="77777777" w:rsidTr="007929F6">
        <w:trPr>
          <w:cantSplit/>
          <w:tblHeader/>
        </w:trPr>
        <w:tc>
          <w:tcPr>
            <w:tcW w:w="4675" w:type="dxa"/>
          </w:tcPr>
          <w:p w14:paraId="2EA6E842" w14:textId="77777777" w:rsidR="00255527" w:rsidRPr="007C25F9" w:rsidRDefault="00255527" w:rsidP="00A92174">
            <w:r w:rsidRPr="007C25F9">
              <w:t>Filipino</w:t>
            </w:r>
          </w:p>
        </w:tc>
        <w:tc>
          <w:tcPr>
            <w:tcW w:w="4675" w:type="dxa"/>
          </w:tcPr>
          <w:p w14:paraId="5428FD59" w14:textId="77777777" w:rsidR="00255527" w:rsidRPr="007C25F9" w:rsidRDefault="00255527" w:rsidP="00A92174">
            <w:r w:rsidRPr="00DF6992">
              <w:rPr>
                <w:noProof/>
              </w:rPr>
              <w:t>0</w:t>
            </w:r>
          </w:p>
        </w:tc>
      </w:tr>
      <w:tr w:rsidR="00255527" w:rsidRPr="007C25F9" w14:paraId="24CA14B5" w14:textId="77777777" w:rsidTr="007929F6">
        <w:trPr>
          <w:cantSplit/>
          <w:tblHeader/>
        </w:trPr>
        <w:tc>
          <w:tcPr>
            <w:tcW w:w="4675" w:type="dxa"/>
          </w:tcPr>
          <w:p w14:paraId="722FAD53" w14:textId="77777777" w:rsidR="00255527" w:rsidRPr="007C25F9" w:rsidRDefault="00255527" w:rsidP="00A92174">
            <w:r w:rsidRPr="007C25F9">
              <w:t>Hispanic</w:t>
            </w:r>
          </w:p>
        </w:tc>
        <w:tc>
          <w:tcPr>
            <w:tcW w:w="4675" w:type="dxa"/>
          </w:tcPr>
          <w:p w14:paraId="2A1939C5" w14:textId="77777777" w:rsidR="00255527" w:rsidRPr="007C25F9" w:rsidRDefault="00255527" w:rsidP="00A92174">
            <w:r w:rsidRPr="00DF6992">
              <w:rPr>
                <w:noProof/>
              </w:rPr>
              <w:t>92.3</w:t>
            </w:r>
          </w:p>
        </w:tc>
      </w:tr>
      <w:tr w:rsidR="00255527" w:rsidRPr="007C25F9" w14:paraId="2CFA2285" w14:textId="77777777" w:rsidTr="007929F6">
        <w:trPr>
          <w:cantSplit/>
          <w:tblHeader/>
        </w:trPr>
        <w:tc>
          <w:tcPr>
            <w:tcW w:w="4675" w:type="dxa"/>
          </w:tcPr>
          <w:p w14:paraId="77892AEF" w14:textId="77777777" w:rsidR="00255527" w:rsidRPr="007C25F9" w:rsidRDefault="00255527" w:rsidP="00A92174">
            <w:r w:rsidRPr="007C25F9">
              <w:t>Pacific Islander</w:t>
            </w:r>
          </w:p>
        </w:tc>
        <w:tc>
          <w:tcPr>
            <w:tcW w:w="4675" w:type="dxa"/>
          </w:tcPr>
          <w:p w14:paraId="64410217" w14:textId="77777777" w:rsidR="00255527" w:rsidRPr="007C25F9" w:rsidRDefault="00255527" w:rsidP="00A92174">
            <w:r w:rsidRPr="00DF6992">
              <w:rPr>
                <w:noProof/>
              </w:rPr>
              <w:t>0.3</w:t>
            </w:r>
          </w:p>
        </w:tc>
      </w:tr>
      <w:tr w:rsidR="00255527" w:rsidRPr="007C25F9" w14:paraId="5DCAD739" w14:textId="77777777" w:rsidTr="007929F6">
        <w:trPr>
          <w:cantSplit/>
          <w:tblHeader/>
        </w:trPr>
        <w:tc>
          <w:tcPr>
            <w:tcW w:w="4675" w:type="dxa"/>
          </w:tcPr>
          <w:p w14:paraId="130B0CF4" w14:textId="77777777" w:rsidR="00255527" w:rsidRPr="007C25F9" w:rsidRDefault="00255527" w:rsidP="00A92174">
            <w:r w:rsidRPr="007C25F9">
              <w:t>Two or More Races</w:t>
            </w:r>
          </w:p>
        </w:tc>
        <w:tc>
          <w:tcPr>
            <w:tcW w:w="4675" w:type="dxa"/>
          </w:tcPr>
          <w:p w14:paraId="29FCAECE" w14:textId="77777777" w:rsidR="00255527" w:rsidRPr="007C25F9" w:rsidRDefault="00255527" w:rsidP="00A92174">
            <w:r w:rsidRPr="00DF6992">
              <w:rPr>
                <w:noProof/>
              </w:rPr>
              <w:t>0</w:t>
            </w:r>
          </w:p>
        </w:tc>
      </w:tr>
      <w:tr w:rsidR="00255527" w:rsidRPr="007C25F9" w14:paraId="01E3FD84" w14:textId="77777777" w:rsidTr="007929F6">
        <w:trPr>
          <w:cantSplit/>
          <w:tblHeader/>
        </w:trPr>
        <w:tc>
          <w:tcPr>
            <w:tcW w:w="4675" w:type="dxa"/>
          </w:tcPr>
          <w:p w14:paraId="49AF7D00" w14:textId="77777777" w:rsidR="00255527" w:rsidRPr="007C25F9" w:rsidRDefault="00255527" w:rsidP="00A92174">
            <w:r w:rsidRPr="007C25F9">
              <w:t>White</w:t>
            </w:r>
          </w:p>
        </w:tc>
        <w:tc>
          <w:tcPr>
            <w:tcW w:w="4675" w:type="dxa"/>
          </w:tcPr>
          <w:p w14:paraId="6C5B33ED" w14:textId="77777777" w:rsidR="00255527" w:rsidRPr="007C25F9" w:rsidRDefault="00255527" w:rsidP="00A92174">
            <w:r w:rsidRPr="00DF6992">
              <w:rPr>
                <w:noProof/>
              </w:rPr>
              <w:t>1.8</w:t>
            </w:r>
          </w:p>
        </w:tc>
      </w:tr>
    </w:tbl>
    <w:p w14:paraId="22817284" w14:textId="77777777" w:rsidR="00255527" w:rsidRPr="007C25F9" w:rsidRDefault="00255527">
      <w:pPr>
        <w:spacing w:before="0"/>
        <w:rPr>
          <w:rFonts w:eastAsiaTheme="majorEastAsia"/>
          <w:b/>
          <w:bCs/>
          <w:sz w:val="32"/>
          <w:szCs w:val="32"/>
        </w:rPr>
      </w:pPr>
      <w:r w:rsidRPr="007C25F9">
        <w:br w:type="page"/>
      </w:r>
    </w:p>
    <w:p w14:paraId="5B130952" w14:textId="77777777" w:rsidR="00255527" w:rsidRPr="007C25F9" w:rsidRDefault="00255527" w:rsidP="00A42D0A">
      <w:pPr>
        <w:pStyle w:val="Heading3"/>
      </w:pPr>
      <w:r w:rsidRPr="007C25F9">
        <w:lastRenderedPageBreak/>
        <w:t>Section 2. California School Dashboard Data Overview</w:t>
      </w:r>
    </w:p>
    <w:p w14:paraId="045977B1" w14:textId="77777777" w:rsidR="00255527" w:rsidRPr="007C25F9" w:rsidRDefault="00255527" w:rsidP="00A42D0A">
      <w:pPr>
        <w:pStyle w:val="Heading4"/>
      </w:pPr>
      <w:r w:rsidRPr="007C25F9">
        <w:t>California School Dashboard</w:t>
      </w:r>
    </w:p>
    <w:p w14:paraId="0CAEB450" w14:textId="77777777" w:rsidR="00255527" w:rsidRPr="007C25F9" w:rsidRDefault="00255527"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255527" w:rsidRPr="007C25F9" w14:paraId="0F198F6C" w14:textId="77777777" w:rsidTr="007929F6">
        <w:trPr>
          <w:cantSplit/>
          <w:tblHeader/>
        </w:trPr>
        <w:tc>
          <w:tcPr>
            <w:tcW w:w="3350" w:type="dxa"/>
            <w:shd w:val="clear" w:color="auto" w:fill="D9D9D9" w:themeFill="background1" w:themeFillShade="D9"/>
          </w:tcPr>
          <w:p w14:paraId="254807A7" w14:textId="77777777" w:rsidR="00255527" w:rsidRPr="007C25F9" w:rsidRDefault="00255527" w:rsidP="00A92174">
            <w:pPr>
              <w:rPr>
                <w:b/>
                <w:bCs/>
              </w:rPr>
            </w:pPr>
            <w:r w:rsidRPr="007C25F9">
              <w:rPr>
                <w:b/>
                <w:bCs/>
              </w:rPr>
              <w:t>Prompt</w:t>
            </w:r>
          </w:p>
        </w:tc>
        <w:tc>
          <w:tcPr>
            <w:tcW w:w="3246" w:type="dxa"/>
            <w:shd w:val="clear" w:color="auto" w:fill="D9D9D9" w:themeFill="background1" w:themeFillShade="D9"/>
          </w:tcPr>
          <w:p w14:paraId="575A5A0C" w14:textId="77777777" w:rsidR="00255527" w:rsidRPr="007C25F9" w:rsidRDefault="00255527" w:rsidP="00A92174">
            <w:pPr>
              <w:rPr>
                <w:b/>
                <w:bCs/>
              </w:rPr>
            </w:pPr>
            <w:r w:rsidRPr="007C25F9">
              <w:rPr>
                <w:b/>
                <w:bCs/>
              </w:rPr>
              <w:t>Percentage</w:t>
            </w:r>
          </w:p>
        </w:tc>
        <w:tc>
          <w:tcPr>
            <w:tcW w:w="2754" w:type="dxa"/>
            <w:shd w:val="clear" w:color="auto" w:fill="D9D9D9" w:themeFill="background1" w:themeFillShade="D9"/>
          </w:tcPr>
          <w:p w14:paraId="403D6A08" w14:textId="77777777" w:rsidR="00255527" w:rsidRPr="007C25F9" w:rsidRDefault="00255527" w:rsidP="00A92174">
            <w:pPr>
              <w:rPr>
                <w:b/>
                <w:bCs/>
              </w:rPr>
            </w:pPr>
            <w:r w:rsidRPr="007C25F9">
              <w:rPr>
                <w:b/>
                <w:bCs/>
              </w:rPr>
              <w:t>Color</w:t>
            </w:r>
          </w:p>
        </w:tc>
      </w:tr>
      <w:tr w:rsidR="00255527" w:rsidRPr="007C25F9" w14:paraId="17A843F5" w14:textId="77777777" w:rsidTr="007929F6">
        <w:trPr>
          <w:cantSplit/>
          <w:tblHeader/>
        </w:trPr>
        <w:tc>
          <w:tcPr>
            <w:tcW w:w="3350" w:type="dxa"/>
          </w:tcPr>
          <w:p w14:paraId="629FE5E5" w14:textId="5F5DA7E8" w:rsidR="00255527" w:rsidRPr="007C25F9" w:rsidRDefault="00255527" w:rsidP="00A92174">
            <w:r w:rsidRPr="007C25F9">
              <w:t>Chronic Absenteeism</w:t>
            </w:r>
            <w:r w:rsidR="00C267BF">
              <w:t>*</w:t>
            </w:r>
          </w:p>
        </w:tc>
        <w:tc>
          <w:tcPr>
            <w:tcW w:w="3246" w:type="dxa"/>
          </w:tcPr>
          <w:p w14:paraId="2B435CDB" w14:textId="1EBD92C6" w:rsidR="00255527" w:rsidRPr="007C25F9" w:rsidRDefault="00146603" w:rsidP="00A92174">
            <w:r>
              <w:t>Not applicable</w:t>
            </w:r>
          </w:p>
        </w:tc>
        <w:tc>
          <w:tcPr>
            <w:tcW w:w="2754" w:type="dxa"/>
          </w:tcPr>
          <w:p w14:paraId="524E0F28" w14:textId="77777777" w:rsidR="00255527" w:rsidRPr="007C25F9" w:rsidRDefault="00255527" w:rsidP="00A92174">
            <w:r w:rsidRPr="00DF6992">
              <w:rPr>
                <w:noProof/>
              </w:rPr>
              <w:t>No Performance Color</w:t>
            </w:r>
          </w:p>
        </w:tc>
      </w:tr>
      <w:tr w:rsidR="00255527" w:rsidRPr="007C25F9" w14:paraId="1A39C6BA" w14:textId="77777777" w:rsidTr="007929F6">
        <w:trPr>
          <w:cantSplit/>
          <w:tblHeader/>
        </w:trPr>
        <w:tc>
          <w:tcPr>
            <w:tcW w:w="3350" w:type="dxa"/>
          </w:tcPr>
          <w:p w14:paraId="2D43B9FD" w14:textId="77777777" w:rsidR="00255527" w:rsidRPr="007C25F9" w:rsidRDefault="00255527" w:rsidP="00A92174">
            <w:r w:rsidRPr="007C25F9">
              <w:t>Suspension Rate</w:t>
            </w:r>
          </w:p>
        </w:tc>
        <w:tc>
          <w:tcPr>
            <w:tcW w:w="3246" w:type="dxa"/>
          </w:tcPr>
          <w:p w14:paraId="1A42EA4A" w14:textId="77777777" w:rsidR="00255527" w:rsidRPr="007C25F9" w:rsidRDefault="00255527" w:rsidP="00A92174">
            <w:r w:rsidRPr="00DF6992">
              <w:rPr>
                <w:noProof/>
              </w:rPr>
              <w:t>0</w:t>
            </w:r>
          </w:p>
        </w:tc>
        <w:tc>
          <w:tcPr>
            <w:tcW w:w="2754" w:type="dxa"/>
          </w:tcPr>
          <w:p w14:paraId="1422E862" w14:textId="77777777" w:rsidR="00255527" w:rsidRPr="007C25F9" w:rsidRDefault="00255527" w:rsidP="00A92174">
            <w:r w:rsidRPr="00DF6992">
              <w:rPr>
                <w:noProof/>
              </w:rPr>
              <w:t>Orange</w:t>
            </w:r>
          </w:p>
        </w:tc>
      </w:tr>
      <w:tr w:rsidR="00255527" w:rsidRPr="007C25F9" w14:paraId="17947543" w14:textId="77777777" w:rsidTr="007929F6">
        <w:trPr>
          <w:cantSplit/>
          <w:tblHeader/>
        </w:trPr>
        <w:tc>
          <w:tcPr>
            <w:tcW w:w="3350" w:type="dxa"/>
          </w:tcPr>
          <w:p w14:paraId="3589A038" w14:textId="77777777" w:rsidR="00255527" w:rsidRPr="007C25F9" w:rsidRDefault="00255527" w:rsidP="00A92174">
            <w:r w:rsidRPr="007C25F9">
              <w:t>English Learner Progress</w:t>
            </w:r>
          </w:p>
        </w:tc>
        <w:tc>
          <w:tcPr>
            <w:tcW w:w="3246" w:type="dxa"/>
          </w:tcPr>
          <w:p w14:paraId="7BD4453A" w14:textId="77777777" w:rsidR="00255527" w:rsidRPr="007C25F9" w:rsidRDefault="00255527" w:rsidP="00A92174">
            <w:r w:rsidRPr="00DF6992">
              <w:rPr>
                <w:noProof/>
              </w:rPr>
              <w:t>39</w:t>
            </w:r>
          </w:p>
        </w:tc>
        <w:tc>
          <w:tcPr>
            <w:tcW w:w="2754" w:type="dxa"/>
          </w:tcPr>
          <w:p w14:paraId="1970CDD0" w14:textId="77777777" w:rsidR="00255527" w:rsidRPr="007C25F9" w:rsidRDefault="00255527" w:rsidP="00A92174">
            <w:r w:rsidRPr="00DF6992">
              <w:rPr>
                <w:noProof/>
              </w:rPr>
              <w:t>Red</w:t>
            </w:r>
          </w:p>
        </w:tc>
      </w:tr>
      <w:tr w:rsidR="00255527" w:rsidRPr="007C25F9" w14:paraId="1F244EC6" w14:textId="77777777" w:rsidTr="007929F6">
        <w:trPr>
          <w:cantSplit/>
          <w:tblHeader/>
        </w:trPr>
        <w:tc>
          <w:tcPr>
            <w:tcW w:w="3350" w:type="dxa"/>
          </w:tcPr>
          <w:p w14:paraId="356356DE" w14:textId="77777777" w:rsidR="00255527" w:rsidRPr="007C25F9" w:rsidRDefault="00255527" w:rsidP="00A92174">
            <w:r w:rsidRPr="007C25F9">
              <w:t>Graduation Rate</w:t>
            </w:r>
          </w:p>
        </w:tc>
        <w:tc>
          <w:tcPr>
            <w:tcW w:w="3246" w:type="dxa"/>
          </w:tcPr>
          <w:p w14:paraId="3F086016" w14:textId="77777777" w:rsidR="00255527" w:rsidRPr="007C25F9" w:rsidRDefault="00255527" w:rsidP="00A92174">
            <w:r w:rsidRPr="00DF6992">
              <w:rPr>
                <w:noProof/>
              </w:rPr>
              <w:t>80.5</w:t>
            </w:r>
          </w:p>
        </w:tc>
        <w:tc>
          <w:tcPr>
            <w:tcW w:w="2754" w:type="dxa"/>
          </w:tcPr>
          <w:p w14:paraId="3F5AF2E0" w14:textId="77777777" w:rsidR="00255527" w:rsidRPr="007C25F9" w:rsidRDefault="00255527" w:rsidP="00A92174">
            <w:r w:rsidRPr="00DF6992">
              <w:rPr>
                <w:noProof/>
              </w:rPr>
              <w:t>Orange</w:t>
            </w:r>
          </w:p>
        </w:tc>
      </w:tr>
      <w:tr w:rsidR="00255527" w:rsidRPr="007C25F9" w14:paraId="5B9EA7DD" w14:textId="77777777" w:rsidTr="007929F6">
        <w:trPr>
          <w:cantSplit/>
          <w:tblHeader/>
        </w:trPr>
        <w:tc>
          <w:tcPr>
            <w:tcW w:w="3350" w:type="dxa"/>
          </w:tcPr>
          <w:p w14:paraId="4EEEBBC6" w14:textId="77777777" w:rsidR="00255527" w:rsidRPr="007C25F9" w:rsidRDefault="00255527" w:rsidP="00A92174">
            <w:r w:rsidRPr="007C25F9">
              <w:t>College/Career</w:t>
            </w:r>
          </w:p>
        </w:tc>
        <w:tc>
          <w:tcPr>
            <w:tcW w:w="3246" w:type="dxa"/>
          </w:tcPr>
          <w:p w14:paraId="37A67D76" w14:textId="77777777" w:rsidR="00255527" w:rsidRPr="007C25F9" w:rsidRDefault="00255527" w:rsidP="00A92174">
            <w:r w:rsidRPr="00DF6992">
              <w:rPr>
                <w:noProof/>
              </w:rPr>
              <w:t>90</w:t>
            </w:r>
          </w:p>
        </w:tc>
        <w:tc>
          <w:tcPr>
            <w:tcW w:w="2754" w:type="dxa"/>
          </w:tcPr>
          <w:p w14:paraId="0927EC3D" w14:textId="77777777" w:rsidR="00255527" w:rsidRPr="007C25F9" w:rsidRDefault="00255527" w:rsidP="00A92174">
            <w:r w:rsidRPr="00DF6992">
              <w:rPr>
                <w:noProof/>
              </w:rPr>
              <w:t>Yellow</w:t>
            </w:r>
          </w:p>
        </w:tc>
      </w:tr>
    </w:tbl>
    <w:p w14:paraId="21759D47" w14:textId="2B3DA27D" w:rsidR="00C267BF" w:rsidRPr="00C267BF" w:rsidRDefault="00C267BF" w:rsidP="00C267BF">
      <w:pPr>
        <w:pStyle w:val="FootnoteText"/>
        <w:rPr>
          <w:sz w:val="24"/>
          <w:szCs w:val="24"/>
        </w:rPr>
      </w:pPr>
      <w:r w:rsidRPr="00C267BF">
        <w:rPr>
          <w:sz w:val="24"/>
          <w:szCs w:val="24"/>
        </w:rPr>
        <w:t>*</w:t>
      </w:r>
      <w:r w:rsidRPr="00C267BF">
        <w:rPr>
          <w:sz w:val="24"/>
          <w:szCs w:val="24"/>
        </w:rPr>
        <w:t xml:space="preserve"> </w:t>
      </w:r>
      <w:r w:rsidRPr="00C267BF">
        <w:rPr>
          <w:sz w:val="24"/>
          <w:szCs w:val="24"/>
        </w:rPr>
        <w:t>The Chronic Absenteeism Indicator does not apply to a stand-alone high school.</w:t>
      </w:r>
    </w:p>
    <w:p w14:paraId="709AC2F7" w14:textId="5B387F39" w:rsidR="00255527" w:rsidRPr="007C25F9" w:rsidRDefault="00255527"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255527" w:rsidRPr="007C25F9" w14:paraId="4F6846F6" w14:textId="77777777" w:rsidTr="00927BE3">
        <w:trPr>
          <w:cantSplit/>
          <w:tblHeader/>
        </w:trPr>
        <w:tc>
          <w:tcPr>
            <w:tcW w:w="2655" w:type="dxa"/>
            <w:shd w:val="clear" w:color="auto" w:fill="D9D9D9" w:themeFill="background1" w:themeFillShade="D9"/>
          </w:tcPr>
          <w:p w14:paraId="7C367D54" w14:textId="77777777" w:rsidR="00255527" w:rsidRPr="007C25F9" w:rsidRDefault="00255527" w:rsidP="00A92174">
            <w:pPr>
              <w:rPr>
                <w:b/>
                <w:bCs/>
              </w:rPr>
            </w:pPr>
            <w:r w:rsidRPr="007C25F9">
              <w:rPr>
                <w:b/>
                <w:bCs/>
              </w:rPr>
              <w:t>Prompt</w:t>
            </w:r>
          </w:p>
        </w:tc>
        <w:tc>
          <w:tcPr>
            <w:tcW w:w="2061" w:type="dxa"/>
            <w:shd w:val="clear" w:color="auto" w:fill="D9D9D9" w:themeFill="background1" w:themeFillShade="D9"/>
          </w:tcPr>
          <w:p w14:paraId="51730C9B" w14:textId="77777777" w:rsidR="00255527" w:rsidRPr="007C25F9" w:rsidRDefault="00255527" w:rsidP="00A92174">
            <w:pPr>
              <w:rPr>
                <w:b/>
                <w:bCs/>
              </w:rPr>
            </w:pPr>
            <w:r w:rsidRPr="007C25F9">
              <w:rPr>
                <w:b/>
                <w:bCs/>
              </w:rPr>
              <w:t>Color</w:t>
            </w:r>
          </w:p>
        </w:tc>
        <w:tc>
          <w:tcPr>
            <w:tcW w:w="2467" w:type="dxa"/>
            <w:shd w:val="clear" w:color="auto" w:fill="D9D9D9" w:themeFill="background1" w:themeFillShade="D9"/>
          </w:tcPr>
          <w:p w14:paraId="45B77159" w14:textId="77777777" w:rsidR="00255527" w:rsidRPr="007C25F9" w:rsidRDefault="00255527" w:rsidP="00A92174">
            <w:pPr>
              <w:rPr>
                <w:b/>
                <w:bCs/>
              </w:rPr>
            </w:pPr>
            <w:r w:rsidRPr="007C25F9">
              <w:rPr>
                <w:b/>
                <w:bCs/>
              </w:rPr>
              <w:t>Above or Below Standard</w:t>
            </w:r>
          </w:p>
        </w:tc>
        <w:tc>
          <w:tcPr>
            <w:tcW w:w="2167" w:type="dxa"/>
            <w:shd w:val="clear" w:color="auto" w:fill="D9D9D9" w:themeFill="background1" w:themeFillShade="D9"/>
          </w:tcPr>
          <w:p w14:paraId="29843169" w14:textId="77777777" w:rsidR="00255527" w:rsidRPr="007C25F9" w:rsidRDefault="00255527" w:rsidP="00A92174">
            <w:pPr>
              <w:rPr>
                <w:b/>
                <w:bCs/>
              </w:rPr>
            </w:pPr>
            <w:r w:rsidRPr="007C25F9">
              <w:rPr>
                <w:b/>
                <w:bCs/>
              </w:rPr>
              <w:t>Distance From Standard</w:t>
            </w:r>
          </w:p>
        </w:tc>
      </w:tr>
      <w:tr w:rsidR="00255527" w:rsidRPr="007C25F9" w14:paraId="75DC330D" w14:textId="77777777" w:rsidTr="00927BE3">
        <w:trPr>
          <w:cantSplit/>
          <w:tblHeader/>
        </w:trPr>
        <w:tc>
          <w:tcPr>
            <w:tcW w:w="2655" w:type="dxa"/>
          </w:tcPr>
          <w:p w14:paraId="6E771F96" w14:textId="77777777" w:rsidR="00255527" w:rsidRPr="007C25F9" w:rsidRDefault="00255527" w:rsidP="00A92174">
            <w:r w:rsidRPr="007C25F9">
              <w:t>English Language Arts</w:t>
            </w:r>
          </w:p>
        </w:tc>
        <w:tc>
          <w:tcPr>
            <w:tcW w:w="2061" w:type="dxa"/>
          </w:tcPr>
          <w:p w14:paraId="6B039D9F" w14:textId="77777777" w:rsidR="00255527" w:rsidRPr="007C25F9" w:rsidRDefault="00255527" w:rsidP="00A92174">
            <w:r w:rsidRPr="00DF6992">
              <w:rPr>
                <w:noProof/>
              </w:rPr>
              <w:t>Red</w:t>
            </w:r>
          </w:p>
        </w:tc>
        <w:tc>
          <w:tcPr>
            <w:tcW w:w="2467" w:type="dxa"/>
          </w:tcPr>
          <w:p w14:paraId="04C2DEC4" w14:textId="77777777" w:rsidR="00255527" w:rsidRPr="007C25F9" w:rsidRDefault="00255527" w:rsidP="00A92174">
            <w:r w:rsidRPr="00DF6992">
              <w:rPr>
                <w:noProof/>
              </w:rPr>
              <w:t>Below standard</w:t>
            </w:r>
          </w:p>
        </w:tc>
        <w:tc>
          <w:tcPr>
            <w:tcW w:w="2167" w:type="dxa"/>
          </w:tcPr>
          <w:p w14:paraId="42E8BE60" w14:textId="77777777" w:rsidR="00255527" w:rsidRPr="007C25F9" w:rsidRDefault="00255527" w:rsidP="00A92174">
            <w:r w:rsidRPr="00DF6992">
              <w:rPr>
                <w:noProof/>
              </w:rPr>
              <w:t>0</w:t>
            </w:r>
          </w:p>
        </w:tc>
      </w:tr>
      <w:tr w:rsidR="00255527" w:rsidRPr="007C25F9" w14:paraId="7275CD2D" w14:textId="77777777" w:rsidTr="00927BE3">
        <w:trPr>
          <w:cantSplit/>
          <w:tblHeader/>
        </w:trPr>
        <w:tc>
          <w:tcPr>
            <w:tcW w:w="2655" w:type="dxa"/>
          </w:tcPr>
          <w:p w14:paraId="1B9F732F" w14:textId="77777777" w:rsidR="00255527" w:rsidRPr="007C25F9" w:rsidRDefault="00255527" w:rsidP="00A92174">
            <w:r w:rsidRPr="007C25F9">
              <w:t>Mathematics</w:t>
            </w:r>
          </w:p>
        </w:tc>
        <w:tc>
          <w:tcPr>
            <w:tcW w:w="2061" w:type="dxa"/>
          </w:tcPr>
          <w:p w14:paraId="4F12967C" w14:textId="77777777" w:rsidR="00255527" w:rsidRPr="007C25F9" w:rsidRDefault="00255527" w:rsidP="00A92174">
            <w:r w:rsidRPr="00DF6992">
              <w:rPr>
                <w:noProof/>
              </w:rPr>
              <w:t>Yellow</w:t>
            </w:r>
          </w:p>
        </w:tc>
        <w:tc>
          <w:tcPr>
            <w:tcW w:w="2467" w:type="dxa"/>
          </w:tcPr>
          <w:p w14:paraId="1723E6AB" w14:textId="77777777" w:rsidR="00255527" w:rsidRPr="007C25F9" w:rsidRDefault="00255527" w:rsidP="00A92174">
            <w:r w:rsidRPr="00DF6992">
              <w:rPr>
                <w:noProof/>
              </w:rPr>
              <w:t>Below standard</w:t>
            </w:r>
          </w:p>
        </w:tc>
        <w:tc>
          <w:tcPr>
            <w:tcW w:w="2167" w:type="dxa"/>
          </w:tcPr>
          <w:p w14:paraId="5754FCDF" w14:textId="77777777" w:rsidR="00255527" w:rsidRPr="007C25F9" w:rsidRDefault="00255527" w:rsidP="00A92174">
            <w:r w:rsidRPr="00DF6992">
              <w:rPr>
                <w:noProof/>
              </w:rPr>
              <w:t>0</w:t>
            </w:r>
          </w:p>
        </w:tc>
      </w:tr>
    </w:tbl>
    <w:p w14:paraId="2C4D3335" w14:textId="77777777" w:rsidR="00255527" w:rsidRPr="007C25F9" w:rsidRDefault="00255527" w:rsidP="00A42D0A">
      <w:pPr>
        <w:pStyle w:val="Heading4"/>
      </w:pPr>
      <w:r>
        <w:t xml:space="preserve">2024–25 </w:t>
      </w:r>
      <w:r w:rsidRPr="007C25F9">
        <w:t>California Assessment of Student Performance and Progress</w:t>
      </w:r>
    </w:p>
    <w:p w14:paraId="28B23579" w14:textId="77777777" w:rsidR="00255527" w:rsidRPr="007C25F9" w:rsidRDefault="00255527">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255527" w:rsidRPr="007C25F9" w14:paraId="4FB3E89D" w14:textId="77777777" w:rsidTr="007929F6">
        <w:trPr>
          <w:cantSplit/>
          <w:tblHeader/>
        </w:trPr>
        <w:tc>
          <w:tcPr>
            <w:tcW w:w="4675" w:type="dxa"/>
            <w:shd w:val="clear" w:color="auto" w:fill="D9D9D9" w:themeFill="background1" w:themeFillShade="D9"/>
          </w:tcPr>
          <w:p w14:paraId="57BA25CB" w14:textId="77777777" w:rsidR="00255527" w:rsidRPr="007C25F9" w:rsidRDefault="00255527" w:rsidP="00A92174">
            <w:pPr>
              <w:rPr>
                <w:b/>
                <w:bCs/>
              </w:rPr>
            </w:pPr>
            <w:r w:rsidRPr="007C25F9">
              <w:rPr>
                <w:b/>
                <w:bCs/>
              </w:rPr>
              <w:t>Prompt</w:t>
            </w:r>
          </w:p>
        </w:tc>
        <w:tc>
          <w:tcPr>
            <w:tcW w:w="4675" w:type="dxa"/>
            <w:shd w:val="clear" w:color="auto" w:fill="D9D9D9" w:themeFill="background1" w:themeFillShade="D9"/>
          </w:tcPr>
          <w:p w14:paraId="1B48B77D" w14:textId="77777777" w:rsidR="00255527" w:rsidRPr="007C25F9" w:rsidRDefault="00255527" w:rsidP="00A92174">
            <w:pPr>
              <w:rPr>
                <w:b/>
                <w:bCs/>
              </w:rPr>
            </w:pPr>
            <w:r w:rsidRPr="007C25F9">
              <w:rPr>
                <w:b/>
                <w:bCs/>
              </w:rPr>
              <w:t>Percentage</w:t>
            </w:r>
          </w:p>
        </w:tc>
      </w:tr>
      <w:tr w:rsidR="00255527" w:rsidRPr="007C25F9" w14:paraId="2571D197" w14:textId="77777777" w:rsidTr="007929F6">
        <w:trPr>
          <w:cantSplit/>
          <w:tblHeader/>
        </w:trPr>
        <w:tc>
          <w:tcPr>
            <w:tcW w:w="4675" w:type="dxa"/>
          </w:tcPr>
          <w:p w14:paraId="43EF9D56" w14:textId="77777777" w:rsidR="00255527" w:rsidRPr="007C25F9" w:rsidRDefault="00255527" w:rsidP="00A92174">
            <w:r w:rsidRPr="007C25F9">
              <w:t>English Language Arts</w:t>
            </w:r>
          </w:p>
        </w:tc>
        <w:tc>
          <w:tcPr>
            <w:tcW w:w="4675" w:type="dxa"/>
          </w:tcPr>
          <w:p w14:paraId="5A73BEF6" w14:textId="77777777" w:rsidR="00255527" w:rsidRPr="007C25F9" w:rsidRDefault="00255527" w:rsidP="00A92174">
            <w:r w:rsidRPr="00DF6992">
              <w:rPr>
                <w:noProof/>
              </w:rPr>
              <w:t>30</w:t>
            </w:r>
          </w:p>
        </w:tc>
      </w:tr>
      <w:tr w:rsidR="00255527" w:rsidRPr="007C25F9" w14:paraId="5CFB8CC9" w14:textId="77777777" w:rsidTr="007929F6">
        <w:trPr>
          <w:cantSplit/>
          <w:tblHeader/>
        </w:trPr>
        <w:tc>
          <w:tcPr>
            <w:tcW w:w="4675" w:type="dxa"/>
          </w:tcPr>
          <w:p w14:paraId="1A8248C0" w14:textId="77777777" w:rsidR="00255527" w:rsidRPr="007C25F9" w:rsidRDefault="00255527" w:rsidP="00A92174">
            <w:r w:rsidRPr="007C25F9">
              <w:t>Mathematics</w:t>
            </w:r>
          </w:p>
        </w:tc>
        <w:tc>
          <w:tcPr>
            <w:tcW w:w="4675" w:type="dxa"/>
          </w:tcPr>
          <w:p w14:paraId="132DBEC0" w14:textId="77777777" w:rsidR="00255527" w:rsidRPr="007C25F9" w:rsidRDefault="00255527" w:rsidP="00A92174">
            <w:r w:rsidRPr="00DF6992">
              <w:rPr>
                <w:noProof/>
              </w:rPr>
              <w:t>32</w:t>
            </w:r>
          </w:p>
        </w:tc>
      </w:tr>
    </w:tbl>
    <w:p w14:paraId="3954EE56" w14:textId="77777777" w:rsidR="00255527" w:rsidRPr="007C25F9" w:rsidRDefault="00255527">
      <w:pPr>
        <w:spacing w:before="0"/>
        <w:rPr>
          <w:rFonts w:eastAsiaTheme="majorEastAsia"/>
          <w:b/>
          <w:bCs/>
          <w:sz w:val="32"/>
          <w:szCs w:val="32"/>
        </w:rPr>
      </w:pPr>
      <w:r w:rsidRPr="007C25F9">
        <w:br w:type="page"/>
      </w:r>
    </w:p>
    <w:p w14:paraId="0A4821A0" w14:textId="77777777" w:rsidR="00255527" w:rsidRPr="007C25F9" w:rsidRDefault="00255527" w:rsidP="00A42D0A">
      <w:pPr>
        <w:pStyle w:val="Heading3"/>
      </w:pPr>
      <w:r w:rsidRPr="007C25F9">
        <w:lastRenderedPageBreak/>
        <w:t>Section 3. Areas of Greatest Progress and Need</w:t>
      </w:r>
    </w:p>
    <w:p w14:paraId="5DCFC8D6" w14:textId="77777777" w:rsidR="00255527" w:rsidRPr="00EA4CF5" w:rsidRDefault="00255527" w:rsidP="00EA4CF5">
      <w:pPr>
        <w:numPr>
          <w:ilvl w:val="0"/>
          <w:numId w:val="13"/>
        </w:numPr>
        <w:ind w:left="0"/>
        <w:rPr>
          <w:b/>
          <w:bCs/>
        </w:rPr>
      </w:pPr>
      <w:r w:rsidRPr="00EA4CF5">
        <w:rPr>
          <w:b/>
          <w:bCs/>
        </w:rPr>
        <w:t>Based on California School Dashboard (Dashboard) data, identify the charter school’s areas of greatest progress.</w:t>
      </w:r>
    </w:p>
    <w:p w14:paraId="3D28A71D" w14:textId="77777777" w:rsidR="00364A5D" w:rsidRDefault="00255527" w:rsidP="0003147F">
      <w:pPr>
        <w:rPr>
          <w:noProof/>
        </w:rPr>
      </w:pPr>
      <w:r w:rsidRPr="00DF6992">
        <w:rPr>
          <w:noProof/>
        </w:rPr>
        <w:t>Math Analysis: The current dashboard shows significant growth in mathematics, increasing 15.9% points. Most JHHS student groups outperform the district and neighboring schools. Each year JHHS has seen growth in our math scores in all student subgroups, with the most considerable growth among our English Language student population, emphasizing our focus towards equitable academic practices.</w:t>
      </w:r>
    </w:p>
    <w:p w14:paraId="03398E44" w14:textId="77777777" w:rsidR="00364A5D" w:rsidRDefault="00255527" w:rsidP="0003147F">
      <w:pPr>
        <w:rPr>
          <w:noProof/>
        </w:rPr>
      </w:pPr>
      <w:r w:rsidRPr="00DF6992">
        <w:rPr>
          <w:noProof/>
        </w:rPr>
        <w:t>ELA Analysis: ELA proficiency has been volatile, rising to 40% in 2023-24 before dropping to 28% in 2024-25 due to staffing shortages. To counteract the impact of these vacancies, we have launched a robust professional development series designed to standardize instructional practices and ensure curriculum fidelity regardless of staffing changes.</w:t>
      </w:r>
    </w:p>
    <w:p w14:paraId="6E8F70DD" w14:textId="77777777" w:rsidR="00255527" w:rsidRPr="00EA4CF5" w:rsidRDefault="00255527"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1FCB743D" w14:textId="6DDC2C14" w:rsidR="00364A5D" w:rsidRDefault="00255527" w:rsidP="0003147F">
      <w:pPr>
        <w:rPr>
          <w:noProof/>
        </w:rPr>
      </w:pPr>
      <w:r w:rsidRPr="00DF6992">
        <w:rPr>
          <w:noProof/>
        </w:rPr>
        <w:t>John Henry</w:t>
      </w:r>
      <w:r w:rsidR="0064320B">
        <w:rPr>
          <w:noProof/>
        </w:rPr>
        <w:t xml:space="preserve"> </w:t>
      </w:r>
      <w:r w:rsidRPr="00DF6992">
        <w:rPr>
          <w:noProof/>
        </w:rPr>
        <w:t>uses multiple internal assessment systems to measure student learning and identify areas of greatest academic progress beyond CAASPP. These tools provide timely, actionable data that allow teachers and school leaders to adjust instruction and support throughout the year.</w:t>
      </w:r>
    </w:p>
    <w:p w14:paraId="68D61D12" w14:textId="77777777" w:rsidR="00364A5D" w:rsidRDefault="00255527" w:rsidP="0003147F">
      <w:pPr>
        <w:rPr>
          <w:noProof/>
        </w:rPr>
      </w:pPr>
      <w:r w:rsidRPr="00DF6992">
        <w:rPr>
          <w:noProof/>
        </w:rPr>
        <w:t xml:space="preserve">Key internal assessments include: </w:t>
      </w:r>
    </w:p>
    <w:p w14:paraId="4AF13825" w14:textId="77777777" w:rsidR="00364A5D" w:rsidRDefault="00255527" w:rsidP="0003147F">
      <w:pPr>
        <w:rPr>
          <w:noProof/>
        </w:rPr>
      </w:pPr>
      <w:r w:rsidRPr="00DF6992">
        <w:rPr>
          <w:noProof/>
        </w:rPr>
        <w:t>NWEA MAP Growth – Administered three times per year to track student growth in reading and math. This assessment provides nationally normed growth data, allowing the school to measure how much progress students are making relative to expected growth.</w:t>
      </w:r>
    </w:p>
    <w:p w14:paraId="5FCC587C" w14:textId="55798D57" w:rsidR="00364A5D" w:rsidRDefault="00255527" w:rsidP="0003147F">
      <w:pPr>
        <w:rPr>
          <w:noProof/>
        </w:rPr>
      </w:pPr>
      <w:r w:rsidRPr="00DF6992">
        <w:rPr>
          <w:noProof/>
        </w:rPr>
        <w:t>Curriculum-Embedded Benchmark Assessments – Unit and interim assessments aligned to state standards are used across grade levels to monitor mastery of priority skills in ELA, math, and science.</w:t>
      </w:r>
    </w:p>
    <w:p w14:paraId="5E288F2F" w14:textId="57EB3125" w:rsidR="00364A5D" w:rsidRDefault="00255527" w:rsidP="0003147F">
      <w:pPr>
        <w:rPr>
          <w:noProof/>
        </w:rPr>
      </w:pPr>
      <w:r w:rsidRPr="00DF6992">
        <w:rPr>
          <w:noProof/>
        </w:rPr>
        <w:t>Writing Rubrics and Performance Tasks – Standards-aligned writing assessments are used multiple times per year to measure growth in organization, evidence, and conventions.</w:t>
      </w:r>
    </w:p>
    <w:p w14:paraId="790B56E1" w14:textId="74C940BD" w:rsidR="00364A5D" w:rsidRDefault="00255527" w:rsidP="0003147F">
      <w:pPr>
        <w:rPr>
          <w:noProof/>
        </w:rPr>
      </w:pPr>
      <w:r w:rsidRPr="00DF6992">
        <w:rPr>
          <w:noProof/>
        </w:rPr>
        <w:t>Formative Classroom Assessments – Exit tickets, quizzes, and checks for understanding are reviewed weekly through PLCs to adjust instruction in real time.</w:t>
      </w:r>
    </w:p>
    <w:p w14:paraId="7B594012" w14:textId="20BA0461" w:rsidR="00364A5D" w:rsidRDefault="00255527" w:rsidP="0003147F">
      <w:pPr>
        <w:rPr>
          <w:noProof/>
        </w:rPr>
      </w:pPr>
      <w:r w:rsidRPr="00DF6992">
        <w:rPr>
          <w:noProof/>
        </w:rPr>
        <w:t>Together, these internal assessments show the school’s greatest progress in:</w:t>
      </w:r>
    </w:p>
    <w:p w14:paraId="43318276" w14:textId="77777777" w:rsidR="00364A5D" w:rsidRDefault="00255527" w:rsidP="0003147F">
      <w:pPr>
        <w:rPr>
          <w:noProof/>
        </w:rPr>
      </w:pPr>
      <w:r w:rsidRPr="00DF6992">
        <w:rPr>
          <w:noProof/>
        </w:rPr>
        <w:lastRenderedPageBreak/>
        <w:t>Increased student growth in reading and math</w:t>
      </w:r>
    </w:p>
    <w:p w14:paraId="495F95E7" w14:textId="77777777" w:rsidR="00364A5D" w:rsidRDefault="00255527" w:rsidP="0003147F">
      <w:pPr>
        <w:rPr>
          <w:noProof/>
        </w:rPr>
      </w:pPr>
      <w:r w:rsidRPr="00DF6992">
        <w:rPr>
          <w:noProof/>
        </w:rPr>
        <w:t>Improved mastery of grade-level standards</w:t>
      </w:r>
    </w:p>
    <w:p w14:paraId="5D5610B6" w14:textId="065A1B97" w:rsidR="00364A5D" w:rsidRDefault="00255527" w:rsidP="0003147F">
      <w:pPr>
        <w:rPr>
          <w:noProof/>
        </w:rPr>
      </w:pPr>
      <w:r w:rsidRPr="00DF6992">
        <w:rPr>
          <w:noProof/>
        </w:rPr>
        <w:t>Strong gains for English learners and students receiving targeted interventions</w:t>
      </w:r>
    </w:p>
    <w:p w14:paraId="0FE9C640" w14:textId="5D012674" w:rsidR="00255527" w:rsidRPr="007C25F9" w:rsidRDefault="00255527" w:rsidP="0003147F">
      <w:r w:rsidRPr="00DF6992">
        <w:rPr>
          <w:noProof/>
        </w:rPr>
        <w:t>These tools allow the school to demonstrate growth trends well before annual state testing and ensure instructional decisions are driven by ongoing, reliable data.</w:t>
      </w:r>
    </w:p>
    <w:p w14:paraId="16673163" w14:textId="77777777" w:rsidR="00255527" w:rsidRPr="00EA4CF5" w:rsidRDefault="00255527" w:rsidP="00EA4CF5">
      <w:pPr>
        <w:numPr>
          <w:ilvl w:val="0"/>
          <w:numId w:val="13"/>
        </w:numPr>
        <w:ind w:left="0"/>
        <w:rPr>
          <w:b/>
          <w:bCs/>
        </w:rPr>
      </w:pPr>
      <w:r w:rsidRPr="00EA4CF5">
        <w:rPr>
          <w:b/>
          <w:bCs/>
        </w:rPr>
        <w:t>Based on Dashboard data, identify the charter school’s areas of greatest need. Include references to student groups.</w:t>
      </w:r>
    </w:p>
    <w:p w14:paraId="3028D705" w14:textId="1606477E" w:rsidR="00364A5D" w:rsidRDefault="00255527" w:rsidP="0003147F">
      <w:pPr>
        <w:rPr>
          <w:noProof/>
        </w:rPr>
      </w:pPr>
      <w:r w:rsidRPr="00DF6992">
        <w:rPr>
          <w:noProof/>
        </w:rPr>
        <w:t>English Language Learning Analysis: While ELLs demonstrate general growth, we acknowledge Level 2-3 ELLs require more support. These are students who often face a 'literacy plateau' where social skills outpace academic language. In response, AMPS launched the year with a network-wide mandate to integrate Tier 2 and Tier 3 vocabulary instruction across every content area.</w:t>
      </w:r>
    </w:p>
    <w:p w14:paraId="0FDE55EB" w14:textId="5877F663" w:rsidR="00255527" w:rsidRPr="007C25F9" w:rsidRDefault="00255527" w:rsidP="0003147F">
      <w:r w:rsidRPr="00DF6992">
        <w:rPr>
          <w:noProof/>
        </w:rPr>
        <w:t>Stabilizing ELA Proficiency: English Language Arts has yet to maintain consistent growth, showing high volatility over the last cycle. Proficiency fluctuated from 25% (2023) to a peak of 40% (2024) before dropping to 28% in 2025. This recent decline is attributed to systemic staffing vacancies across grade levels throughout the last academic year.</w:t>
      </w:r>
    </w:p>
    <w:p w14:paraId="5F92DFA0" w14:textId="77777777" w:rsidR="00255527" w:rsidRPr="00EA4CF5" w:rsidRDefault="00255527" w:rsidP="00EA4CF5">
      <w:pPr>
        <w:numPr>
          <w:ilvl w:val="0"/>
          <w:numId w:val="13"/>
        </w:numPr>
        <w:ind w:left="0"/>
        <w:rPr>
          <w:b/>
          <w:bCs/>
        </w:rPr>
      </w:pPr>
      <w:r w:rsidRPr="00EA4CF5">
        <w:rPr>
          <w:b/>
          <w:bCs/>
        </w:rPr>
        <w:t>How is the charter school addressing these areas of need? Include references to student groups.</w:t>
      </w:r>
    </w:p>
    <w:p w14:paraId="510426D6" w14:textId="2752CD5D" w:rsidR="0064320B" w:rsidRDefault="00255527" w:rsidP="0003147F">
      <w:pPr>
        <w:rPr>
          <w:noProof/>
        </w:rPr>
      </w:pPr>
      <w:r w:rsidRPr="00DF6992">
        <w:rPr>
          <w:noProof/>
        </w:rPr>
        <w:t xml:space="preserve">Quality Rigorous Curriculum through Data &amp; College and Career Skills  </w:t>
      </w:r>
    </w:p>
    <w:p w14:paraId="544A9AAF" w14:textId="720BFD5F" w:rsidR="00364A5D" w:rsidRDefault="00255527" w:rsidP="0003147F">
      <w:pPr>
        <w:rPr>
          <w:noProof/>
        </w:rPr>
      </w:pPr>
      <w:r w:rsidRPr="00DF6992">
        <w:rPr>
          <w:noProof/>
        </w:rPr>
        <w:t>JHHS launched AY 2025-2026 by reviewing prior SBAC data alongside the four other schools in our network. This collaborative session allowed us to analyze trends across Richmond and Oakland, ensuring that stakeholder voices were integrated into our instructional planning.</w:t>
      </w:r>
    </w:p>
    <w:p w14:paraId="609376FF" w14:textId="77777777" w:rsidR="0064320B" w:rsidRDefault="00255527" w:rsidP="0003147F">
      <w:pPr>
        <w:rPr>
          <w:noProof/>
        </w:rPr>
      </w:pPr>
      <w:r w:rsidRPr="00DF6992">
        <w:rPr>
          <w:noProof/>
        </w:rPr>
        <w:t xml:space="preserve">Instructional Strategy &amp; Professional Development </w:t>
      </w:r>
    </w:p>
    <w:p w14:paraId="6F486F73" w14:textId="2E9D38A9" w:rsidR="00364A5D" w:rsidRDefault="00255527" w:rsidP="0003147F">
      <w:pPr>
        <w:rPr>
          <w:noProof/>
        </w:rPr>
      </w:pPr>
      <w:r w:rsidRPr="00DF6992">
        <w:rPr>
          <w:noProof/>
        </w:rPr>
        <w:t>While we celebrate recent gains in Math, both Math and ELA remain critical priority areas. In direct response to teacher requests for increased support, we have implemented a rigorous weekly observation cycle that drives our content-specific 'Academic Clinics.' Leveraging real-time data on student work, participation, and curriculum fidelity, the Dean of Instruction—supported by the Principal and network leaders—delivers coaching sessions strictly individualized to each teacher's skillset. This coaching is reinforced by weekly Friday professional development focused on school-wide priorities, including academic rigor and Common Core implementation. Specific training modules cover differentiated instruction, Depth of Knowledge (DOK), and academic vocabulary mastery, all designed to maximize instructional time and align classroom practice with Advanced Placement standards.</w:t>
      </w:r>
    </w:p>
    <w:p w14:paraId="2099F35D" w14:textId="4D6632C0" w:rsidR="00255527" w:rsidRPr="007C25F9" w:rsidRDefault="00255527" w:rsidP="0003147F">
      <w:pPr>
        <w:rPr>
          <w:rFonts w:cs="Arial"/>
        </w:rPr>
      </w:pPr>
      <w:r w:rsidRPr="00DF6992">
        <w:rPr>
          <w:noProof/>
        </w:rPr>
        <w:lastRenderedPageBreak/>
        <w:t>English Language Learner (ELL) Support Specific to our English Language Learners, we adopted a universal intervention strategy by training all teachers to: 1) unpack standards and 2) integrate Multilingual instructional strategies into lesson planning. This training enables teachers to be more effective both in the classroom and during designated office hours, where they provide small-group support to meet individual needs. Furthermore, we continue the practice of mandatory placement in English Language Development (ELD) courses to ensure students receive the targeted support necessary for reclassification.</w:t>
      </w:r>
    </w:p>
    <w:p w14:paraId="4D1A0263" w14:textId="77777777" w:rsidR="00255527" w:rsidRPr="007C25F9" w:rsidRDefault="00255527">
      <w:pPr>
        <w:spacing w:before="0"/>
        <w:rPr>
          <w:rFonts w:eastAsiaTheme="majorEastAsia"/>
          <w:b/>
          <w:bCs/>
          <w:sz w:val="32"/>
          <w:szCs w:val="32"/>
        </w:rPr>
      </w:pPr>
      <w:r w:rsidRPr="007C25F9">
        <w:br w:type="page"/>
      </w:r>
    </w:p>
    <w:p w14:paraId="79DA745E" w14:textId="77777777" w:rsidR="00255527" w:rsidRPr="007C25F9" w:rsidRDefault="00255527" w:rsidP="00A42D0A">
      <w:pPr>
        <w:pStyle w:val="Heading3"/>
      </w:pPr>
      <w:r w:rsidRPr="007C25F9">
        <w:lastRenderedPageBreak/>
        <w:t>Section 4. Summary of Performance on Measurable Pupil Outcomes</w:t>
      </w:r>
    </w:p>
    <w:p w14:paraId="75E90845" w14:textId="77777777" w:rsidR="00255527" w:rsidRPr="00EA4CF5" w:rsidRDefault="00255527" w:rsidP="00EA4CF5">
      <w:pPr>
        <w:numPr>
          <w:ilvl w:val="0"/>
          <w:numId w:val="14"/>
        </w:numPr>
        <w:ind w:left="0"/>
        <w:rPr>
          <w:b/>
          <w:bCs/>
        </w:rPr>
      </w:pPr>
      <w:r w:rsidRPr="00EA4CF5">
        <w:rPr>
          <w:b/>
          <w:bCs/>
        </w:rPr>
        <w:t>Identify the Measurable Pupil Outcomes in Element 2 of the charter petition. Summarize the performance for each outcome.</w:t>
      </w:r>
    </w:p>
    <w:p w14:paraId="3DEEBD8A" w14:textId="77777777" w:rsidR="00364A5D" w:rsidRDefault="00255527" w:rsidP="0003147F">
      <w:pPr>
        <w:rPr>
          <w:rFonts w:cs="Arial"/>
          <w:noProof/>
        </w:rPr>
      </w:pPr>
      <w:r w:rsidRPr="00DF6992">
        <w:rPr>
          <w:rFonts w:cs="Arial"/>
          <w:noProof/>
        </w:rPr>
        <w:t>English / Language Arts SBAC (CAASPP)</w:t>
      </w:r>
    </w:p>
    <w:p w14:paraId="1C6BC8D0" w14:textId="5793390A" w:rsidR="00364A5D" w:rsidRPr="00364A5D" w:rsidRDefault="00255527" w:rsidP="00364A5D">
      <w:pPr>
        <w:pStyle w:val="ListParagraph"/>
        <w:numPr>
          <w:ilvl w:val="0"/>
          <w:numId w:val="24"/>
        </w:numPr>
        <w:rPr>
          <w:rFonts w:cs="Arial"/>
          <w:noProof/>
        </w:rPr>
      </w:pPr>
      <w:r w:rsidRPr="00364A5D">
        <w:rPr>
          <w:rFonts w:cs="Arial"/>
          <w:noProof/>
        </w:rPr>
        <w:t>65% or more of students will receive a score of “met” or “exceeded” on</w:t>
      </w:r>
    </w:p>
    <w:p w14:paraId="1AA22250" w14:textId="77777777" w:rsidR="00364A5D" w:rsidRDefault="00255527" w:rsidP="0003147F">
      <w:pPr>
        <w:rPr>
          <w:rFonts w:cs="Arial"/>
          <w:noProof/>
        </w:rPr>
      </w:pPr>
      <w:r w:rsidRPr="00DF6992">
        <w:rPr>
          <w:rFonts w:cs="Arial"/>
          <w:noProof/>
        </w:rPr>
        <w:t>While we have made great progress and students have shown improvement, there is still work to do to support students meeting proficiently.  Currently only 30% of students have met or exceeded the standard</w:t>
      </w:r>
    </w:p>
    <w:p w14:paraId="19EA876D" w14:textId="6B58B935" w:rsidR="00364A5D" w:rsidRPr="00364A5D" w:rsidRDefault="00255527" w:rsidP="00364A5D">
      <w:pPr>
        <w:pStyle w:val="ListParagraph"/>
        <w:numPr>
          <w:ilvl w:val="0"/>
          <w:numId w:val="24"/>
        </w:numPr>
        <w:rPr>
          <w:rFonts w:cs="Arial"/>
          <w:noProof/>
        </w:rPr>
      </w:pPr>
      <w:r w:rsidRPr="00364A5D">
        <w:rPr>
          <w:rFonts w:cs="Arial"/>
          <w:noProof/>
        </w:rPr>
        <w:t>70% of ELL students will demonstrate a 50+ Lexile point growth per year</w:t>
      </w:r>
    </w:p>
    <w:p w14:paraId="7C2E29A8" w14:textId="77777777" w:rsidR="00364A5D" w:rsidRDefault="00255527" w:rsidP="0003147F">
      <w:pPr>
        <w:rPr>
          <w:rFonts w:cs="Arial"/>
          <w:noProof/>
        </w:rPr>
      </w:pPr>
      <w:r w:rsidRPr="00DF6992">
        <w:rPr>
          <w:rFonts w:cs="Arial"/>
          <w:noProof/>
        </w:rPr>
        <w:t>Currently, 62% of all EL students have made 30 or more lexile points of growth-  details and breakdown in LCAP progress reporting.</w:t>
      </w:r>
    </w:p>
    <w:p w14:paraId="4D9B5FC0" w14:textId="1D6F74F6" w:rsidR="00364A5D" w:rsidRPr="00364A5D" w:rsidRDefault="00255527" w:rsidP="00364A5D">
      <w:pPr>
        <w:pStyle w:val="ListParagraph"/>
        <w:numPr>
          <w:ilvl w:val="0"/>
          <w:numId w:val="24"/>
        </w:numPr>
        <w:rPr>
          <w:rFonts w:cs="Arial"/>
          <w:noProof/>
        </w:rPr>
      </w:pPr>
      <w:r w:rsidRPr="00364A5D">
        <w:rPr>
          <w:rFonts w:cs="Arial"/>
          <w:noProof/>
        </w:rPr>
        <w:t>75% of students will demonstrate proficiency on standards-based Interim Assessments (NWEA)</w:t>
      </w:r>
    </w:p>
    <w:p w14:paraId="2DDCD6EE" w14:textId="77777777" w:rsidR="00364A5D" w:rsidRDefault="00255527" w:rsidP="0003147F">
      <w:pPr>
        <w:rPr>
          <w:rFonts w:cs="Arial"/>
          <w:noProof/>
        </w:rPr>
      </w:pPr>
      <w:r w:rsidRPr="00DF6992">
        <w:rPr>
          <w:rFonts w:cs="Arial"/>
          <w:noProof/>
        </w:rPr>
        <w:t xml:space="preserve">Currently taking NWEA now to provide updated information. At last testing cycle, only 32% were proficient </w:t>
      </w:r>
    </w:p>
    <w:p w14:paraId="6DD113E2" w14:textId="77777777" w:rsidR="00364A5D" w:rsidRDefault="00255527" w:rsidP="0003147F">
      <w:pPr>
        <w:rPr>
          <w:rFonts w:cs="Arial"/>
          <w:noProof/>
        </w:rPr>
      </w:pPr>
      <w:r w:rsidRPr="00DF6992">
        <w:rPr>
          <w:rFonts w:cs="Arial"/>
          <w:noProof/>
        </w:rPr>
        <w:t>Mathematics SBAC (CAASP)</w:t>
      </w:r>
    </w:p>
    <w:p w14:paraId="65FA3269" w14:textId="42A20AB1" w:rsidR="00364A5D" w:rsidRPr="00364A5D" w:rsidRDefault="00255527" w:rsidP="00364A5D">
      <w:pPr>
        <w:pStyle w:val="ListParagraph"/>
        <w:numPr>
          <w:ilvl w:val="0"/>
          <w:numId w:val="24"/>
        </w:numPr>
        <w:rPr>
          <w:rFonts w:cs="Arial"/>
          <w:noProof/>
        </w:rPr>
      </w:pPr>
      <w:r w:rsidRPr="00364A5D">
        <w:rPr>
          <w:rFonts w:cs="Arial"/>
          <w:noProof/>
        </w:rPr>
        <w:t>35% or more of students will receive a score of “met” or “exceeded” on SBAC math tests</w:t>
      </w:r>
    </w:p>
    <w:p w14:paraId="4ACB842C" w14:textId="77777777" w:rsidR="00364A5D" w:rsidRDefault="00255527" w:rsidP="0003147F">
      <w:pPr>
        <w:rPr>
          <w:rFonts w:cs="Arial"/>
          <w:noProof/>
        </w:rPr>
      </w:pPr>
      <w:r w:rsidRPr="00DF6992">
        <w:rPr>
          <w:rFonts w:cs="Arial"/>
          <w:noProof/>
        </w:rPr>
        <w:t>Math has been a focus this year based on scores and outcomes and with intervention support and professional development, we have seen gains in math from last year.  Currently, 31% of students have met or exceeded the standard up from last year’s 15%</w:t>
      </w:r>
    </w:p>
    <w:p w14:paraId="4C326AF3" w14:textId="75341BF9" w:rsidR="00364A5D" w:rsidRPr="00364A5D" w:rsidRDefault="00255527" w:rsidP="00364A5D">
      <w:pPr>
        <w:pStyle w:val="ListParagraph"/>
        <w:numPr>
          <w:ilvl w:val="0"/>
          <w:numId w:val="24"/>
        </w:numPr>
        <w:rPr>
          <w:rFonts w:cs="Arial"/>
          <w:noProof/>
        </w:rPr>
      </w:pPr>
      <w:r w:rsidRPr="00364A5D">
        <w:rPr>
          <w:rFonts w:cs="Arial"/>
          <w:noProof/>
        </w:rPr>
        <w:t>75% of students will demonstrate proficiency on standards-based Interim Assessments</w:t>
      </w:r>
    </w:p>
    <w:p w14:paraId="703C23AB" w14:textId="77777777" w:rsidR="00364A5D" w:rsidRDefault="00255527" w:rsidP="0003147F">
      <w:pPr>
        <w:rPr>
          <w:rFonts w:cs="Arial"/>
          <w:noProof/>
        </w:rPr>
      </w:pPr>
      <w:r w:rsidRPr="00DF6992">
        <w:rPr>
          <w:rFonts w:cs="Arial"/>
          <w:noProof/>
        </w:rPr>
        <w:t xml:space="preserve">Currently taking NWEA now to provide updated information. At lest testing cycle, only 48% were proficient a gain of over 20% points </w:t>
      </w:r>
    </w:p>
    <w:p w14:paraId="53E4B46F" w14:textId="5485D029" w:rsidR="00364A5D" w:rsidRPr="00364A5D" w:rsidRDefault="00255527" w:rsidP="00364A5D">
      <w:pPr>
        <w:pStyle w:val="ListParagraph"/>
        <w:numPr>
          <w:ilvl w:val="0"/>
          <w:numId w:val="24"/>
        </w:numPr>
        <w:rPr>
          <w:rFonts w:cs="Arial"/>
          <w:noProof/>
        </w:rPr>
      </w:pPr>
      <w:r w:rsidRPr="00364A5D">
        <w:rPr>
          <w:rFonts w:cs="Arial"/>
          <w:noProof/>
        </w:rPr>
        <w:t>100% of 9th grade students will have taken or be enrolled in Algebra I.</w:t>
      </w:r>
    </w:p>
    <w:p w14:paraId="07EF4917" w14:textId="4E3149B0" w:rsidR="00255527" w:rsidRPr="007C25F9" w:rsidRDefault="00255527" w:rsidP="0003147F">
      <w:pPr>
        <w:rPr>
          <w:rFonts w:cs="Arial"/>
        </w:rPr>
      </w:pPr>
      <w:r w:rsidRPr="00DF6992">
        <w:rPr>
          <w:rFonts w:cs="Arial"/>
          <w:noProof/>
        </w:rPr>
        <w:t>Goal Met</w:t>
      </w:r>
    </w:p>
    <w:p w14:paraId="01D39AF3" w14:textId="77777777" w:rsidR="00255527" w:rsidRPr="007C25F9" w:rsidRDefault="00255527" w:rsidP="00A42D0A">
      <w:pPr>
        <w:pStyle w:val="Heading3"/>
      </w:pPr>
      <w:r w:rsidRPr="007C25F9">
        <w:lastRenderedPageBreak/>
        <w:t>Section 5. Local Control and Accountability Plan Progress</w:t>
      </w:r>
    </w:p>
    <w:p w14:paraId="55C03E4B" w14:textId="77777777" w:rsidR="00255527" w:rsidRPr="00EA4CF5" w:rsidRDefault="00255527"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5CCB2D35" w14:textId="77777777" w:rsidR="00364A5D" w:rsidRDefault="00255527" w:rsidP="0003147F">
      <w:pPr>
        <w:rPr>
          <w:rFonts w:cs="Arial"/>
          <w:noProof/>
        </w:rPr>
      </w:pPr>
      <w:r w:rsidRPr="00DF6992">
        <w:rPr>
          <w:rFonts w:cs="Arial"/>
          <w:noProof/>
        </w:rPr>
        <w:t xml:space="preserve">Goal 1:  Provide High-Quality Curriculum, Assessment, and Intervention Systems that Promote College and Career Readiness and the Acquisition of 21st Century Skills.  </w:t>
      </w:r>
    </w:p>
    <w:p w14:paraId="7882073D" w14:textId="77777777" w:rsidR="00364A5D" w:rsidRDefault="00255527" w:rsidP="0003147F">
      <w:pPr>
        <w:rPr>
          <w:rFonts w:cs="Arial"/>
          <w:noProof/>
        </w:rPr>
      </w:pPr>
      <w:r w:rsidRPr="00DF6992">
        <w:rPr>
          <w:rFonts w:cs="Arial"/>
          <w:noProof/>
        </w:rPr>
        <w:t xml:space="preserve">JHHS has shown significant improvement within this goal. Our academic program is grounded in growth, proficiency, and achievement metrics some examples include: California Dashboard, College and Career Tracking, A-G completion rate, and SBAC scores.  Areas that we are constantly improving and fine-tuning through professional development are topics on: culture and relationship building amongst students and families, data collection and analysis, student discourse/engagement, and teacher pedagogy and content conceptual knowledge.  Teachers use formative and summative assessments to drive instruction and interventions as well as co-plan with paraprofessionals to ensure all students' needs are being met.   </w:t>
      </w:r>
    </w:p>
    <w:p w14:paraId="1061A450" w14:textId="77777777" w:rsidR="00364A5D" w:rsidRDefault="00255527" w:rsidP="0003147F">
      <w:pPr>
        <w:rPr>
          <w:rFonts w:cs="Arial"/>
          <w:noProof/>
        </w:rPr>
      </w:pPr>
      <w:r w:rsidRPr="00DF6992">
        <w:rPr>
          <w:rFonts w:cs="Arial"/>
          <w:noProof/>
        </w:rPr>
        <w:t xml:space="preserve">Goal 2: Hire and retain a High Quality Teaching Staff who are developed, supported and cultivate a shared sense of community.  </w:t>
      </w:r>
    </w:p>
    <w:p w14:paraId="6D8C8191" w14:textId="77777777" w:rsidR="00364A5D" w:rsidRDefault="00255527" w:rsidP="0003147F">
      <w:pPr>
        <w:rPr>
          <w:rFonts w:cs="Arial"/>
          <w:noProof/>
        </w:rPr>
      </w:pPr>
      <w:r w:rsidRPr="00DF6992">
        <w:rPr>
          <w:rFonts w:cs="Arial"/>
          <w:noProof/>
        </w:rPr>
        <w:t xml:space="preserve">John Henry High School utilizes platforms such as Ed-Join, Linkedin, Indeed, and others to disseminate information about job openings to attract highly qualified and motivated individuals to serve in our school community.  Our interview process ensures that all teachers are fully credentialed, possess expertise in their subject areas, and are culturally competent to meet the needs of our students.  Throughout the year, professional development is provided with our specific school community and as a whole with our network, Amethod Public Schools, that focus on topics aimed at improving instructional practices, content-specific training, workshops, and culturally relevant teacher pedagogy.   Family, Student, and Teacher (FST/SSC) meetings are held to provide a space for parents and guardians to provide input feedback and to stay abreast about all aspects of compliance, such as: the effectiveness of our English Learner (EL) programs and services.  Teachers also receive professional development to support language and academic instruction, catered to ELPAC proficiency levels, assessment results, and intensive instruction in reading, comprehension, listening, speaking, and writing in core and ELD courses.   John Henry High has made great strides in retaining teachers and building a strong adult culture.  While we successfully retained sixty-six percent of the permanent staff last year,with one staff member being promoted to a leadership position at another campus, we did not meet our target for teacher retention.   The turnover in leadership prior to AY 23-24 and AY 24-25 provided for a lack of confidence in the school administration.  However the current administration is working diligently to foster, build, and maintain strong collegial bonds amongst staff and has offered anonymous surveys to teachers in order to gauge their needs to be able to meet them effectively and efficiently.   </w:t>
      </w:r>
    </w:p>
    <w:p w14:paraId="1B0D8F0A" w14:textId="77777777" w:rsidR="00364A5D" w:rsidRDefault="00255527" w:rsidP="0003147F">
      <w:pPr>
        <w:rPr>
          <w:rFonts w:cs="Arial"/>
          <w:noProof/>
        </w:rPr>
      </w:pPr>
      <w:r w:rsidRPr="00DF6992">
        <w:rPr>
          <w:rFonts w:cs="Arial"/>
          <w:noProof/>
        </w:rPr>
        <w:lastRenderedPageBreak/>
        <w:t xml:space="preserve">Goal 3: Create an engaged parent community that is invested in and connected to the school culture and academic program.  </w:t>
      </w:r>
    </w:p>
    <w:p w14:paraId="7C516E59" w14:textId="77777777" w:rsidR="00364A5D" w:rsidRDefault="00255527" w:rsidP="0003147F">
      <w:pPr>
        <w:rPr>
          <w:rFonts w:cs="Arial"/>
          <w:noProof/>
        </w:rPr>
      </w:pPr>
      <w:r w:rsidRPr="00DF6992">
        <w:rPr>
          <w:rFonts w:cs="Arial"/>
          <w:noProof/>
        </w:rPr>
        <w:t xml:space="preserve">John Henry High School is committed to building a vibrant community of parents and community stakeholders.  JHHS has fostered a community of consistent communication focusing on increasing parent involvement, student engagement, and community participation to support the mission of John Henry.  Family, Staff, and Teacher (FST) meetings have been held.  Parentsquare, our district-wide communication system, serves as an effective tool to communicate with parents about myriad of topics such as: school events, conferences, positive praise, student strengths and challenges, parent workshops and college information.  The school consistently uses phone calls, conferences, and online platforms to engage families. Parent/Teacher meetings remain essential for student success, and extracurricular activities, clubs, and student events play a significant role in boosting student morale </w:t>
      </w:r>
    </w:p>
    <w:p w14:paraId="4B22A5C7" w14:textId="72352821" w:rsidR="00255527" w:rsidRPr="007C25F9" w:rsidRDefault="00255527" w:rsidP="0003147F">
      <w:r w:rsidRPr="00DF6992">
        <w:rPr>
          <w:rFonts w:cs="Arial"/>
          <w:noProof/>
        </w:rPr>
        <w:t>Goal 4: Create a safe, inclusive, and welcoming school climate where students are engaged and supported by staff members who are committed to the academic and socio-emotional well-being of all students.  JHHS is committed to restorative justice practices, logical consequences, and other opportunities for student growth and development, which are essential to our Student Support Team(SST).  SST consists of Academic Counselors, School Wellness Counselors, Education Specialists, and the Administration, and works collaboratively with families to ensure all stakeholders are aligned.  When incidents occur, students have the space and resources to speak about the issue in order to address and mitigate the issue in the least invasive way possible.</w:t>
      </w:r>
    </w:p>
    <w:p w14:paraId="0B3E97AA" w14:textId="77777777" w:rsidR="00255527" w:rsidRPr="00EA4CF5" w:rsidRDefault="00255527"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29202F92" w14:textId="77777777" w:rsidR="00364A5D" w:rsidRDefault="00255527" w:rsidP="0003147F">
      <w:pPr>
        <w:rPr>
          <w:rFonts w:cs="Arial"/>
          <w:noProof/>
        </w:rPr>
      </w:pPr>
      <w:r w:rsidRPr="00DF6992">
        <w:rPr>
          <w:rFonts w:cs="Arial"/>
          <w:noProof/>
        </w:rPr>
        <w:t xml:space="preserve">John Henry High School is committed to building a vibrant community of parents and educational partners  JHHS has fostered a community of consistent communication focusing on increasing parent involvement, student engagement, and community participation to support the mission of John Henry.  Family, Staff, and Teacher (FST) meetings are held quarterly to review and provide feedback input on important school issues like LCPA, extracurricular activities, and any parent concerns. This also serves as an ELAC committee that focuses on target ELL issues.  Parentsquare, our district-wide communication system, serves as an effective tool to communicate with parents about myriad of topics such as school events, conferences, positive praise, student strengths and challenges, parent workshops, and college information.   Parent/Teacher conference nights help bring equity to the curriculum. Equity is increased by sharing curriculum information with stakeholders.  Parent Orientation before school starts each year which provides information on financial assistance, public transportation, school lunch, athletics, and extracurricular activities such as clubs and college opportunities.   At John Henry High School, we make it a monthly goal to have documentation of family communication at least 10 times a month. That includes five positive calls, texts, emails or parentsquare messages and five for improvement and or student concerns. It is imperative to be in constant communication with student families to facilitate and create </w:t>
      </w:r>
      <w:r w:rsidRPr="00DF6992">
        <w:rPr>
          <w:rFonts w:cs="Arial"/>
          <w:noProof/>
        </w:rPr>
        <w:lastRenderedPageBreak/>
        <w:t xml:space="preserve">an environment with a sense of academic support, safety, and social-emotional support from both staff and faculty. Messages could be instant chat or formal emails. Parents get any and all announcements and updates on events, alerts, and class schedules. Appointments can be made, zoom meetings can take place, and added links to media are also available. We make it our mission to follow through with our communication quota and document the communications in our call logs along with a detailed description. </w:t>
      </w:r>
    </w:p>
    <w:p w14:paraId="7B4D1C76" w14:textId="1448F90B" w:rsidR="00255527" w:rsidRPr="007C25F9" w:rsidRDefault="00255527" w:rsidP="0003147F">
      <w:pPr>
        <w:rPr>
          <w:rFonts w:cs="Arial"/>
        </w:rPr>
      </w:pPr>
      <w:r w:rsidRPr="00DF6992">
        <w:rPr>
          <w:rFonts w:cs="Arial"/>
          <w:noProof/>
        </w:rPr>
        <w:t>Lastly, in a collaborative effort between the school and the families once a month, we hold an FST meeting as well as Board meetings. An FST meeting is where family members, along with school administrators and staff members, come together to discuss the school's strengths and challenges that aim to develop a collaborative plan to support the well-being and progress of the entire student population. Understanding that engagement and inspiration are key to academic success, JHHS works closely with all stakeholders to ensure their voices are heard and integrated into decision-making.</w:t>
      </w:r>
    </w:p>
    <w:p w14:paraId="5849D48D" w14:textId="77777777" w:rsidR="00255527" w:rsidRPr="007C25F9" w:rsidRDefault="00255527">
      <w:pPr>
        <w:spacing w:before="0"/>
        <w:rPr>
          <w:rFonts w:eastAsiaTheme="majorEastAsia"/>
          <w:b/>
          <w:bCs/>
          <w:sz w:val="32"/>
          <w:szCs w:val="32"/>
        </w:rPr>
      </w:pPr>
      <w:r w:rsidRPr="007C25F9">
        <w:br w:type="page"/>
      </w:r>
    </w:p>
    <w:p w14:paraId="236BFE77" w14:textId="77777777" w:rsidR="00255527" w:rsidRPr="007C25F9" w:rsidRDefault="00255527" w:rsidP="00A42D0A">
      <w:pPr>
        <w:pStyle w:val="Heading3"/>
      </w:pPr>
      <w:r w:rsidRPr="007C25F9">
        <w:lastRenderedPageBreak/>
        <w:t>Section 6. Differentiated Assistance</w:t>
      </w:r>
    </w:p>
    <w:p w14:paraId="010DDB86" w14:textId="77777777" w:rsidR="00255527" w:rsidRPr="00EA4CF5" w:rsidRDefault="00255527"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0BAB5151" w14:textId="77777777" w:rsidR="00255527" w:rsidRDefault="00255527" w:rsidP="00E57C07">
      <w:pPr>
        <w:rPr>
          <w:noProof/>
        </w:rPr>
      </w:pPr>
      <w:r w:rsidRPr="00DF6992">
        <w:rPr>
          <w:noProof/>
        </w:rPr>
        <w:t>No</w:t>
      </w:r>
    </w:p>
    <w:p w14:paraId="465B354B" w14:textId="77777777" w:rsidR="00255527" w:rsidRPr="003735D5" w:rsidRDefault="00255527"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34184B50" w14:textId="77777777" w:rsidR="00255527" w:rsidRPr="007C25F9" w:rsidRDefault="00255527" w:rsidP="00D46026">
      <w:r w:rsidRPr="00DF6992">
        <w:rPr>
          <w:noProof/>
        </w:rPr>
        <w:t>[No Response]</w:t>
      </w:r>
    </w:p>
    <w:p w14:paraId="230DFBC1" w14:textId="77777777" w:rsidR="00255527" w:rsidRPr="003735D5" w:rsidRDefault="00255527" w:rsidP="003735D5">
      <w:pPr>
        <w:numPr>
          <w:ilvl w:val="0"/>
          <w:numId w:val="16"/>
        </w:numPr>
        <w:ind w:left="0"/>
        <w:rPr>
          <w:b/>
          <w:bCs/>
        </w:rPr>
      </w:pPr>
      <w:r w:rsidRPr="003735D5">
        <w:rPr>
          <w:b/>
          <w:bCs/>
        </w:rPr>
        <w:t>Identify the support provider the charter school will be working with for technical assistance with DA.</w:t>
      </w:r>
    </w:p>
    <w:p w14:paraId="6A7FDDB9" w14:textId="77777777" w:rsidR="00255527" w:rsidRPr="007C25F9" w:rsidRDefault="00255527" w:rsidP="00D46026">
      <w:r w:rsidRPr="00DF6992">
        <w:rPr>
          <w:noProof/>
        </w:rPr>
        <w:t>[No Response]</w:t>
      </w:r>
    </w:p>
    <w:p w14:paraId="4669EE67" w14:textId="77777777" w:rsidR="00255527" w:rsidRPr="003735D5" w:rsidRDefault="00255527"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68EBCA58" w14:textId="77777777" w:rsidR="00255527" w:rsidRPr="007C25F9" w:rsidRDefault="00255527" w:rsidP="00D46026">
      <w:r w:rsidRPr="00DF6992">
        <w:rPr>
          <w:noProof/>
        </w:rPr>
        <w:t>[No Response]</w:t>
      </w:r>
    </w:p>
    <w:p w14:paraId="38BE8582" w14:textId="77777777" w:rsidR="00255527" w:rsidRPr="007C25F9" w:rsidRDefault="00255527">
      <w:pPr>
        <w:spacing w:before="0"/>
        <w:rPr>
          <w:rFonts w:eastAsiaTheme="majorEastAsia"/>
          <w:b/>
          <w:bCs/>
          <w:sz w:val="32"/>
          <w:szCs w:val="32"/>
        </w:rPr>
      </w:pPr>
      <w:r w:rsidRPr="007C25F9">
        <w:br w:type="page"/>
      </w:r>
    </w:p>
    <w:p w14:paraId="0014A984" w14:textId="77777777" w:rsidR="00255527" w:rsidRPr="007C25F9" w:rsidRDefault="00255527" w:rsidP="00A42D0A">
      <w:pPr>
        <w:pStyle w:val="Heading3"/>
      </w:pPr>
      <w:r w:rsidRPr="007C25F9">
        <w:lastRenderedPageBreak/>
        <w:t>Section 7. Acknowledgment, Certification, and Submission</w:t>
      </w:r>
    </w:p>
    <w:p w14:paraId="33B7E5E6" w14:textId="77777777" w:rsidR="00255527" w:rsidRPr="007C25F9" w:rsidRDefault="00255527" w:rsidP="00B9677C">
      <w:r w:rsidRPr="007C25F9">
        <w:t>Initial each of the statements</w:t>
      </w:r>
      <w:r>
        <w:t xml:space="preserve"> below</w:t>
      </w:r>
      <w:r w:rsidRPr="007C25F9">
        <w:t xml:space="preserve"> to confirm that you have read and understand following:</w:t>
      </w:r>
    </w:p>
    <w:p w14:paraId="30FB8432" w14:textId="77777777" w:rsidR="00255527" w:rsidRPr="007C25F9" w:rsidRDefault="00255527" w:rsidP="00A42D0A">
      <w:pPr>
        <w:pStyle w:val="Heading4"/>
      </w:pPr>
      <w:r w:rsidRPr="007C25F9">
        <w:t>Acknowledgment</w:t>
      </w:r>
    </w:p>
    <w:p w14:paraId="3C0B38E6" w14:textId="77777777" w:rsidR="00255527" w:rsidRPr="007C25F9" w:rsidRDefault="00255527"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15929504" w14:textId="77777777" w:rsidR="00255527" w:rsidRPr="007C25F9" w:rsidRDefault="00255527" w:rsidP="00783ABE">
      <w:r w:rsidRPr="00DF6992">
        <w:rPr>
          <w:noProof/>
        </w:rPr>
        <w:t>MB</w:t>
      </w:r>
    </w:p>
    <w:p w14:paraId="336B7C8A" w14:textId="77777777" w:rsidR="00255527" w:rsidRPr="007C25F9" w:rsidRDefault="00255527" w:rsidP="00A42D0A">
      <w:pPr>
        <w:pStyle w:val="Heading4"/>
      </w:pPr>
      <w:r w:rsidRPr="007C25F9">
        <w:t>Certification</w:t>
      </w:r>
    </w:p>
    <w:p w14:paraId="3D959BEA" w14:textId="77777777" w:rsidR="00255527" w:rsidRPr="007C25F9" w:rsidRDefault="00255527"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2F8B3B6C" w14:textId="77777777" w:rsidR="00255527" w:rsidRPr="007C25F9" w:rsidRDefault="00255527" w:rsidP="00783ABE">
      <w:r w:rsidRPr="00DF6992">
        <w:rPr>
          <w:noProof/>
        </w:rPr>
        <w:t>MB</w:t>
      </w:r>
    </w:p>
    <w:p w14:paraId="0B7368CB" w14:textId="77777777" w:rsidR="00255527" w:rsidRPr="007C25F9" w:rsidRDefault="00255527"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255527" w:rsidRPr="007C25F9" w14:paraId="0016829C" w14:textId="77777777" w:rsidTr="007929F6">
        <w:trPr>
          <w:cantSplit/>
          <w:tblHeader/>
        </w:trPr>
        <w:tc>
          <w:tcPr>
            <w:tcW w:w="4675" w:type="dxa"/>
            <w:shd w:val="clear" w:color="auto" w:fill="D9D9D9" w:themeFill="background1" w:themeFillShade="D9"/>
          </w:tcPr>
          <w:p w14:paraId="6587DCF4" w14:textId="77777777" w:rsidR="00255527" w:rsidRPr="007C25F9" w:rsidRDefault="00255527" w:rsidP="00A92174">
            <w:pPr>
              <w:rPr>
                <w:b/>
                <w:bCs/>
              </w:rPr>
            </w:pPr>
            <w:r w:rsidRPr="007C25F9">
              <w:rPr>
                <w:b/>
                <w:bCs/>
              </w:rPr>
              <w:t>Prompt</w:t>
            </w:r>
          </w:p>
        </w:tc>
        <w:tc>
          <w:tcPr>
            <w:tcW w:w="4675" w:type="dxa"/>
            <w:shd w:val="clear" w:color="auto" w:fill="D9D9D9" w:themeFill="background1" w:themeFillShade="D9"/>
          </w:tcPr>
          <w:p w14:paraId="28347919" w14:textId="77777777" w:rsidR="00255527" w:rsidRPr="007C25F9" w:rsidRDefault="00255527" w:rsidP="00A92174">
            <w:pPr>
              <w:rPr>
                <w:b/>
                <w:bCs/>
              </w:rPr>
            </w:pPr>
            <w:r w:rsidRPr="007C25F9">
              <w:rPr>
                <w:b/>
                <w:bCs/>
              </w:rPr>
              <w:t>Response</w:t>
            </w:r>
          </w:p>
        </w:tc>
      </w:tr>
      <w:tr w:rsidR="00255527" w:rsidRPr="007C25F9" w14:paraId="0CFF2062" w14:textId="77777777" w:rsidTr="007929F6">
        <w:trPr>
          <w:cantSplit/>
          <w:tblHeader/>
        </w:trPr>
        <w:tc>
          <w:tcPr>
            <w:tcW w:w="4675" w:type="dxa"/>
          </w:tcPr>
          <w:p w14:paraId="7A9D5BEE" w14:textId="77777777" w:rsidR="00255527" w:rsidRPr="007C25F9" w:rsidRDefault="00255527" w:rsidP="00A92174">
            <w:r w:rsidRPr="007C25F9">
              <w:t>Full Legal Name</w:t>
            </w:r>
          </w:p>
        </w:tc>
        <w:tc>
          <w:tcPr>
            <w:tcW w:w="4675" w:type="dxa"/>
          </w:tcPr>
          <w:p w14:paraId="01DCC1B0" w14:textId="77777777" w:rsidR="00255527" w:rsidRPr="007C25F9" w:rsidRDefault="00255527" w:rsidP="00A92174">
            <w:r w:rsidRPr="00DF6992">
              <w:rPr>
                <w:noProof/>
              </w:rPr>
              <w:t>Mary Busby</w:t>
            </w:r>
          </w:p>
        </w:tc>
      </w:tr>
      <w:tr w:rsidR="00255527" w:rsidRPr="007C25F9" w14:paraId="16010E9B" w14:textId="77777777" w:rsidTr="007929F6">
        <w:trPr>
          <w:cantSplit/>
          <w:tblHeader/>
        </w:trPr>
        <w:tc>
          <w:tcPr>
            <w:tcW w:w="4675" w:type="dxa"/>
          </w:tcPr>
          <w:p w14:paraId="3289FFDC" w14:textId="77777777" w:rsidR="00255527" w:rsidRPr="007C25F9" w:rsidRDefault="00255527" w:rsidP="00A92174">
            <w:r w:rsidRPr="007C25F9">
              <w:t>Job Title</w:t>
            </w:r>
          </w:p>
        </w:tc>
        <w:tc>
          <w:tcPr>
            <w:tcW w:w="4675" w:type="dxa"/>
          </w:tcPr>
          <w:p w14:paraId="7329647D" w14:textId="77777777" w:rsidR="00255527" w:rsidRPr="007C25F9" w:rsidRDefault="00255527" w:rsidP="00A92174">
            <w:r w:rsidRPr="00DF6992">
              <w:rPr>
                <w:noProof/>
              </w:rPr>
              <w:t>Sr. Director Student Services</w:t>
            </w:r>
          </w:p>
        </w:tc>
      </w:tr>
      <w:tr w:rsidR="00255527" w:rsidRPr="007C25F9" w14:paraId="1D692BE1" w14:textId="77777777" w:rsidTr="007929F6">
        <w:trPr>
          <w:cantSplit/>
          <w:tblHeader/>
        </w:trPr>
        <w:tc>
          <w:tcPr>
            <w:tcW w:w="4675" w:type="dxa"/>
          </w:tcPr>
          <w:p w14:paraId="4199FD7E" w14:textId="77777777" w:rsidR="00255527" w:rsidRPr="007C25F9" w:rsidRDefault="00255527" w:rsidP="00A92174">
            <w:r w:rsidRPr="007C25F9">
              <w:t>Email Address</w:t>
            </w:r>
          </w:p>
        </w:tc>
        <w:tc>
          <w:tcPr>
            <w:tcW w:w="4675" w:type="dxa"/>
          </w:tcPr>
          <w:p w14:paraId="4B9E928E" w14:textId="77777777" w:rsidR="00255527" w:rsidRPr="007C25F9" w:rsidRDefault="00255527" w:rsidP="00A92174">
            <w:r w:rsidRPr="00DF6992">
              <w:rPr>
                <w:noProof/>
              </w:rPr>
              <w:t>mbusby@amethodschools.org</w:t>
            </w:r>
          </w:p>
        </w:tc>
      </w:tr>
      <w:tr w:rsidR="00255527" w14:paraId="0DC91DF3" w14:textId="77777777" w:rsidTr="007929F6">
        <w:trPr>
          <w:cantSplit/>
          <w:tblHeader/>
        </w:trPr>
        <w:tc>
          <w:tcPr>
            <w:tcW w:w="4675" w:type="dxa"/>
          </w:tcPr>
          <w:p w14:paraId="66C5057E" w14:textId="77777777" w:rsidR="00255527" w:rsidRPr="007C25F9" w:rsidRDefault="00255527" w:rsidP="00A92174">
            <w:r w:rsidRPr="007C25F9">
              <w:t>Phone Number</w:t>
            </w:r>
          </w:p>
        </w:tc>
        <w:tc>
          <w:tcPr>
            <w:tcW w:w="4675" w:type="dxa"/>
          </w:tcPr>
          <w:p w14:paraId="2F7099CD" w14:textId="77777777" w:rsidR="00255527" w:rsidRDefault="00255527" w:rsidP="00A92174">
            <w:r w:rsidRPr="00DF6992">
              <w:rPr>
                <w:noProof/>
              </w:rPr>
              <w:t>510-367-1718</w:t>
            </w:r>
          </w:p>
        </w:tc>
      </w:tr>
    </w:tbl>
    <w:p w14:paraId="3718C65B" w14:textId="77777777" w:rsidR="00255527" w:rsidRPr="00E810BB" w:rsidRDefault="00255527" w:rsidP="00364A5D"/>
    <w:sectPr w:rsidR="00255527" w:rsidRPr="00E810BB" w:rsidSect="00255527">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59F5" w14:textId="77777777" w:rsidR="004C7463" w:rsidRDefault="004C7463" w:rsidP="002174BD">
      <w:pPr>
        <w:spacing w:after="0"/>
      </w:pPr>
      <w:r>
        <w:separator/>
      </w:r>
    </w:p>
  </w:endnote>
  <w:endnote w:type="continuationSeparator" w:id="0">
    <w:p w14:paraId="183D35B1" w14:textId="77777777" w:rsidR="004C7463" w:rsidRDefault="004C7463"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E9C0" w14:textId="77777777" w:rsidR="004C7463" w:rsidRDefault="004C7463" w:rsidP="002174BD">
      <w:pPr>
        <w:spacing w:after="0"/>
      </w:pPr>
      <w:r>
        <w:separator/>
      </w:r>
    </w:p>
  </w:footnote>
  <w:footnote w:type="continuationSeparator" w:id="0">
    <w:p w14:paraId="5C639CB2" w14:textId="77777777" w:rsidR="004C7463" w:rsidRDefault="004C7463"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4576" w14:textId="62F6EB37" w:rsidR="00255527" w:rsidRDefault="007D0313" w:rsidP="00EA4CF5">
    <w:pPr>
      <w:pStyle w:val="Header"/>
      <w:jc w:val="right"/>
    </w:pPr>
    <w:r>
      <w:t>memo-lacb-csd-apr26item02</w:t>
    </w:r>
  </w:p>
  <w:p w14:paraId="63216481" w14:textId="2A405DCB" w:rsidR="00255527" w:rsidRDefault="007D0313" w:rsidP="00EA4CF5">
    <w:pPr>
      <w:pStyle w:val="Header"/>
      <w:jc w:val="right"/>
    </w:pPr>
    <w:r>
      <w:t xml:space="preserve">Attachment </w:t>
    </w:r>
    <w:r w:rsidR="007C10C1">
      <w:t>5</w:t>
    </w:r>
    <w:r>
      <w:t xml:space="preserve"> – John Henry High (Charter #1741)</w:t>
    </w:r>
  </w:p>
  <w:p w14:paraId="1319A240" w14:textId="77777777" w:rsidR="00255527" w:rsidRPr="00D852E7" w:rsidRDefault="00255527"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51EA4"/>
    <w:multiLevelType w:val="hybridMultilevel"/>
    <w:tmpl w:val="932A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7"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9"/>
  </w:num>
  <w:num w:numId="2" w16cid:durableId="1828935111">
    <w:abstractNumId w:val="19"/>
  </w:num>
  <w:num w:numId="3" w16cid:durableId="1104766695">
    <w:abstractNumId w:val="2"/>
  </w:num>
  <w:num w:numId="4" w16cid:durableId="170995635">
    <w:abstractNumId w:val="0"/>
  </w:num>
  <w:num w:numId="5" w16cid:durableId="263461374">
    <w:abstractNumId w:val="4"/>
  </w:num>
  <w:num w:numId="6" w16cid:durableId="1051996253">
    <w:abstractNumId w:val="15"/>
  </w:num>
  <w:num w:numId="7" w16cid:durableId="1691372666">
    <w:abstractNumId w:val="23"/>
  </w:num>
  <w:num w:numId="8" w16cid:durableId="611593526">
    <w:abstractNumId w:val="10"/>
  </w:num>
  <w:num w:numId="9" w16cid:durableId="1976905465">
    <w:abstractNumId w:val="14"/>
  </w:num>
  <w:num w:numId="10" w16cid:durableId="2110344647">
    <w:abstractNumId w:val="1"/>
  </w:num>
  <w:num w:numId="11" w16cid:durableId="119694125">
    <w:abstractNumId w:val="11"/>
  </w:num>
  <w:num w:numId="12" w16cid:durableId="1247299716">
    <w:abstractNumId w:val="8"/>
  </w:num>
  <w:num w:numId="13" w16cid:durableId="130486120">
    <w:abstractNumId w:val="13"/>
  </w:num>
  <w:num w:numId="14" w16cid:durableId="1212644632">
    <w:abstractNumId w:val="20"/>
  </w:num>
  <w:num w:numId="15" w16cid:durableId="289017081">
    <w:abstractNumId w:val="12"/>
  </w:num>
  <w:num w:numId="16" w16cid:durableId="824856652">
    <w:abstractNumId w:val="22"/>
  </w:num>
  <w:num w:numId="17" w16cid:durableId="552617004">
    <w:abstractNumId w:val="6"/>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1"/>
  </w:num>
  <w:num w:numId="19" w16cid:durableId="1952129260">
    <w:abstractNumId w:val="16"/>
  </w:num>
  <w:num w:numId="20" w16cid:durableId="1554728750">
    <w:abstractNumId w:val="17"/>
  </w:num>
  <w:num w:numId="21" w16cid:durableId="1345664273">
    <w:abstractNumId w:val="18"/>
  </w:num>
  <w:num w:numId="22" w16cid:durableId="603391415">
    <w:abstractNumId w:val="5"/>
  </w:num>
  <w:num w:numId="23" w16cid:durableId="876770856">
    <w:abstractNumId w:val="7"/>
  </w:num>
  <w:num w:numId="24" w16cid:durableId="1375153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84023"/>
    <w:rsid w:val="00093A2F"/>
    <w:rsid w:val="000B1CA8"/>
    <w:rsid w:val="000C603E"/>
    <w:rsid w:val="000E067F"/>
    <w:rsid w:val="00104EE5"/>
    <w:rsid w:val="001173E5"/>
    <w:rsid w:val="00140B3A"/>
    <w:rsid w:val="00145B44"/>
    <w:rsid w:val="00146603"/>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55527"/>
    <w:rsid w:val="00261BA3"/>
    <w:rsid w:val="00272F2D"/>
    <w:rsid w:val="002A6AF3"/>
    <w:rsid w:val="002B6DCA"/>
    <w:rsid w:val="002C20A9"/>
    <w:rsid w:val="002E43F0"/>
    <w:rsid w:val="002F3887"/>
    <w:rsid w:val="003002B4"/>
    <w:rsid w:val="0031666F"/>
    <w:rsid w:val="00330138"/>
    <w:rsid w:val="00334354"/>
    <w:rsid w:val="003418E1"/>
    <w:rsid w:val="003425F0"/>
    <w:rsid w:val="00342FE5"/>
    <w:rsid w:val="00364A5D"/>
    <w:rsid w:val="003735D5"/>
    <w:rsid w:val="003878C5"/>
    <w:rsid w:val="003B125B"/>
    <w:rsid w:val="0040704F"/>
    <w:rsid w:val="004235EF"/>
    <w:rsid w:val="0045774B"/>
    <w:rsid w:val="00484C51"/>
    <w:rsid w:val="0049151F"/>
    <w:rsid w:val="004926FC"/>
    <w:rsid w:val="004A6286"/>
    <w:rsid w:val="004C7463"/>
    <w:rsid w:val="004D7A03"/>
    <w:rsid w:val="004E145F"/>
    <w:rsid w:val="004F6124"/>
    <w:rsid w:val="00510405"/>
    <w:rsid w:val="00517183"/>
    <w:rsid w:val="00526D4F"/>
    <w:rsid w:val="005302B7"/>
    <w:rsid w:val="005315CB"/>
    <w:rsid w:val="005428AF"/>
    <w:rsid w:val="00570E5D"/>
    <w:rsid w:val="005710BF"/>
    <w:rsid w:val="00577450"/>
    <w:rsid w:val="00580996"/>
    <w:rsid w:val="00582F1F"/>
    <w:rsid w:val="005A4D11"/>
    <w:rsid w:val="005A596B"/>
    <w:rsid w:val="005E1711"/>
    <w:rsid w:val="005E21DD"/>
    <w:rsid w:val="005F171A"/>
    <w:rsid w:val="005F6FE2"/>
    <w:rsid w:val="00617D8F"/>
    <w:rsid w:val="0064320B"/>
    <w:rsid w:val="006758A6"/>
    <w:rsid w:val="006A5890"/>
    <w:rsid w:val="006C3EF7"/>
    <w:rsid w:val="006D2661"/>
    <w:rsid w:val="00700651"/>
    <w:rsid w:val="007252DE"/>
    <w:rsid w:val="00757322"/>
    <w:rsid w:val="00765AEF"/>
    <w:rsid w:val="00783ABE"/>
    <w:rsid w:val="00791C13"/>
    <w:rsid w:val="007929F6"/>
    <w:rsid w:val="007A2AFF"/>
    <w:rsid w:val="007A747D"/>
    <w:rsid w:val="007B0294"/>
    <w:rsid w:val="007B23AC"/>
    <w:rsid w:val="007C10C1"/>
    <w:rsid w:val="007C25F9"/>
    <w:rsid w:val="007D02A9"/>
    <w:rsid w:val="007D0313"/>
    <w:rsid w:val="007D6A6B"/>
    <w:rsid w:val="007E5BE2"/>
    <w:rsid w:val="007E7027"/>
    <w:rsid w:val="0081087F"/>
    <w:rsid w:val="00834891"/>
    <w:rsid w:val="0083596B"/>
    <w:rsid w:val="00851A2A"/>
    <w:rsid w:val="008676F5"/>
    <w:rsid w:val="008B72BC"/>
    <w:rsid w:val="008B759D"/>
    <w:rsid w:val="008C1CCA"/>
    <w:rsid w:val="008D6A61"/>
    <w:rsid w:val="009051A8"/>
    <w:rsid w:val="00927BE3"/>
    <w:rsid w:val="00936A50"/>
    <w:rsid w:val="00951441"/>
    <w:rsid w:val="00961A90"/>
    <w:rsid w:val="00966DD8"/>
    <w:rsid w:val="009767A1"/>
    <w:rsid w:val="009853B6"/>
    <w:rsid w:val="009A4E4A"/>
    <w:rsid w:val="009A5500"/>
    <w:rsid w:val="009B0CD2"/>
    <w:rsid w:val="009C5880"/>
    <w:rsid w:val="009F1E41"/>
    <w:rsid w:val="00A0719E"/>
    <w:rsid w:val="00A07E6B"/>
    <w:rsid w:val="00A3600D"/>
    <w:rsid w:val="00A42D0A"/>
    <w:rsid w:val="00A45C62"/>
    <w:rsid w:val="00A579D8"/>
    <w:rsid w:val="00A92174"/>
    <w:rsid w:val="00A971A6"/>
    <w:rsid w:val="00AB2A51"/>
    <w:rsid w:val="00AC0320"/>
    <w:rsid w:val="00AC2B91"/>
    <w:rsid w:val="00AC4AEF"/>
    <w:rsid w:val="00AE4773"/>
    <w:rsid w:val="00B4292B"/>
    <w:rsid w:val="00B63405"/>
    <w:rsid w:val="00B849EC"/>
    <w:rsid w:val="00B9677C"/>
    <w:rsid w:val="00B97A3C"/>
    <w:rsid w:val="00BC6BA7"/>
    <w:rsid w:val="00BE1ECA"/>
    <w:rsid w:val="00BE661E"/>
    <w:rsid w:val="00BF0851"/>
    <w:rsid w:val="00BF3E7A"/>
    <w:rsid w:val="00C025A1"/>
    <w:rsid w:val="00C235D2"/>
    <w:rsid w:val="00C2622E"/>
    <w:rsid w:val="00C267BF"/>
    <w:rsid w:val="00C31395"/>
    <w:rsid w:val="00C537DE"/>
    <w:rsid w:val="00CB3B9E"/>
    <w:rsid w:val="00CC6A9D"/>
    <w:rsid w:val="00CE0005"/>
    <w:rsid w:val="00CE1DD0"/>
    <w:rsid w:val="00CE2217"/>
    <w:rsid w:val="00D03EE1"/>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0133F"/>
    <w:rsid w:val="00E12D4A"/>
    <w:rsid w:val="00E324EF"/>
    <w:rsid w:val="00E33535"/>
    <w:rsid w:val="00E40689"/>
    <w:rsid w:val="00E47889"/>
    <w:rsid w:val="00E50B16"/>
    <w:rsid w:val="00E57C07"/>
    <w:rsid w:val="00E76516"/>
    <w:rsid w:val="00E810BB"/>
    <w:rsid w:val="00EA4CF5"/>
    <w:rsid w:val="00EB4763"/>
    <w:rsid w:val="00ED5A89"/>
    <w:rsid w:val="00EF054D"/>
    <w:rsid w:val="00EF0E1C"/>
    <w:rsid w:val="00EF5B5D"/>
    <w:rsid w:val="00F303BC"/>
    <w:rsid w:val="00F30E3C"/>
    <w:rsid w:val="00F35436"/>
    <w:rsid w:val="00F36F1F"/>
    <w:rsid w:val="00FC1C2D"/>
    <w:rsid w:val="00FD31AF"/>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8D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2985</Words>
  <Characters>17582</Characters>
  <DocSecurity>0</DocSecurity>
  <Lines>408</Lines>
  <Paragraphs>244</Paragraphs>
  <ScaleCrop>false</ScaleCrop>
  <HeadingPairs>
    <vt:vector size="2" baseType="variant">
      <vt:variant>
        <vt:lpstr>Title</vt:lpstr>
      </vt:variant>
      <vt:variant>
        <vt:i4>1</vt:i4>
      </vt:variant>
    </vt:vector>
  </HeadingPairs>
  <TitlesOfParts>
    <vt:vector size="1" baseType="lpstr">
      <vt:lpstr>April 2026 Memo LACB CSD Item XX Attachment 4 - Information Memorandum (CA State Board of Education)</vt:lpstr>
    </vt:vector>
  </TitlesOfParts>
  <Company>CA State Board of Education</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5 - Information Memoranda (CA State Board of Education)</dc:title>
  <dc:subject>John Henry High – Academic Memorandum Response.</dc:subject>
  <dc:creator/>
  <cp:keywords/>
  <dc:description/>
  <cp:lastModifiedBy/>
  <dcterms:created xsi:type="dcterms:W3CDTF">2026-03-11T00:13:00Z</dcterms:created>
  <dcterms:modified xsi:type="dcterms:W3CDTF">2026-04-08T16:04:00Z</dcterms:modified>
</cp:coreProperties>
</file>