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AC0C" w14:textId="77777777" w:rsidR="0083260D" w:rsidRPr="007C25F9" w:rsidRDefault="0083260D" w:rsidP="00EA4CF5">
      <w:pPr>
        <w:pStyle w:val="Header"/>
        <w:jc w:val="right"/>
      </w:pPr>
      <w:r w:rsidRPr="007C25F9">
        <w:t>California Department of Education</w:t>
      </w:r>
    </w:p>
    <w:p w14:paraId="32770474" w14:textId="77777777" w:rsidR="0083260D" w:rsidRPr="007C25F9" w:rsidRDefault="0083260D" w:rsidP="00EA4CF5">
      <w:pPr>
        <w:pStyle w:val="Header"/>
        <w:jc w:val="right"/>
      </w:pPr>
      <w:r w:rsidRPr="007C25F9">
        <w:t>Charter Schools Division</w:t>
      </w:r>
    </w:p>
    <w:p w14:paraId="1AF2A38B" w14:textId="77777777" w:rsidR="0083260D" w:rsidRPr="007C25F9" w:rsidRDefault="0083260D" w:rsidP="00EA4CF5">
      <w:pPr>
        <w:pStyle w:val="Header"/>
        <w:jc w:val="right"/>
      </w:pPr>
      <w:r w:rsidRPr="007C25F9">
        <w:t xml:space="preserve">Created </w:t>
      </w:r>
      <w:r>
        <w:t>12</w:t>
      </w:r>
      <w:r w:rsidRPr="007C25F9">
        <w:t>/202</w:t>
      </w:r>
      <w:r>
        <w:t>6</w:t>
      </w:r>
    </w:p>
    <w:p w14:paraId="6978D752" w14:textId="0ED8238C" w:rsidR="0083260D" w:rsidRPr="007C25F9" w:rsidRDefault="00CC1956" w:rsidP="00EA4CF5">
      <w:pPr>
        <w:pStyle w:val="Header"/>
        <w:jc w:val="right"/>
      </w:pPr>
      <w:r>
        <w:t>memo-</w:t>
      </w:r>
      <w:r w:rsidR="0083260D" w:rsidRPr="007C25F9">
        <w:t>lacb-csd-</w:t>
      </w:r>
      <w:r>
        <w:t>apr</w:t>
      </w:r>
      <w:r w:rsidR="0083260D" w:rsidRPr="007C25F9">
        <w:t>2</w:t>
      </w:r>
      <w:r w:rsidR="0083260D">
        <w:t>6</w:t>
      </w:r>
      <w:r w:rsidR="0083260D" w:rsidRPr="007C25F9">
        <w:t>item</w:t>
      </w:r>
      <w:r>
        <w:t>02</w:t>
      </w:r>
    </w:p>
    <w:p w14:paraId="5BE95E19" w14:textId="630AAA82" w:rsidR="0083260D" w:rsidRPr="007C25F9" w:rsidRDefault="0083260D" w:rsidP="00EA4CF5">
      <w:pPr>
        <w:pStyle w:val="Header"/>
        <w:jc w:val="right"/>
      </w:pPr>
      <w:r w:rsidRPr="007C25F9">
        <w:t xml:space="preserve">Attachment </w:t>
      </w:r>
      <w:r w:rsidR="00CC1956">
        <w:t>7</w:t>
      </w:r>
    </w:p>
    <w:p w14:paraId="22CBC1D8" w14:textId="77777777" w:rsidR="0083260D" w:rsidRPr="007C25F9" w:rsidRDefault="0083260D" w:rsidP="008C1CCA">
      <w:pPr>
        <w:pStyle w:val="Heading1"/>
      </w:pPr>
      <w:r w:rsidRPr="007C25F9">
        <w:t>California State Board of Education-Authorized Charter School Academic Memorandum Form</w:t>
      </w:r>
    </w:p>
    <w:p w14:paraId="7DD8505C" w14:textId="77777777" w:rsidR="0083260D" w:rsidRPr="007C25F9" w:rsidRDefault="0083260D" w:rsidP="008C1CCA">
      <w:pPr>
        <w:spacing w:after="480"/>
        <w:jc w:val="center"/>
        <w:rPr>
          <w:rFonts w:eastAsia="Calibri" w:cs="Arial"/>
          <w14:ligatures w14:val="none"/>
        </w:rPr>
      </w:pPr>
      <w:r w:rsidRPr="007C25F9">
        <w:rPr>
          <w:rFonts w:eastAsia="Calibri" w:cs="Arial"/>
          <w14:ligatures w14:val="none"/>
        </w:rPr>
        <w:t>CALIFORNIA DEPARTMENT OF EDUCATION</w:t>
      </w:r>
    </w:p>
    <w:p w14:paraId="6E8FD1E7" w14:textId="77777777" w:rsidR="0083260D" w:rsidRPr="007C25F9" w:rsidRDefault="0083260D" w:rsidP="00B4292B">
      <w:pPr>
        <w:rPr>
          <w:rFonts w:eastAsia="Calibri" w:cs="Arial"/>
          <w14:ligatures w14:val="none"/>
        </w:rPr>
      </w:pPr>
      <w:r w:rsidRPr="007C25F9">
        <w:rPr>
          <w:rFonts w:eastAsia="Calibri" w:cs="Arial"/>
          <w14:ligatures w14:val="none"/>
        </w:rPr>
        <w:t xml:space="preserve">This document contains Academic Memorandum Form responses from </w:t>
      </w:r>
      <w:r w:rsidRPr="00DF6992">
        <w:rPr>
          <w:rFonts w:eastAsia="Calibri" w:cs="Arial"/>
          <w:noProof/>
          <w14:ligatures w14:val="none"/>
        </w:rPr>
        <w:t>KIPP Navigate College Prep</w:t>
      </w:r>
      <w:r w:rsidRPr="007C25F9">
        <w:rPr>
          <w:rFonts w:eastAsia="Calibri" w:cs="Arial"/>
          <w:noProof/>
          <w14:ligatures w14:val="none"/>
        </w:rPr>
        <w:t xml:space="preserve"> </w:t>
      </w:r>
      <w:r w:rsidRPr="007C25F9">
        <w:rPr>
          <w:rFonts w:eastAsia="Calibri" w:cs="Arial"/>
          <w14:ligatures w14:val="none"/>
        </w:rPr>
        <w:t>(</w:t>
      </w:r>
      <w:r>
        <w:rPr>
          <w:rFonts w:eastAsia="Calibri" w:cs="Arial"/>
          <w14:ligatures w14:val="none"/>
        </w:rPr>
        <w:t>c</w:t>
      </w:r>
      <w:r w:rsidRPr="007C25F9">
        <w:rPr>
          <w:rFonts w:eastAsia="Calibri" w:cs="Arial"/>
          <w14:ligatures w14:val="none"/>
        </w:rPr>
        <w:t xml:space="preserve">harter </w:t>
      </w:r>
      <w:r>
        <w:rPr>
          <w:rFonts w:eastAsia="Calibri" w:cs="Arial"/>
          <w14:ligatures w14:val="none"/>
        </w:rPr>
        <w:t xml:space="preserve">number </w:t>
      </w:r>
      <w:r w:rsidRPr="00DF6992">
        <w:rPr>
          <w:rFonts w:eastAsia="Calibri" w:cs="Arial"/>
          <w:noProof/>
          <w14:ligatures w14:val="none"/>
        </w:rPr>
        <w:t>1955</w:t>
      </w:r>
      <w:r w:rsidRPr="007C25F9">
        <w:rPr>
          <w:rFonts w:eastAsia="Calibri" w:cs="Arial"/>
          <w14:ligatures w14:val="none"/>
        </w:rPr>
        <w:t xml:space="preserve">). </w:t>
      </w:r>
      <w:r>
        <w:rPr>
          <w:rFonts w:eastAsia="Calibri" w:cs="Arial"/>
          <w14:ligatures w14:val="none"/>
        </w:rPr>
        <w:t xml:space="preserve">For any questions regarding the provided information, please contact the Charter Schools Division at </w:t>
      </w:r>
      <w:hyperlink r:id="rId8" w:history="1">
        <w:r w:rsidRPr="006076CE">
          <w:rPr>
            <w:rStyle w:val="Hyperlink"/>
            <w:rFonts w:eastAsia="Calibri" w:cs="Arial"/>
            <w14:ligatures w14:val="none"/>
          </w:rPr>
          <w:t>Charters@cde.ca.gov</w:t>
        </w:r>
      </w:hyperlink>
      <w:r>
        <w:rPr>
          <w:rFonts w:eastAsia="Calibri" w:cs="Arial"/>
          <w14:ligatures w14:val="none"/>
        </w:rPr>
        <w:t>.</w:t>
      </w:r>
    </w:p>
    <w:p w14:paraId="1E748E1F" w14:textId="77777777" w:rsidR="0083260D" w:rsidRPr="007C25F9" w:rsidRDefault="0083260D" w:rsidP="00D852E7">
      <w:pPr>
        <w:spacing w:after="160" w:line="259" w:lineRule="auto"/>
        <w:rPr>
          <w:rFonts w:eastAsiaTheme="majorEastAsia" w:cstheme="majorBidi"/>
          <w:b/>
          <w:sz w:val="32"/>
          <w:szCs w:val="26"/>
        </w:rPr>
      </w:pPr>
      <w:r w:rsidRPr="007C25F9">
        <w:br w:type="page"/>
      </w:r>
    </w:p>
    <w:p w14:paraId="787CF0D5" w14:textId="77777777" w:rsidR="0083260D" w:rsidRPr="007C25F9" w:rsidRDefault="0083260D" w:rsidP="00A42D0A">
      <w:pPr>
        <w:pStyle w:val="Heading2"/>
      </w:pPr>
      <w:r w:rsidRPr="00DF6992">
        <w:lastRenderedPageBreak/>
        <w:t>KIPP Navigate College Prep</w:t>
      </w:r>
      <w:r w:rsidRPr="007C25F9">
        <w:br/>
        <w:t>Academic Memorandum Form</w:t>
      </w:r>
    </w:p>
    <w:p w14:paraId="6C3016B5" w14:textId="77777777" w:rsidR="0083260D" w:rsidRPr="007C25F9" w:rsidRDefault="0083260D" w:rsidP="00A42D0A">
      <w:pPr>
        <w:pStyle w:val="Heading3"/>
      </w:pPr>
      <w:r w:rsidRPr="007C25F9">
        <w:t>Section 1. Charter School Information</w:t>
      </w:r>
    </w:p>
    <w:p w14:paraId="0BE41D5C" w14:textId="77777777" w:rsidR="0083260D" w:rsidRPr="007C25F9" w:rsidRDefault="0083260D" w:rsidP="00A42D0A">
      <w:pPr>
        <w:pStyle w:val="Heading4"/>
      </w:pPr>
      <w:r w:rsidRPr="007C25F9">
        <w:t>General Information</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83260D" w:rsidRPr="007C25F9" w14:paraId="1D03EBF8" w14:textId="77777777" w:rsidTr="007929F6">
        <w:trPr>
          <w:cantSplit/>
          <w:tblHeader/>
        </w:trPr>
        <w:tc>
          <w:tcPr>
            <w:tcW w:w="4675" w:type="dxa"/>
            <w:shd w:val="clear" w:color="auto" w:fill="D9D9D9" w:themeFill="background1" w:themeFillShade="D9"/>
          </w:tcPr>
          <w:p w14:paraId="46A883FB" w14:textId="77777777" w:rsidR="0083260D" w:rsidRPr="007C25F9" w:rsidRDefault="0083260D" w:rsidP="00765AEF">
            <w:pPr>
              <w:rPr>
                <w:b/>
                <w:bCs/>
              </w:rPr>
            </w:pPr>
            <w:r w:rsidRPr="007C25F9">
              <w:rPr>
                <w:b/>
                <w:bCs/>
              </w:rPr>
              <w:t>Prompt</w:t>
            </w:r>
          </w:p>
        </w:tc>
        <w:tc>
          <w:tcPr>
            <w:tcW w:w="4675" w:type="dxa"/>
            <w:shd w:val="clear" w:color="auto" w:fill="D9D9D9" w:themeFill="background1" w:themeFillShade="D9"/>
          </w:tcPr>
          <w:p w14:paraId="49DC21A7" w14:textId="77777777" w:rsidR="0083260D" w:rsidRPr="007C25F9" w:rsidRDefault="0083260D" w:rsidP="00765AEF">
            <w:pPr>
              <w:rPr>
                <w:b/>
                <w:bCs/>
              </w:rPr>
            </w:pPr>
            <w:r w:rsidRPr="007C25F9">
              <w:rPr>
                <w:b/>
                <w:bCs/>
              </w:rPr>
              <w:t>Response</w:t>
            </w:r>
          </w:p>
        </w:tc>
      </w:tr>
      <w:tr w:rsidR="0083260D" w:rsidRPr="007C25F9" w14:paraId="12FC9647" w14:textId="77777777" w:rsidTr="00C2622E">
        <w:tc>
          <w:tcPr>
            <w:tcW w:w="4675" w:type="dxa"/>
          </w:tcPr>
          <w:p w14:paraId="3A805CF0" w14:textId="77777777" w:rsidR="0083260D" w:rsidRPr="007C25F9" w:rsidRDefault="0083260D" w:rsidP="00765AEF">
            <w:r w:rsidRPr="007C25F9">
              <w:t>Charter School Name</w:t>
            </w:r>
          </w:p>
        </w:tc>
        <w:tc>
          <w:tcPr>
            <w:tcW w:w="4675" w:type="dxa"/>
          </w:tcPr>
          <w:p w14:paraId="697A46D7" w14:textId="77777777" w:rsidR="0083260D" w:rsidRPr="007C25F9" w:rsidRDefault="0083260D" w:rsidP="00765AEF">
            <w:r w:rsidRPr="00DF6992">
              <w:rPr>
                <w:noProof/>
              </w:rPr>
              <w:t>KIPP Navigate College Prep</w:t>
            </w:r>
          </w:p>
        </w:tc>
      </w:tr>
      <w:tr w:rsidR="0083260D" w:rsidRPr="007C25F9" w14:paraId="1C5C27D4" w14:textId="77777777" w:rsidTr="00C2622E">
        <w:tc>
          <w:tcPr>
            <w:tcW w:w="4675" w:type="dxa"/>
          </w:tcPr>
          <w:p w14:paraId="7F1DD20B" w14:textId="77777777" w:rsidR="0083260D" w:rsidRPr="007C25F9" w:rsidRDefault="0083260D" w:rsidP="00765AEF">
            <w:r w:rsidRPr="007C25F9">
              <w:t>School Address</w:t>
            </w:r>
          </w:p>
        </w:tc>
        <w:tc>
          <w:tcPr>
            <w:tcW w:w="4675" w:type="dxa"/>
          </w:tcPr>
          <w:p w14:paraId="360FEF4D" w14:textId="77777777" w:rsidR="0083260D" w:rsidRPr="007C25F9" w:rsidRDefault="0083260D" w:rsidP="00765AEF">
            <w:r w:rsidRPr="00DF6992">
              <w:rPr>
                <w:noProof/>
              </w:rPr>
              <w:t>1750 S White Rd</w:t>
            </w:r>
          </w:p>
        </w:tc>
      </w:tr>
      <w:tr w:rsidR="0083260D" w:rsidRPr="007C25F9" w14:paraId="489E251C" w14:textId="77777777" w:rsidTr="00C2622E">
        <w:tc>
          <w:tcPr>
            <w:tcW w:w="4675" w:type="dxa"/>
          </w:tcPr>
          <w:p w14:paraId="1670B51A" w14:textId="77777777" w:rsidR="0083260D" w:rsidRPr="007C25F9" w:rsidRDefault="0083260D" w:rsidP="00765AEF">
            <w:r w:rsidRPr="007C25F9">
              <w:t>City</w:t>
            </w:r>
          </w:p>
        </w:tc>
        <w:tc>
          <w:tcPr>
            <w:tcW w:w="4675" w:type="dxa"/>
          </w:tcPr>
          <w:p w14:paraId="7CE06C0D" w14:textId="77777777" w:rsidR="0083260D" w:rsidRPr="007C25F9" w:rsidRDefault="0083260D" w:rsidP="00765AEF">
            <w:r w:rsidRPr="00DF6992">
              <w:rPr>
                <w:noProof/>
              </w:rPr>
              <w:t>San Jose</w:t>
            </w:r>
          </w:p>
        </w:tc>
      </w:tr>
      <w:tr w:rsidR="0083260D" w:rsidRPr="007C25F9" w14:paraId="6F3743D0" w14:textId="77777777" w:rsidTr="00C2622E">
        <w:tc>
          <w:tcPr>
            <w:tcW w:w="4675" w:type="dxa"/>
          </w:tcPr>
          <w:p w14:paraId="76027CB5" w14:textId="77777777" w:rsidR="0083260D" w:rsidRPr="007C25F9" w:rsidRDefault="0083260D" w:rsidP="00765AEF">
            <w:r w:rsidRPr="007C25F9">
              <w:t>ZIP Code</w:t>
            </w:r>
          </w:p>
        </w:tc>
        <w:tc>
          <w:tcPr>
            <w:tcW w:w="4675" w:type="dxa"/>
          </w:tcPr>
          <w:p w14:paraId="58772E47" w14:textId="77777777" w:rsidR="0083260D" w:rsidRPr="007C25F9" w:rsidRDefault="0083260D" w:rsidP="00765AEF">
            <w:r w:rsidRPr="00DF6992">
              <w:rPr>
                <w:noProof/>
              </w:rPr>
              <w:t>95127</w:t>
            </w:r>
          </w:p>
        </w:tc>
      </w:tr>
      <w:tr w:rsidR="0083260D" w:rsidRPr="007C25F9" w14:paraId="1187394E" w14:textId="77777777" w:rsidTr="00C2622E">
        <w:tc>
          <w:tcPr>
            <w:tcW w:w="4675" w:type="dxa"/>
          </w:tcPr>
          <w:p w14:paraId="36318397" w14:textId="77777777" w:rsidR="0083260D" w:rsidRPr="007C25F9" w:rsidRDefault="0083260D" w:rsidP="00765AEF">
            <w:r w:rsidRPr="007C25F9">
              <w:t>Located in District</w:t>
            </w:r>
          </w:p>
        </w:tc>
        <w:tc>
          <w:tcPr>
            <w:tcW w:w="4675" w:type="dxa"/>
          </w:tcPr>
          <w:p w14:paraId="2492099B" w14:textId="77777777" w:rsidR="0083260D" w:rsidRPr="007C25F9" w:rsidRDefault="0083260D" w:rsidP="00765AEF">
            <w:r w:rsidRPr="00DF6992">
              <w:rPr>
                <w:noProof/>
              </w:rPr>
              <w:t>East Side Union High School</w:t>
            </w:r>
          </w:p>
        </w:tc>
      </w:tr>
      <w:tr w:rsidR="0083260D" w:rsidRPr="007C25F9" w14:paraId="3418832B" w14:textId="77777777" w:rsidTr="00C2622E">
        <w:tc>
          <w:tcPr>
            <w:tcW w:w="4675" w:type="dxa"/>
          </w:tcPr>
          <w:p w14:paraId="0BAE2F72" w14:textId="77777777" w:rsidR="0083260D" w:rsidRPr="007C25F9" w:rsidRDefault="0083260D" w:rsidP="00765AEF">
            <w:r w:rsidRPr="007C25F9">
              <w:t>County</w:t>
            </w:r>
          </w:p>
        </w:tc>
        <w:tc>
          <w:tcPr>
            <w:tcW w:w="4675" w:type="dxa"/>
          </w:tcPr>
          <w:p w14:paraId="345ECE2E" w14:textId="77777777" w:rsidR="0083260D" w:rsidRPr="007C25F9" w:rsidRDefault="0083260D" w:rsidP="00765AEF">
            <w:r w:rsidRPr="00DF6992">
              <w:rPr>
                <w:noProof/>
              </w:rPr>
              <w:t>Santa Clara</w:t>
            </w:r>
          </w:p>
        </w:tc>
      </w:tr>
      <w:tr w:rsidR="0083260D" w:rsidRPr="007C25F9" w14:paraId="1DC49B51" w14:textId="77777777" w:rsidTr="00C2622E">
        <w:tc>
          <w:tcPr>
            <w:tcW w:w="4675" w:type="dxa"/>
          </w:tcPr>
          <w:p w14:paraId="2B6CD4E6" w14:textId="77777777" w:rsidR="0083260D" w:rsidRPr="007C25F9" w:rsidRDefault="0083260D" w:rsidP="00765AEF">
            <w:r w:rsidRPr="007C25F9">
              <w:t>Website Address</w:t>
            </w:r>
          </w:p>
        </w:tc>
        <w:tc>
          <w:tcPr>
            <w:tcW w:w="4675" w:type="dxa"/>
          </w:tcPr>
          <w:p w14:paraId="093051F3" w14:textId="77777777" w:rsidR="0083260D" w:rsidRPr="007C25F9" w:rsidRDefault="0083260D" w:rsidP="00765AEF">
            <w:r w:rsidRPr="00DF6992">
              <w:rPr>
                <w:noProof/>
              </w:rPr>
              <w:t>https://navigate.kippnorcal.org/</w:t>
            </w:r>
          </w:p>
        </w:tc>
      </w:tr>
      <w:tr w:rsidR="0083260D" w:rsidRPr="007C25F9" w14:paraId="395EF62F" w14:textId="77777777" w:rsidTr="00C2622E">
        <w:tc>
          <w:tcPr>
            <w:tcW w:w="4675" w:type="dxa"/>
          </w:tcPr>
          <w:p w14:paraId="1A872335" w14:textId="77777777" w:rsidR="0083260D" w:rsidRPr="007C25F9" w:rsidRDefault="0083260D" w:rsidP="00765AEF">
            <w:r w:rsidRPr="007C25F9">
              <w:t>County District School (CDS) Code</w:t>
            </w:r>
          </w:p>
        </w:tc>
        <w:tc>
          <w:tcPr>
            <w:tcW w:w="4675" w:type="dxa"/>
          </w:tcPr>
          <w:p w14:paraId="4D5E653F" w14:textId="77777777" w:rsidR="0083260D" w:rsidRPr="007C25F9" w:rsidRDefault="0083260D" w:rsidP="00765AEF">
            <w:r w:rsidRPr="00DF6992">
              <w:rPr>
                <w:noProof/>
              </w:rPr>
              <w:t>43-77149-0137315</w:t>
            </w:r>
          </w:p>
        </w:tc>
      </w:tr>
      <w:tr w:rsidR="0083260D" w:rsidRPr="007C25F9" w14:paraId="67F0473A" w14:textId="77777777" w:rsidTr="00C2622E">
        <w:tc>
          <w:tcPr>
            <w:tcW w:w="4675" w:type="dxa"/>
          </w:tcPr>
          <w:p w14:paraId="0B1729D1" w14:textId="77777777" w:rsidR="0083260D" w:rsidRPr="007C25F9" w:rsidRDefault="0083260D" w:rsidP="00765AEF">
            <w:r w:rsidRPr="007C25F9">
              <w:t>Charter Number</w:t>
            </w:r>
          </w:p>
        </w:tc>
        <w:tc>
          <w:tcPr>
            <w:tcW w:w="4675" w:type="dxa"/>
          </w:tcPr>
          <w:p w14:paraId="12ABE802" w14:textId="77777777" w:rsidR="0083260D" w:rsidRPr="007C25F9" w:rsidRDefault="0083260D" w:rsidP="00765AEF">
            <w:r w:rsidRPr="00DF6992">
              <w:rPr>
                <w:noProof/>
              </w:rPr>
              <w:t>1955</w:t>
            </w:r>
          </w:p>
        </w:tc>
      </w:tr>
      <w:tr w:rsidR="0083260D" w:rsidRPr="007C25F9" w14:paraId="5E4331FA" w14:textId="77777777" w:rsidTr="00C2622E">
        <w:tc>
          <w:tcPr>
            <w:tcW w:w="4675" w:type="dxa"/>
          </w:tcPr>
          <w:p w14:paraId="07E9663F" w14:textId="77777777" w:rsidR="0083260D" w:rsidRPr="007C25F9" w:rsidRDefault="0083260D" w:rsidP="00765AEF">
            <w:r w:rsidRPr="007C25F9">
              <w:t>Current Charter Term Start Date</w:t>
            </w:r>
          </w:p>
        </w:tc>
        <w:tc>
          <w:tcPr>
            <w:tcW w:w="4675" w:type="dxa"/>
          </w:tcPr>
          <w:p w14:paraId="20044120" w14:textId="77777777" w:rsidR="0083260D" w:rsidRPr="007C25F9" w:rsidRDefault="0083260D" w:rsidP="00765AEF">
            <w:r w:rsidRPr="00DF6992">
              <w:rPr>
                <w:noProof/>
              </w:rPr>
              <w:t>7/1/2018</w:t>
            </w:r>
          </w:p>
        </w:tc>
      </w:tr>
      <w:tr w:rsidR="0083260D" w:rsidRPr="007C25F9" w14:paraId="3FEA9351" w14:textId="77777777" w:rsidTr="00C2622E">
        <w:tc>
          <w:tcPr>
            <w:tcW w:w="4675" w:type="dxa"/>
          </w:tcPr>
          <w:p w14:paraId="52E13D5A" w14:textId="77777777" w:rsidR="0083260D" w:rsidRPr="007C25F9" w:rsidRDefault="0083260D" w:rsidP="00765AEF">
            <w:r w:rsidRPr="007C25F9">
              <w:t>Current Charter Term End Date</w:t>
            </w:r>
          </w:p>
        </w:tc>
        <w:tc>
          <w:tcPr>
            <w:tcW w:w="4675" w:type="dxa"/>
          </w:tcPr>
          <w:p w14:paraId="25FB975D" w14:textId="77777777" w:rsidR="0083260D" w:rsidRPr="007C25F9" w:rsidRDefault="0083260D" w:rsidP="00765AEF">
            <w:r w:rsidRPr="00DF6992">
              <w:rPr>
                <w:noProof/>
              </w:rPr>
              <w:t>6/30/2026</w:t>
            </w:r>
          </w:p>
        </w:tc>
      </w:tr>
      <w:tr w:rsidR="0083260D" w:rsidRPr="007C25F9" w14:paraId="1C6313E3" w14:textId="77777777" w:rsidTr="00C2622E">
        <w:tc>
          <w:tcPr>
            <w:tcW w:w="4675" w:type="dxa"/>
          </w:tcPr>
          <w:p w14:paraId="25225DAC" w14:textId="77777777" w:rsidR="0083260D" w:rsidRPr="007C25F9" w:rsidRDefault="0083260D" w:rsidP="00765AEF">
            <w:r w:rsidRPr="007C25F9">
              <w:t>Grade Levels Served</w:t>
            </w:r>
          </w:p>
        </w:tc>
        <w:tc>
          <w:tcPr>
            <w:tcW w:w="4675" w:type="dxa"/>
          </w:tcPr>
          <w:p w14:paraId="327061C2" w14:textId="77777777" w:rsidR="0083260D" w:rsidRPr="007C25F9" w:rsidRDefault="0083260D" w:rsidP="00765AEF">
            <w:r w:rsidRPr="00DF6992">
              <w:rPr>
                <w:noProof/>
              </w:rPr>
              <w:t>9-12</w:t>
            </w:r>
          </w:p>
        </w:tc>
      </w:tr>
      <w:tr w:rsidR="0083260D" w:rsidRPr="007C25F9" w14:paraId="06E5B832" w14:textId="77777777" w:rsidTr="00C2622E">
        <w:tc>
          <w:tcPr>
            <w:tcW w:w="4675" w:type="dxa"/>
          </w:tcPr>
          <w:p w14:paraId="1FFEBF16" w14:textId="77777777" w:rsidR="0083260D" w:rsidRPr="007C25F9" w:rsidRDefault="0083260D" w:rsidP="00765AEF">
            <w:r w:rsidRPr="007C25F9">
              <w:t>202</w:t>
            </w:r>
            <w:r>
              <w:t>4</w:t>
            </w:r>
            <w:r w:rsidRPr="007C25F9">
              <w:t>–2</w:t>
            </w:r>
            <w:r>
              <w:t>5</w:t>
            </w:r>
            <w:r w:rsidRPr="007C25F9">
              <w:t xml:space="preserve"> Enrollment</w:t>
            </w:r>
          </w:p>
        </w:tc>
        <w:tc>
          <w:tcPr>
            <w:tcW w:w="4675" w:type="dxa"/>
          </w:tcPr>
          <w:p w14:paraId="0AF57DBF" w14:textId="77777777" w:rsidR="0083260D" w:rsidRPr="007C25F9" w:rsidRDefault="0083260D" w:rsidP="00765AEF">
            <w:r w:rsidRPr="00DF6992">
              <w:rPr>
                <w:noProof/>
              </w:rPr>
              <w:t>297</w:t>
            </w:r>
          </w:p>
        </w:tc>
      </w:tr>
      <w:tr w:rsidR="0083260D" w:rsidRPr="007C25F9" w14:paraId="04FA34FC" w14:textId="77777777" w:rsidTr="00C2622E">
        <w:tc>
          <w:tcPr>
            <w:tcW w:w="4675" w:type="dxa"/>
          </w:tcPr>
          <w:p w14:paraId="35D8054B" w14:textId="77777777" w:rsidR="0083260D" w:rsidRPr="007C25F9" w:rsidRDefault="0083260D" w:rsidP="00765AEF">
            <w:r w:rsidRPr="007C25F9">
              <w:t>Instruction Type</w:t>
            </w:r>
          </w:p>
        </w:tc>
        <w:tc>
          <w:tcPr>
            <w:tcW w:w="4675" w:type="dxa"/>
          </w:tcPr>
          <w:p w14:paraId="3B4FF1C0" w14:textId="77777777" w:rsidR="0083260D" w:rsidRPr="007C25F9" w:rsidRDefault="0083260D" w:rsidP="00765AEF">
            <w:r w:rsidRPr="00DF6992">
              <w:rPr>
                <w:noProof/>
              </w:rPr>
              <w:t>Classroom-based</w:t>
            </w:r>
          </w:p>
        </w:tc>
      </w:tr>
    </w:tbl>
    <w:p w14:paraId="0DCF600C" w14:textId="77777777" w:rsidR="0083260D" w:rsidRPr="007C25F9" w:rsidRDefault="0083260D" w:rsidP="00765AEF">
      <w:pPr>
        <w:rPr>
          <w:b/>
          <w:bCs/>
        </w:rPr>
      </w:pPr>
      <w:r>
        <w:rPr>
          <w:b/>
          <w:bCs/>
        </w:rPr>
        <w:t xml:space="preserve">Charter </w:t>
      </w:r>
      <w:r w:rsidRPr="007C25F9">
        <w:rPr>
          <w:b/>
          <w:bCs/>
        </w:rPr>
        <w:t>School Description:</w:t>
      </w:r>
    </w:p>
    <w:p w14:paraId="65BA133C" w14:textId="77777777" w:rsidR="00505F94" w:rsidRDefault="0083260D" w:rsidP="00C2622E">
      <w:pPr>
        <w:rPr>
          <w:bCs/>
          <w:noProof/>
        </w:rPr>
      </w:pPr>
      <w:r w:rsidRPr="00DF6992">
        <w:rPr>
          <w:bCs/>
          <w:noProof/>
        </w:rPr>
        <w:t>Who We Are: KIPP Navigate College Prep (grades 9-12) is a college-prep public charter high school located in San José.</w:t>
      </w:r>
    </w:p>
    <w:p w14:paraId="2B6CBCAD" w14:textId="77777777" w:rsidR="00505F94" w:rsidRDefault="0083260D" w:rsidP="00C2622E">
      <w:pPr>
        <w:rPr>
          <w:bCs/>
          <w:noProof/>
        </w:rPr>
      </w:pPr>
      <w:r w:rsidRPr="00DF6992">
        <w:rPr>
          <w:bCs/>
          <w:noProof/>
        </w:rPr>
        <w:t xml:space="preserve">Mission: At KIPP Navigate, we are committed to actualizing our high school students’ potential by connecting students’ purpose, talents, and passions to their learning </w:t>
      </w:r>
      <w:r w:rsidRPr="00DF6992">
        <w:rPr>
          <w:bCs/>
          <w:noProof/>
        </w:rPr>
        <w:lastRenderedPageBreak/>
        <w:t>experiences. We are empowered agents of change and courageously lean into new challenges to positively impact the world around us.</w:t>
      </w:r>
    </w:p>
    <w:p w14:paraId="67A45E2F" w14:textId="08A48AC7" w:rsidR="0083260D" w:rsidRPr="007C25F9" w:rsidRDefault="0083260D" w:rsidP="00C2622E">
      <w:pPr>
        <w:rPr>
          <w:bCs/>
        </w:rPr>
      </w:pPr>
      <w:r w:rsidRPr="00DF6992">
        <w:rPr>
          <w:bCs/>
          <w:noProof/>
        </w:rPr>
        <w:t>Honors: #5 Public High School in San José – 2024 U.S. News and World Report  Values: Courage, Innovation, Reflection, Collaboration, Leadership, Empathy</w:t>
      </w:r>
    </w:p>
    <w:p w14:paraId="27BE2943" w14:textId="77777777" w:rsidR="0083260D" w:rsidRPr="007C25F9" w:rsidRDefault="0083260D" w:rsidP="00A42D0A">
      <w:pPr>
        <w:pStyle w:val="Heading5"/>
      </w:pPr>
      <w:r w:rsidRPr="007C25F9">
        <w:t>Demographic Information</w:t>
      </w:r>
    </w:p>
    <w:p w14:paraId="4541B04D" w14:textId="77777777" w:rsidR="0083260D" w:rsidRPr="007C25F9" w:rsidRDefault="0083260D" w:rsidP="00CE1DD0">
      <w:r w:rsidRPr="007C25F9">
        <w:t xml:space="preserve">Provide the following information as a percentage of the charter school's total student population. Provide the information </w:t>
      </w:r>
      <w:proofErr w:type="gramStart"/>
      <w:r w:rsidRPr="007C25F9">
        <w:t>as it</w:t>
      </w:r>
      <w:proofErr w:type="gramEnd"/>
      <w:r w:rsidRPr="007C25F9">
        <w:t xml:space="preserve"> is reported on the 202</w:t>
      </w:r>
      <w:r>
        <w:t>5</w:t>
      </w:r>
      <w:r w:rsidRPr="007C25F9">
        <w:t xml:space="preserve"> California School Dashboard.</w:t>
      </w:r>
    </w:p>
    <w:p w14:paraId="04156653" w14:textId="77777777" w:rsidR="0083260D" w:rsidRPr="007C25F9" w:rsidRDefault="0083260D" w:rsidP="00A42D0A">
      <w:pPr>
        <w:pStyle w:val="Heading6"/>
      </w:pPr>
      <w:r w:rsidRPr="007C25F9">
        <w:t>202</w:t>
      </w:r>
      <w:r>
        <w:t>5</w:t>
      </w:r>
      <w:r w:rsidRPr="007C25F9">
        <w:t xml:space="preserve"> Student Group Information</w:t>
      </w:r>
    </w:p>
    <w:tbl>
      <w:tblPr>
        <w:tblStyle w:val="TableGrid"/>
        <w:tblW w:w="0" w:type="auto"/>
        <w:tblLook w:val="04A0" w:firstRow="1" w:lastRow="0" w:firstColumn="1" w:lastColumn="0" w:noHBand="0" w:noVBand="1"/>
        <w:tblCaption w:val="Student Group Information"/>
        <w:tblDescription w:val="Student Group Information"/>
      </w:tblPr>
      <w:tblGrid>
        <w:gridCol w:w="4675"/>
        <w:gridCol w:w="4675"/>
      </w:tblGrid>
      <w:tr w:rsidR="0083260D" w:rsidRPr="007C25F9" w14:paraId="1723C0C0" w14:textId="77777777" w:rsidTr="007929F6">
        <w:trPr>
          <w:cantSplit/>
          <w:tblHeader/>
        </w:trPr>
        <w:tc>
          <w:tcPr>
            <w:tcW w:w="4675" w:type="dxa"/>
            <w:shd w:val="clear" w:color="auto" w:fill="D9D9D9" w:themeFill="background1" w:themeFillShade="D9"/>
          </w:tcPr>
          <w:p w14:paraId="4403244A" w14:textId="77777777" w:rsidR="0083260D" w:rsidRPr="007C25F9" w:rsidRDefault="0083260D" w:rsidP="00D41927">
            <w:pPr>
              <w:rPr>
                <w:b/>
                <w:bCs/>
              </w:rPr>
            </w:pPr>
            <w:r w:rsidRPr="007C25F9">
              <w:rPr>
                <w:b/>
                <w:bCs/>
              </w:rPr>
              <w:t>Prompt</w:t>
            </w:r>
          </w:p>
        </w:tc>
        <w:tc>
          <w:tcPr>
            <w:tcW w:w="4675" w:type="dxa"/>
            <w:shd w:val="clear" w:color="auto" w:fill="D9D9D9" w:themeFill="background1" w:themeFillShade="D9"/>
          </w:tcPr>
          <w:p w14:paraId="4794162E" w14:textId="77777777" w:rsidR="0083260D" w:rsidRPr="007C25F9" w:rsidRDefault="0083260D" w:rsidP="00D41927">
            <w:pPr>
              <w:rPr>
                <w:b/>
                <w:bCs/>
              </w:rPr>
            </w:pPr>
            <w:r w:rsidRPr="007C25F9">
              <w:rPr>
                <w:b/>
                <w:bCs/>
              </w:rPr>
              <w:t>Percentage</w:t>
            </w:r>
          </w:p>
        </w:tc>
      </w:tr>
      <w:tr w:rsidR="0083260D" w:rsidRPr="007C25F9" w14:paraId="72169DB5" w14:textId="77777777" w:rsidTr="007929F6">
        <w:trPr>
          <w:cantSplit/>
          <w:tblHeader/>
        </w:trPr>
        <w:tc>
          <w:tcPr>
            <w:tcW w:w="4675" w:type="dxa"/>
          </w:tcPr>
          <w:p w14:paraId="51A637A7" w14:textId="77777777" w:rsidR="0083260D" w:rsidRPr="007C25F9" w:rsidRDefault="0083260D" w:rsidP="00D41927">
            <w:r w:rsidRPr="007C25F9">
              <w:t>English Learners</w:t>
            </w:r>
          </w:p>
        </w:tc>
        <w:tc>
          <w:tcPr>
            <w:tcW w:w="4675" w:type="dxa"/>
          </w:tcPr>
          <w:p w14:paraId="70B1DA75" w14:textId="77777777" w:rsidR="0083260D" w:rsidRPr="007C25F9" w:rsidRDefault="0083260D" w:rsidP="00D41927">
            <w:r w:rsidRPr="00DF6992">
              <w:rPr>
                <w:noProof/>
              </w:rPr>
              <w:t>30.3</w:t>
            </w:r>
          </w:p>
        </w:tc>
      </w:tr>
      <w:tr w:rsidR="0083260D" w:rsidRPr="007C25F9" w14:paraId="3550EA89" w14:textId="77777777" w:rsidTr="007929F6">
        <w:trPr>
          <w:cantSplit/>
          <w:tblHeader/>
        </w:trPr>
        <w:tc>
          <w:tcPr>
            <w:tcW w:w="4675" w:type="dxa"/>
          </w:tcPr>
          <w:p w14:paraId="68AD1579" w14:textId="77777777" w:rsidR="0083260D" w:rsidRPr="007C25F9" w:rsidRDefault="0083260D" w:rsidP="00D41927">
            <w:r w:rsidRPr="007C25F9">
              <w:t>Foster Youth</w:t>
            </w:r>
          </w:p>
        </w:tc>
        <w:tc>
          <w:tcPr>
            <w:tcW w:w="4675" w:type="dxa"/>
          </w:tcPr>
          <w:p w14:paraId="531DB260" w14:textId="77777777" w:rsidR="0083260D" w:rsidRPr="007C25F9" w:rsidRDefault="0083260D" w:rsidP="00D41927">
            <w:r w:rsidRPr="00DF6992">
              <w:rPr>
                <w:noProof/>
              </w:rPr>
              <w:t>1</w:t>
            </w:r>
          </w:p>
        </w:tc>
      </w:tr>
      <w:tr w:rsidR="0083260D" w:rsidRPr="007C25F9" w14:paraId="7A09AF83" w14:textId="77777777" w:rsidTr="007929F6">
        <w:trPr>
          <w:cantSplit/>
          <w:tblHeader/>
        </w:trPr>
        <w:tc>
          <w:tcPr>
            <w:tcW w:w="4675" w:type="dxa"/>
          </w:tcPr>
          <w:p w14:paraId="7C42658E" w14:textId="77777777" w:rsidR="0083260D" w:rsidRPr="007C25F9" w:rsidRDefault="0083260D" w:rsidP="00D41927">
            <w:r w:rsidRPr="007C25F9">
              <w:t>Homeless</w:t>
            </w:r>
          </w:p>
        </w:tc>
        <w:tc>
          <w:tcPr>
            <w:tcW w:w="4675" w:type="dxa"/>
          </w:tcPr>
          <w:p w14:paraId="1A3EE5FC" w14:textId="77777777" w:rsidR="0083260D" w:rsidRPr="007C25F9" w:rsidRDefault="0083260D" w:rsidP="00D41927">
            <w:r w:rsidRPr="00DF6992">
              <w:rPr>
                <w:noProof/>
              </w:rPr>
              <w:t>2.4</w:t>
            </w:r>
          </w:p>
        </w:tc>
      </w:tr>
      <w:tr w:rsidR="0083260D" w:rsidRPr="007C25F9" w14:paraId="526947BC" w14:textId="77777777" w:rsidTr="007929F6">
        <w:trPr>
          <w:cantSplit/>
          <w:tblHeader/>
        </w:trPr>
        <w:tc>
          <w:tcPr>
            <w:tcW w:w="4675" w:type="dxa"/>
          </w:tcPr>
          <w:p w14:paraId="609F32EB" w14:textId="77777777" w:rsidR="0083260D" w:rsidRPr="007C25F9" w:rsidRDefault="0083260D" w:rsidP="00D41927">
            <w:r w:rsidRPr="007C25F9">
              <w:t>Socioeconomically Disadvantaged</w:t>
            </w:r>
          </w:p>
        </w:tc>
        <w:tc>
          <w:tcPr>
            <w:tcW w:w="4675" w:type="dxa"/>
          </w:tcPr>
          <w:p w14:paraId="567144CD" w14:textId="77777777" w:rsidR="0083260D" w:rsidRPr="007C25F9" w:rsidRDefault="0083260D" w:rsidP="00D41927">
            <w:r w:rsidRPr="00DF6992">
              <w:rPr>
                <w:noProof/>
              </w:rPr>
              <w:t>79.8</w:t>
            </w:r>
          </w:p>
        </w:tc>
      </w:tr>
      <w:tr w:rsidR="0083260D" w:rsidRPr="007C25F9" w14:paraId="23C40F04" w14:textId="77777777" w:rsidTr="007929F6">
        <w:trPr>
          <w:cantSplit/>
          <w:tblHeader/>
        </w:trPr>
        <w:tc>
          <w:tcPr>
            <w:tcW w:w="4675" w:type="dxa"/>
          </w:tcPr>
          <w:p w14:paraId="2BF1DA47" w14:textId="77777777" w:rsidR="0083260D" w:rsidRPr="007C25F9" w:rsidRDefault="0083260D" w:rsidP="00D41927">
            <w:r w:rsidRPr="007C25F9">
              <w:t>Students with Disabilities</w:t>
            </w:r>
          </w:p>
        </w:tc>
        <w:tc>
          <w:tcPr>
            <w:tcW w:w="4675" w:type="dxa"/>
          </w:tcPr>
          <w:p w14:paraId="784FAD9B" w14:textId="77777777" w:rsidR="0083260D" w:rsidRPr="007C25F9" w:rsidRDefault="0083260D" w:rsidP="00D41927">
            <w:r w:rsidRPr="00DF6992">
              <w:rPr>
                <w:noProof/>
              </w:rPr>
              <w:t>13.8</w:t>
            </w:r>
          </w:p>
        </w:tc>
      </w:tr>
    </w:tbl>
    <w:p w14:paraId="3380E219" w14:textId="77777777" w:rsidR="0083260D" w:rsidRPr="007C25F9" w:rsidRDefault="0083260D" w:rsidP="00A42D0A">
      <w:pPr>
        <w:pStyle w:val="Heading6"/>
      </w:pPr>
      <w:r w:rsidRPr="007C25F9">
        <w:t>202</w:t>
      </w:r>
      <w:r>
        <w:t>5</w:t>
      </w:r>
      <w:r w:rsidRPr="007C25F9">
        <w:t xml:space="preserve"> Race/Ethnicity Information</w:t>
      </w:r>
    </w:p>
    <w:tbl>
      <w:tblPr>
        <w:tblStyle w:val="TableGrid"/>
        <w:tblW w:w="0" w:type="auto"/>
        <w:tblLook w:val="04A0" w:firstRow="1" w:lastRow="0" w:firstColumn="1" w:lastColumn="0" w:noHBand="0" w:noVBand="1"/>
        <w:tblCaption w:val="Race/Ethnicity Information"/>
        <w:tblDescription w:val="Race/Ethnicity Information"/>
      </w:tblPr>
      <w:tblGrid>
        <w:gridCol w:w="4675"/>
        <w:gridCol w:w="4675"/>
      </w:tblGrid>
      <w:tr w:rsidR="0083260D" w:rsidRPr="007C25F9" w14:paraId="26BBC7C9" w14:textId="77777777" w:rsidTr="007929F6">
        <w:trPr>
          <w:cantSplit/>
          <w:tblHeader/>
        </w:trPr>
        <w:tc>
          <w:tcPr>
            <w:tcW w:w="4675" w:type="dxa"/>
            <w:shd w:val="clear" w:color="auto" w:fill="D9D9D9" w:themeFill="background1" w:themeFillShade="D9"/>
          </w:tcPr>
          <w:p w14:paraId="726EA428" w14:textId="77777777" w:rsidR="0083260D" w:rsidRPr="007C25F9" w:rsidRDefault="0083260D" w:rsidP="00D41927">
            <w:pPr>
              <w:rPr>
                <w:b/>
                <w:bCs/>
              </w:rPr>
            </w:pPr>
            <w:r w:rsidRPr="007C25F9">
              <w:rPr>
                <w:b/>
                <w:bCs/>
              </w:rPr>
              <w:t>Prompt</w:t>
            </w:r>
          </w:p>
        </w:tc>
        <w:tc>
          <w:tcPr>
            <w:tcW w:w="4675" w:type="dxa"/>
            <w:shd w:val="clear" w:color="auto" w:fill="D9D9D9" w:themeFill="background1" w:themeFillShade="D9"/>
          </w:tcPr>
          <w:p w14:paraId="199C92E3" w14:textId="77777777" w:rsidR="0083260D" w:rsidRPr="007C25F9" w:rsidRDefault="0083260D" w:rsidP="00D41927">
            <w:pPr>
              <w:rPr>
                <w:b/>
                <w:bCs/>
              </w:rPr>
            </w:pPr>
            <w:r w:rsidRPr="007C25F9">
              <w:rPr>
                <w:b/>
                <w:bCs/>
              </w:rPr>
              <w:t>Percentage</w:t>
            </w:r>
          </w:p>
        </w:tc>
      </w:tr>
      <w:tr w:rsidR="0083260D" w:rsidRPr="007C25F9" w14:paraId="6E3FBD1F" w14:textId="77777777" w:rsidTr="007929F6">
        <w:trPr>
          <w:cantSplit/>
          <w:tblHeader/>
        </w:trPr>
        <w:tc>
          <w:tcPr>
            <w:tcW w:w="4675" w:type="dxa"/>
          </w:tcPr>
          <w:p w14:paraId="0CEC4223" w14:textId="77777777" w:rsidR="0083260D" w:rsidRPr="007C25F9" w:rsidRDefault="0083260D" w:rsidP="00D41927">
            <w:r w:rsidRPr="007C25F9">
              <w:t>African American</w:t>
            </w:r>
          </w:p>
        </w:tc>
        <w:tc>
          <w:tcPr>
            <w:tcW w:w="4675" w:type="dxa"/>
          </w:tcPr>
          <w:p w14:paraId="5EB20391" w14:textId="77777777" w:rsidR="0083260D" w:rsidRPr="007C25F9" w:rsidRDefault="0083260D" w:rsidP="00D41927">
            <w:r w:rsidRPr="00DF6992">
              <w:rPr>
                <w:noProof/>
              </w:rPr>
              <w:t>0.3</w:t>
            </w:r>
          </w:p>
        </w:tc>
      </w:tr>
      <w:tr w:rsidR="0083260D" w:rsidRPr="007C25F9" w14:paraId="504734B3" w14:textId="77777777" w:rsidTr="007929F6">
        <w:trPr>
          <w:cantSplit/>
          <w:tblHeader/>
        </w:trPr>
        <w:tc>
          <w:tcPr>
            <w:tcW w:w="4675" w:type="dxa"/>
          </w:tcPr>
          <w:p w14:paraId="1E473A3C" w14:textId="77777777" w:rsidR="0083260D" w:rsidRPr="007C25F9" w:rsidRDefault="0083260D" w:rsidP="00D41927">
            <w:r w:rsidRPr="007C25F9">
              <w:t>American Indian</w:t>
            </w:r>
          </w:p>
        </w:tc>
        <w:tc>
          <w:tcPr>
            <w:tcW w:w="4675" w:type="dxa"/>
          </w:tcPr>
          <w:p w14:paraId="2D91DFE6" w14:textId="77777777" w:rsidR="0083260D" w:rsidRPr="007C25F9" w:rsidRDefault="0083260D" w:rsidP="00D41927">
            <w:r w:rsidRPr="00DF6992">
              <w:rPr>
                <w:noProof/>
              </w:rPr>
              <w:t>0.3</w:t>
            </w:r>
          </w:p>
        </w:tc>
      </w:tr>
      <w:tr w:rsidR="0083260D" w:rsidRPr="007C25F9" w14:paraId="79A743CD" w14:textId="77777777" w:rsidTr="007929F6">
        <w:trPr>
          <w:cantSplit/>
          <w:tblHeader/>
        </w:trPr>
        <w:tc>
          <w:tcPr>
            <w:tcW w:w="4675" w:type="dxa"/>
          </w:tcPr>
          <w:p w14:paraId="56BD8F11" w14:textId="77777777" w:rsidR="0083260D" w:rsidRPr="007C25F9" w:rsidRDefault="0083260D" w:rsidP="00D41927">
            <w:r w:rsidRPr="007C25F9">
              <w:t>Asian</w:t>
            </w:r>
          </w:p>
        </w:tc>
        <w:tc>
          <w:tcPr>
            <w:tcW w:w="4675" w:type="dxa"/>
          </w:tcPr>
          <w:p w14:paraId="4126696D" w14:textId="77777777" w:rsidR="0083260D" w:rsidRPr="007C25F9" w:rsidRDefault="0083260D" w:rsidP="00D41927">
            <w:r w:rsidRPr="00DF6992">
              <w:rPr>
                <w:noProof/>
              </w:rPr>
              <w:t>16.8</w:t>
            </w:r>
          </w:p>
        </w:tc>
      </w:tr>
      <w:tr w:rsidR="0083260D" w:rsidRPr="007C25F9" w14:paraId="6C8BD4C5" w14:textId="77777777" w:rsidTr="007929F6">
        <w:trPr>
          <w:cantSplit/>
          <w:tblHeader/>
        </w:trPr>
        <w:tc>
          <w:tcPr>
            <w:tcW w:w="4675" w:type="dxa"/>
          </w:tcPr>
          <w:p w14:paraId="20E0FB12" w14:textId="77777777" w:rsidR="0083260D" w:rsidRPr="007C25F9" w:rsidRDefault="0083260D" w:rsidP="00D41927">
            <w:r w:rsidRPr="007C25F9">
              <w:t>Filipino</w:t>
            </w:r>
          </w:p>
        </w:tc>
        <w:tc>
          <w:tcPr>
            <w:tcW w:w="4675" w:type="dxa"/>
          </w:tcPr>
          <w:p w14:paraId="720CB515" w14:textId="77777777" w:rsidR="0083260D" w:rsidRPr="007C25F9" w:rsidRDefault="0083260D" w:rsidP="00D41927">
            <w:r w:rsidRPr="00DF6992">
              <w:rPr>
                <w:noProof/>
              </w:rPr>
              <w:t>1</w:t>
            </w:r>
          </w:p>
        </w:tc>
      </w:tr>
      <w:tr w:rsidR="0083260D" w:rsidRPr="007C25F9" w14:paraId="4086588C" w14:textId="77777777" w:rsidTr="007929F6">
        <w:trPr>
          <w:cantSplit/>
          <w:tblHeader/>
        </w:trPr>
        <w:tc>
          <w:tcPr>
            <w:tcW w:w="4675" w:type="dxa"/>
          </w:tcPr>
          <w:p w14:paraId="4B6E8A5E" w14:textId="77777777" w:rsidR="0083260D" w:rsidRPr="007C25F9" w:rsidRDefault="0083260D" w:rsidP="00D41927">
            <w:r w:rsidRPr="007C25F9">
              <w:t>Hispanic</w:t>
            </w:r>
          </w:p>
        </w:tc>
        <w:tc>
          <w:tcPr>
            <w:tcW w:w="4675" w:type="dxa"/>
          </w:tcPr>
          <w:p w14:paraId="6ABF1B47" w14:textId="77777777" w:rsidR="0083260D" w:rsidRPr="007C25F9" w:rsidRDefault="0083260D" w:rsidP="00D41927">
            <w:r w:rsidRPr="00DF6992">
              <w:rPr>
                <w:noProof/>
              </w:rPr>
              <w:t>78.5</w:t>
            </w:r>
          </w:p>
        </w:tc>
      </w:tr>
      <w:tr w:rsidR="0083260D" w:rsidRPr="007C25F9" w14:paraId="52971B01" w14:textId="77777777" w:rsidTr="007929F6">
        <w:trPr>
          <w:cantSplit/>
          <w:tblHeader/>
        </w:trPr>
        <w:tc>
          <w:tcPr>
            <w:tcW w:w="4675" w:type="dxa"/>
          </w:tcPr>
          <w:p w14:paraId="7CFFBFF5" w14:textId="77777777" w:rsidR="0083260D" w:rsidRPr="007C25F9" w:rsidRDefault="0083260D" w:rsidP="00D41927">
            <w:r w:rsidRPr="007C25F9">
              <w:t>Pacific Islander</w:t>
            </w:r>
          </w:p>
        </w:tc>
        <w:tc>
          <w:tcPr>
            <w:tcW w:w="4675" w:type="dxa"/>
          </w:tcPr>
          <w:p w14:paraId="7A7416AE" w14:textId="77777777" w:rsidR="0083260D" w:rsidRPr="007C25F9" w:rsidRDefault="0083260D" w:rsidP="00D41927">
            <w:r w:rsidRPr="00DF6992">
              <w:rPr>
                <w:noProof/>
              </w:rPr>
              <w:t>0.7</w:t>
            </w:r>
          </w:p>
        </w:tc>
      </w:tr>
      <w:tr w:rsidR="0083260D" w:rsidRPr="007C25F9" w14:paraId="5F87E683" w14:textId="77777777" w:rsidTr="007929F6">
        <w:trPr>
          <w:cantSplit/>
          <w:tblHeader/>
        </w:trPr>
        <w:tc>
          <w:tcPr>
            <w:tcW w:w="4675" w:type="dxa"/>
          </w:tcPr>
          <w:p w14:paraId="09F3D0B4" w14:textId="77777777" w:rsidR="0083260D" w:rsidRPr="007C25F9" w:rsidRDefault="0083260D" w:rsidP="00D41927">
            <w:r w:rsidRPr="007C25F9">
              <w:t>Two or More Races</w:t>
            </w:r>
          </w:p>
        </w:tc>
        <w:tc>
          <w:tcPr>
            <w:tcW w:w="4675" w:type="dxa"/>
          </w:tcPr>
          <w:p w14:paraId="699A4CF9" w14:textId="77777777" w:rsidR="0083260D" w:rsidRPr="007C25F9" w:rsidRDefault="0083260D" w:rsidP="00D41927">
            <w:r w:rsidRPr="00DF6992">
              <w:rPr>
                <w:noProof/>
              </w:rPr>
              <w:t>2</w:t>
            </w:r>
          </w:p>
        </w:tc>
      </w:tr>
      <w:tr w:rsidR="0083260D" w:rsidRPr="007C25F9" w14:paraId="51923259" w14:textId="77777777" w:rsidTr="007929F6">
        <w:trPr>
          <w:cantSplit/>
          <w:tblHeader/>
        </w:trPr>
        <w:tc>
          <w:tcPr>
            <w:tcW w:w="4675" w:type="dxa"/>
          </w:tcPr>
          <w:p w14:paraId="7BA32BAB" w14:textId="77777777" w:rsidR="0083260D" w:rsidRPr="007C25F9" w:rsidRDefault="0083260D" w:rsidP="00D41927">
            <w:r w:rsidRPr="007C25F9">
              <w:t>White</w:t>
            </w:r>
          </w:p>
        </w:tc>
        <w:tc>
          <w:tcPr>
            <w:tcW w:w="4675" w:type="dxa"/>
          </w:tcPr>
          <w:p w14:paraId="3DCF3788" w14:textId="77777777" w:rsidR="0083260D" w:rsidRPr="007C25F9" w:rsidRDefault="0083260D" w:rsidP="00D41927">
            <w:r w:rsidRPr="00DF6992">
              <w:rPr>
                <w:noProof/>
              </w:rPr>
              <w:t>0.3</w:t>
            </w:r>
          </w:p>
        </w:tc>
      </w:tr>
    </w:tbl>
    <w:p w14:paraId="70A26748" w14:textId="77777777" w:rsidR="0083260D" w:rsidRPr="007C25F9" w:rsidRDefault="0083260D">
      <w:pPr>
        <w:spacing w:before="0"/>
        <w:rPr>
          <w:rFonts w:eastAsiaTheme="majorEastAsia"/>
          <w:b/>
          <w:bCs/>
          <w:sz w:val="32"/>
          <w:szCs w:val="32"/>
        </w:rPr>
      </w:pPr>
      <w:r w:rsidRPr="007C25F9">
        <w:br w:type="page"/>
      </w:r>
    </w:p>
    <w:p w14:paraId="21612507" w14:textId="77777777" w:rsidR="0083260D" w:rsidRPr="007C25F9" w:rsidRDefault="0083260D" w:rsidP="00A42D0A">
      <w:pPr>
        <w:pStyle w:val="Heading3"/>
      </w:pPr>
      <w:r w:rsidRPr="007C25F9">
        <w:lastRenderedPageBreak/>
        <w:t>Section 2. California School Dashboard Data Overview</w:t>
      </w:r>
    </w:p>
    <w:p w14:paraId="26D6385D" w14:textId="77777777" w:rsidR="0083260D" w:rsidRPr="007C25F9" w:rsidRDefault="0083260D" w:rsidP="00A42D0A">
      <w:pPr>
        <w:pStyle w:val="Heading4"/>
      </w:pPr>
      <w:r w:rsidRPr="007C25F9">
        <w:t>California School Dashboard</w:t>
      </w:r>
    </w:p>
    <w:p w14:paraId="58E14415" w14:textId="77777777" w:rsidR="0083260D" w:rsidRPr="007C25F9" w:rsidRDefault="0083260D" w:rsidP="00A42D0A">
      <w:pPr>
        <w:pStyle w:val="Heading6"/>
      </w:pPr>
      <w:r w:rsidRPr="007C25F9">
        <w:t>202</w:t>
      </w:r>
      <w:r>
        <w:t>5</w:t>
      </w:r>
      <w:r w:rsidRPr="007C25F9">
        <w:t xml:space="preserve"> Performance Levels: Percentage and Colors</w:t>
      </w:r>
    </w:p>
    <w:tbl>
      <w:tblPr>
        <w:tblStyle w:val="TableGrid"/>
        <w:tblW w:w="0" w:type="auto"/>
        <w:tblLook w:val="04A0" w:firstRow="1" w:lastRow="0" w:firstColumn="1" w:lastColumn="0" w:noHBand="0" w:noVBand="1"/>
        <w:tblCaption w:val="Performance Levels: Percentage and Colors"/>
        <w:tblDescription w:val="Performance Levels: Percentage and Colors"/>
      </w:tblPr>
      <w:tblGrid>
        <w:gridCol w:w="3350"/>
        <w:gridCol w:w="3246"/>
        <w:gridCol w:w="2754"/>
      </w:tblGrid>
      <w:tr w:rsidR="0083260D" w:rsidRPr="007C25F9" w14:paraId="4E8D6D4E" w14:textId="77777777" w:rsidTr="007929F6">
        <w:trPr>
          <w:cantSplit/>
          <w:tblHeader/>
        </w:trPr>
        <w:tc>
          <w:tcPr>
            <w:tcW w:w="3350" w:type="dxa"/>
            <w:shd w:val="clear" w:color="auto" w:fill="D9D9D9" w:themeFill="background1" w:themeFillShade="D9"/>
          </w:tcPr>
          <w:p w14:paraId="54FDCC92" w14:textId="77777777" w:rsidR="0083260D" w:rsidRPr="007C25F9" w:rsidRDefault="0083260D" w:rsidP="00D41927">
            <w:pPr>
              <w:rPr>
                <w:b/>
                <w:bCs/>
              </w:rPr>
            </w:pPr>
            <w:r w:rsidRPr="007C25F9">
              <w:rPr>
                <w:b/>
                <w:bCs/>
              </w:rPr>
              <w:t>Prompt</w:t>
            </w:r>
          </w:p>
        </w:tc>
        <w:tc>
          <w:tcPr>
            <w:tcW w:w="3246" w:type="dxa"/>
            <w:shd w:val="clear" w:color="auto" w:fill="D9D9D9" w:themeFill="background1" w:themeFillShade="D9"/>
          </w:tcPr>
          <w:p w14:paraId="279DDFF2" w14:textId="77777777" w:rsidR="0083260D" w:rsidRPr="007C25F9" w:rsidRDefault="0083260D" w:rsidP="00D41927">
            <w:pPr>
              <w:rPr>
                <w:b/>
                <w:bCs/>
              </w:rPr>
            </w:pPr>
            <w:r w:rsidRPr="007C25F9">
              <w:rPr>
                <w:b/>
                <w:bCs/>
              </w:rPr>
              <w:t>Percentage</w:t>
            </w:r>
          </w:p>
        </w:tc>
        <w:tc>
          <w:tcPr>
            <w:tcW w:w="2754" w:type="dxa"/>
            <w:shd w:val="clear" w:color="auto" w:fill="D9D9D9" w:themeFill="background1" w:themeFillShade="D9"/>
          </w:tcPr>
          <w:p w14:paraId="6EA517C2" w14:textId="77777777" w:rsidR="0083260D" w:rsidRPr="007C25F9" w:rsidRDefault="0083260D" w:rsidP="00D41927">
            <w:pPr>
              <w:rPr>
                <w:b/>
                <w:bCs/>
              </w:rPr>
            </w:pPr>
            <w:r w:rsidRPr="007C25F9">
              <w:rPr>
                <w:b/>
                <w:bCs/>
              </w:rPr>
              <w:t>Color</w:t>
            </w:r>
          </w:p>
        </w:tc>
      </w:tr>
      <w:tr w:rsidR="0083260D" w:rsidRPr="007C25F9" w14:paraId="6B204750" w14:textId="77777777" w:rsidTr="007929F6">
        <w:trPr>
          <w:cantSplit/>
          <w:tblHeader/>
        </w:trPr>
        <w:tc>
          <w:tcPr>
            <w:tcW w:w="3350" w:type="dxa"/>
          </w:tcPr>
          <w:p w14:paraId="22A71EAE" w14:textId="77777777" w:rsidR="0083260D" w:rsidRPr="007C25F9" w:rsidRDefault="0083260D" w:rsidP="00D41927">
            <w:r w:rsidRPr="007C25F9">
              <w:t>Chronic Absenteeism</w:t>
            </w:r>
          </w:p>
        </w:tc>
        <w:tc>
          <w:tcPr>
            <w:tcW w:w="3246" w:type="dxa"/>
          </w:tcPr>
          <w:p w14:paraId="0050CEC9" w14:textId="3B3A4868" w:rsidR="0083260D" w:rsidRPr="007C25F9" w:rsidRDefault="0020197D" w:rsidP="00D41927">
            <w:r>
              <w:t>Not applicable*</w:t>
            </w:r>
          </w:p>
        </w:tc>
        <w:tc>
          <w:tcPr>
            <w:tcW w:w="2754" w:type="dxa"/>
          </w:tcPr>
          <w:p w14:paraId="371992C4" w14:textId="77777777" w:rsidR="0083260D" w:rsidRPr="007C25F9" w:rsidRDefault="0083260D" w:rsidP="00D41927">
            <w:r w:rsidRPr="00DF6992">
              <w:rPr>
                <w:noProof/>
              </w:rPr>
              <w:t>No Performance Color</w:t>
            </w:r>
          </w:p>
        </w:tc>
      </w:tr>
      <w:tr w:rsidR="0083260D" w:rsidRPr="007C25F9" w14:paraId="60D6FC88" w14:textId="77777777" w:rsidTr="007929F6">
        <w:trPr>
          <w:cantSplit/>
          <w:tblHeader/>
        </w:trPr>
        <w:tc>
          <w:tcPr>
            <w:tcW w:w="3350" w:type="dxa"/>
          </w:tcPr>
          <w:p w14:paraId="505CB5AF" w14:textId="77777777" w:rsidR="0083260D" w:rsidRPr="007C25F9" w:rsidRDefault="0083260D" w:rsidP="00D41927">
            <w:r w:rsidRPr="007C25F9">
              <w:t>Suspension Rate</w:t>
            </w:r>
          </w:p>
        </w:tc>
        <w:tc>
          <w:tcPr>
            <w:tcW w:w="3246" w:type="dxa"/>
          </w:tcPr>
          <w:p w14:paraId="0FB2CA87" w14:textId="77777777" w:rsidR="0083260D" w:rsidRPr="007C25F9" w:rsidRDefault="0083260D" w:rsidP="00D41927">
            <w:r w:rsidRPr="00DF6992">
              <w:rPr>
                <w:noProof/>
              </w:rPr>
              <w:t>2.9</w:t>
            </w:r>
          </w:p>
        </w:tc>
        <w:tc>
          <w:tcPr>
            <w:tcW w:w="2754" w:type="dxa"/>
          </w:tcPr>
          <w:p w14:paraId="59104940" w14:textId="77777777" w:rsidR="0083260D" w:rsidRPr="007C25F9" w:rsidRDefault="0083260D" w:rsidP="00D41927">
            <w:r w:rsidRPr="00DF6992">
              <w:rPr>
                <w:noProof/>
              </w:rPr>
              <w:t>Yellow</w:t>
            </w:r>
          </w:p>
        </w:tc>
      </w:tr>
      <w:tr w:rsidR="0083260D" w:rsidRPr="007C25F9" w14:paraId="5D3ED235" w14:textId="77777777" w:rsidTr="007929F6">
        <w:trPr>
          <w:cantSplit/>
          <w:tblHeader/>
        </w:trPr>
        <w:tc>
          <w:tcPr>
            <w:tcW w:w="3350" w:type="dxa"/>
          </w:tcPr>
          <w:p w14:paraId="32A2D6E8" w14:textId="77777777" w:rsidR="0083260D" w:rsidRPr="007C25F9" w:rsidRDefault="0083260D" w:rsidP="00D41927">
            <w:r w:rsidRPr="007C25F9">
              <w:t>English Learner Progress</w:t>
            </w:r>
          </w:p>
        </w:tc>
        <w:tc>
          <w:tcPr>
            <w:tcW w:w="3246" w:type="dxa"/>
          </w:tcPr>
          <w:p w14:paraId="2C1B5288" w14:textId="77777777" w:rsidR="0083260D" w:rsidRPr="007C25F9" w:rsidRDefault="0083260D" w:rsidP="00D41927">
            <w:r w:rsidRPr="00DF6992">
              <w:rPr>
                <w:noProof/>
              </w:rPr>
              <w:t>45.8</w:t>
            </w:r>
          </w:p>
        </w:tc>
        <w:tc>
          <w:tcPr>
            <w:tcW w:w="2754" w:type="dxa"/>
          </w:tcPr>
          <w:p w14:paraId="2F39F37D" w14:textId="77777777" w:rsidR="0083260D" w:rsidRPr="007C25F9" w:rsidRDefault="0083260D" w:rsidP="00D41927">
            <w:r w:rsidRPr="00DF6992">
              <w:rPr>
                <w:noProof/>
              </w:rPr>
              <w:t>Green</w:t>
            </w:r>
          </w:p>
        </w:tc>
      </w:tr>
      <w:tr w:rsidR="0083260D" w:rsidRPr="007C25F9" w14:paraId="3B132381" w14:textId="77777777" w:rsidTr="007929F6">
        <w:trPr>
          <w:cantSplit/>
          <w:tblHeader/>
        </w:trPr>
        <w:tc>
          <w:tcPr>
            <w:tcW w:w="3350" w:type="dxa"/>
          </w:tcPr>
          <w:p w14:paraId="4E132640" w14:textId="77777777" w:rsidR="0083260D" w:rsidRPr="007C25F9" w:rsidRDefault="0083260D" w:rsidP="00D41927">
            <w:r w:rsidRPr="007C25F9">
              <w:t>Graduation Rate</w:t>
            </w:r>
          </w:p>
        </w:tc>
        <w:tc>
          <w:tcPr>
            <w:tcW w:w="3246" w:type="dxa"/>
          </w:tcPr>
          <w:p w14:paraId="4FAF4DC6" w14:textId="77777777" w:rsidR="0083260D" w:rsidRPr="007C25F9" w:rsidRDefault="0083260D" w:rsidP="00D41927">
            <w:r w:rsidRPr="00DF6992">
              <w:rPr>
                <w:noProof/>
              </w:rPr>
              <w:t>86.3</w:t>
            </w:r>
          </w:p>
        </w:tc>
        <w:tc>
          <w:tcPr>
            <w:tcW w:w="2754" w:type="dxa"/>
          </w:tcPr>
          <w:p w14:paraId="13478DAF" w14:textId="77777777" w:rsidR="0083260D" w:rsidRPr="007C25F9" w:rsidRDefault="0083260D" w:rsidP="00D41927">
            <w:r w:rsidRPr="00DF6992">
              <w:rPr>
                <w:noProof/>
              </w:rPr>
              <w:t>Orange</w:t>
            </w:r>
          </w:p>
        </w:tc>
      </w:tr>
      <w:tr w:rsidR="0083260D" w:rsidRPr="007C25F9" w14:paraId="2E08FFC4" w14:textId="77777777" w:rsidTr="007929F6">
        <w:trPr>
          <w:cantSplit/>
          <w:tblHeader/>
        </w:trPr>
        <w:tc>
          <w:tcPr>
            <w:tcW w:w="3350" w:type="dxa"/>
          </w:tcPr>
          <w:p w14:paraId="6845D6CA" w14:textId="77777777" w:rsidR="0083260D" w:rsidRPr="007C25F9" w:rsidRDefault="0083260D" w:rsidP="00D41927">
            <w:r w:rsidRPr="007C25F9">
              <w:t>College/Career</w:t>
            </w:r>
          </w:p>
        </w:tc>
        <w:tc>
          <w:tcPr>
            <w:tcW w:w="3246" w:type="dxa"/>
          </w:tcPr>
          <w:p w14:paraId="5A4DF5CC" w14:textId="77777777" w:rsidR="0083260D" w:rsidRPr="007C25F9" w:rsidRDefault="0083260D" w:rsidP="00D41927">
            <w:r w:rsidRPr="00DF6992">
              <w:rPr>
                <w:noProof/>
              </w:rPr>
              <w:t>86.3</w:t>
            </w:r>
          </w:p>
        </w:tc>
        <w:tc>
          <w:tcPr>
            <w:tcW w:w="2754" w:type="dxa"/>
          </w:tcPr>
          <w:p w14:paraId="7BDB7AF5" w14:textId="77777777" w:rsidR="0083260D" w:rsidRPr="007C25F9" w:rsidRDefault="0083260D" w:rsidP="00D41927">
            <w:r w:rsidRPr="00DF6992">
              <w:rPr>
                <w:noProof/>
              </w:rPr>
              <w:t>Green</w:t>
            </w:r>
          </w:p>
        </w:tc>
      </w:tr>
    </w:tbl>
    <w:p w14:paraId="449F2F6A" w14:textId="79AC0E0D" w:rsidR="00DC329F" w:rsidRPr="00DC329F" w:rsidRDefault="00DC329F" w:rsidP="00DC329F">
      <w:pPr>
        <w:pStyle w:val="FootnoteText"/>
        <w:rPr>
          <w:sz w:val="24"/>
          <w:szCs w:val="24"/>
        </w:rPr>
      </w:pPr>
      <w:r w:rsidRPr="00DC329F">
        <w:rPr>
          <w:sz w:val="24"/>
          <w:szCs w:val="24"/>
        </w:rPr>
        <w:t>*</w:t>
      </w:r>
      <w:r>
        <w:rPr>
          <w:sz w:val="24"/>
          <w:szCs w:val="24"/>
        </w:rPr>
        <w:t xml:space="preserve"> </w:t>
      </w:r>
      <w:r w:rsidRPr="00DC329F">
        <w:rPr>
          <w:sz w:val="24"/>
          <w:szCs w:val="24"/>
        </w:rPr>
        <w:t>The Chronic Absenteeism Indicator does not apply to a stand-alone high school.</w:t>
      </w:r>
    </w:p>
    <w:p w14:paraId="2A48D84C" w14:textId="4F31CD56" w:rsidR="0083260D" w:rsidRPr="007C25F9" w:rsidRDefault="0083260D" w:rsidP="00961A90">
      <w:pPr>
        <w:pStyle w:val="Heading6"/>
      </w:pPr>
      <w:r w:rsidRPr="007C25F9">
        <w:t>202</w:t>
      </w:r>
      <w:r>
        <w:t>5</w:t>
      </w:r>
      <w:r w:rsidRPr="007C25F9">
        <w:t xml:space="preserve"> Performance Levels: Colors and Distance from Standard</w:t>
      </w:r>
    </w:p>
    <w:tbl>
      <w:tblPr>
        <w:tblStyle w:val="TableGrid"/>
        <w:tblW w:w="0" w:type="auto"/>
        <w:tblLook w:val="04A0" w:firstRow="1" w:lastRow="0" w:firstColumn="1" w:lastColumn="0" w:noHBand="0" w:noVBand="1"/>
        <w:tblCaption w:val="Performance Levels: Colors and Distance from Standard"/>
        <w:tblDescription w:val="Performance Levels: Colors and Distance from Standard"/>
      </w:tblPr>
      <w:tblGrid>
        <w:gridCol w:w="2655"/>
        <w:gridCol w:w="2061"/>
        <w:gridCol w:w="2467"/>
        <w:gridCol w:w="2167"/>
      </w:tblGrid>
      <w:tr w:rsidR="0083260D" w:rsidRPr="007C25F9" w14:paraId="3AE8ADDE" w14:textId="77777777" w:rsidTr="00927BE3">
        <w:trPr>
          <w:cantSplit/>
          <w:tblHeader/>
        </w:trPr>
        <w:tc>
          <w:tcPr>
            <w:tcW w:w="2655" w:type="dxa"/>
            <w:shd w:val="clear" w:color="auto" w:fill="D9D9D9" w:themeFill="background1" w:themeFillShade="D9"/>
          </w:tcPr>
          <w:p w14:paraId="479EAA22" w14:textId="77777777" w:rsidR="0083260D" w:rsidRPr="007C25F9" w:rsidRDefault="0083260D" w:rsidP="00D41927">
            <w:pPr>
              <w:rPr>
                <w:b/>
                <w:bCs/>
              </w:rPr>
            </w:pPr>
            <w:r w:rsidRPr="007C25F9">
              <w:rPr>
                <w:b/>
                <w:bCs/>
              </w:rPr>
              <w:t>Prompt</w:t>
            </w:r>
          </w:p>
        </w:tc>
        <w:tc>
          <w:tcPr>
            <w:tcW w:w="2061" w:type="dxa"/>
            <w:shd w:val="clear" w:color="auto" w:fill="D9D9D9" w:themeFill="background1" w:themeFillShade="D9"/>
          </w:tcPr>
          <w:p w14:paraId="2CF1C1FB" w14:textId="77777777" w:rsidR="0083260D" w:rsidRPr="007C25F9" w:rsidRDefault="0083260D" w:rsidP="00D41927">
            <w:pPr>
              <w:rPr>
                <w:b/>
                <w:bCs/>
              </w:rPr>
            </w:pPr>
            <w:r w:rsidRPr="007C25F9">
              <w:rPr>
                <w:b/>
                <w:bCs/>
              </w:rPr>
              <w:t>Color</w:t>
            </w:r>
          </w:p>
        </w:tc>
        <w:tc>
          <w:tcPr>
            <w:tcW w:w="2467" w:type="dxa"/>
            <w:shd w:val="clear" w:color="auto" w:fill="D9D9D9" w:themeFill="background1" w:themeFillShade="D9"/>
          </w:tcPr>
          <w:p w14:paraId="51AB75AD" w14:textId="77777777" w:rsidR="0083260D" w:rsidRPr="007C25F9" w:rsidRDefault="0083260D" w:rsidP="00D41927">
            <w:pPr>
              <w:rPr>
                <w:b/>
                <w:bCs/>
              </w:rPr>
            </w:pPr>
            <w:r w:rsidRPr="007C25F9">
              <w:rPr>
                <w:b/>
                <w:bCs/>
              </w:rPr>
              <w:t>Above or Below Standard</w:t>
            </w:r>
          </w:p>
        </w:tc>
        <w:tc>
          <w:tcPr>
            <w:tcW w:w="2167" w:type="dxa"/>
            <w:shd w:val="clear" w:color="auto" w:fill="D9D9D9" w:themeFill="background1" w:themeFillShade="D9"/>
          </w:tcPr>
          <w:p w14:paraId="39CE503B" w14:textId="77777777" w:rsidR="0083260D" w:rsidRPr="007C25F9" w:rsidRDefault="0083260D" w:rsidP="00D41927">
            <w:pPr>
              <w:rPr>
                <w:b/>
                <w:bCs/>
              </w:rPr>
            </w:pPr>
            <w:r w:rsidRPr="007C25F9">
              <w:rPr>
                <w:b/>
                <w:bCs/>
              </w:rPr>
              <w:t>Distance From Standard</w:t>
            </w:r>
          </w:p>
        </w:tc>
      </w:tr>
      <w:tr w:rsidR="0083260D" w:rsidRPr="007C25F9" w14:paraId="38E779EA" w14:textId="77777777" w:rsidTr="00927BE3">
        <w:trPr>
          <w:cantSplit/>
          <w:tblHeader/>
        </w:trPr>
        <w:tc>
          <w:tcPr>
            <w:tcW w:w="2655" w:type="dxa"/>
          </w:tcPr>
          <w:p w14:paraId="0B62ED9A" w14:textId="77777777" w:rsidR="0083260D" w:rsidRPr="007C25F9" w:rsidRDefault="0083260D" w:rsidP="00D41927">
            <w:r w:rsidRPr="007C25F9">
              <w:t>English Language Arts</w:t>
            </w:r>
          </w:p>
        </w:tc>
        <w:tc>
          <w:tcPr>
            <w:tcW w:w="2061" w:type="dxa"/>
          </w:tcPr>
          <w:p w14:paraId="6D41D927" w14:textId="77777777" w:rsidR="0083260D" w:rsidRPr="007C25F9" w:rsidRDefault="0083260D" w:rsidP="00D41927">
            <w:r w:rsidRPr="00DF6992">
              <w:rPr>
                <w:noProof/>
              </w:rPr>
              <w:t>Green</w:t>
            </w:r>
          </w:p>
        </w:tc>
        <w:tc>
          <w:tcPr>
            <w:tcW w:w="2467" w:type="dxa"/>
          </w:tcPr>
          <w:p w14:paraId="12348D74" w14:textId="77777777" w:rsidR="0083260D" w:rsidRPr="007C25F9" w:rsidRDefault="0083260D" w:rsidP="00D41927">
            <w:r w:rsidRPr="00DF6992">
              <w:rPr>
                <w:noProof/>
              </w:rPr>
              <w:t>Above standard</w:t>
            </w:r>
          </w:p>
        </w:tc>
        <w:tc>
          <w:tcPr>
            <w:tcW w:w="2167" w:type="dxa"/>
          </w:tcPr>
          <w:p w14:paraId="05235E5B" w14:textId="77777777" w:rsidR="0083260D" w:rsidRPr="007C25F9" w:rsidRDefault="0083260D" w:rsidP="00D41927">
            <w:r w:rsidRPr="00DF6992">
              <w:rPr>
                <w:noProof/>
              </w:rPr>
              <w:t>26.2</w:t>
            </w:r>
          </w:p>
        </w:tc>
      </w:tr>
      <w:tr w:rsidR="0083260D" w:rsidRPr="007C25F9" w14:paraId="134495FC" w14:textId="77777777" w:rsidTr="00927BE3">
        <w:trPr>
          <w:cantSplit/>
          <w:tblHeader/>
        </w:trPr>
        <w:tc>
          <w:tcPr>
            <w:tcW w:w="2655" w:type="dxa"/>
          </w:tcPr>
          <w:p w14:paraId="233CC9F8" w14:textId="77777777" w:rsidR="0083260D" w:rsidRPr="007C25F9" w:rsidRDefault="0083260D" w:rsidP="00D41927">
            <w:r w:rsidRPr="007C25F9">
              <w:t>Mathematics</w:t>
            </w:r>
          </w:p>
        </w:tc>
        <w:tc>
          <w:tcPr>
            <w:tcW w:w="2061" w:type="dxa"/>
          </w:tcPr>
          <w:p w14:paraId="6E1CFF44" w14:textId="77777777" w:rsidR="0083260D" w:rsidRPr="007C25F9" w:rsidRDefault="0083260D" w:rsidP="00D41927">
            <w:r w:rsidRPr="00DF6992">
              <w:rPr>
                <w:noProof/>
              </w:rPr>
              <w:t>Green</w:t>
            </w:r>
          </w:p>
        </w:tc>
        <w:tc>
          <w:tcPr>
            <w:tcW w:w="2467" w:type="dxa"/>
          </w:tcPr>
          <w:p w14:paraId="6979BB2D" w14:textId="77777777" w:rsidR="0083260D" w:rsidRPr="007C25F9" w:rsidRDefault="0083260D" w:rsidP="00D41927">
            <w:r w:rsidRPr="00DF6992">
              <w:rPr>
                <w:noProof/>
              </w:rPr>
              <w:t>Below standard</w:t>
            </w:r>
          </w:p>
        </w:tc>
        <w:tc>
          <w:tcPr>
            <w:tcW w:w="2167" w:type="dxa"/>
          </w:tcPr>
          <w:p w14:paraId="7E0EA7B4" w14:textId="77777777" w:rsidR="0083260D" w:rsidRPr="007C25F9" w:rsidRDefault="0083260D" w:rsidP="00D41927">
            <w:r w:rsidRPr="00DF6992">
              <w:rPr>
                <w:noProof/>
              </w:rPr>
              <w:t>47.4</w:t>
            </w:r>
          </w:p>
        </w:tc>
      </w:tr>
    </w:tbl>
    <w:p w14:paraId="493AA61C" w14:textId="77777777" w:rsidR="0083260D" w:rsidRPr="007C25F9" w:rsidRDefault="0083260D" w:rsidP="00A42D0A">
      <w:pPr>
        <w:pStyle w:val="Heading4"/>
      </w:pPr>
      <w:r>
        <w:t xml:space="preserve">2024–25 </w:t>
      </w:r>
      <w:r w:rsidRPr="007C25F9">
        <w:t>California Assessment of Student Performance and Progress</w:t>
      </w:r>
    </w:p>
    <w:p w14:paraId="6A035789" w14:textId="77777777" w:rsidR="0083260D" w:rsidRPr="007C25F9" w:rsidRDefault="0083260D">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83260D" w:rsidRPr="007C25F9" w14:paraId="6E32FEF7" w14:textId="77777777" w:rsidTr="007929F6">
        <w:trPr>
          <w:cantSplit/>
          <w:tblHeader/>
        </w:trPr>
        <w:tc>
          <w:tcPr>
            <w:tcW w:w="4675" w:type="dxa"/>
            <w:shd w:val="clear" w:color="auto" w:fill="D9D9D9" w:themeFill="background1" w:themeFillShade="D9"/>
          </w:tcPr>
          <w:p w14:paraId="1D421B08" w14:textId="77777777" w:rsidR="0083260D" w:rsidRPr="007C25F9" w:rsidRDefault="0083260D" w:rsidP="00D41927">
            <w:pPr>
              <w:rPr>
                <w:b/>
                <w:bCs/>
              </w:rPr>
            </w:pPr>
            <w:r w:rsidRPr="007C25F9">
              <w:rPr>
                <w:b/>
                <w:bCs/>
              </w:rPr>
              <w:t>Prompt</w:t>
            </w:r>
          </w:p>
        </w:tc>
        <w:tc>
          <w:tcPr>
            <w:tcW w:w="4675" w:type="dxa"/>
            <w:shd w:val="clear" w:color="auto" w:fill="D9D9D9" w:themeFill="background1" w:themeFillShade="D9"/>
          </w:tcPr>
          <w:p w14:paraId="0C13C9D7" w14:textId="77777777" w:rsidR="0083260D" w:rsidRPr="007C25F9" w:rsidRDefault="0083260D" w:rsidP="00D41927">
            <w:pPr>
              <w:rPr>
                <w:b/>
                <w:bCs/>
              </w:rPr>
            </w:pPr>
            <w:r w:rsidRPr="007C25F9">
              <w:rPr>
                <w:b/>
                <w:bCs/>
              </w:rPr>
              <w:t>Percentage</w:t>
            </w:r>
          </w:p>
        </w:tc>
      </w:tr>
      <w:tr w:rsidR="0083260D" w:rsidRPr="007C25F9" w14:paraId="09313D30" w14:textId="77777777" w:rsidTr="007929F6">
        <w:trPr>
          <w:cantSplit/>
          <w:tblHeader/>
        </w:trPr>
        <w:tc>
          <w:tcPr>
            <w:tcW w:w="4675" w:type="dxa"/>
          </w:tcPr>
          <w:p w14:paraId="356C3CF9" w14:textId="77777777" w:rsidR="0083260D" w:rsidRPr="007C25F9" w:rsidRDefault="0083260D" w:rsidP="00D41927">
            <w:r w:rsidRPr="007C25F9">
              <w:t>English Language Arts</w:t>
            </w:r>
          </w:p>
        </w:tc>
        <w:tc>
          <w:tcPr>
            <w:tcW w:w="4675" w:type="dxa"/>
          </w:tcPr>
          <w:p w14:paraId="146BDE06" w14:textId="77777777" w:rsidR="0083260D" w:rsidRPr="007C25F9" w:rsidRDefault="0083260D" w:rsidP="00D41927">
            <w:r w:rsidRPr="00DF6992">
              <w:rPr>
                <w:noProof/>
              </w:rPr>
              <w:t>58.34</w:t>
            </w:r>
          </w:p>
        </w:tc>
      </w:tr>
      <w:tr w:rsidR="0083260D" w:rsidRPr="007C25F9" w14:paraId="68806330" w14:textId="77777777" w:rsidTr="007929F6">
        <w:trPr>
          <w:cantSplit/>
          <w:tblHeader/>
        </w:trPr>
        <w:tc>
          <w:tcPr>
            <w:tcW w:w="4675" w:type="dxa"/>
          </w:tcPr>
          <w:p w14:paraId="410505F9" w14:textId="77777777" w:rsidR="0083260D" w:rsidRPr="007C25F9" w:rsidRDefault="0083260D" w:rsidP="00D41927">
            <w:r w:rsidRPr="007C25F9">
              <w:t>Mathematics</w:t>
            </w:r>
          </w:p>
        </w:tc>
        <w:tc>
          <w:tcPr>
            <w:tcW w:w="4675" w:type="dxa"/>
          </w:tcPr>
          <w:p w14:paraId="78C2E963" w14:textId="77777777" w:rsidR="0083260D" w:rsidRPr="007C25F9" w:rsidRDefault="0083260D" w:rsidP="00D41927">
            <w:r w:rsidRPr="00DF6992">
              <w:rPr>
                <w:noProof/>
              </w:rPr>
              <w:t>30.55</w:t>
            </w:r>
          </w:p>
        </w:tc>
      </w:tr>
    </w:tbl>
    <w:p w14:paraId="206A1BC1" w14:textId="77777777" w:rsidR="0083260D" w:rsidRPr="007C25F9" w:rsidRDefault="0083260D">
      <w:pPr>
        <w:spacing w:before="0"/>
        <w:rPr>
          <w:rFonts w:eastAsiaTheme="majorEastAsia"/>
          <w:b/>
          <w:bCs/>
          <w:sz w:val="32"/>
          <w:szCs w:val="32"/>
        </w:rPr>
      </w:pPr>
      <w:r w:rsidRPr="007C25F9">
        <w:br w:type="page"/>
      </w:r>
    </w:p>
    <w:p w14:paraId="21B7837F" w14:textId="77777777" w:rsidR="0083260D" w:rsidRPr="007C25F9" w:rsidRDefault="0083260D" w:rsidP="00A42D0A">
      <w:pPr>
        <w:pStyle w:val="Heading3"/>
      </w:pPr>
      <w:r w:rsidRPr="007C25F9">
        <w:lastRenderedPageBreak/>
        <w:t>Section 3. Areas of Greatest Progress and Need</w:t>
      </w:r>
    </w:p>
    <w:p w14:paraId="5FE643ED" w14:textId="77777777" w:rsidR="0083260D" w:rsidRPr="00EA4CF5" w:rsidRDefault="0083260D" w:rsidP="00EA4CF5">
      <w:pPr>
        <w:numPr>
          <w:ilvl w:val="0"/>
          <w:numId w:val="13"/>
        </w:numPr>
        <w:ind w:left="0"/>
        <w:rPr>
          <w:b/>
          <w:bCs/>
        </w:rPr>
      </w:pPr>
      <w:r w:rsidRPr="00EA4CF5">
        <w:rPr>
          <w:b/>
          <w:bCs/>
        </w:rPr>
        <w:t>Based on California School Dashboard (Dashboard) data, identify the charter school’s areas of greatest progress.</w:t>
      </w:r>
    </w:p>
    <w:p w14:paraId="2DE8D305" w14:textId="77777777" w:rsidR="00505F94" w:rsidRDefault="0083260D" w:rsidP="0003147F">
      <w:pPr>
        <w:rPr>
          <w:noProof/>
        </w:rPr>
      </w:pPr>
      <w:r w:rsidRPr="00DF6992">
        <w:rPr>
          <w:noProof/>
        </w:rPr>
        <w:t xml:space="preserve">Based on California School Dashboard data, KNCP demonstrated significant progress across multiple indicators, with particularly strong gains in Mathematics achievement and continued strength in English Language Arts performance.  </w:t>
      </w:r>
    </w:p>
    <w:p w14:paraId="5080DD48" w14:textId="77777777" w:rsidR="00505F94" w:rsidRDefault="0083260D" w:rsidP="0003147F">
      <w:pPr>
        <w:rPr>
          <w:noProof/>
        </w:rPr>
      </w:pPr>
      <w:r w:rsidRPr="00DF6992">
        <w:rPr>
          <w:noProof/>
        </w:rPr>
        <w:t xml:space="preserve">The most substantial area of progress was in Mathematics, where the school achieved a remarkable 55.9-point increase overall, earning a Green rating. This growth was especially pronounced among Socioeconomically Disadvantaged students, who increased by an exceptional 50.5 points. That magnitude of single-year growth is a notable equity indicator and reflects sustained, targeted instructional investment. </w:t>
      </w:r>
    </w:p>
    <w:p w14:paraId="2F35311D" w14:textId="77777777" w:rsidR="00505F94" w:rsidRDefault="0083260D" w:rsidP="0003147F">
      <w:pPr>
        <w:rPr>
          <w:noProof/>
        </w:rPr>
      </w:pPr>
      <w:r w:rsidRPr="00DF6992">
        <w:rPr>
          <w:noProof/>
        </w:rPr>
        <w:t xml:space="preserve">In English Language Arts, KNCP sustained and built upon prior year gains, now performing 28.2 points above standard with an 8.7-point increase and a Green rating overall. Socioeconomically Disadvantaged students and Hispanic students also earned a Green rating in ELA, reflecting the school's continued commitment to closing achievement gaps across content areas.  </w:t>
      </w:r>
    </w:p>
    <w:p w14:paraId="1FC8C520" w14:textId="7AB5E593" w:rsidR="0083260D" w:rsidRPr="007C25F9" w:rsidRDefault="0083260D" w:rsidP="0003147F">
      <w:r w:rsidRPr="00DF6992">
        <w:rPr>
          <w:noProof/>
        </w:rPr>
        <w:t>Th English Learner Progress Indicator showed continued improvement with a 2.3% increase and a Green rating overall, with Long Term English Learners earning a Green rating as well. This sustained progress reflects the school's ongoing investment in language development supports that moves English Learners toward proficiency and academic success.</w:t>
      </w:r>
    </w:p>
    <w:p w14:paraId="743F10EC" w14:textId="77777777" w:rsidR="0083260D" w:rsidRPr="00EA4CF5" w:rsidRDefault="0083260D" w:rsidP="00EA4CF5">
      <w:pPr>
        <w:numPr>
          <w:ilvl w:val="0"/>
          <w:numId w:val="13"/>
        </w:numPr>
        <w:ind w:left="0"/>
        <w:rPr>
          <w:b/>
          <w:bCs/>
        </w:rPr>
      </w:pPr>
      <w:r w:rsidRPr="00EA4CF5">
        <w:rPr>
          <w:b/>
          <w:bCs/>
        </w:rPr>
        <w:t>What internal assessments (not CAASPP) are being used to demonstrate the charter school’s areas of greatest progress? Are any of these assessments on the approved verified data list? If so, which ones?</w:t>
      </w:r>
    </w:p>
    <w:p w14:paraId="608EF060" w14:textId="77777777" w:rsidR="00505F94" w:rsidRDefault="0083260D" w:rsidP="0003147F">
      <w:pPr>
        <w:rPr>
          <w:noProof/>
        </w:rPr>
      </w:pPr>
      <w:r w:rsidRPr="00DF6992">
        <w:rPr>
          <w:noProof/>
        </w:rPr>
        <w:t xml:space="preserve">KNCP utilizes robust internal assessment systems, though none are currently listed on the approved verified data list. The cornerstone of our assessment framework is our quarterly Curriculum Imbedded Assessments (CIAs) conducted across core subjects including ELA, Math, Social Studies, and Science. These assessments are specifically designed to measure student mastery of AP standards and serve as predictive indicators for both CAASPP and AP exam readiness. </w:t>
      </w:r>
    </w:p>
    <w:p w14:paraId="69E6118B" w14:textId="77777777" w:rsidR="00505F94" w:rsidRDefault="0083260D" w:rsidP="0003147F">
      <w:pPr>
        <w:rPr>
          <w:noProof/>
        </w:rPr>
      </w:pPr>
      <w:r w:rsidRPr="00DF6992">
        <w:rPr>
          <w:noProof/>
        </w:rPr>
        <w:t xml:space="preserve">Our internal assessment system is deeply integrated with our data-driven instructional improvement process. Teachers engage in quarterly regional data analysis days to examine CIA results in detail, using this information to develop targeted reteach plans based on identified learning gaps. Instructional coaches work closely with teachers to develop and implement these improvement strategies, providing real-time coaching and classroom observation feedback to ensure effective implementation. </w:t>
      </w:r>
    </w:p>
    <w:p w14:paraId="327925B2" w14:textId="66A8843D" w:rsidR="0083260D" w:rsidRPr="007C25F9" w:rsidRDefault="0083260D" w:rsidP="0003147F">
      <w:r w:rsidRPr="00DF6992">
        <w:rPr>
          <w:noProof/>
        </w:rPr>
        <w:lastRenderedPageBreak/>
        <w:t>These assessment practices align with and support our college readiness mission, which includes our school-wide goal for all students to pass a minimum of two AP exams by graduation. By providing AP course access to all students throughout high school, our internal assessment system is designed to support this college preparatory focus. While these internal assessments provide valuable data for instructional decision-making and monitoring student progress toward college readiness, we acknowledge that they are not currently included on the approved verified data list. The school continues to evaluate opportunities to incorporate verified assessments while maintaining our current successful internal assessment practices.</w:t>
      </w:r>
    </w:p>
    <w:p w14:paraId="6CA7F028" w14:textId="77777777" w:rsidR="0083260D" w:rsidRPr="00EA4CF5" w:rsidRDefault="0083260D" w:rsidP="00EA4CF5">
      <w:pPr>
        <w:numPr>
          <w:ilvl w:val="0"/>
          <w:numId w:val="13"/>
        </w:numPr>
        <w:ind w:left="0"/>
        <w:rPr>
          <w:b/>
          <w:bCs/>
        </w:rPr>
      </w:pPr>
      <w:r w:rsidRPr="00EA4CF5">
        <w:rPr>
          <w:b/>
          <w:bCs/>
        </w:rPr>
        <w:t>Based on Dashboard data, identify the charter school’s areas of greatest need. Include references to student groups.</w:t>
      </w:r>
    </w:p>
    <w:p w14:paraId="01B52E37" w14:textId="77777777" w:rsidR="0083260D" w:rsidRPr="007C25F9" w:rsidRDefault="0083260D" w:rsidP="0003147F">
      <w:r w:rsidRPr="00DF6992">
        <w:rPr>
          <w:noProof/>
        </w:rPr>
        <w:t>Based on California School Dashboard data, graduation rate emerges as KIPP Navigate's most significant area of need for the 2024-25 school year. The overall graduation rate declined by 5.8% to 86.3%, which is a meaningful drop that warrants focused attention. This decline was reflected across multiple student populations: Hispanic students graduated at 85.5% (down 3.9%), Socioeconomically Disadvantaged students at 86.8% (down 6.1%), English Learners at 76.9% (down 12.6%), and Asian students at 93.3% (down 6.7%). One notable bright spot within the data is Long-Term English Learners, whose graduation rate increased by 3.8% to 89.5%.</w:t>
      </w:r>
    </w:p>
    <w:p w14:paraId="1EBA94E0" w14:textId="77777777" w:rsidR="0083260D" w:rsidRPr="00EA4CF5" w:rsidRDefault="0083260D" w:rsidP="00EA4CF5">
      <w:pPr>
        <w:numPr>
          <w:ilvl w:val="0"/>
          <w:numId w:val="13"/>
        </w:numPr>
        <w:ind w:left="0"/>
        <w:rPr>
          <w:b/>
          <w:bCs/>
        </w:rPr>
      </w:pPr>
      <w:r w:rsidRPr="00EA4CF5">
        <w:rPr>
          <w:b/>
          <w:bCs/>
        </w:rPr>
        <w:t>How is the charter school addressing these areas of need? Include references to student groups.</w:t>
      </w:r>
    </w:p>
    <w:p w14:paraId="26D5B2D8" w14:textId="77777777" w:rsidR="00505F94" w:rsidRDefault="0083260D" w:rsidP="0003147F">
      <w:pPr>
        <w:rPr>
          <w:noProof/>
        </w:rPr>
      </w:pPr>
      <w:r w:rsidRPr="00DF6992">
        <w:rPr>
          <w:noProof/>
        </w:rPr>
        <w:t xml:space="preserve">KNCP has implemented a comprehensive approach to address graduation rate, with particular attention to supporting English Learners, who demonstrated the steepest decline in graduation rate this year. A key component of this work is the integration of ELD teachers into the school's leadership team, ensuring that the needs of English Learners are centered in school-wide planning and decision-making rather than addressed in isolation. This structural commitment reflects an understanding that language development and academic persistence are interconnected, and that supporting ELs to graduation requires coordination across roles and departments. </w:t>
      </w:r>
    </w:p>
    <w:p w14:paraId="76EE253F" w14:textId="3A3BE53A" w:rsidR="0083260D" w:rsidRPr="007C25F9" w:rsidRDefault="0083260D" w:rsidP="0003147F">
      <w:pPr>
        <w:rPr>
          <w:rFonts w:cs="Arial"/>
        </w:rPr>
      </w:pPr>
      <w:r w:rsidRPr="00DF6992">
        <w:rPr>
          <w:noProof/>
        </w:rPr>
        <w:t>To identify students at risk of not graduating before gaps become insurmountable, the school has refocused on early monitoring where student progress is tracked across key indicators tied to graduation eligibility. This proactive approach allows staff to intervene earlier and more deliberately, rather than responding only when students are already significantly off track. Targeted counseling and advising supports complement this system, ensuring that students have consistent access to guidance about graduation requirements, course completion, and next steps.</w:t>
      </w:r>
    </w:p>
    <w:p w14:paraId="2917EADB" w14:textId="77777777" w:rsidR="0083260D" w:rsidRPr="007C25F9" w:rsidRDefault="0083260D">
      <w:pPr>
        <w:spacing w:before="0"/>
        <w:rPr>
          <w:rFonts w:eastAsiaTheme="majorEastAsia"/>
          <w:b/>
          <w:bCs/>
          <w:sz w:val="32"/>
          <w:szCs w:val="32"/>
        </w:rPr>
      </w:pPr>
      <w:r w:rsidRPr="007C25F9">
        <w:br w:type="page"/>
      </w:r>
    </w:p>
    <w:p w14:paraId="1599AEE6" w14:textId="77777777" w:rsidR="0083260D" w:rsidRPr="007C25F9" w:rsidRDefault="0083260D" w:rsidP="00A42D0A">
      <w:pPr>
        <w:pStyle w:val="Heading3"/>
      </w:pPr>
      <w:r w:rsidRPr="007C25F9">
        <w:lastRenderedPageBreak/>
        <w:t>Section 4. Summary of Performance on Measurable Pupil Outcomes</w:t>
      </w:r>
    </w:p>
    <w:p w14:paraId="3B1C45C6" w14:textId="77777777" w:rsidR="0083260D" w:rsidRPr="00EA4CF5" w:rsidRDefault="0083260D" w:rsidP="00EA4CF5">
      <w:pPr>
        <w:numPr>
          <w:ilvl w:val="0"/>
          <w:numId w:val="14"/>
        </w:numPr>
        <w:ind w:left="0"/>
        <w:rPr>
          <w:b/>
          <w:bCs/>
        </w:rPr>
      </w:pPr>
      <w:r w:rsidRPr="00EA4CF5">
        <w:rPr>
          <w:b/>
          <w:bCs/>
        </w:rPr>
        <w:t>Identify the Measurable Pupil Outcomes in Element 2 of the charter petition. Summarize the performance for each outcome.</w:t>
      </w:r>
    </w:p>
    <w:p w14:paraId="3FEF0F0C" w14:textId="77777777" w:rsidR="00505F94" w:rsidRDefault="0083260D" w:rsidP="0003147F">
      <w:pPr>
        <w:rPr>
          <w:rFonts w:cs="Arial"/>
          <w:noProof/>
        </w:rPr>
      </w:pPr>
      <w:r w:rsidRPr="00DF6992">
        <w:rPr>
          <w:rFonts w:cs="Arial"/>
          <w:noProof/>
        </w:rPr>
        <w:t xml:space="preserve">State Assessments - Metrics for this goal have been met or partially met with the school exceeding state school results by over 20 points and the local district by 20 points for the English Language Arts. English Learner Progress exceeds the local district by 13.2 points and saw an overall 2.3% growth in the 24-25 state testing results. The results for Mathematics also exceeded the local district results by nearly 18 points. </w:t>
      </w:r>
    </w:p>
    <w:p w14:paraId="7B07AB45" w14:textId="77777777" w:rsidR="00505F94" w:rsidRDefault="0083260D" w:rsidP="0003147F">
      <w:pPr>
        <w:rPr>
          <w:rFonts w:cs="Arial"/>
          <w:noProof/>
        </w:rPr>
      </w:pPr>
      <w:r w:rsidRPr="00DF6992">
        <w:rPr>
          <w:rFonts w:cs="Arial"/>
          <w:noProof/>
        </w:rPr>
        <w:t xml:space="preserve">College Readiness - Metrics for this goal have been met or partially met with 100% of graduating seniors participating in AP classes and examinations.  A 41% AP pass rate, a 12% increase from the previous, is moving the school closer to the 50% goal. More promising is the college and career readiness indicator for the 24-25 school year, demonstrating 86.3% student preparedness, which exceeds the state and the local district by over 30%.  </w:t>
      </w:r>
    </w:p>
    <w:p w14:paraId="3E9DDF63" w14:textId="77777777" w:rsidR="00505F94" w:rsidRDefault="0083260D" w:rsidP="0003147F">
      <w:pPr>
        <w:rPr>
          <w:rFonts w:cs="Arial"/>
          <w:noProof/>
        </w:rPr>
      </w:pPr>
      <w:r w:rsidRPr="00DF6992">
        <w:rPr>
          <w:rFonts w:cs="Arial"/>
          <w:noProof/>
        </w:rPr>
        <w:t xml:space="preserve">High School Completion - Metrics for this goal have been met, with 92.1% of students graduating, outpacing the state and local district by 5%. Of those graduating seniors, all are meeting A- G requirements, with those exempted due to IEPs.  </w:t>
      </w:r>
    </w:p>
    <w:p w14:paraId="46AD92A6" w14:textId="68FEACAC" w:rsidR="00177595" w:rsidRDefault="0083260D" w:rsidP="0003147F">
      <w:pPr>
        <w:rPr>
          <w:rFonts w:cs="Arial"/>
          <w:noProof/>
        </w:rPr>
      </w:pPr>
      <w:r w:rsidRPr="00DF6992">
        <w:rPr>
          <w:rFonts w:cs="Arial"/>
          <w:noProof/>
        </w:rPr>
        <w:t>College/Career Completion - Metrics for this outcome are on track, with 91% of KNCP students moving to a BA/BS pathway.</w:t>
      </w:r>
    </w:p>
    <w:p w14:paraId="3CCB9422" w14:textId="00F43E3D" w:rsidR="0083260D" w:rsidRPr="007C25F9" w:rsidRDefault="00177595" w:rsidP="00177595">
      <w:pPr>
        <w:spacing w:before="0"/>
        <w:rPr>
          <w:rFonts w:cs="Arial"/>
          <w:noProof/>
        </w:rPr>
      </w:pPr>
      <w:r>
        <w:rPr>
          <w:rFonts w:cs="Arial"/>
          <w:noProof/>
        </w:rPr>
        <w:br w:type="page"/>
      </w:r>
    </w:p>
    <w:p w14:paraId="0BDFBC5B" w14:textId="77777777" w:rsidR="0083260D" w:rsidRPr="007C25F9" w:rsidRDefault="0083260D" w:rsidP="00A42D0A">
      <w:pPr>
        <w:pStyle w:val="Heading3"/>
      </w:pPr>
      <w:r w:rsidRPr="007C25F9">
        <w:lastRenderedPageBreak/>
        <w:t>Section 5. Local Control and Accountability Plan Progress</w:t>
      </w:r>
    </w:p>
    <w:p w14:paraId="2054DA4C" w14:textId="77777777" w:rsidR="0083260D" w:rsidRPr="00EA4CF5" w:rsidRDefault="0083260D" w:rsidP="00EA4CF5">
      <w:pPr>
        <w:numPr>
          <w:ilvl w:val="0"/>
          <w:numId w:val="15"/>
        </w:numPr>
        <w:ind w:left="0"/>
        <w:rPr>
          <w:b/>
          <w:bCs/>
        </w:rPr>
      </w:pPr>
      <w:r w:rsidRPr="00EA4CF5">
        <w:rPr>
          <w:b/>
          <w:bCs/>
        </w:rPr>
        <w:t>Provide a summary of progress made in meeting the charter school’s 202</w:t>
      </w:r>
      <w:r>
        <w:rPr>
          <w:b/>
          <w:bCs/>
        </w:rPr>
        <w:t>4</w:t>
      </w:r>
      <w:r w:rsidRPr="00EA4CF5">
        <w:rPr>
          <w:b/>
          <w:bCs/>
        </w:rPr>
        <w:t>–2</w:t>
      </w:r>
      <w:r>
        <w:rPr>
          <w:b/>
          <w:bCs/>
        </w:rPr>
        <w:t>5</w:t>
      </w:r>
      <w:r w:rsidRPr="00EA4CF5">
        <w:rPr>
          <w:b/>
          <w:bCs/>
        </w:rPr>
        <w:t xml:space="preserve"> Local Control and Accountability Plan (LCAP) goals.</w:t>
      </w:r>
    </w:p>
    <w:p w14:paraId="2664362F" w14:textId="77777777" w:rsidR="00505F94" w:rsidRDefault="0083260D" w:rsidP="0003147F">
      <w:pPr>
        <w:rPr>
          <w:rFonts w:cs="Arial"/>
          <w:noProof/>
        </w:rPr>
      </w:pPr>
      <w:r w:rsidRPr="00DF6992">
        <w:rPr>
          <w:rFonts w:cs="Arial"/>
          <w:noProof/>
        </w:rPr>
        <w:t xml:space="preserve">The planned actions and services included in Goal 1: all students will achieve, is partially met and in progress during year 2 of the 3 year LCAP. KIPP relies on state testing results as one of many indicators in determining the level of progress towards meeting this academic outcome goal. 58% of students at KIPP were proficient in ELA and 31% were proficient in Math. ELPI results for Multilingual Learners show that 46% of students are improving their language proficiency. The College Readiness indicator on the CA Dashboard indicates 86% of students are prepared, leading both the state and local district. In the current 2024-27 LCAP cycle there are focused academic goals with improved actions and services to support more successful student outcomes, especially mathematics where we’ve seen growth that we want to sustain. These include increased and improved professional development, weekly data reviews and continued growth in the co-teaching model. </w:t>
      </w:r>
    </w:p>
    <w:p w14:paraId="4FAB9E3B" w14:textId="77777777" w:rsidR="00505F94" w:rsidRDefault="0083260D" w:rsidP="0003147F">
      <w:pPr>
        <w:rPr>
          <w:rFonts w:cs="Arial"/>
          <w:noProof/>
        </w:rPr>
      </w:pPr>
      <w:r w:rsidRPr="00DF6992">
        <w:rPr>
          <w:rFonts w:cs="Arial"/>
          <w:noProof/>
        </w:rPr>
        <w:t xml:space="preserve">The planned actions and services included in Goal 2: all students and families will be engaged with the school community, is partially met and in progress during year 2 of the 3 year LCAP.  KIPP reviews multiple metrics to determine if the actions and services have been effective in meeting our engagement goal, including but not limited to pupil social-emotional engagement, family surveys, and suspensions. KIPP continues to focus on attendance data, which is being reviewed regularly to identify supports and interventions. KNCP recognizes that missed classroom learning time has a downstream impact on other important engagement indicators (suspension rates, school climate, emotional safety, etc.) and academic indicators (testing results). While chronic absence has continued to decrease (currently tracking 8% lower than the previous year), there is still a high rate of students that are not attending as regularly as is necessary to continue to make academic progress. KIPP will continue to focus on reducing chronic absence in the 2024-27 LCAP.  </w:t>
      </w:r>
    </w:p>
    <w:p w14:paraId="7247633B" w14:textId="6D7F8203" w:rsidR="0083260D" w:rsidRPr="007C25F9" w:rsidRDefault="0083260D" w:rsidP="0003147F">
      <w:r w:rsidRPr="00DF6992">
        <w:rPr>
          <w:rFonts w:cs="Arial"/>
          <w:noProof/>
        </w:rPr>
        <w:t>The planned actions and services included in Goal 3: all students will have the spaces, resources and opportunities to achieve are partially met and in progress during year 2 of the 3 year LCAP.  KIPP’s largest financial investment is in the teaching staff that support our students. When teachers feel supported in their instructional practice and are aligned with the academic curriculum, teachers are retained at a higher rate and the result is more continuity for students and families year over year. KIPP saw a decline this year and was 2% short of the 75% goal of teachers satisfied with the support of their instructional practice. At 73% this year, with a 10% decrease, KNCP has reviewed  structures and expectations related to teacher coaching and observation and will continue to seek improvement through continued feedback from staff.</w:t>
      </w:r>
    </w:p>
    <w:p w14:paraId="37B6D588" w14:textId="77777777" w:rsidR="0083260D" w:rsidRPr="00EA4CF5" w:rsidRDefault="0083260D" w:rsidP="00EA4CF5">
      <w:pPr>
        <w:numPr>
          <w:ilvl w:val="0"/>
          <w:numId w:val="15"/>
        </w:numPr>
        <w:ind w:left="0"/>
        <w:rPr>
          <w:b/>
          <w:bCs/>
        </w:rPr>
      </w:pPr>
      <w:r w:rsidRPr="00EA4CF5">
        <w:rPr>
          <w:b/>
          <w:bCs/>
        </w:rPr>
        <w:t>Provide a summary of the charter school’s 202</w:t>
      </w:r>
      <w:r>
        <w:rPr>
          <w:b/>
          <w:bCs/>
        </w:rPr>
        <w:t>5</w:t>
      </w:r>
      <w:r w:rsidRPr="00EA4CF5">
        <w:rPr>
          <w:b/>
          <w:bCs/>
        </w:rPr>
        <w:t>–2</w:t>
      </w:r>
      <w:r>
        <w:rPr>
          <w:b/>
          <w:bCs/>
        </w:rPr>
        <w:t>6</w:t>
      </w:r>
      <w:r w:rsidRPr="00EA4CF5">
        <w:rPr>
          <w:b/>
          <w:bCs/>
        </w:rPr>
        <w:t xml:space="preserve"> LCAP mid-year update that describes what the charter school is doing to increase community input.</w:t>
      </w:r>
    </w:p>
    <w:p w14:paraId="7C2A890F" w14:textId="77777777" w:rsidR="0083260D" w:rsidRPr="007C25F9" w:rsidRDefault="0083260D" w:rsidP="0003147F">
      <w:pPr>
        <w:rPr>
          <w:rFonts w:cs="Arial"/>
        </w:rPr>
      </w:pPr>
      <w:r w:rsidRPr="00DF6992">
        <w:rPr>
          <w:rFonts w:cs="Arial"/>
          <w:noProof/>
        </w:rPr>
        <w:lastRenderedPageBreak/>
        <w:t>This year's Local Control and Accountability planning process at KIPP emphasizes meaningful engagement opportunities for families, students, teachers, and school leadership to refine goals and actionable steps aimed at enhancing student outcomes. Families are invited to attend various events, including LCAP meetings, Coffee with the School Leader sessions, and more, where interpreters and translated materials ensure equitable engagement. Students provide feedback through Pulse Surveys, while teachers engage through surveys, meetings, and staff development. School leadership collaborates with regional departments to inform goals and outcomes, fostering community involvement and accountability. Governance structures are made accessible through public hearings, virtual teleconferencing, and online resources, promoting transparency and engagement within the school community.</w:t>
      </w:r>
    </w:p>
    <w:p w14:paraId="06D90FAB" w14:textId="77777777" w:rsidR="0083260D" w:rsidRPr="007C25F9" w:rsidRDefault="0083260D">
      <w:pPr>
        <w:spacing w:before="0"/>
        <w:rPr>
          <w:rFonts w:eastAsiaTheme="majorEastAsia"/>
          <w:b/>
          <w:bCs/>
          <w:sz w:val="32"/>
          <w:szCs w:val="32"/>
        </w:rPr>
      </w:pPr>
      <w:r w:rsidRPr="007C25F9">
        <w:br w:type="page"/>
      </w:r>
    </w:p>
    <w:p w14:paraId="503AD97A" w14:textId="77777777" w:rsidR="0083260D" w:rsidRPr="007C25F9" w:rsidRDefault="0083260D" w:rsidP="00A42D0A">
      <w:pPr>
        <w:pStyle w:val="Heading3"/>
      </w:pPr>
      <w:r w:rsidRPr="007C25F9">
        <w:lastRenderedPageBreak/>
        <w:t>Section 6. Differentiated Assistance</w:t>
      </w:r>
    </w:p>
    <w:p w14:paraId="7CB60CA9" w14:textId="77777777" w:rsidR="0083260D" w:rsidRPr="00EA4CF5" w:rsidRDefault="0083260D" w:rsidP="00EA4CF5">
      <w:pPr>
        <w:numPr>
          <w:ilvl w:val="0"/>
          <w:numId w:val="16"/>
        </w:numPr>
        <w:ind w:left="0"/>
        <w:rPr>
          <w:b/>
          <w:bCs/>
        </w:rPr>
      </w:pPr>
      <w:r w:rsidRPr="00EA4CF5">
        <w:rPr>
          <w:b/>
          <w:bCs/>
        </w:rPr>
        <w:t>Does the charter school qualify for Differentiated Assistance</w:t>
      </w:r>
      <w:r>
        <w:rPr>
          <w:b/>
          <w:bCs/>
        </w:rPr>
        <w:t xml:space="preserve"> for the 2025–26 school year</w:t>
      </w:r>
      <w:r w:rsidRPr="00EA4CF5">
        <w:rPr>
          <w:b/>
          <w:bCs/>
        </w:rPr>
        <w:t>?</w:t>
      </w:r>
      <w:r>
        <w:rPr>
          <w:b/>
          <w:bCs/>
        </w:rPr>
        <w:t xml:space="preserve"> </w:t>
      </w:r>
      <w:r w:rsidRPr="003735D5">
        <w:rPr>
          <w:b/>
          <w:bCs/>
        </w:rPr>
        <w:t xml:space="preserve">If yes, provide a narrative response </w:t>
      </w:r>
      <w:r>
        <w:rPr>
          <w:b/>
          <w:bCs/>
        </w:rPr>
        <w:t>to prompts 2, 3, and 4</w:t>
      </w:r>
      <w:r w:rsidRPr="003735D5">
        <w:rPr>
          <w:b/>
          <w:bCs/>
        </w:rPr>
        <w:t>.</w:t>
      </w:r>
    </w:p>
    <w:p w14:paraId="6F10AC73" w14:textId="77777777" w:rsidR="0083260D" w:rsidRDefault="0083260D" w:rsidP="00E57C07">
      <w:pPr>
        <w:rPr>
          <w:noProof/>
        </w:rPr>
      </w:pPr>
      <w:r w:rsidRPr="00DF6992">
        <w:rPr>
          <w:noProof/>
        </w:rPr>
        <w:t>No</w:t>
      </w:r>
    </w:p>
    <w:p w14:paraId="6DB497C2" w14:textId="77777777" w:rsidR="0083260D" w:rsidRPr="003735D5" w:rsidRDefault="0083260D" w:rsidP="003735D5">
      <w:pPr>
        <w:numPr>
          <w:ilvl w:val="0"/>
          <w:numId w:val="16"/>
        </w:numPr>
        <w:ind w:left="0"/>
        <w:rPr>
          <w:b/>
          <w:bCs/>
        </w:rPr>
      </w:pPr>
      <w:r w:rsidRPr="003735D5">
        <w:rPr>
          <w:b/>
          <w:bCs/>
        </w:rPr>
        <w:t>Under which student groups and state priorities did the charter school meet the eligibility criteria for Differentiated Assistance (DA) in both the prior and current year?</w:t>
      </w:r>
    </w:p>
    <w:p w14:paraId="442EE18A" w14:textId="77777777" w:rsidR="0083260D" w:rsidRPr="007C25F9" w:rsidRDefault="0083260D" w:rsidP="00D46026">
      <w:r w:rsidRPr="00DF6992">
        <w:rPr>
          <w:noProof/>
        </w:rPr>
        <w:t>[No Response]</w:t>
      </w:r>
    </w:p>
    <w:p w14:paraId="558F52E8" w14:textId="77777777" w:rsidR="0083260D" w:rsidRPr="003735D5" w:rsidRDefault="0083260D" w:rsidP="003735D5">
      <w:pPr>
        <w:numPr>
          <w:ilvl w:val="0"/>
          <w:numId w:val="16"/>
        </w:numPr>
        <w:ind w:left="0"/>
        <w:rPr>
          <w:b/>
          <w:bCs/>
        </w:rPr>
      </w:pPr>
      <w:r w:rsidRPr="003735D5">
        <w:rPr>
          <w:b/>
          <w:bCs/>
        </w:rPr>
        <w:t>Identify the support provider the charter school will be working with for technical assistance with DA.</w:t>
      </w:r>
    </w:p>
    <w:p w14:paraId="766C7E12" w14:textId="77777777" w:rsidR="0083260D" w:rsidRPr="007C25F9" w:rsidRDefault="0083260D" w:rsidP="00D46026">
      <w:r w:rsidRPr="00DF6992">
        <w:rPr>
          <w:noProof/>
        </w:rPr>
        <w:t>[No Response]</w:t>
      </w:r>
    </w:p>
    <w:p w14:paraId="3B2D790B" w14:textId="77777777" w:rsidR="0083260D" w:rsidRPr="003735D5" w:rsidRDefault="0083260D" w:rsidP="003735D5">
      <w:pPr>
        <w:numPr>
          <w:ilvl w:val="0"/>
          <w:numId w:val="16"/>
        </w:numPr>
        <w:ind w:left="0"/>
        <w:rPr>
          <w:b/>
          <w:bCs/>
        </w:rPr>
      </w:pPr>
      <w:r w:rsidRPr="003735D5">
        <w:rPr>
          <w:b/>
          <w:bCs/>
        </w:rPr>
        <w:t xml:space="preserve">What improvement strategies and actions </w:t>
      </w:r>
      <w:proofErr w:type="gramStart"/>
      <w:r w:rsidRPr="003735D5">
        <w:rPr>
          <w:b/>
          <w:bCs/>
        </w:rPr>
        <w:t>has</w:t>
      </w:r>
      <w:proofErr w:type="gramEnd"/>
      <w:r w:rsidRPr="003735D5">
        <w:rPr>
          <w:b/>
          <w:bCs/>
        </w:rPr>
        <w:t xml:space="preserve"> the charter school selected to address its identified student groups and state priorities?</w:t>
      </w:r>
    </w:p>
    <w:p w14:paraId="5A896240" w14:textId="77777777" w:rsidR="0083260D" w:rsidRPr="007C25F9" w:rsidRDefault="0083260D" w:rsidP="00D46026">
      <w:r w:rsidRPr="00DF6992">
        <w:rPr>
          <w:noProof/>
        </w:rPr>
        <w:t>[No Response]</w:t>
      </w:r>
    </w:p>
    <w:p w14:paraId="638B277C" w14:textId="77777777" w:rsidR="0083260D" w:rsidRPr="007C25F9" w:rsidRDefault="0083260D">
      <w:pPr>
        <w:spacing w:before="0"/>
        <w:rPr>
          <w:rFonts w:eastAsiaTheme="majorEastAsia"/>
          <w:b/>
          <w:bCs/>
          <w:sz w:val="32"/>
          <w:szCs w:val="32"/>
        </w:rPr>
      </w:pPr>
      <w:r w:rsidRPr="007C25F9">
        <w:br w:type="page"/>
      </w:r>
    </w:p>
    <w:p w14:paraId="6C76B203" w14:textId="77777777" w:rsidR="0083260D" w:rsidRPr="007C25F9" w:rsidRDefault="0083260D" w:rsidP="00A42D0A">
      <w:pPr>
        <w:pStyle w:val="Heading3"/>
      </w:pPr>
      <w:r w:rsidRPr="007C25F9">
        <w:lastRenderedPageBreak/>
        <w:t>Section 7. Acknowledgment, Certification, and Submission</w:t>
      </w:r>
    </w:p>
    <w:p w14:paraId="2098017F" w14:textId="77777777" w:rsidR="0083260D" w:rsidRPr="007C25F9" w:rsidRDefault="0083260D" w:rsidP="00B9677C">
      <w:r w:rsidRPr="007C25F9">
        <w:t>Initial each of the statements</w:t>
      </w:r>
      <w:r>
        <w:t xml:space="preserve"> below</w:t>
      </w:r>
      <w:r w:rsidRPr="007C25F9">
        <w:t xml:space="preserve"> to confirm that you have read and understand following:</w:t>
      </w:r>
    </w:p>
    <w:p w14:paraId="027E27E7" w14:textId="77777777" w:rsidR="0083260D" w:rsidRPr="007C25F9" w:rsidRDefault="0083260D" w:rsidP="00A42D0A">
      <w:pPr>
        <w:pStyle w:val="Heading4"/>
      </w:pPr>
      <w:r w:rsidRPr="007C25F9">
        <w:t>Acknowledgment</w:t>
      </w:r>
    </w:p>
    <w:p w14:paraId="3CCD7653" w14:textId="77777777" w:rsidR="0083260D" w:rsidRPr="007C25F9" w:rsidRDefault="0083260D"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31412AD8" w14:textId="77777777" w:rsidR="0083260D" w:rsidRPr="007C25F9" w:rsidRDefault="0083260D" w:rsidP="00783ABE">
      <w:r w:rsidRPr="00DF6992">
        <w:rPr>
          <w:noProof/>
        </w:rPr>
        <w:t>SMS</w:t>
      </w:r>
    </w:p>
    <w:p w14:paraId="2C155F09" w14:textId="77777777" w:rsidR="0083260D" w:rsidRPr="007C25F9" w:rsidRDefault="0083260D" w:rsidP="00A42D0A">
      <w:pPr>
        <w:pStyle w:val="Heading4"/>
      </w:pPr>
      <w:r w:rsidRPr="007C25F9">
        <w:t>Certification</w:t>
      </w:r>
    </w:p>
    <w:p w14:paraId="4AEBA972" w14:textId="77777777" w:rsidR="0083260D" w:rsidRPr="007C25F9" w:rsidRDefault="0083260D" w:rsidP="00783ABE">
      <w:r w:rsidRPr="007C25F9">
        <w:t>I hereby certify that I am a full-time paid employee of the charter school who has direct knowledge of the information contained herein and am authorized to submit this information to the CDE.</w:t>
      </w:r>
      <w:r>
        <w:t xml:space="preserve"> </w:t>
      </w:r>
      <w:r w:rsidRPr="007C25F9">
        <w:t>I certify that I have provided only true and correct information about the charter school.</w:t>
      </w:r>
    </w:p>
    <w:p w14:paraId="4DD057B3" w14:textId="77777777" w:rsidR="0083260D" w:rsidRPr="007C25F9" w:rsidRDefault="0083260D" w:rsidP="00783ABE">
      <w:r w:rsidRPr="00DF6992">
        <w:rPr>
          <w:noProof/>
        </w:rPr>
        <w:t>SMS</w:t>
      </w:r>
    </w:p>
    <w:p w14:paraId="4CC14D56" w14:textId="77777777" w:rsidR="0083260D" w:rsidRPr="007C25F9" w:rsidRDefault="0083260D"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83260D" w:rsidRPr="007C25F9" w14:paraId="6AD5F1BC" w14:textId="77777777" w:rsidTr="007929F6">
        <w:trPr>
          <w:cantSplit/>
          <w:tblHeader/>
        </w:trPr>
        <w:tc>
          <w:tcPr>
            <w:tcW w:w="4675" w:type="dxa"/>
            <w:shd w:val="clear" w:color="auto" w:fill="D9D9D9" w:themeFill="background1" w:themeFillShade="D9"/>
          </w:tcPr>
          <w:p w14:paraId="2EC0B7E2" w14:textId="77777777" w:rsidR="0083260D" w:rsidRPr="007C25F9" w:rsidRDefault="0083260D" w:rsidP="00D41927">
            <w:pPr>
              <w:rPr>
                <w:b/>
                <w:bCs/>
              </w:rPr>
            </w:pPr>
            <w:r w:rsidRPr="007C25F9">
              <w:rPr>
                <w:b/>
                <w:bCs/>
              </w:rPr>
              <w:t>Prompt</w:t>
            </w:r>
          </w:p>
        </w:tc>
        <w:tc>
          <w:tcPr>
            <w:tcW w:w="4675" w:type="dxa"/>
            <w:shd w:val="clear" w:color="auto" w:fill="D9D9D9" w:themeFill="background1" w:themeFillShade="D9"/>
          </w:tcPr>
          <w:p w14:paraId="325B1233" w14:textId="77777777" w:rsidR="0083260D" w:rsidRPr="007C25F9" w:rsidRDefault="0083260D" w:rsidP="00D41927">
            <w:pPr>
              <w:rPr>
                <w:b/>
                <w:bCs/>
              </w:rPr>
            </w:pPr>
            <w:r w:rsidRPr="007C25F9">
              <w:rPr>
                <w:b/>
                <w:bCs/>
              </w:rPr>
              <w:t>Response</w:t>
            </w:r>
          </w:p>
        </w:tc>
      </w:tr>
      <w:tr w:rsidR="0083260D" w:rsidRPr="007C25F9" w14:paraId="0C583834" w14:textId="77777777" w:rsidTr="007929F6">
        <w:trPr>
          <w:cantSplit/>
          <w:tblHeader/>
        </w:trPr>
        <w:tc>
          <w:tcPr>
            <w:tcW w:w="4675" w:type="dxa"/>
          </w:tcPr>
          <w:p w14:paraId="2CA7B6E1" w14:textId="77777777" w:rsidR="0083260D" w:rsidRPr="007C25F9" w:rsidRDefault="0083260D" w:rsidP="00D41927">
            <w:r w:rsidRPr="007C25F9">
              <w:t>Full Legal Name</w:t>
            </w:r>
          </w:p>
        </w:tc>
        <w:tc>
          <w:tcPr>
            <w:tcW w:w="4675" w:type="dxa"/>
          </w:tcPr>
          <w:p w14:paraId="391F99B3" w14:textId="77777777" w:rsidR="0083260D" w:rsidRPr="007C25F9" w:rsidRDefault="0083260D" w:rsidP="00D41927">
            <w:r w:rsidRPr="00DF6992">
              <w:rPr>
                <w:noProof/>
              </w:rPr>
              <w:t>Sarah Sanchez</w:t>
            </w:r>
          </w:p>
        </w:tc>
      </w:tr>
      <w:tr w:rsidR="0083260D" w:rsidRPr="007C25F9" w14:paraId="0FE18AC8" w14:textId="77777777" w:rsidTr="007929F6">
        <w:trPr>
          <w:cantSplit/>
          <w:tblHeader/>
        </w:trPr>
        <w:tc>
          <w:tcPr>
            <w:tcW w:w="4675" w:type="dxa"/>
          </w:tcPr>
          <w:p w14:paraId="2F70E401" w14:textId="77777777" w:rsidR="0083260D" w:rsidRPr="007C25F9" w:rsidRDefault="0083260D" w:rsidP="00D41927">
            <w:r w:rsidRPr="007C25F9">
              <w:t>Job Title</w:t>
            </w:r>
          </w:p>
        </w:tc>
        <w:tc>
          <w:tcPr>
            <w:tcW w:w="4675" w:type="dxa"/>
          </w:tcPr>
          <w:p w14:paraId="18E7CE49" w14:textId="77777777" w:rsidR="0083260D" w:rsidRPr="007C25F9" w:rsidRDefault="0083260D" w:rsidP="00D41927">
            <w:r w:rsidRPr="00DF6992">
              <w:rPr>
                <w:noProof/>
              </w:rPr>
              <w:t>Dir. Public Accountability and Compliance</w:t>
            </w:r>
          </w:p>
        </w:tc>
      </w:tr>
      <w:tr w:rsidR="0083260D" w:rsidRPr="007C25F9" w14:paraId="30D70300" w14:textId="77777777" w:rsidTr="007929F6">
        <w:trPr>
          <w:cantSplit/>
          <w:tblHeader/>
        </w:trPr>
        <w:tc>
          <w:tcPr>
            <w:tcW w:w="4675" w:type="dxa"/>
          </w:tcPr>
          <w:p w14:paraId="5A95E057" w14:textId="77777777" w:rsidR="0083260D" w:rsidRPr="007C25F9" w:rsidRDefault="0083260D" w:rsidP="00D41927">
            <w:r w:rsidRPr="007C25F9">
              <w:t>Email Address</w:t>
            </w:r>
          </w:p>
        </w:tc>
        <w:tc>
          <w:tcPr>
            <w:tcW w:w="4675" w:type="dxa"/>
          </w:tcPr>
          <w:p w14:paraId="42CC4099" w14:textId="77777777" w:rsidR="0083260D" w:rsidRPr="007C25F9" w:rsidRDefault="0083260D" w:rsidP="00D41927">
            <w:r w:rsidRPr="00DF6992">
              <w:rPr>
                <w:noProof/>
              </w:rPr>
              <w:t>sarah.sanchez@kippnorcal.org</w:t>
            </w:r>
          </w:p>
        </w:tc>
      </w:tr>
      <w:tr w:rsidR="0083260D" w14:paraId="339A44BF" w14:textId="77777777" w:rsidTr="007929F6">
        <w:trPr>
          <w:cantSplit/>
          <w:tblHeader/>
        </w:trPr>
        <w:tc>
          <w:tcPr>
            <w:tcW w:w="4675" w:type="dxa"/>
          </w:tcPr>
          <w:p w14:paraId="439AF389" w14:textId="77777777" w:rsidR="0083260D" w:rsidRPr="007C25F9" w:rsidRDefault="0083260D" w:rsidP="00D41927">
            <w:r w:rsidRPr="007C25F9">
              <w:t>Phone Number</w:t>
            </w:r>
          </w:p>
        </w:tc>
        <w:tc>
          <w:tcPr>
            <w:tcW w:w="4675" w:type="dxa"/>
          </w:tcPr>
          <w:p w14:paraId="2A7DB520" w14:textId="77777777" w:rsidR="0083260D" w:rsidRDefault="0083260D" w:rsidP="00D41927">
            <w:r w:rsidRPr="00DF6992">
              <w:rPr>
                <w:noProof/>
              </w:rPr>
              <w:t>510-394-4705</w:t>
            </w:r>
          </w:p>
        </w:tc>
      </w:tr>
    </w:tbl>
    <w:p w14:paraId="404C2F19" w14:textId="77777777" w:rsidR="0083260D" w:rsidRDefault="0083260D" w:rsidP="00E33535">
      <w:pPr>
        <w:sectPr w:rsidR="0083260D" w:rsidSect="0083260D">
          <w:headerReference w:type="default" r:id="rId9"/>
          <w:pgSz w:w="12240" w:h="15840"/>
          <w:pgMar w:top="720" w:right="1440" w:bottom="1440" w:left="1440" w:header="720" w:footer="720" w:gutter="0"/>
          <w:pgNumType w:start="1"/>
          <w:cols w:space="720"/>
          <w:titlePg/>
          <w:docGrid w:linePitch="360"/>
        </w:sectPr>
      </w:pPr>
    </w:p>
    <w:p w14:paraId="45B7B882" w14:textId="77777777" w:rsidR="0083260D" w:rsidRPr="00E810BB" w:rsidRDefault="0083260D" w:rsidP="00E33535"/>
    <w:sectPr w:rsidR="0083260D" w:rsidRPr="00E810BB" w:rsidSect="0083260D">
      <w:headerReference w:type="default" r:id="rId10"/>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4594" w14:textId="77777777" w:rsidR="00A80DFA" w:rsidRDefault="00A80DFA" w:rsidP="002174BD">
      <w:pPr>
        <w:spacing w:after="0"/>
      </w:pPr>
      <w:r>
        <w:separator/>
      </w:r>
    </w:p>
  </w:endnote>
  <w:endnote w:type="continuationSeparator" w:id="0">
    <w:p w14:paraId="7E16E312" w14:textId="77777777" w:rsidR="00A80DFA" w:rsidRDefault="00A80DFA"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B083" w14:textId="77777777" w:rsidR="00A80DFA" w:rsidRDefault="00A80DFA" w:rsidP="002174BD">
      <w:pPr>
        <w:spacing w:after="0"/>
      </w:pPr>
      <w:r>
        <w:separator/>
      </w:r>
    </w:p>
  </w:footnote>
  <w:footnote w:type="continuationSeparator" w:id="0">
    <w:p w14:paraId="51EBC1E6" w14:textId="77777777" w:rsidR="00A80DFA" w:rsidRDefault="00A80DFA"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3BAA" w14:textId="3EBBEE4F" w:rsidR="0083260D" w:rsidRDefault="00CC1956" w:rsidP="00EA4CF5">
    <w:pPr>
      <w:pStyle w:val="Header"/>
      <w:jc w:val="right"/>
    </w:pPr>
    <w:r>
      <w:t>memo-lacb-csd-apr26item02</w:t>
    </w:r>
  </w:p>
  <w:p w14:paraId="3D89CDC3" w14:textId="431FBD5B" w:rsidR="0083260D" w:rsidRDefault="00CC1956" w:rsidP="00EA4CF5">
    <w:pPr>
      <w:pStyle w:val="Header"/>
      <w:jc w:val="right"/>
    </w:pPr>
    <w:r>
      <w:t>Attachment 7 – KIPP Navigate College Prep (Charter #1955)</w:t>
    </w:r>
  </w:p>
  <w:p w14:paraId="6AA785FB" w14:textId="77777777" w:rsidR="0083260D" w:rsidRPr="00D852E7" w:rsidRDefault="0083260D"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3ECD" w14:textId="77777777" w:rsidR="0083260D" w:rsidRDefault="0083260D" w:rsidP="00EA4CF5">
    <w:pPr>
      <w:pStyle w:val="Header"/>
      <w:jc w:val="right"/>
    </w:pPr>
    <w:r w:rsidRPr="00D852E7">
      <w:rPr>
        <w:highlight w:val="yellow"/>
      </w:rPr>
      <w:t>accs-</w:t>
    </w:r>
    <w:r>
      <w:rPr>
        <w:highlight w:val="yellow"/>
      </w:rPr>
      <w:t>XXX</w:t>
    </w:r>
    <w:r w:rsidRPr="00D852E7">
      <w:rPr>
        <w:highlight w:val="yellow"/>
      </w:rPr>
      <w:t>2</w:t>
    </w:r>
    <w:r>
      <w:rPr>
        <w:highlight w:val="yellow"/>
      </w:rPr>
      <w:t>6</w:t>
    </w:r>
    <w:r w:rsidRPr="00D852E7">
      <w:rPr>
        <w:highlight w:val="yellow"/>
      </w:rPr>
      <w:t>item</w:t>
    </w:r>
    <w:r>
      <w:t>XX</w:t>
    </w:r>
  </w:p>
  <w:p w14:paraId="1E551697" w14:textId="77777777" w:rsidR="0083260D" w:rsidRDefault="0083260D" w:rsidP="00EA4CF5">
    <w:pPr>
      <w:pStyle w:val="Header"/>
      <w:jc w:val="right"/>
    </w:pPr>
    <w:r w:rsidRPr="00D852E7">
      <w:rPr>
        <w:highlight w:val="yellow"/>
      </w:rPr>
      <w:t xml:space="preserve">Attachment XX - </w:t>
    </w:r>
    <w:r w:rsidRPr="00DF6992">
      <w:rPr>
        <w:noProof/>
        <w:highlight w:val="yellow"/>
      </w:rPr>
      <w:t>KIPP Navigate College Prep</w:t>
    </w:r>
    <w:r>
      <w:rPr>
        <w:noProof/>
        <w:highlight w:val="yellow"/>
      </w:rPr>
      <w:t xml:space="preserve"> </w:t>
    </w:r>
    <w:r w:rsidRPr="00D852E7">
      <w:rPr>
        <w:highlight w:val="yellow"/>
      </w:rPr>
      <w:t>(Charter #</w:t>
    </w:r>
    <w:r w:rsidRPr="00DF6992">
      <w:rPr>
        <w:noProof/>
        <w:highlight w:val="yellow"/>
      </w:rPr>
      <w:t>1955</w:t>
    </w:r>
    <w:r w:rsidRPr="00D852E7">
      <w:rPr>
        <w:highlight w:val="yellow"/>
      </w:rPr>
      <w:t>)</w:t>
    </w:r>
  </w:p>
  <w:p w14:paraId="415069B6" w14:textId="77777777" w:rsidR="0083260D" w:rsidRPr="00D852E7" w:rsidRDefault="0083260D" w:rsidP="00EA4CF5">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04EE5"/>
    <w:rsid w:val="001173E5"/>
    <w:rsid w:val="00140B3A"/>
    <w:rsid w:val="00145B44"/>
    <w:rsid w:val="0016607E"/>
    <w:rsid w:val="00177595"/>
    <w:rsid w:val="0019053F"/>
    <w:rsid w:val="00191198"/>
    <w:rsid w:val="00196813"/>
    <w:rsid w:val="001B482D"/>
    <w:rsid w:val="001B765D"/>
    <w:rsid w:val="001D3296"/>
    <w:rsid w:val="001D68D9"/>
    <w:rsid w:val="001E2C89"/>
    <w:rsid w:val="001F249C"/>
    <w:rsid w:val="001F6EDC"/>
    <w:rsid w:val="0020095A"/>
    <w:rsid w:val="0020197D"/>
    <w:rsid w:val="00203DA8"/>
    <w:rsid w:val="002040BB"/>
    <w:rsid w:val="00211A3E"/>
    <w:rsid w:val="002174BD"/>
    <w:rsid w:val="002278F5"/>
    <w:rsid w:val="00243A88"/>
    <w:rsid w:val="00247F98"/>
    <w:rsid w:val="00261BA3"/>
    <w:rsid w:val="00272F2D"/>
    <w:rsid w:val="002A6AF3"/>
    <w:rsid w:val="002B6DCA"/>
    <w:rsid w:val="002E43F0"/>
    <w:rsid w:val="002F3887"/>
    <w:rsid w:val="003002B4"/>
    <w:rsid w:val="0031666F"/>
    <w:rsid w:val="00330138"/>
    <w:rsid w:val="00334354"/>
    <w:rsid w:val="003418E1"/>
    <w:rsid w:val="003425F0"/>
    <w:rsid w:val="00342FE5"/>
    <w:rsid w:val="003735D5"/>
    <w:rsid w:val="003878C5"/>
    <w:rsid w:val="003B125B"/>
    <w:rsid w:val="003C68FE"/>
    <w:rsid w:val="003F24F5"/>
    <w:rsid w:val="0040704F"/>
    <w:rsid w:val="004235EF"/>
    <w:rsid w:val="0045774B"/>
    <w:rsid w:val="00484C51"/>
    <w:rsid w:val="0049151F"/>
    <w:rsid w:val="004926FC"/>
    <w:rsid w:val="004D7A03"/>
    <w:rsid w:val="004E145F"/>
    <w:rsid w:val="004F6124"/>
    <w:rsid w:val="00505F94"/>
    <w:rsid w:val="00510405"/>
    <w:rsid w:val="00526D4F"/>
    <w:rsid w:val="005302B7"/>
    <w:rsid w:val="005315CB"/>
    <w:rsid w:val="005428AF"/>
    <w:rsid w:val="00570E5D"/>
    <w:rsid w:val="005710BF"/>
    <w:rsid w:val="00577450"/>
    <w:rsid w:val="00580996"/>
    <w:rsid w:val="00582F1F"/>
    <w:rsid w:val="005A4D11"/>
    <w:rsid w:val="005A596B"/>
    <w:rsid w:val="005E1711"/>
    <w:rsid w:val="005E21DD"/>
    <w:rsid w:val="005F171A"/>
    <w:rsid w:val="005F6FE2"/>
    <w:rsid w:val="006174AE"/>
    <w:rsid w:val="00617D8F"/>
    <w:rsid w:val="006758A6"/>
    <w:rsid w:val="006A5890"/>
    <w:rsid w:val="006C3EF7"/>
    <w:rsid w:val="006D2661"/>
    <w:rsid w:val="00700651"/>
    <w:rsid w:val="007252DE"/>
    <w:rsid w:val="00757322"/>
    <w:rsid w:val="00765AEF"/>
    <w:rsid w:val="00783ABE"/>
    <w:rsid w:val="00785C26"/>
    <w:rsid w:val="00791C13"/>
    <w:rsid w:val="007929F6"/>
    <w:rsid w:val="007A2AFF"/>
    <w:rsid w:val="007A747D"/>
    <w:rsid w:val="007B0294"/>
    <w:rsid w:val="007B23AC"/>
    <w:rsid w:val="007C25F9"/>
    <w:rsid w:val="007D02A9"/>
    <w:rsid w:val="007D6A6B"/>
    <w:rsid w:val="007E5BE2"/>
    <w:rsid w:val="007E7027"/>
    <w:rsid w:val="0081087F"/>
    <w:rsid w:val="0083260D"/>
    <w:rsid w:val="00834891"/>
    <w:rsid w:val="0083596B"/>
    <w:rsid w:val="008676F5"/>
    <w:rsid w:val="008B72BC"/>
    <w:rsid w:val="008B759D"/>
    <w:rsid w:val="008C1CCA"/>
    <w:rsid w:val="008D6A61"/>
    <w:rsid w:val="009051A8"/>
    <w:rsid w:val="00927BE3"/>
    <w:rsid w:val="00936A50"/>
    <w:rsid w:val="00951441"/>
    <w:rsid w:val="00961A90"/>
    <w:rsid w:val="00966DD8"/>
    <w:rsid w:val="009767A1"/>
    <w:rsid w:val="009853B6"/>
    <w:rsid w:val="00985628"/>
    <w:rsid w:val="009A4E4A"/>
    <w:rsid w:val="009B0CD2"/>
    <w:rsid w:val="009C5880"/>
    <w:rsid w:val="00A0719E"/>
    <w:rsid w:val="00A3600D"/>
    <w:rsid w:val="00A42D0A"/>
    <w:rsid w:val="00A45C62"/>
    <w:rsid w:val="00A579D8"/>
    <w:rsid w:val="00A757FC"/>
    <w:rsid w:val="00A80DFA"/>
    <w:rsid w:val="00A90852"/>
    <w:rsid w:val="00A971A6"/>
    <w:rsid w:val="00AB2A51"/>
    <w:rsid w:val="00AC0320"/>
    <w:rsid w:val="00AC2B91"/>
    <w:rsid w:val="00AC4AEF"/>
    <w:rsid w:val="00AE4773"/>
    <w:rsid w:val="00B4292B"/>
    <w:rsid w:val="00B63405"/>
    <w:rsid w:val="00B849EC"/>
    <w:rsid w:val="00B9677C"/>
    <w:rsid w:val="00B97A3C"/>
    <w:rsid w:val="00BC6BA7"/>
    <w:rsid w:val="00BE1ECA"/>
    <w:rsid w:val="00BE661E"/>
    <w:rsid w:val="00BF0851"/>
    <w:rsid w:val="00C025A1"/>
    <w:rsid w:val="00C235D2"/>
    <w:rsid w:val="00C2622E"/>
    <w:rsid w:val="00C31395"/>
    <w:rsid w:val="00C537DE"/>
    <w:rsid w:val="00CB3B9E"/>
    <w:rsid w:val="00CC1956"/>
    <w:rsid w:val="00CC6A9D"/>
    <w:rsid w:val="00CE0005"/>
    <w:rsid w:val="00CE1DD0"/>
    <w:rsid w:val="00CE2217"/>
    <w:rsid w:val="00D03EE1"/>
    <w:rsid w:val="00D06EC2"/>
    <w:rsid w:val="00D11CF3"/>
    <w:rsid w:val="00D1322F"/>
    <w:rsid w:val="00D33CCE"/>
    <w:rsid w:val="00D369FF"/>
    <w:rsid w:val="00D46026"/>
    <w:rsid w:val="00D50328"/>
    <w:rsid w:val="00D65A99"/>
    <w:rsid w:val="00D75BC8"/>
    <w:rsid w:val="00D80696"/>
    <w:rsid w:val="00D852E7"/>
    <w:rsid w:val="00DA7848"/>
    <w:rsid w:val="00DC329F"/>
    <w:rsid w:val="00DC5A7E"/>
    <w:rsid w:val="00DE3428"/>
    <w:rsid w:val="00DE56CE"/>
    <w:rsid w:val="00DF32B9"/>
    <w:rsid w:val="00E12D4A"/>
    <w:rsid w:val="00E324EF"/>
    <w:rsid w:val="00E33535"/>
    <w:rsid w:val="00E47889"/>
    <w:rsid w:val="00E50B16"/>
    <w:rsid w:val="00E57C07"/>
    <w:rsid w:val="00E76516"/>
    <w:rsid w:val="00E810BB"/>
    <w:rsid w:val="00EA4CF5"/>
    <w:rsid w:val="00EA5C07"/>
    <w:rsid w:val="00EB4763"/>
    <w:rsid w:val="00ED5A89"/>
    <w:rsid w:val="00EF054D"/>
    <w:rsid w:val="00EF0E1C"/>
    <w:rsid w:val="00F303BC"/>
    <w:rsid w:val="00F30E3C"/>
    <w:rsid w:val="00F35436"/>
    <w:rsid w:val="00F36F1F"/>
    <w:rsid w:val="00F4139F"/>
    <w:rsid w:val="00FD31AF"/>
    <w:rsid w:val="00FD65C3"/>
    <w:rsid w:val="00FE552B"/>
    <w:rsid w:val="00FF6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E3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ters@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2304</Words>
  <Characters>13598</Characters>
  <DocSecurity>0</DocSecurity>
  <Lines>331</Lines>
  <Paragraphs>209</Paragraphs>
  <ScaleCrop>false</ScaleCrop>
  <HeadingPairs>
    <vt:vector size="2" baseType="variant">
      <vt:variant>
        <vt:lpstr>Title</vt:lpstr>
      </vt:variant>
      <vt:variant>
        <vt:i4>1</vt:i4>
      </vt:variant>
    </vt:vector>
  </HeadingPairs>
  <TitlesOfParts>
    <vt:vector size="1" baseType="lpstr">
      <vt:lpstr>April 2026 Memo LACB CSD Item 02 Attachment X - Information Memorandum (CA State Board of Education)</vt:lpstr>
    </vt:vector>
  </TitlesOfParts>
  <Company>CA State Board of Education</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Memo LACB CSD Item 02 Attachment 7 - Information Memoranda (CA State Board of Education)</dc:title>
  <dc:subject>KIPP Navigate College Prep – Academic Memorandum Response.</dc:subject>
  <dc:creator/>
  <cp:keywords/>
  <dc:description/>
  <cp:lastModifiedBy/>
  <dcterms:created xsi:type="dcterms:W3CDTF">2026-03-10T22:31:00Z</dcterms:created>
  <dcterms:modified xsi:type="dcterms:W3CDTF">2026-04-08T16:07:00Z</dcterms:modified>
</cp:coreProperties>
</file>