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F155" w14:textId="77777777" w:rsidR="00F5459E" w:rsidRPr="007C25F9" w:rsidRDefault="00F5459E" w:rsidP="00EA4CF5">
      <w:pPr>
        <w:pStyle w:val="Header"/>
        <w:jc w:val="right"/>
      </w:pPr>
      <w:r w:rsidRPr="007C25F9">
        <w:t>California Department of Education</w:t>
      </w:r>
    </w:p>
    <w:p w14:paraId="11D554A6" w14:textId="77777777" w:rsidR="00F5459E" w:rsidRPr="007C25F9" w:rsidRDefault="00F5459E" w:rsidP="00EA4CF5">
      <w:pPr>
        <w:pStyle w:val="Header"/>
        <w:jc w:val="right"/>
      </w:pPr>
      <w:r w:rsidRPr="007C25F9">
        <w:t>Charter Schools Division</w:t>
      </w:r>
    </w:p>
    <w:p w14:paraId="401D2711" w14:textId="77777777" w:rsidR="00F5459E" w:rsidRPr="007C25F9" w:rsidRDefault="00F5459E" w:rsidP="00EA4CF5">
      <w:pPr>
        <w:pStyle w:val="Header"/>
        <w:jc w:val="right"/>
      </w:pPr>
      <w:r w:rsidRPr="007C25F9">
        <w:t xml:space="preserve">Created </w:t>
      </w:r>
      <w:r>
        <w:t>12</w:t>
      </w:r>
      <w:r w:rsidRPr="007C25F9">
        <w:t>/202</w:t>
      </w:r>
      <w:r>
        <w:t>6</w:t>
      </w:r>
    </w:p>
    <w:p w14:paraId="39708AF2" w14:textId="4C3E0A63" w:rsidR="00F5459E" w:rsidRPr="007C25F9" w:rsidRDefault="00B207C6" w:rsidP="00EA4CF5">
      <w:pPr>
        <w:pStyle w:val="Header"/>
        <w:jc w:val="right"/>
      </w:pPr>
      <w:r>
        <w:t>memo-</w:t>
      </w:r>
      <w:r w:rsidR="00F5459E" w:rsidRPr="007C25F9">
        <w:t>lacb-csd-</w:t>
      </w:r>
      <w:r>
        <w:t>apr</w:t>
      </w:r>
      <w:r w:rsidR="00F5459E" w:rsidRPr="007C25F9">
        <w:t>2</w:t>
      </w:r>
      <w:r w:rsidR="00F5459E">
        <w:t>6</w:t>
      </w:r>
      <w:r w:rsidR="00F5459E" w:rsidRPr="007C25F9">
        <w:t>item</w:t>
      </w:r>
      <w:r>
        <w:t>02</w:t>
      </w:r>
    </w:p>
    <w:p w14:paraId="2D8F429A" w14:textId="5D30280F" w:rsidR="00F5459E" w:rsidRPr="007C25F9" w:rsidRDefault="00F5459E" w:rsidP="00EA4CF5">
      <w:pPr>
        <w:pStyle w:val="Header"/>
        <w:jc w:val="right"/>
      </w:pPr>
      <w:r w:rsidRPr="007C25F9">
        <w:t xml:space="preserve">Attachment </w:t>
      </w:r>
      <w:r w:rsidR="00B207C6">
        <w:t>8</w:t>
      </w:r>
    </w:p>
    <w:p w14:paraId="6BFADBDE" w14:textId="77777777" w:rsidR="00F5459E" w:rsidRPr="007C25F9" w:rsidRDefault="00F5459E" w:rsidP="008C1CCA">
      <w:pPr>
        <w:pStyle w:val="Heading1"/>
      </w:pPr>
      <w:r w:rsidRPr="007C25F9">
        <w:t>California State Board of Education-Authorized Charter School Academic Memorandum Form</w:t>
      </w:r>
    </w:p>
    <w:p w14:paraId="11D1D042" w14:textId="77777777" w:rsidR="00F5459E" w:rsidRPr="007C25F9" w:rsidRDefault="00F5459E" w:rsidP="008C1CCA">
      <w:pPr>
        <w:spacing w:after="480"/>
        <w:jc w:val="center"/>
        <w:rPr>
          <w:rFonts w:eastAsia="Calibri" w:cs="Arial"/>
          <w14:ligatures w14:val="none"/>
        </w:rPr>
      </w:pPr>
      <w:r w:rsidRPr="007C25F9">
        <w:rPr>
          <w:rFonts w:eastAsia="Calibri" w:cs="Arial"/>
          <w14:ligatures w14:val="none"/>
        </w:rPr>
        <w:t>CALIFORNIA DEPARTMENT OF EDUCATION</w:t>
      </w:r>
    </w:p>
    <w:p w14:paraId="392F2A27" w14:textId="44B8220E" w:rsidR="00F5459E" w:rsidRPr="007C25F9" w:rsidRDefault="00F5459E"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DF6992">
        <w:rPr>
          <w:rFonts w:eastAsia="Calibri" w:cs="Arial"/>
          <w:noProof/>
          <w14:ligatures w14:val="none"/>
        </w:rPr>
        <w:t xml:space="preserve">Latitude High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DF6992">
        <w:rPr>
          <w:rFonts w:eastAsia="Calibri" w:cs="Arial"/>
          <w:noProof/>
          <w14:ligatures w14:val="none"/>
        </w:rPr>
        <w:t>2015</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6170DA28" w14:textId="77777777" w:rsidR="00F5459E" w:rsidRPr="007C25F9" w:rsidRDefault="00F5459E" w:rsidP="00D852E7">
      <w:pPr>
        <w:spacing w:after="160" w:line="259" w:lineRule="auto"/>
        <w:rPr>
          <w:rFonts w:eastAsiaTheme="majorEastAsia" w:cstheme="majorBidi"/>
          <w:b/>
          <w:sz w:val="32"/>
          <w:szCs w:val="26"/>
        </w:rPr>
      </w:pPr>
      <w:r w:rsidRPr="007C25F9">
        <w:br w:type="page"/>
      </w:r>
    </w:p>
    <w:p w14:paraId="416E0F04" w14:textId="2C0E895B" w:rsidR="00F5459E" w:rsidRPr="007C25F9" w:rsidRDefault="00F5459E" w:rsidP="00A42D0A">
      <w:pPr>
        <w:pStyle w:val="Heading2"/>
      </w:pPr>
      <w:r w:rsidRPr="00DF6992">
        <w:lastRenderedPageBreak/>
        <w:t>Latitude High</w:t>
      </w:r>
      <w:r w:rsidRPr="007C25F9">
        <w:br/>
        <w:t>Academic Memorandum Form</w:t>
      </w:r>
    </w:p>
    <w:p w14:paraId="3642E82B" w14:textId="77777777" w:rsidR="00F5459E" w:rsidRPr="007C25F9" w:rsidRDefault="00F5459E" w:rsidP="00A42D0A">
      <w:pPr>
        <w:pStyle w:val="Heading3"/>
      </w:pPr>
      <w:r w:rsidRPr="007C25F9">
        <w:t>Section 1. Charter School Information</w:t>
      </w:r>
    </w:p>
    <w:p w14:paraId="3FD179AF" w14:textId="77777777" w:rsidR="00F5459E" w:rsidRPr="007C25F9" w:rsidRDefault="00F5459E" w:rsidP="00A42D0A">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F5459E" w:rsidRPr="007C25F9" w14:paraId="5E60C519" w14:textId="77777777" w:rsidTr="007929F6">
        <w:trPr>
          <w:cantSplit/>
          <w:tblHeader/>
        </w:trPr>
        <w:tc>
          <w:tcPr>
            <w:tcW w:w="4675" w:type="dxa"/>
            <w:shd w:val="clear" w:color="auto" w:fill="D9D9D9" w:themeFill="background1" w:themeFillShade="D9"/>
          </w:tcPr>
          <w:p w14:paraId="4FAB2822" w14:textId="77777777" w:rsidR="00F5459E" w:rsidRPr="007C25F9" w:rsidRDefault="00F5459E" w:rsidP="00765AEF">
            <w:pPr>
              <w:rPr>
                <w:b/>
                <w:bCs/>
              </w:rPr>
            </w:pPr>
            <w:r w:rsidRPr="007C25F9">
              <w:rPr>
                <w:b/>
                <w:bCs/>
              </w:rPr>
              <w:t>Prompt</w:t>
            </w:r>
          </w:p>
        </w:tc>
        <w:tc>
          <w:tcPr>
            <w:tcW w:w="4675" w:type="dxa"/>
            <w:shd w:val="clear" w:color="auto" w:fill="D9D9D9" w:themeFill="background1" w:themeFillShade="D9"/>
          </w:tcPr>
          <w:p w14:paraId="742F8726" w14:textId="77777777" w:rsidR="00F5459E" w:rsidRPr="007C25F9" w:rsidRDefault="00F5459E" w:rsidP="00765AEF">
            <w:pPr>
              <w:rPr>
                <w:b/>
                <w:bCs/>
              </w:rPr>
            </w:pPr>
            <w:r w:rsidRPr="007C25F9">
              <w:rPr>
                <w:b/>
                <w:bCs/>
              </w:rPr>
              <w:t>Response</w:t>
            </w:r>
          </w:p>
        </w:tc>
      </w:tr>
      <w:tr w:rsidR="00F5459E" w:rsidRPr="007C25F9" w14:paraId="74D8BC6D" w14:textId="77777777" w:rsidTr="00C2622E">
        <w:tc>
          <w:tcPr>
            <w:tcW w:w="4675" w:type="dxa"/>
          </w:tcPr>
          <w:p w14:paraId="41763982" w14:textId="77777777" w:rsidR="00F5459E" w:rsidRPr="007C25F9" w:rsidRDefault="00F5459E" w:rsidP="00765AEF">
            <w:r w:rsidRPr="007C25F9">
              <w:t>Charter School Name</w:t>
            </w:r>
          </w:p>
        </w:tc>
        <w:tc>
          <w:tcPr>
            <w:tcW w:w="4675" w:type="dxa"/>
          </w:tcPr>
          <w:p w14:paraId="6F88F981" w14:textId="77777777" w:rsidR="00F5459E" w:rsidRPr="007C25F9" w:rsidRDefault="00F5459E" w:rsidP="00765AEF">
            <w:r w:rsidRPr="00DF6992">
              <w:rPr>
                <w:noProof/>
              </w:rPr>
              <w:t>Latitude High School</w:t>
            </w:r>
          </w:p>
        </w:tc>
      </w:tr>
      <w:tr w:rsidR="00F5459E" w:rsidRPr="007C25F9" w14:paraId="6A51BACA" w14:textId="77777777" w:rsidTr="00C2622E">
        <w:tc>
          <w:tcPr>
            <w:tcW w:w="4675" w:type="dxa"/>
          </w:tcPr>
          <w:p w14:paraId="39C19776" w14:textId="77777777" w:rsidR="00F5459E" w:rsidRPr="007C25F9" w:rsidRDefault="00F5459E" w:rsidP="00765AEF">
            <w:r w:rsidRPr="007C25F9">
              <w:t>School Address</w:t>
            </w:r>
          </w:p>
        </w:tc>
        <w:tc>
          <w:tcPr>
            <w:tcW w:w="4675" w:type="dxa"/>
          </w:tcPr>
          <w:p w14:paraId="52DC5911" w14:textId="77777777" w:rsidR="00F5459E" w:rsidRPr="007C25F9" w:rsidRDefault="00F5459E" w:rsidP="00765AEF">
            <w:r w:rsidRPr="00DF6992">
              <w:rPr>
                <w:noProof/>
              </w:rPr>
              <w:t>1045 Derby Ave</w:t>
            </w:r>
          </w:p>
        </w:tc>
      </w:tr>
      <w:tr w:rsidR="00F5459E" w:rsidRPr="007C25F9" w14:paraId="0E481213" w14:textId="77777777" w:rsidTr="00C2622E">
        <w:tc>
          <w:tcPr>
            <w:tcW w:w="4675" w:type="dxa"/>
          </w:tcPr>
          <w:p w14:paraId="5C77BA83" w14:textId="77777777" w:rsidR="00F5459E" w:rsidRPr="007C25F9" w:rsidRDefault="00F5459E" w:rsidP="00765AEF">
            <w:r w:rsidRPr="007C25F9">
              <w:t>City</w:t>
            </w:r>
          </w:p>
        </w:tc>
        <w:tc>
          <w:tcPr>
            <w:tcW w:w="4675" w:type="dxa"/>
          </w:tcPr>
          <w:p w14:paraId="783B1957" w14:textId="77777777" w:rsidR="00F5459E" w:rsidRPr="007C25F9" w:rsidRDefault="00F5459E" w:rsidP="00765AEF">
            <w:r w:rsidRPr="00DF6992">
              <w:rPr>
                <w:noProof/>
              </w:rPr>
              <w:t>Oakland</w:t>
            </w:r>
          </w:p>
        </w:tc>
      </w:tr>
      <w:tr w:rsidR="00F5459E" w:rsidRPr="007C25F9" w14:paraId="4BDDB510" w14:textId="77777777" w:rsidTr="00C2622E">
        <w:tc>
          <w:tcPr>
            <w:tcW w:w="4675" w:type="dxa"/>
          </w:tcPr>
          <w:p w14:paraId="7DEA12EE" w14:textId="77777777" w:rsidR="00F5459E" w:rsidRPr="007C25F9" w:rsidRDefault="00F5459E" w:rsidP="00765AEF">
            <w:r w:rsidRPr="007C25F9">
              <w:t>ZIP Code</w:t>
            </w:r>
          </w:p>
        </w:tc>
        <w:tc>
          <w:tcPr>
            <w:tcW w:w="4675" w:type="dxa"/>
          </w:tcPr>
          <w:p w14:paraId="17E51EDD" w14:textId="77777777" w:rsidR="00F5459E" w:rsidRPr="007C25F9" w:rsidRDefault="00F5459E" w:rsidP="00765AEF">
            <w:r w:rsidRPr="00DF6992">
              <w:rPr>
                <w:noProof/>
              </w:rPr>
              <w:t>94601</w:t>
            </w:r>
          </w:p>
        </w:tc>
      </w:tr>
      <w:tr w:rsidR="00F5459E" w:rsidRPr="007C25F9" w14:paraId="2C0FE31C" w14:textId="77777777" w:rsidTr="00C2622E">
        <w:tc>
          <w:tcPr>
            <w:tcW w:w="4675" w:type="dxa"/>
          </w:tcPr>
          <w:p w14:paraId="13780A2C" w14:textId="77777777" w:rsidR="00F5459E" w:rsidRPr="007C25F9" w:rsidRDefault="00F5459E" w:rsidP="00765AEF">
            <w:r w:rsidRPr="007C25F9">
              <w:t>Located in District</w:t>
            </w:r>
          </w:p>
        </w:tc>
        <w:tc>
          <w:tcPr>
            <w:tcW w:w="4675" w:type="dxa"/>
          </w:tcPr>
          <w:p w14:paraId="7F2AE7E9" w14:textId="77777777" w:rsidR="00F5459E" w:rsidRPr="007C25F9" w:rsidRDefault="00F5459E" w:rsidP="00765AEF">
            <w:r w:rsidRPr="00DF6992">
              <w:rPr>
                <w:noProof/>
              </w:rPr>
              <w:t>Oakland</w:t>
            </w:r>
          </w:p>
        </w:tc>
      </w:tr>
      <w:tr w:rsidR="00F5459E" w:rsidRPr="007C25F9" w14:paraId="472C64E1" w14:textId="77777777" w:rsidTr="00C2622E">
        <w:tc>
          <w:tcPr>
            <w:tcW w:w="4675" w:type="dxa"/>
          </w:tcPr>
          <w:p w14:paraId="7888809C" w14:textId="77777777" w:rsidR="00F5459E" w:rsidRPr="007C25F9" w:rsidRDefault="00F5459E" w:rsidP="00765AEF">
            <w:r w:rsidRPr="007C25F9">
              <w:t>County</w:t>
            </w:r>
          </w:p>
        </w:tc>
        <w:tc>
          <w:tcPr>
            <w:tcW w:w="4675" w:type="dxa"/>
          </w:tcPr>
          <w:p w14:paraId="27BADFE7" w14:textId="77777777" w:rsidR="00F5459E" w:rsidRPr="007C25F9" w:rsidRDefault="00F5459E" w:rsidP="00765AEF">
            <w:r w:rsidRPr="00DF6992">
              <w:rPr>
                <w:noProof/>
              </w:rPr>
              <w:t>Alameda</w:t>
            </w:r>
          </w:p>
        </w:tc>
      </w:tr>
      <w:tr w:rsidR="00F5459E" w:rsidRPr="007C25F9" w14:paraId="7CCDB62E" w14:textId="77777777" w:rsidTr="00C2622E">
        <w:tc>
          <w:tcPr>
            <w:tcW w:w="4675" w:type="dxa"/>
          </w:tcPr>
          <w:p w14:paraId="0D26DBEA" w14:textId="77777777" w:rsidR="00F5459E" w:rsidRPr="007C25F9" w:rsidRDefault="00F5459E" w:rsidP="00765AEF">
            <w:r w:rsidRPr="007C25F9">
              <w:t>Website Address</w:t>
            </w:r>
          </w:p>
        </w:tc>
        <w:tc>
          <w:tcPr>
            <w:tcW w:w="4675" w:type="dxa"/>
          </w:tcPr>
          <w:p w14:paraId="26CF611F" w14:textId="77777777" w:rsidR="00F5459E" w:rsidRPr="007C25F9" w:rsidRDefault="00F5459E" w:rsidP="00765AEF">
            <w:r w:rsidRPr="00DF6992">
              <w:rPr>
                <w:noProof/>
              </w:rPr>
              <w:t>latitudehigh.org</w:t>
            </w:r>
          </w:p>
        </w:tc>
      </w:tr>
      <w:tr w:rsidR="00F5459E" w:rsidRPr="007C25F9" w14:paraId="3E0A5809" w14:textId="77777777" w:rsidTr="00C2622E">
        <w:tc>
          <w:tcPr>
            <w:tcW w:w="4675" w:type="dxa"/>
          </w:tcPr>
          <w:p w14:paraId="7AD2ED55" w14:textId="77777777" w:rsidR="00F5459E" w:rsidRPr="007C25F9" w:rsidRDefault="00F5459E" w:rsidP="00765AEF">
            <w:r w:rsidRPr="007C25F9">
              <w:t>County District School (CDS) Code</w:t>
            </w:r>
          </w:p>
        </w:tc>
        <w:tc>
          <w:tcPr>
            <w:tcW w:w="4675" w:type="dxa"/>
          </w:tcPr>
          <w:p w14:paraId="08E7C201" w14:textId="77777777" w:rsidR="00F5459E" w:rsidRPr="007C25F9" w:rsidRDefault="00F5459E" w:rsidP="00765AEF">
            <w:r w:rsidRPr="00DF6992">
              <w:rPr>
                <w:noProof/>
              </w:rPr>
              <w:t>01-77180-0138289</w:t>
            </w:r>
          </w:p>
        </w:tc>
      </w:tr>
      <w:tr w:rsidR="00F5459E" w:rsidRPr="007C25F9" w14:paraId="04C76229" w14:textId="77777777" w:rsidTr="00C2622E">
        <w:tc>
          <w:tcPr>
            <w:tcW w:w="4675" w:type="dxa"/>
          </w:tcPr>
          <w:p w14:paraId="2DE02989" w14:textId="77777777" w:rsidR="00F5459E" w:rsidRPr="007C25F9" w:rsidRDefault="00F5459E" w:rsidP="00765AEF">
            <w:r w:rsidRPr="007C25F9">
              <w:t>Charter Number</w:t>
            </w:r>
          </w:p>
        </w:tc>
        <w:tc>
          <w:tcPr>
            <w:tcW w:w="4675" w:type="dxa"/>
          </w:tcPr>
          <w:p w14:paraId="0BA64590" w14:textId="77777777" w:rsidR="00F5459E" w:rsidRPr="007C25F9" w:rsidRDefault="00F5459E" w:rsidP="00765AEF">
            <w:r w:rsidRPr="00DF6992">
              <w:rPr>
                <w:noProof/>
              </w:rPr>
              <w:t>2015</w:t>
            </w:r>
          </w:p>
        </w:tc>
      </w:tr>
      <w:tr w:rsidR="00F5459E" w:rsidRPr="007C25F9" w14:paraId="6E30F10A" w14:textId="77777777" w:rsidTr="00C2622E">
        <w:tc>
          <w:tcPr>
            <w:tcW w:w="4675" w:type="dxa"/>
          </w:tcPr>
          <w:p w14:paraId="700D5EE3" w14:textId="77777777" w:rsidR="00F5459E" w:rsidRPr="007C25F9" w:rsidRDefault="00F5459E" w:rsidP="00765AEF">
            <w:r w:rsidRPr="007C25F9">
              <w:t>Current Charter Term Start Date</w:t>
            </w:r>
          </w:p>
        </w:tc>
        <w:tc>
          <w:tcPr>
            <w:tcW w:w="4675" w:type="dxa"/>
          </w:tcPr>
          <w:p w14:paraId="4BFE19CF" w14:textId="77777777" w:rsidR="00F5459E" w:rsidRPr="007C25F9" w:rsidRDefault="00F5459E" w:rsidP="00765AEF">
            <w:r w:rsidRPr="00DF6992">
              <w:rPr>
                <w:noProof/>
              </w:rPr>
              <w:t>8/27/2018</w:t>
            </w:r>
          </w:p>
        </w:tc>
      </w:tr>
      <w:tr w:rsidR="00F5459E" w:rsidRPr="007C25F9" w14:paraId="5421076D" w14:textId="77777777" w:rsidTr="00C2622E">
        <w:tc>
          <w:tcPr>
            <w:tcW w:w="4675" w:type="dxa"/>
          </w:tcPr>
          <w:p w14:paraId="669BFA7A" w14:textId="77777777" w:rsidR="00F5459E" w:rsidRPr="007C25F9" w:rsidRDefault="00F5459E" w:rsidP="00765AEF">
            <w:r w:rsidRPr="007C25F9">
              <w:t>Current Charter Term End Date</w:t>
            </w:r>
          </w:p>
        </w:tc>
        <w:tc>
          <w:tcPr>
            <w:tcW w:w="4675" w:type="dxa"/>
          </w:tcPr>
          <w:p w14:paraId="08E4FF41" w14:textId="77777777" w:rsidR="00F5459E" w:rsidRPr="007C25F9" w:rsidRDefault="00F5459E" w:rsidP="00765AEF">
            <w:r w:rsidRPr="00DF6992">
              <w:rPr>
                <w:noProof/>
              </w:rPr>
              <w:t>6/30/2026</w:t>
            </w:r>
          </w:p>
        </w:tc>
      </w:tr>
      <w:tr w:rsidR="00F5459E" w:rsidRPr="007C25F9" w14:paraId="4818A5C8" w14:textId="77777777" w:rsidTr="00C2622E">
        <w:tc>
          <w:tcPr>
            <w:tcW w:w="4675" w:type="dxa"/>
          </w:tcPr>
          <w:p w14:paraId="1226BDE3" w14:textId="77777777" w:rsidR="00F5459E" w:rsidRPr="007C25F9" w:rsidRDefault="00F5459E" w:rsidP="00765AEF">
            <w:r w:rsidRPr="007C25F9">
              <w:t>Grade Levels Served</w:t>
            </w:r>
          </w:p>
        </w:tc>
        <w:tc>
          <w:tcPr>
            <w:tcW w:w="4675" w:type="dxa"/>
          </w:tcPr>
          <w:p w14:paraId="734F6668" w14:textId="7ACCFA0E" w:rsidR="00F5459E" w:rsidRPr="007C25F9" w:rsidRDefault="0040560F" w:rsidP="00765AEF">
            <w:r>
              <w:t>9-12</w:t>
            </w:r>
          </w:p>
        </w:tc>
      </w:tr>
      <w:tr w:rsidR="00F5459E" w:rsidRPr="007C25F9" w14:paraId="34E73E6E" w14:textId="77777777" w:rsidTr="00C2622E">
        <w:tc>
          <w:tcPr>
            <w:tcW w:w="4675" w:type="dxa"/>
          </w:tcPr>
          <w:p w14:paraId="749CC930" w14:textId="77777777" w:rsidR="00F5459E" w:rsidRPr="007C25F9" w:rsidRDefault="00F5459E" w:rsidP="00765AEF">
            <w:r w:rsidRPr="007C25F9">
              <w:t>202</w:t>
            </w:r>
            <w:r>
              <w:t>4</w:t>
            </w:r>
            <w:r w:rsidRPr="007C25F9">
              <w:t>–2</w:t>
            </w:r>
            <w:r>
              <w:t>5</w:t>
            </w:r>
            <w:r w:rsidRPr="007C25F9">
              <w:t xml:space="preserve"> Enrollment</w:t>
            </w:r>
          </w:p>
        </w:tc>
        <w:tc>
          <w:tcPr>
            <w:tcW w:w="4675" w:type="dxa"/>
          </w:tcPr>
          <w:p w14:paraId="3DDF26FB" w14:textId="77777777" w:rsidR="00F5459E" w:rsidRPr="007C25F9" w:rsidRDefault="00F5459E" w:rsidP="00765AEF">
            <w:r w:rsidRPr="00DF6992">
              <w:rPr>
                <w:noProof/>
              </w:rPr>
              <w:t>389</w:t>
            </w:r>
          </w:p>
        </w:tc>
      </w:tr>
      <w:tr w:rsidR="00F5459E" w:rsidRPr="007C25F9" w14:paraId="1654B2E0" w14:textId="77777777" w:rsidTr="00C2622E">
        <w:tc>
          <w:tcPr>
            <w:tcW w:w="4675" w:type="dxa"/>
          </w:tcPr>
          <w:p w14:paraId="2652D43C" w14:textId="77777777" w:rsidR="00F5459E" w:rsidRPr="007C25F9" w:rsidRDefault="00F5459E" w:rsidP="00765AEF">
            <w:r w:rsidRPr="007C25F9">
              <w:t>Instruction Type</w:t>
            </w:r>
          </w:p>
        </w:tc>
        <w:tc>
          <w:tcPr>
            <w:tcW w:w="4675" w:type="dxa"/>
          </w:tcPr>
          <w:p w14:paraId="52A4C635" w14:textId="77777777" w:rsidR="00F5459E" w:rsidRPr="007C25F9" w:rsidRDefault="00F5459E" w:rsidP="00765AEF">
            <w:r w:rsidRPr="00DF6992">
              <w:rPr>
                <w:noProof/>
              </w:rPr>
              <w:t>Classroom-based</w:t>
            </w:r>
          </w:p>
        </w:tc>
      </w:tr>
    </w:tbl>
    <w:p w14:paraId="4A5F0A20" w14:textId="77777777" w:rsidR="00F5459E" w:rsidRPr="007C25F9" w:rsidRDefault="00F5459E" w:rsidP="00765AEF">
      <w:pPr>
        <w:rPr>
          <w:b/>
          <w:bCs/>
        </w:rPr>
      </w:pPr>
      <w:r>
        <w:rPr>
          <w:b/>
          <w:bCs/>
        </w:rPr>
        <w:t xml:space="preserve">Charter </w:t>
      </w:r>
      <w:r w:rsidRPr="007C25F9">
        <w:rPr>
          <w:b/>
          <w:bCs/>
        </w:rPr>
        <w:t>School Description:</w:t>
      </w:r>
    </w:p>
    <w:p w14:paraId="3B1443CB" w14:textId="77777777" w:rsidR="00F5459E" w:rsidRPr="007C25F9" w:rsidRDefault="00F5459E" w:rsidP="00C2622E">
      <w:pPr>
        <w:rPr>
          <w:bCs/>
        </w:rPr>
      </w:pPr>
      <w:r w:rsidRPr="00DF6992">
        <w:rPr>
          <w:bCs/>
          <w:noProof/>
        </w:rPr>
        <w:t xml:space="preserve">Latitude 37.8 High (LAT 37.8) serves high school pupils with a focus on real world project-based learning, with strong arts, multimedia, and technology integration. LAT 37.8 facilitates self-directed, passion-driven learning that leverages the assets and resources of the city of Oakland to provide students with personalized and authentic learning experiences that will equip graduates with the personal agency, essential </w:t>
      </w:r>
      <w:r w:rsidRPr="00DF6992">
        <w:rPr>
          <w:bCs/>
          <w:noProof/>
        </w:rPr>
        <w:lastRenderedPageBreak/>
        <w:t>competencies, and integrated identity necessary to be prepared for a meaningful and productive life.</w:t>
      </w:r>
    </w:p>
    <w:p w14:paraId="1379983E" w14:textId="77777777" w:rsidR="00F5459E" w:rsidRPr="007C25F9" w:rsidRDefault="00F5459E" w:rsidP="00A42D0A">
      <w:pPr>
        <w:pStyle w:val="Heading5"/>
      </w:pPr>
      <w:r w:rsidRPr="007C25F9">
        <w:t>Demographic Information</w:t>
      </w:r>
    </w:p>
    <w:p w14:paraId="3AD23FAA" w14:textId="77777777" w:rsidR="00F5459E" w:rsidRPr="007C25F9" w:rsidRDefault="00F5459E" w:rsidP="00CE1DD0">
      <w:r w:rsidRPr="007C25F9">
        <w:t>Provide the following information as a percentage of the charter school's total student population. Provide the information as it is reported on the 202</w:t>
      </w:r>
      <w:r>
        <w:t>5</w:t>
      </w:r>
      <w:r w:rsidRPr="007C25F9">
        <w:t xml:space="preserve"> California School Dashboard.</w:t>
      </w:r>
    </w:p>
    <w:p w14:paraId="2EE13EFD" w14:textId="77777777" w:rsidR="00F5459E" w:rsidRPr="007C25F9" w:rsidRDefault="00F5459E" w:rsidP="00A42D0A">
      <w:pPr>
        <w:pStyle w:val="Heading6"/>
      </w:pPr>
      <w:r w:rsidRPr="007C25F9">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F5459E" w:rsidRPr="007C25F9" w14:paraId="50B8EB4C" w14:textId="77777777" w:rsidTr="007929F6">
        <w:trPr>
          <w:cantSplit/>
          <w:tblHeader/>
        </w:trPr>
        <w:tc>
          <w:tcPr>
            <w:tcW w:w="4675" w:type="dxa"/>
            <w:shd w:val="clear" w:color="auto" w:fill="D9D9D9" w:themeFill="background1" w:themeFillShade="D9"/>
          </w:tcPr>
          <w:p w14:paraId="123A4EC6" w14:textId="77777777" w:rsidR="00F5459E" w:rsidRPr="007C25F9" w:rsidRDefault="00F5459E" w:rsidP="00D41927">
            <w:pPr>
              <w:rPr>
                <w:b/>
                <w:bCs/>
              </w:rPr>
            </w:pPr>
            <w:r w:rsidRPr="007C25F9">
              <w:rPr>
                <w:b/>
                <w:bCs/>
              </w:rPr>
              <w:t>Prompt</w:t>
            </w:r>
          </w:p>
        </w:tc>
        <w:tc>
          <w:tcPr>
            <w:tcW w:w="4675" w:type="dxa"/>
            <w:shd w:val="clear" w:color="auto" w:fill="D9D9D9" w:themeFill="background1" w:themeFillShade="D9"/>
          </w:tcPr>
          <w:p w14:paraId="61ECB3C1" w14:textId="77777777" w:rsidR="00F5459E" w:rsidRPr="007C25F9" w:rsidRDefault="00F5459E" w:rsidP="00D41927">
            <w:pPr>
              <w:rPr>
                <w:b/>
                <w:bCs/>
              </w:rPr>
            </w:pPr>
            <w:r w:rsidRPr="007C25F9">
              <w:rPr>
                <w:b/>
                <w:bCs/>
              </w:rPr>
              <w:t>Percentage</w:t>
            </w:r>
          </w:p>
        </w:tc>
      </w:tr>
      <w:tr w:rsidR="00F5459E" w:rsidRPr="007C25F9" w14:paraId="5EBEBE7C" w14:textId="77777777" w:rsidTr="007929F6">
        <w:trPr>
          <w:cantSplit/>
          <w:tblHeader/>
        </w:trPr>
        <w:tc>
          <w:tcPr>
            <w:tcW w:w="4675" w:type="dxa"/>
          </w:tcPr>
          <w:p w14:paraId="6127A9EF" w14:textId="77777777" w:rsidR="00F5459E" w:rsidRPr="007C25F9" w:rsidRDefault="00F5459E" w:rsidP="00D41927">
            <w:r w:rsidRPr="007C25F9">
              <w:t>English Learners</w:t>
            </w:r>
          </w:p>
        </w:tc>
        <w:tc>
          <w:tcPr>
            <w:tcW w:w="4675" w:type="dxa"/>
          </w:tcPr>
          <w:p w14:paraId="49AF222C" w14:textId="77777777" w:rsidR="00F5459E" w:rsidRPr="007C25F9" w:rsidRDefault="00F5459E" w:rsidP="00D41927">
            <w:r w:rsidRPr="00DF6992">
              <w:rPr>
                <w:noProof/>
              </w:rPr>
              <w:t>25.7</w:t>
            </w:r>
          </w:p>
        </w:tc>
      </w:tr>
      <w:tr w:rsidR="00F5459E" w:rsidRPr="007C25F9" w14:paraId="56FD4AA1" w14:textId="77777777" w:rsidTr="007929F6">
        <w:trPr>
          <w:cantSplit/>
          <w:tblHeader/>
        </w:trPr>
        <w:tc>
          <w:tcPr>
            <w:tcW w:w="4675" w:type="dxa"/>
          </w:tcPr>
          <w:p w14:paraId="569E8658" w14:textId="77777777" w:rsidR="00F5459E" w:rsidRPr="007C25F9" w:rsidRDefault="00F5459E" w:rsidP="00D41927">
            <w:r w:rsidRPr="007C25F9">
              <w:t>Foster Youth</w:t>
            </w:r>
          </w:p>
        </w:tc>
        <w:tc>
          <w:tcPr>
            <w:tcW w:w="4675" w:type="dxa"/>
          </w:tcPr>
          <w:p w14:paraId="1A94BC02" w14:textId="77777777" w:rsidR="00F5459E" w:rsidRPr="007C25F9" w:rsidRDefault="00F5459E" w:rsidP="00D41927">
            <w:r w:rsidRPr="00DF6992">
              <w:rPr>
                <w:noProof/>
              </w:rPr>
              <w:t>0.8</w:t>
            </w:r>
          </w:p>
        </w:tc>
      </w:tr>
      <w:tr w:rsidR="00F5459E" w:rsidRPr="007C25F9" w14:paraId="6641C45B" w14:textId="77777777" w:rsidTr="007929F6">
        <w:trPr>
          <w:cantSplit/>
          <w:tblHeader/>
        </w:trPr>
        <w:tc>
          <w:tcPr>
            <w:tcW w:w="4675" w:type="dxa"/>
          </w:tcPr>
          <w:p w14:paraId="4E24DB47" w14:textId="77777777" w:rsidR="00F5459E" w:rsidRPr="007C25F9" w:rsidRDefault="00F5459E" w:rsidP="00D41927">
            <w:r w:rsidRPr="007C25F9">
              <w:t>Homeless</w:t>
            </w:r>
          </w:p>
        </w:tc>
        <w:tc>
          <w:tcPr>
            <w:tcW w:w="4675" w:type="dxa"/>
          </w:tcPr>
          <w:p w14:paraId="76FD15FF" w14:textId="77777777" w:rsidR="00F5459E" w:rsidRPr="007C25F9" w:rsidRDefault="00F5459E" w:rsidP="00D41927">
            <w:r w:rsidRPr="00DF6992">
              <w:rPr>
                <w:noProof/>
              </w:rPr>
              <w:t>1</w:t>
            </w:r>
          </w:p>
        </w:tc>
      </w:tr>
      <w:tr w:rsidR="00F5459E" w:rsidRPr="007C25F9" w14:paraId="55105FF8" w14:textId="77777777" w:rsidTr="007929F6">
        <w:trPr>
          <w:cantSplit/>
          <w:tblHeader/>
        </w:trPr>
        <w:tc>
          <w:tcPr>
            <w:tcW w:w="4675" w:type="dxa"/>
          </w:tcPr>
          <w:p w14:paraId="0416C67B" w14:textId="77777777" w:rsidR="00F5459E" w:rsidRPr="007C25F9" w:rsidRDefault="00F5459E" w:rsidP="00D41927">
            <w:r w:rsidRPr="007C25F9">
              <w:t>Socioeconomically Disadvantaged</w:t>
            </w:r>
          </w:p>
        </w:tc>
        <w:tc>
          <w:tcPr>
            <w:tcW w:w="4675" w:type="dxa"/>
          </w:tcPr>
          <w:p w14:paraId="78C913FA" w14:textId="77777777" w:rsidR="00F5459E" w:rsidRPr="007C25F9" w:rsidRDefault="00F5459E" w:rsidP="00D41927">
            <w:r w:rsidRPr="00DF6992">
              <w:rPr>
                <w:noProof/>
              </w:rPr>
              <w:t>73.3</w:t>
            </w:r>
          </w:p>
        </w:tc>
      </w:tr>
      <w:tr w:rsidR="00F5459E" w:rsidRPr="007C25F9" w14:paraId="53EC50E1" w14:textId="77777777" w:rsidTr="007929F6">
        <w:trPr>
          <w:cantSplit/>
          <w:tblHeader/>
        </w:trPr>
        <w:tc>
          <w:tcPr>
            <w:tcW w:w="4675" w:type="dxa"/>
          </w:tcPr>
          <w:p w14:paraId="703E9A90" w14:textId="77777777" w:rsidR="00F5459E" w:rsidRPr="007C25F9" w:rsidRDefault="00F5459E" w:rsidP="00D41927">
            <w:r w:rsidRPr="007C25F9">
              <w:t>Students with Disabilities</w:t>
            </w:r>
          </w:p>
        </w:tc>
        <w:tc>
          <w:tcPr>
            <w:tcW w:w="4675" w:type="dxa"/>
          </w:tcPr>
          <w:p w14:paraId="2CBC6E9D" w14:textId="77777777" w:rsidR="00F5459E" w:rsidRPr="007C25F9" w:rsidRDefault="00F5459E" w:rsidP="00D41927">
            <w:r w:rsidRPr="00DF6992">
              <w:rPr>
                <w:noProof/>
              </w:rPr>
              <w:t>21.6</w:t>
            </w:r>
          </w:p>
        </w:tc>
      </w:tr>
    </w:tbl>
    <w:p w14:paraId="2BE7AB65" w14:textId="77777777" w:rsidR="00F5459E" w:rsidRPr="007C25F9" w:rsidRDefault="00F5459E" w:rsidP="00A42D0A">
      <w:pPr>
        <w:pStyle w:val="Heading6"/>
      </w:pPr>
      <w:r w:rsidRPr="007C25F9">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F5459E" w:rsidRPr="007C25F9" w14:paraId="74F80E0D" w14:textId="77777777" w:rsidTr="007929F6">
        <w:trPr>
          <w:cantSplit/>
          <w:tblHeader/>
        </w:trPr>
        <w:tc>
          <w:tcPr>
            <w:tcW w:w="4675" w:type="dxa"/>
            <w:shd w:val="clear" w:color="auto" w:fill="D9D9D9" w:themeFill="background1" w:themeFillShade="D9"/>
          </w:tcPr>
          <w:p w14:paraId="71A70B7E" w14:textId="77777777" w:rsidR="00F5459E" w:rsidRPr="007C25F9" w:rsidRDefault="00F5459E" w:rsidP="00D41927">
            <w:pPr>
              <w:rPr>
                <w:b/>
                <w:bCs/>
              </w:rPr>
            </w:pPr>
            <w:r w:rsidRPr="007C25F9">
              <w:rPr>
                <w:b/>
                <w:bCs/>
              </w:rPr>
              <w:t>Prompt</w:t>
            </w:r>
          </w:p>
        </w:tc>
        <w:tc>
          <w:tcPr>
            <w:tcW w:w="4675" w:type="dxa"/>
            <w:shd w:val="clear" w:color="auto" w:fill="D9D9D9" w:themeFill="background1" w:themeFillShade="D9"/>
          </w:tcPr>
          <w:p w14:paraId="3070DDC1" w14:textId="77777777" w:rsidR="00F5459E" w:rsidRPr="007C25F9" w:rsidRDefault="00F5459E" w:rsidP="00D41927">
            <w:pPr>
              <w:rPr>
                <w:b/>
                <w:bCs/>
              </w:rPr>
            </w:pPr>
            <w:r w:rsidRPr="007C25F9">
              <w:rPr>
                <w:b/>
                <w:bCs/>
              </w:rPr>
              <w:t>Percentage</w:t>
            </w:r>
          </w:p>
        </w:tc>
      </w:tr>
      <w:tr w:rsidR="00F5459E" w:rsidRPr="007C25F9" w14:paraId="064223C1" w14:textId="77777777" w:rsidTr="007929F6">
        <w:trPr>
          <w:cantSplit/>
          <w:tblHeader/>
        </w:trPr>
        <w:tc>
          <w:tcPr>
            <w:tcW w:w="4675" w:type="dxa"/>
          </w:tcPr>
          <w:p w14:paraId="6B3FF9DD" w14:textId="77777777" w:rsidR="00F5459E" w:rsidRPr="007C25F9" w:rsidRDefault="00F5459E" w:rsidP="00D41927">
            <w:r w:rsidRPr="007C25F9">
              <w:t>African American</w:t>
            </w:r>
          </w:p>
        </w:tc>
        <w:tc>
          <w:tcPr>
            <w:tcW w:w="4675" w:type="dxa"/>
          </w:tcPr>
          <w:p w14:paraId="106177EB" w14:textId="77777777" w:rsidR="00F5459E" w:rsidRPr="007C25F9" w:rsidRDefault="00F5459E" w:rsidP="00D41927">
            <w:r w:rsidRPr="00DF6992">
              <w:rPr>
                <w:noProof/>
              </w:rPr>
              <w:t>13.1</w:t>
            </w:r>
          </w:p>
        </w:tc>
      </w:tr>
      <w:tr w:rsidR="00F5459E" w:rsidRPr="007C25F9" w14:paraId="248BBB2A" w14:textId="77777777" w:rsidTr="007929F6">
        <w:trPr>
          <w:cantSplit/>
          <w:tblHeader/>
        </w:trPr>
        <w:tc>
          <w:tcPr>
            <w:tcW w:w="4675" w:type="dxa"/>
          </w:tcPr>
          <w:p w14:paraId="32624B20" w14:textId="77777777" w:rsidR="00F5459E" w:rsidRPr="007C25F9" w:rsidRDefault="00F5459E" w:rsidP="00D41927">
            <w:r w:rsidRPr="007C25F9">
              <w:t>American Indian</w:t>
            </w:r>
          </w:p>
        </w:tc>
        <w:tc>
          <w:tcPr>
            <w:tcW w:w="4675" w:type="dxa"/>
          </w:tcPr>
          <w:p w14:paraId="7FE8E450" w14:textId="77777777" w:rsidR="00F5459E" w:rsidRPr="007C25F9" w:rsidRDefault="00F5459E" w:rsidP="00D41927">
            <w:r w:rsidRPr="00DF6992">
              <w:rPr>
                <w:noProof/>
              </w:rPr>
              <w:t>0</w:t>
            </w:r>
          </w:p>
        </w:tc>
      </w:tr>
      <w:tr w:rsidR="00F5459E" w:rsidRPr="007C25F9" w14:paraId="2681061D" w14:textId="77777777" w:rsidTr="007929F6">
        <w:trPr>
          <w:cantSplit/>
          <w:tblHeader/>
        </w:trPr>
        <w:tc>
          <w:tcPr>
            <w:tcW w:w="4675" w:type="dxa"/>
          </w:tcPr>
          <w:p w14:paraId="1F97F587" w14:textId="77777777" w:rsidR="00F5459E" w:rsidRPr="007C25F9" w:rsidRDefault="00F5459E" w:rsidP="00D41927">
            <w:r w:rsidRPr="007C25F9">
              <w:t>Asian</w:t>
            </w:r>
          </w:p>
        </w:tc>
        <w:tc>
          <w:tcPr>
            <w:tcW w:w="4675" w:type="dxa"/>
          </w:tcPr>
          <w:p w14:paraId="23B30985" w14:textId="77777777" w:rsidR="00F5459E" w:rsidRPr="007C25F9" w:rsidRDefault="00F5459E" w:rsidP="00D41927">
            <w:r w:rsidRPr="00DF6992">
              <w:rPr>
                <w:noProof/>
              </w:rPr>
              <w:t>3.9</w:t>
            </w:r>
          </w:p>
        </w:tc>
      </w:tr>
      <w:tr w:rsidR="00F5459E" w:rsidRPr="007C25F9" w14:paraId="6AEC4A52" w14:textId="77777777" w:rsidTr="007929F6">
        <w:trPr>
          <w:cantSplit/>
          <w:tblHeader/>
        </w:trPr>
        <w:tc>
          <w:tcPr>
            <w:tcW w:w="4675" w:type="dxa"/>
          </w:tcPr>
          <w:p w14:paraId="3ED4555C" w14:textId="77777777" w:rsidR="00F5459E" w:rsidRPr="007C25F9" w:rsidRDefault="00F5459E" w:rsidP="00D41927">
            <w:r w:rsidRPr="007C25F9">
              <w:t>Filipino</w:t>
            </w:r>
          </w:p>
        </w:tc>
        <w:tc>
          <w:tcPr>
            <w:tcW w:w="4675" w:type="dxa"/>
          </w:tcPr>
          <w:p w14:paraId="72DB878E" w14:textId="77777777" w:rsidR="00F5459E" w:rsidRPr="007C25F9" w:rsidRDefault="00F5459E" w:rsidP="00D41927">
            <w:r w:rsidRPr="00DF6992">
              <w:rPr>
                <w:noProof/>
              </w:rPr>
              <w:t>0.5</w:t>
            </w:r>
          </w:p>
        </w:tc>
      </w:tr>
      <w:tr w:rsidR="00F5459E" w:rsidRPr="007C25F9" w14:paraId="29D6F649" w14:textId="77777777" w:rsidTr="007929F6">
        <w:trPr>
          <w:cantSplit/>
          <w:tblHeader/>
        </w:trPr>
        <w:tc>
          <w:tcPr>
            <w:tcW w:w="4675" w:type="dxa"/>
          </w:tcPr>
          <w:p w14:paraId="05EC0FD2" w14:textId="77777777" w:rsidR="00F5459E" w:rsidRPr="007C25F9" w:rsidRDefault="00F5459E" w:rsidP="00D41927">
            <w:r w:rsidRPr="007C25F9">
              <w:t>Hispanic</w:t>
            </w:r>
          </w:p>
        </w:tc>
        <w:tc>
          <w:tcPr>
            <w:tcW w:w="4675" w:type="dxa"/>
          </w:tcPr>
          <w:p w14:paraId="4C27B1A5" w14:textId="77777777" w:rsidR="00F5459E" w:rsidRPr="007C25F9" w:rsidRDefault="00F5459E" w:rsidP="00D41927">
            <w:r w:rsidRPr="00DF6992">
              <w:rPr>
                <w:noProof/>
              </w:rPr>
              <w:t>71.2</w:t>
            </w:r>
          </w:p>
        </w:tc>
      </w:tr>
      <w:tr w:rsidR="00F5459E" w:rsidRPr="007C25F9" w14:paraId="5E61C9B3" w14:textId="77777777" w:rsidTr="007929F6">
        <w:trPr>
          <w:cantSplit/>
          <w:tblHeader/>
        </w:trPr>
        <w:tc>
          <w:tcPr>
            <w:tcW w:w="4675" w:type="dxa"/>
          </w:tcPr>
          <w:p w14:paraId="36B32536" w14:textId="77777777" w:rsidR="00F5459E" w:rsidRPr="007C25F9" w:rsidRDefault="00F5459E" w:rsidP="00D41927">
            <w:r w:rsidRPr="007C25F9">
              <w:t>Pacific Islander</w:t>
            </w:r>
          </w:p>
        </w:tc>
        <w:tc>
          <w:tcPr>
            <w:tcW w:w="4675" w:type="dxa"/>
          </w:tcPr>
          <w:p w14:paraId="11A76887" w14:textId="77777777" w:rsidR="00F5459E" w:rsidRPr="007C25F9" w:rsidRDefault="00F5459E" w:rsidP="00D41927">
            <w:r w:rsidRPr="00DF6992">
              <w:rPr>
                <w:noProof/>
              </w:rPr>
              <w:t>0</w:t>
            </w:r>
          </w:p>
        </w:tc>
      </w:tr>
      <w:tr w:rsidR="00F5459E" w:rsidRPr="007C25F9" w14:paraId="7C9CE81A" w14:textId="77777777" w:rsidTr="007929F6">
        <w:trPr>
          <w:cantSplit/>
          <w:tblHeader/>
        </w:trPr>
        <w:tc>
          <w:tcPr>
            <w:tcW w:w="4675" w:type="dxa"/>
          </w:tcPr>
          <w:p w14:paraId="6883BCE1" w14:textId="77777777" w:rsidR="00F5459E" w:rsidRPr="007C25F9" w:rsidRDefault="00F5459E" w:rsidP="00D41927">
            <w:r w:rsidRPr="007C25F9">
              <w:t>Two or More Races</w:t>
            </w:r>
          </w:p>
        </w:tc>
        <w:tc>
          <w:tcPr>
            <w:tcW w:w="4675" w:type="dxa"/>
          </w:tcPr>
          <w:p w14:paraId="20F1F050" w14:textId="77777777" w:rsidR="00F5459E" w:rsidRPr="007C25F9" w:rsidRDefault="00F5459E" w:rsidP="00D41927">
            <w:r w:rsidRPr="00DF6992">
              <w:rPr>
                <w:noProof/>
              </w:rPr>
              <w:t>3.6</w:t>
            </w:r>
          </w:p>
        </w:tc>
      </w:tr>
      <w:tr w:rsidR="00F5459E" w:rsidRPr="007C25F9" w14:paraId="2B85F2A6" w14:textId="77777777" w:rsidTr="007929F6">
        <w:trPr>
          <w:cantSplit/>
          <w:tblHeader/>
        </w:trPr>
        <w:tc>
          <w:tcPr>
            <w:tcW w:w="4675" w:type="dxa"/>
          </w:tcPr>
          <w:p w14:paraId="2A8132BF" w14:textId="77777777" w:rsidR="00F5459E" w:rsidRPr="007C25F9" w:rsidRDefault="00F5459E" w:rsidP="00D41927">
            <w:r w:rsidRPr="007C25F9">
              <w:t>White</w:t>
            </w:r>
          </w:p>
        </w:tc>
        <w:tc>
          <w:tcPr>
            <w:tcW w:w="4675" w:type="dxa"/>
          </w:tcPr>
          <w:p w14:paraId="39848242" w14:textId="77777777" w:rsidR="00F5459E" w:rsidRPr="007C25F9" w:rsidRDefault="00F5459E" w:rsidP="00D41927">
            <w:r w:rsidRPr="00DF6992">
              <w:rPr>
                <w:noProof/>
              </w:rPr>
              <w:t>7.7</w:t>
            </w:r>
          </w:p>
        </w:tc>
      </w:tr>
    </w:tbl>
    <w:p w14:paraId="4CBA8785" w14:textId="77777777" w:rsidR="00F5459E" w:rsidRPr="007C25F9" w:rsidRDefault="00F5459E">
      <w:pPr>
        <w:spacing w:before="0"/>
        <w:rPr>
          <w:rFonts w:eastAsiaTheme="majorEastAsia"/>
          <w:b/>
          <w:bCs/>
          <w:sz w:val="32"/>
          <w:szCs w:val="32"/>
        </w:rPr>
      </w:pPr>
      <w:r w:rsidRPr="007C25F9">
        <w:br w:type="page"/>
      </w:r>
    </w:p>
    <w:p w14:paraId="2AEDE284" w14:textId="77777777" w:rsidR="00F5459E" w:rsidRPr="007C25F9" w:rsidRDefault="00F5459E" w:rsidP="00A42D0A">
      <w:pPr>
        <w:pStyle w:val="Heading3"/>
      </w:pPr>
      <w:r w:rsidRPr="007C25F9">
        <w:lastRenderedPageBreak/>
        <w:t>Section 2. California School Dashboard Data Overview</w:t>
      </w:r>
    </w:p>
    <w:p w14:paraId="0317BCB2" w14:textId="77777777" w:rsidR="00F5459E" w:rsidRPr="007C25F9" w:rsidRDefault="00F5459E" w:rsidP="00A42D0A">
      <w:pPr>
        <w:pStyle w:val="Heading4"/>
      </w:pPr>
      <w:r w:rsidRPr="007C25F9">
        <w:t>California School Dashboard</w:t>
      </w:r>
    </w:p>
    <w:p w14:paraId="07DDD4F4" w14:textId="77777777" w:rsidR="00F5459E" w:rsidRPr="007C25F9" w:rsidRDefault="00F5459E"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F5459E" w:rsidRPr="007C25F9" w14:paraId="4FAD7F3F" w14:textId="77777777" w:rsidTr="007929F6">
        <w:trPr>
          <w:cantSplit/>
          <w:tblHeader/>
        </w:trPr>
        <w:tc>
          <w:tcPr>
            <w:tcW w:w="3350" w:type="dxa"/>
            <w:shd w:val="clear" w:color="auto" w:fill="D9D9D9" w:themeFill="background1" w:themeFillShade="D9"/>
          </w:tcPr>
          <w:p w14:paraId="643F5800" w14:textId="77777777" w:rsidR="00F5459E" w:rsidRPr="007C25F9" w:rsidRDefault="00F5459E" w:rsidP="00D41927">
            <w:pPr>
              <w:rPr>
                <w:b/>
                <w:bCs/>
              </w:rPr>
            </w:pPr>
            <w:r w:rsidRPr="007C25F9">
              <w:rPr>
                <w:b/>
                <w:bCs/>
              </w:rPr>
              <w:t>Prompt</w:t>
            </w:r>
          </w:p>
        </w:tc>
        <w:tc>
          <w:tcPr>
            <w:tcW w:w="3246" w:type="dxa"/>
            <w:shd w:val="clear" w:color="auto" w:fill="D9D9D9" w:themeFill="background1" w:themeFillShade="D9"/>
          </w:tcPr>
          <w:p w14:paraId="6D1FDD27" w14:textId="77777777" w:rsidR="00F5459E" w:rsidRPr="007C25F9" w:rsidRDefault="00F5459E" w:rsidP="00D41927">
            <w:pPr>
              <w:rPr>
                <w:b/>
                <w:bCs/>
              </w:rPr>
            </w:pPr>
            <w:r w:rsidRPr="007C25F9">
              <w:rPr>
                <w:b/>
                <w:bCs/>
              </w:rPr>
              <w:t>Percentage</w:t>
            </w:r>
          </w:p>
        </w:tc>
        <w:tc>
          <w:tcPr>
            <w:tcW w:w="2754" w:type="dxa"/>
            <w:shd w:val="clear" w:color="auto" w:fill="D9D9D9" w:themeFill="background1" w:themeFillShade="D9"/>
          </w:tcPr>
          <w:p w14:paraId="7A74033F" w14:textId="77777777" w:rsidR="00F5459E" w:rsidRPr="007C25F9" w:rsidRDefault="00F5459E" w:rsidP="00D41927">
            <w:pPr>
              <w:rPr>
                <w:b/>
                <w:bCs/>
              </w:rPr>
            </w:pPr>
            <w:r w:rsidRPr="007C25F9">
              <w:rPr>
                <w:b/>
                <w:bCs/>
              </w:rPr>
              <w:t>Color</w:t>
            </w:r>
          </w:p>
        </w:tc>
      </w:tr>
      <w:tr w:rsidR="00F5459E" w:rsidRPr="007C25F9" w14:paraId="2A4AB523" w14:textId="77777777" w:rsidTr="007929F6">
        <w:trPr>
          <w:cantSplit/>
          <w:tblHeader/>
        </w:trPr>
        <w:tc>
          <w:tcPr>
            <w:tcW w:w="3350" w:type="dxa"/>
          </w:tcPr>
          <w:p w14:paraId="4DF77B5D" w14:textId="77777777" w:rsidR="00F5459E" w:rsidRPr="007C25F9" w:rsidRDefault="00F5459E" w:rsidP="00D41927">
            <w:r w:rsidRPr="007C25F9">
              <w:t>Chronic Absenteeism</w:t>
            </w:r>
          </w:p>
        </w:tc>
        <w:tc>
          <w:tcPr>
            <w:tcW w:w="3246" w:type="dxa"/>
          </w:tcPr>
          <w:p w14:paraId="2A4472B5" w14:textId="3B097845" w:rsidR="00F5459E" w:rsidRPr="007C25F9" w:rsidRDefault="007F5859" w:rsidP="00D41927">
            <w:r>
              <w:t>Not applicable*</w:t>
            </w:r>
          </w:p>
        </w:tc>
        <w:tc>
          <w:tcPr>
            <w:tcW w:w="2754" w:type="dxa"/>
          </w:tcPr>
          <w:p w14:paraId="1EF14E04" w14:textId="77777777" w:rsidR="00F5459E" w:rsidRPr="007C25F9" w:rsidRDefault="00F5459E" w:rsidP="00D41927">
            <w:r w:rsidRPr="00DF6992">
              <w:rPr>
                <w:noProof/>
              </w:rPr>
              <w:t>No Performance Color</w:t>
            </w:r>
          </w:p>
        </w:tc>
      </w:tr>
      <w:tr w:rsidR="00F5459E" w:rsidRPr="007C25F9" w14:paraId="1E3D83AC" w14:textId="77777777" w:rsidTr="007929F6">
        <w:trPr>
          <w:cantSplit/>
          <w:tblHeader/>
        </w:trPr>
        <w:tc>
          <w:tcPr>
            <w:tcW w:w="3350" w:type="dxa"/>
          </w:tcPr>
          <w:p w14:paraId="0F13D6B6" w14:textId="77777777" w:rsidR="00F5459E" w:rsidRPr="007C25F9" w:rsidRDefault="00F5459E" w:rsidP="00D41927">
            <w:r w:rsidRPr="007C25F9">
              <w:t>Suspension Rate</w:t>
            </w:r>
          </w:p>
        </w:tc>
        <w:tc>
          <w:tcPr>
            <w:tcW w:w="3246" w:type="dxa"/>
          </w:tcPr>
          <w:p w14:paraId="0720B32D" w14:textId="77777777" w:rsidR="00F5459E" w:rsidRPr="007C25F9" w:rsidRDefault="00F5459E" w:rsidP="00D41927">
            <w:r w:rsidRPr="00DF6992">
              <w:rPr>
                <w:noProof/>
              </w:rPr>
              <w:t>3.2</w:t>
            </w:r>
          </w:p>
        </w:tc>
        <w:tc>
          <w:tcPr>
            <w:tcW w:w="2754" w:type="dxa"/>
          </w:tcPr>
          <w:p w14:paraId="0C867B86" w14:textId="77777777" w:rsidR="00F5459E" w:rsidRPr="007C25F9" w:rsidRDefault="00F5459E" w:rsidP="00D41927">
            <w:r w:rsidRPr="00DF6992">
              <w:rPr>
                <w:noProof/>
              </w:rPr>
              <w:t>Green</w:t>
            </w:r>
          </w:p>
        </w:tc>
      </w:tr>
      <w:tr w:rsidR="00F5459E" w:rsidRPr="007C25F9" w14:paraId="17602CFB" w14:textId="77777777" w:rsidTr="007929F6">
        <w:trPr>
          <w:cantSplit/>
          <w:tblHeader/>
        </w:trPr>
        <w:tc>
          <w:tcPr>
            <w:tcW w:w="3350" w:type="dxa"/>
          </w:tcPr>
          <w:p w14:paraId="38F1159B" w14:textId="77777777" w:rsidR="00F5459E" w:rsidRPr="007C25F9" w:rsidRDefault="00F5459E" w:rsidP="00D41927">
            <w:r w:rsidRPr="007C25F9">
              <w:t>English Learner Progress</w:t>
            </w:r>
          </w:p>
        </w:tc>
        <w:tc>
          <w:tcPr>
            <w:tcW w:w="3246" w:type="dxa"/>
          </w:tcPr>
          <w:p w14:paraId="13D6B706" w14:textId="77777777" w:rsidR="00F5459E" w:rsidRPr="007C25F9" w:rsidRDefault="00F5459E" w:rsidP="00D41927">
            <w:r w:rsidRPr="00DF6992">
              <w:rPr>
                <w:noProof/>
              </w:rPr>
              <w:t>35.4</w:t>
            </w:r>
          </w:p>
        </w:tc>
        <w:tc>
          <w:tcPr>
            <w:tcW w:w="2754" w:type="dxa"/>
          </w:tcPr>
          <w:p w14:paraId="2F38213F" w14:textId="77777777" w:rsidR="00F5459E" w:rsidRPr="007C25F9" w:rsidRDefault="00F5459E" w:rsidP="00D41927">
            <w:r w:rsidRPr="00DF6992">
              <w:rPr>
                <w:noProof/>
              </w:rPr>
              <w:t>Yellow</w:t>
            </w:r>
          </w:p>
        </w:tc>
      </w:tr>
      <w:tr w:rsidR="00F5459E" w:rsidRPr="007C25F9" w14:paraId="78BE5CD1" w14:textId="77777777" w:rsidTr="007929F6">
        <w:trPr>
          <w:cantSplit/>
          <w:tblHeader/>
        </w:trPr>
        <w:tc>
          <w:tcPr>
            <w:tcW w:w="3350" w:type="dxa"/>
          </w:tcPr>
          <w:p w14:paraId="5FAA4A69" w14:textId="77777777" w:rsidR="00F5459E" w:rsidRPr="007C25F9" w:rsidRDefault="00F5459E" w:rsidP="00D41927">
            <w:r w:rsidRPr="007C25F9">
              <w:t>Graduation Rate</w:t>
            </w:r>
          </w:p>
        </w:tc>
        <w:tc>
          <w:tcPr>
            <w:tcW w:w="3246" w:type="dxa"/>
          </w:tcPr>
          <w:p w14:paraId="22F584F3" w14:textId="77777777" w:rsidR="00F5459E" w:rsidRPr="007C25F9" w:rsidRDefault="00F5459E" w:rsidP="00D41927">
            <w:r w:rsidRPr="00DF6992">
              <w:rPr>
                <w:noProof/>
              </w:rPr>
              <w:t>93.3</w:t>
            </w:r>
          </w:p>
        </w:tc>
        <w:tc>
          <w:tcPr>
            <w:tcW w:w="2754" w:type="dxa"/>
          </w:tcPr>
          <w:p w14:paraId="3FFA19D8" w14:textId="77777777" w:rsidR="00F5459E" w:rsidRPr="007C25F9" w:rsidRDefault="00F5459E" w:rsidP="00D41927">
            <w:r w:rsidRPr="00DF6992">
              <w:rPr>
                <w:noProof/>
              </w:rPr>
              <w:t>Green</w:t>
            </w:r>
          </w:p>
        </w:tc>
      </w:tr>
      <w:tr w:rsidR="00F5459E" w:rsidRPr="007C25F9" w14:paraId="4880C477" w14:textId="77777777" w:rsidTr="007929F6">
        <w:trPr>
          <w:cantSplit/>
          <w:tblHeader/>
        </w:trPr>
        <w:tc>
          <w:tcPr>
            <w:tcW w:w="3350" w:type="dxa"/>
          </w:tcPr>
          <w:p w14:paraId="39FBA69A" w14:textId="77777777" w:rsidR="00F5459E" w:rsidRPr="007C25F9" w:rsidRDefault="00F5459E" w:rsidP="00D41927">
            <w:r w:rsidRPr="007C25F9">
              <w:t>College/Career</w:t>
            </w:r>
          </w:p>
        </w:tc>
        <w:tc>
          <w:tcPr>
            <w:tcW w:w="3246" w:type="dxa"/>
          </w:tcPr>
          <w:p w14:paraId="06333259" w14:textId="77777777" w:rsidR="00F5459E" w:rsidRPr="007C25F9" w:rsidRDefault="00F5459E" w:rsidP="00D41927">
            <w:r w:rsidRPr="00DF6992">
              <w:rPr>
                <w:noProof/>
              </w:rPr>
              <w:t>73.1</w:t>
            </w:r>
          </w:p>
        </w:tc>
        <w:tc>
          <w:tcPr>
            <w:tcW w:w="2754" w:type="dxa"/>
          </w:tcPr>
          <w:p w14:paraId="751F2FFC" w14:textId="77777777" w:rsidR="00F5459E" w:rsidRPr="007C25F9" w:rsidRDefault="00F5459E" w:rsidP="00D41927">
            <w:r w:rsidRPr="00DF6992">
              <w:rPr>
                <w:noProof/>
              </w:rPr>
              <w:t>Blue</w:t>
            </w:r>
          </w:p>
        </w:tc>
      </w:tr>
    </w:tbl>
    <w:p w14:paraId="7D16A36A" w14:textId="68880D45" w:rsidR="007D4D23" w:rsidRPr="007D4D23" w:rsidRDefault="007D4D23" w:rsidP="007D4D23">
      <w:pPr>
        <w:pStyle w:val="FootnoteText"/>
        <w:rPr>
          <w:sz w:val="24"/>
          <w:szCs w:val="24"/>
        </w:rPr>
      </w:pPr>
      <w:r w:rsidRPr="007D4D23">
        <w:rPr>
          <w:sz w:val="24"/>
          <w:szCs w:val="24"/>
        </w:rPr>
        <w:t>*</w:t>
      </w:r>
      <w:r>
        <w:rPr>
          <w:sz w:val="24"/>
          <w:szCs w:val="24"/>
        </w:rPr>
        <w:t xml:space="preserve"> </w:t>
      </w:r>
      <w:r w:rsidRPr="007D4D23">
        <w:rPr>
          <w:sz w:val="24"/>
          <w:szCs w:val="24"/>
        </w:rPr>
        <w:t>The Chronic Absenteeism Indicator does not apply to a stand-alone high school.</w:t>
      </w:r>
    </w:p>
    <w:p w14:paraId="0EFDF50E" w14:textId="1C3885F2" w:rsidR="00F5459E" w:rsidRPr="007C25F9" w:rsidRDefault="00F5459E"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F5459E" w:rsidRPr="007C25F9" w14:paraId="79431E36" w14:textId="77777777" w:rsidTr="00927BE3">
        <w:trPr>
          <w:cantSplit/>
          <w:tblHeader/>
        </w:trPr>
        <w:tc>
          <w:tcPr>
            <w:tcW w:w="2655" w:type="dxa"/>
            <w:shd w:val="clear" w:color="auto" w:fill="D9D9D9" w:themeFill="background1" w:themeFillShade="D9"/>
          </w:tcPr>
          <w:p w14:paraId="3FAEDC2C" w14:textId="77777777" w:rsidR="00F5459E" w:rsidRPr="007C25F9" w:rsidRDefault="00F5459E" w:rsidP="00D41927">
            <w:pPr>
              <w:rPr>
                <w:b/>
                <w:bCs/>
              </w:rPr>
            </w:pPr>
            <w:r w:rsidRPr="007C25F9">
              <w:rPr>
                <w:b/>
                <w:bCs/>
              </w:rPr>
              <w:t>Prompt</w:t>
            </w:r>
          </w:p>
        </w:tc>
        <w:tc>
          <w:tcPr>
            <w:tcW w:w="2061" w:type="dxa"/>
            <w:shd w:val="clear" w:color="auto" w:fill="D9D9D9" w:themeFill="background1" w:themeFillShade="D9"/>
          </w:tcPr>
          <w:p w14:paraId="324165C4" w14:textId="77777777" w:rsidR="00F5459E" w:rsidRPr="007C25F9" w:rsidRDefault="00F5459E" w:rsidP="00D41927">
            <w:pPr>
              <w:rPr>
                <w:b/>
                <w:bCs/>
              </w:rPr>
            </w:pPr>
            <w:r w:rsidRPr="007C25F9">
              <w:rPr>
                <w:b/>
                <w:bCs/>
              </w:rPr>
              <w:t>Color</w:t>
            </w:r>
          </w:p>
        </w:tc>
        <w:tc>
          <w:tcPr>
            <w:tcW w:w="2467" w:type="dxa"/>
            <w:shd w:val="clear" w:color="auto" w:fill="D9D9D9" w:themeFill="background1" w:themeFillShade="D9"/>
          </w:tcPr>
          <w:p w14:paraId="11E9EB9E" w14:textId="77777777" w:rsidR="00F5459E" w:rsidRPr="007C25F9" w:rsidRDefault="00F5459E" w:rsidP="00D41927">
            <w:pPr>
              <w:rPr>
                <w:b/>
                <w:bCs/>
              </w:rPr>
            </w:pPr>
            <w:r w:rsidRPr="007C25F9">
              <w:rPr>
                <w:b/>
                <w:bCs/>
              </w:rPr>
              <w:t>Above or Below Standard</w:t>
            </w:r>
          </w:p>
        </w:tc>
        <w:tc>
          <w:tcPr>
            <w:tcW w:w="2167" w:type="dxa"/>
            <w:shd w:val="clear" w:color="auto" w:fill="D9D9D9" w:themeFill="background1" w:themeFillShade="D9"/>
          </w:tcPr>
          <w:p w14:paraId="5600D6F3" w14:textId="77777777" w:rsidR="00F5459E" w:rsidRPr="007C25F9" w:rsidRDefault="00F5459E" w:rsidP="00D41927">
            <w:pPr>
              <w:rPr>
                <w:b/>
                <w:bCs/>
              </w:rPr>
            </w:pPr>
            <w:r w:rsidRPr="007C25F9">
              <w:rPr>
                <w:b/>
                <w:bCs/>
              </w:rPr>
              <w:t>Distance From Standard</w:t>
            </w:r>
          </w:p>
        </w:tc>
      </w:tr>
      <w:tr w:rsidR="00F5459E" w:rsidRPr="007C25F9" w14:paraId="756F44E5" w14:textId="77777777" w:rsidTr="00927BE3">
        <w:trPr>
          <w:cantSplit/>
          <w:tblHeader/>
        </w:trPr>
        <w:tc>
          <w:tcPr>
            <w:tcW w:w="2655" w:type="dxa"/>
          </w:tcPr>
          <w:p w14:paraId="1EEAFA13" w14:textId="77777777" w:rsidR="00F5459E" w:rsidRPr="007C25F9" w:rsidRDefault="00F5459E" w:rsidP="00D41927">
            <w:r w:rsidRPr="007C25F9">
              <w:t>English Language Arts</w:t>
            </w:r>
          </w:p>
        </w:tc>
        <w:tc>
          <w:tcPr>
            <w:tcW w:w="2061" w:type="dxa"/>
          </w:tcPr>
          <w:p w14:paraId="37887981" w14:textId="77777777" w:rsidR="00F5459E" w:rsidRPr="007C25F9" w:rsidRDefault="00F5459E" w:rsidP="00D41927">
            <w:r w:rsidRPr="00DF6992">
              <w:rPr>
                <w:noProof/>
              </w:rPr>
              <w:t>Yellow</w:t>
            </w:r>
          </w:p>
        </w:tc>
        <w:tc>
          <w:tcPr>
            <w:tcW w:w="2467" w:type="dxa"/>
          </w:tcPr>
          <w:p w14:paraId="09AA1219" w14:textId="77777777" w:rsidR="00F5459E" w:rsidRPr="007C25F9" w:rsidRDefault="00F5459E" w:rsidP="00D41927">
            <w:r w:rsidRPr="00DF6992">
              <w:rPr>
                <w:noProof/>
              </w:rPr>
              <w:t>Below standard</w:t>
            </w:r>
          </w:p>
        </w:tc>
        <w:tc>
          <w:tcPr>
            <w:tcW w:w="2167" w:type="dxa"/>
          </w:tcPr>
          <w:p w14:paraId="5C850074" w14:textId="77777777" w:rsidR="00F5459E" w:rsidRPr="007C25F9" w:rsidRDefault="00F5459E" w:rsidP="00D41927">
            <w:r w:rsidRPr="00DF6992">
              <w:rPr>
                <w:noProof/>
              </w:rPr>
              <w:t>2.8</w:t>
            </w:r>
          </w:p>
        </w:tc>
      </w:tr>
      <w:tr w:rsidR="00F5459E" w:rsidRPr="007C25F9" w14:paraId="6FD23A71" w14:textId="77777777" w:rsidTr="00927BE3">
        <w:trPr>
          <w:cantSplit/>
          <w:tblHeader/>
        </w:trPr>
        <w:tc>
          <w:tcPr>
            <w:tcW w:w="2655" w:type="dxa"/>
          </w:tcPr>
          <w:p w14:paraId="48B2EE77" w14:textId="77777777" w:rsidR="00F5459E" w:rsidRPr="007C25F9" w:rsidRDefault="00F5459E" w:rsidP="00D41927">
            <w:r w:rsidRPr="007C25F9">
              <w:t>Mathematics</w:t>
            </w:r>
          </w:p>
        </w:tc>
        <w:tc>
          <w:tcPr>
            <w:tcW w:w="2061" w:type="dxa"/>
          </w:tcPr>
          <w:p w14:paraId="13732D04" w14:textId="77777777" w:rsidR="00F5459E" w:rsidRPr="007C25F9" w:rsidRDefault="00F5459E" w:rsidP="00D41927">
            <w:r w:rsidRPr="00DF6992">
              <w:rPr>
                <w:noProof/>
              </w:rPr>
              <w:t>Yellow</w:t>
            </w:r>
          </w:p>
        </w:tc>
        <w:tc>
          <w:tcPr>
            <w:tcW w:w="2467" w:type="dxa"/>
          </w:tcPr>
          <w:p w14:paraId="4492A781" w14:textId="77777777" w:rsidR="00F5459E" w:rsidRPr="007C25F9" w:rsidRDefault="00F5459E" w:rsidP="00D41927">
            <w:r w:rsidRPr="00DF6992">
              <w:rPr>
                <w:noProof/>
              </w:rPr>
              <w:t>Below standard</w:t>
            </w:r>
          </w:p>
        </w:tc>
        <w:tc>
          <w:tcPr>
            <w:tcW w:w="2167" w:type="dxa"/>
          </w:tcPr>
          <w:p w14:paraId="4930CA6B" w14:textId="77777777" w:rsidR="00F5459E" w:rsidRPr="007C25F9" w:rsidRDefault="00F5459E" w:rsidP="00D41927">
            <w:r w:rsidRPr="00DF6992">
              <w:rPr>
                <w:noProof/>
              </w:rPr>
              <w:t>82.6</w:t>
            </w:r>
          </w:p>
        </w:tc>
      </w:tr>
    </w:tbl>
    <w:p w14:paraId="6F18FD81" w14:textId="77777777" w:rsidR="00F5459E" w:rsidRPr="007C25F9" w:rsidRDefault="00F5459E" w:rsidP="00A42D0A">
      <w:pPr>
        <w:pStyle w:val="Heading4"/>
      </w:pPr>
      <w:r>
        <w:t xml:space="preserve">2024–25 </w:t>
      </w:r>
      <w:r w:rsidRPr="007C25F9">
        <w:t>California Assessment of Student Performance and Progress</w:t>
      </w:r>
    </w:p>
    <w:p w14:paraId="2CC232D4" w14:textId="77777777" w:rsidR="00F5459E" w:rsidRPr="007C25F9" w:rsidRDefault="00F5459E">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F5459E" w:rsidRPr="007C25F9" w14:paraId="6A082568" w14:textId="77777777" w:rsidTr="007929F6">
        <w:trPr>
          <w:cantSplit/>
          <w:tblHeader/>
        </w:trPr>
        <w:tc>
          <w:tcPr>
            <w:tcW w:w="4675" w:type="dxa"/>
            <w:shd w:val="clear" w:color="auto" w:fill="D9D9D9" w:themeFill="background1" w:themeFillShade="D9"/>
          </w:tcPr>
          <w:p w14:paraId="3124B753" w14:textId="77777777" w:rsidR="00F5459E" w:rsidRPr="007C25F9" w:rsidRDefault="00F5459E" w:rsidP="00D41927">
            <w:pPr>
              <w:rPr>
                <w:b/>
                <w:bCs/>
              </w:rPr>
            </w:pPr>
            <w:r w:rsidRPr="007C25F9">
              <w:rPr>
                <w:b/>
                <w:bCs/>
              </w:rPr>
              <w:t>Prompt</w:t>
            </w:r>
          </w:p>
        </w:tc>
        <w:tc>
          <w:tcPr>
            <w:tcW w:w="4675" w:type="dxa"/>
            <w:shd w:val="clear" w:color="auto" w:fill="D9D9D9" w:themeFill="background1" w:themeFillShade="D9"/>
          </w:tcPr>
          <w:p w14:paraId="6899A97E" w14:textId="77777777" w:rsidR="00F5459E" w:rsidRPr="007C25F9" w:rsidRDefault="00F5459E" w:rsidP="00D41927">
            <w:pPr>
              <w:rPr>
                <w:b/>
                <w:bCs/>
              </w:rPr>
            </w:pPr>
            <w:r w:rsidRPr="007C25F9">
              <w:rPr>
                <w:b/>
                <w:bCs/>
              </w:rPr>
              <w:t>Percentage</w:t>
            </w:r>
          </w:p>
        </w:tc>
      </w:tr>
      <w:tr w:rsidR="00F5459E" w:rsidRPr="007C25F9" w14:paraId="524B93A5" w14:textId="77777777" w:rsidTr="007929F6">
        <w:trPr>
          <w:cantSplit/>
          <w:tblHeader/>
        </w:trPr>
        <w:tc>
          <w:tcPr>
            <w:tcW w:w="4675" w:type="dxa"/>
          </w:tcPr>
          <w:p w14:paraId="558FF06E" w14:textId="77777777" w:rsidR="00F5459E" w:rsidRPr="007C25F9" w:rsidRDefault="00F5459E" w:rsidP="00D41927">
            <w:r w:rsidRPr="007C25F9">
              <w:t>English Language Arts</w:t>
            </w:r>
          </w:p>
        </w:tc>
        <w:tc>
          <w:tcPr>
            <w:tcW w:w="4675" w:type="dxa"/>
          </w:tcPr>
          <w:p w14:paraId="0E078A26" w14:textId="77777777" w:rsidR="00F5459E" w:rsidRPr="007C25F9" w:rsidRDefault="00F5459E" w:rsidP="00D41927">
            <w:r w:rsidRPr="00DF6992">
              <w:rPr>
                <w:noProof/>
              </w:rPr>
              <w:t>55</w:t>
            </w:r>
          </w:p>
        </w:tc>
      </w:tr>
      <w:tr w:rsidR="00F5459E" w:rsidRPr="007C25F9" w14:paraId="73DED176" w14:textId="77777777" w:rsidTr="007929F6">
        <w:trPr>
          <w:cantSplit/>
          <w:tblHeader/>
        </w:trPr>
        <w:tc>
          <w:tcPr>
            <w:tcW w:w="4675" w:type="dxa"/>
          </w:tcPr>
          <w:p w14:paraId="386BF17D" w14:textId="77777777" w:rsidR="00F5459E" w:rsidRPr="007C25F9" w:rsidRDefault="00F5459E" w:rsidP="00D41927">
            <w:r w:rsidRPr="007C25F9">
              <w:t>Mathematics</w:t>
            </w:r>
          </w:p>
        </w:tc>
        <w:tc>
          <w:tcPr>
            <w:tcW w:w="4675" w:type="dxa"/>
          </w:tcPr>
          <w:p w14:paraId="201C2C5E" w14:textId="77777777" w:rsidR="00F5459E" w:rsidRPr="007C25F9" w:rsidRDefault="00F5459E" w:rsidP="00D41927">
            <w:r w:rsidRPr="00DF6992">
              <w:rPr>
                <w:noProof/>
              </w:rPr>
              <w:t>23</w:t>
            </w:r>
          </w:p>
        </w:tc>
      </w:tr>
    </w:tbl>
    <w:p w14:paraId="4616885D" w14:textId="77777777" w:rsidR="00F5459E" w:rsidRPr="007C25F9" w:rsidRDefault="00F5459E">
      <w:pPr>
        <w:spacing w:before="0"/>
        <w:rPr>
          <w:rFonts w:eastAsiaTheme="majorEastAsia"/>
          <w:b/>
          <w:bCs/>
          <w:sz w:val="32"/>
          <w:szCs w:val="32"/>
        </w:rPr>
      </w:pPr>
      <w:r w:rsidRPr="007C25F9">
        <w:br w:type="page"/>
      </w:r>
    </w:p>
    <w:p w14:paraId="697A3239" w14:textId="77777777" w:rsidR="00F5459E" w:rsidRPr="007C25F9" w:rsidRDefault="00F5459E" w:rsidP="00A42D0A">
      <w:pPr>
        <w:pStyle w:val="Heading3"/>
      </w:pPr>
      <w:r w:rsidRPr="007C25F9">
        <w:lastRenderedPageBreak/>
        <w:t>Section 3. Areas of Greatest Progress and Need</w:t>
      </w:r>
    </w:p>
    <w:p w14:paraId="75FBF29F" w14:textId="77777777" w:rsidR="00F5459E" w:rsidRPr="00EA4CF5" w:rsidRDefault="00F5459E" w:rsidP="00EA4CF5">
      <w:pPr>
        <w:numPr>
          <w:ilvl w:val="0"/>
          <w:numId w:val="13"/>
        </w:numPr>
        <w:ind w:left="0"/>
        <w:rPr>
          <w:b/>
          <w:bCs/>
        </w:rPr>
      </w:pPr>
      <w:r w:rsidRPr="00EA4CF5">
        <w:rPr>
          <w:b/>
          <w:bCs/>
        </w:rPr>
        <w:t>Based on California School Dashboard (Dashboard) data, identify the charter school’s areas of greatest progress.</w:t>
      </w:r>
    </w:p>
    <w:p w14:paraId="036D69F2" w14:textId="77777777" w:rsidR="00F14E40" w:rsidRDefault="00F5459E" w:rsidP="0003147F">
      <w:pPr>
        <w:rPr>
          <w:noProof/>
        </w:rPr>
      </w:pPr>
      <w:r w:rsidRPr="00DF6992">
        <w:rPr>
          <w:noProof/>
        </w:rPr>
        <w:t>Our area of greatest progress was in ELD. We increased the percentage of students making progress toward English language proficiency by 7.7%.</w:t>
      </w:r>
    </w:p>
    <w:p w14:paraId="670FDD67" w14:textId="77777777" w:rsidR="00F14E40" w:rsidRDefault="00F5459E" w:rsidP="0003147F">
      <w:pPr>
        <w:rPr>
          <w:noProof/>
        </w:rPr>
      </w:pPr>
      <w:r w:rsidRPr="00DF6992">
        <w:rPr>
          <w:noProof/>
        </w:rPr>
        <w:t>Latitude High School serves a diverse population of English Learners (ELs), including newcomers and long-term ELs, and has made substantial investments to improve outcomes for these students. In response to performance data indicating inconsistent reclassification rates and limited progress toward English proficiency, the school restructured both its Designated and Integrated ELD programs under the leadership of a full-time Dean of Instruction for ELD.</w:t>
      </w:r>
    </w:p>
    <w:p w14:paraId="72DD3325" w14:textId="77777777" w:rsidR="00F14E40" w:rsidRDefault="00F5459E" w:rsidP="0003147F">
      <w:pPr>
        <w:rPr>
          <w:noProof/>
        </w:rPr>
      </w:pPr>
      <w:r w:rsidRPr="00DF6992">
        <w:rPr>
          <w:noProof/>
        </w:rPr>
        <w:t>In Designated ELD, the school has adopted a rigorous, research-based curriculum, created differentiated class structures for newcomers, and embedded regular progress monitoring using ELPAC data and classroom assessments. The Dean of Instruction also facilitates ongoing professional development and coaching for all ELD instructors, ensuring that language instruction is aligned to both state standards and students’ individual language levels.</w:t>
      </w:r>
    </w:p>
    <w:p w14:paraId="75749C08" w14:textId="77777777" w:rsidR="00F14E40" w:rsidRDefault="00F5459E" w:rsidP="0003147F">
      <w:pPr>
        <w:rPr>
          <w:noProof/>
        </w:rPr>
      </w:pPr>
      <w:r w:rsidRPr="00DF6992">
        <w:rPr>
          <w:noProof/>
        </w:rPr>
        <w:t>Integrated ELD practices have also significantly improved through schoolwide teacher inquiry cycles, during which general education teachers analyze EL student work, identify the language demands of their lessons, and develop scaffolds such as sentence frames, structured academic talk protocols, and language objectives. These inquiry cycles are a central feature of professional learning at Latitude and are supported by instructional coaching and co-planning.</w:t>
      </w:r>
    </w:p>
    <w:p w14:paraId="488795FE" w14:textId="7AA05F4A" w:rsidR="00F14E40" w:rsidRDefault="00F5459E" w:rsidP="0003147F">
      <w:pPr>
        <w:rPr>
          <w:noProof/>
        </w:rPr>
      </w:pPr>
      <w:r w:rsidRPr="00DF6992">
        <w:rPr>
          <w:noProof/>
        </w:rPr>
        <w:t>Additionally, advisory-based social-emotional support groups tailored for ELs—especially newcomers—help build confidence, community, and a sense of belonging, which are essential for academic risk-taking and engagement in English.</w:t>
      </w:r>
    </w:p>
    <w:p w14:paraId="5D97B559" w14:textId="1182230E" w:rsidR="00F5459E" w:rsidRPr="007C25F9" w:rsidRDefault="00F5459E" w:rsidP="0003147F">
      <w:r w:rsidRPr="00DF6992">
        <w:rPr>
          <w:noProof/>
        </w:rPr>
        <w:t>Instructional coherence has improved, teachers demonstrate higher confidence in supporting ELs, and students have more consistent access to linguistically appropriate instruction across content areas.</w:t>
      </w:r>
    </w:p>
    <w:p w14:paraId="2014ED47" w14:textId="77777777" w:rsidR="00F5459E" w:rsidRPr="00EA4CF5" w:rsidRDefault="00F5459E"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5DDF7D61" w14:textId="77777777" w:rsidR="00F5459E" w:rsidRPr="007C25F9" w:rsidRDefault="00F5459E" w:rsidP="0003147F">
      <w:r w:rsidRPr="00DF6992">
        <w:rPr>
          <w:noProof/>
        </w:rPr>
        <w:t>As a school, we are using NWEA MAP to demonstrate the school’s areas of greatest progress. These assessments are on the approved verified data list.</w:t>
      </w:r>
    </w:p>
    <w:p w14:paraId="61D9E21B" w14:textId="77777777" w:rsidR="00F5459E" w:rsidRPr="00EA4CF5" w:rsidRDefault="00F5459E" w:rsidP="00EA4CF5">
      <w:pPr>
        <w:numPr>
          <w:ilvl w:val="0"/>
          <w:numId w:val="13"/>
        </w:numPr>
        <w:ind w:left="0"/>
        <w:rPr>
          <w:b/>
          <w:bCs/>
        </w:rPr>
      </w:pPr>
      <w:r w:rsidRPr="00EA4CF5">
        <w:rPr>
          <w:b/>
          <w:bCs/>
        </w:rPr>
        <w:t>Based on Dashboard data, identify the charter school’s areas of greatest need. Include references to student groups.</w:t>
      </w:r>
    </w:p>
    <w:p w14:paraId="6A2D8E58" w14:textId="77777777" w:rsidR="00F14E40" w:rsidRDefault="00F5459E" w:rsidP="0003147F">
      <w:pPr>
        <w:rPr>
          <w:noProof/>
        </w:rPr>
      </w:pPr>
      <w:r w:rsidRPr="00DF6992">
        <w:rPr>
          <w:noProof/>
        </w:rPr>
        <w:lastRenderedPageBreak/>
        <w:t>The Dashboard data suggests that students are not yet meeting grade-level standards on the Smarter Balanced Summative Assessment for Math in 11th grade. Our math department considers the greatest area of need to be our students’ ability to make sense of what math tasks are asking them to do and set a path toward a solution.</w:t>
      </w:r>
    </w:p>
    <w:p w14:paraId="6C202E58" w14:textId="77777777" w:rsidR="00F14E40" w:rsidRDefault="00F5459E" w:rsidP="0003147F">
      <w:pPr>
        <w:rPr>
          <w:noProof/>
        </w:rPr>
      </w:pPr>
      <w:r w:rsidRPr="00DF6992">
        <w:rPr>
          <w:noProof/>
        </w:rPr>
        <w:t>We find that our students often understand what to do and are successful in finding solutions once they have moved through these sense-making processes, but often get lost or lose confidence in themselves before that point.</w:t>
      </w:r>
    </w:p>
    <w:p w14:paraId="29856C7F" w14:textId="77777777" w:rsidR="00F14E40" w:rsidRDefault="00F5459E" w:rsidP="0003147F">
      <w:pPr>
        <w:rPr>
          <w:noProof/>
        </w:rPr>
      </w:pPr>
      <w:r w:rsidRPr="00DF6992">
        <w:rPr>
          <w:noProof/>
        </w:rPr>
        <w:t>On average, our students have scored 124.6 points below Standard Met in 2022, 80 points below Standard Met in 2023, 103.4 points below Standard Met in 2024, and 82.6 points below Standard Met in 2025. Though we increased our math proficiency by 20.8 points this year, there is more that we want to do, especially with our subgroups.</w:t>
      </w:r>
    </w:p>
    <w:p w14:paraId="7EC406EA" w14:textId="4F026264" w:rsidR="00F5459E" w:rsidRPr="007C25F9" w:rsidRDefault="00F5459E" w:rsidP="0003147F">
      <w:r w:rsidRPr="00DF6992">
        <w:rPr>
          <w:noProof/>
        </w:rPr>
        <w:t>Our Hispanic students increased by 6.1 points, and our socioeconomically disadvantaged students increased by 16.4 points. But our scores are not where we would like to be. In particular, our English Learners are struggling significantly on this assessment.</w:t>
      </w:r>
    </w:p>
    <w:p w14:paraId="414A286F" w14:textId="77777777" w:rsidR="00F5459E" w:rsidRPr="00EA4CF5" w:rsidRDefault="00F5459E" w:rsidP="00EA4CF5">
      <w:pPr>
        <w:numPr>
          <w:ilvl w:val="0"/>
          <w:numId w:val="13"/>
        </w:numPr>
        <w:ind w:left="0"/>
        <w:rPr>
          <w:b/>
          <w:bCs/>
        </w:rPr>
      </w:pPr>
      <w:r w:rsidRPr="00EA4CF5">
        <w:rPr>
          <w:b/>
          <w:bCs/>
        </w:rPr>
        <w:t>How is the charter school addressing these areas of need? Include references to student groups.</w:t>
      </w:r>
    </w:p>
    <w:p w14:paraId="147CF5BA" w14:textId="77777777" w:rsidR="00F14E40" w:rsidRDefault="00F5459E" w:rsidP="0003147F">
      <w:pPr>
        <w:rPr>
          <w:noProof/>
        </w:rPr>
      </w:pPr>
      <w:r w:rsidRPr="00DF6992">
        <w:rPr>
          <w:noProof/>
        </w:rPr>
        <w:t>Our school is addressing this area of need — Math Proficiency — through curriculum shifts and professional development. In Math, our tenth grade geometry classes have made two major curricular changes to reduce algebra learning loss and better prepare our students for the eleventh grade Smarter Balanced Summative Assessment.</w:t>
      </w:r>
    </w:p>
    <w:p w14:paraId="09FF8CB4" w14:textId="77777777" w:rsidR="00F14E40" w:rsidRDefault="00F5459E" w:rsidP="0003147F">
      <w:pPr>
        <w:rPr>
          <w:noProof/>
        </w:rPr>
      </w:pPr>
      <w:r w:rsidRPr="00DF6992">
        <w:rPr>
          <w:noProof/>
        </w:rPr>
        <w:t>First, with the help of our Algebra 1 teacher, the geometry teachers have spiraled in Algebra 1 throughout their classes. They have built in targeted problems that use algebra while also reviewing geometric concepts. For example, instead of just identifying angles that are congruent, a student may be asked to identify angles with variable expressions that are congruent, set them equal to solve for the variable and then substitute their answer back in to find the exact measurement of the angle.</w:t>
      </w:r>
    </w:p>
    <w:p w14:paraId="638B142C" w14:textId="77777777" w:rsidR="00F14E40" w:rsidRDefault="00F5459E" w:rsidP="0003147F">
      <w:pPr>
        <w:rPr>
          <w:noProof/>
        </w:rPr>
      </w:pPr>
      <w:r w:rsidRPr="00DF6992">
        <w:rPr>
          <w:noProof/>
        </w:rPr>
        <w:t>They have also spiraled Algebra 1 content into homework assignments, creating review opportunities for both new geometry learning and older Algebra 1 skills like solving for a variable, finding a point of intersection, graphing parabolas using intercepts and the vertex, and creating multiple representations of functions including tables, graphs and equations.</w:t>
      </w:r>
    </w:p>
    <w:p w14:paraId="2D7A2D62" w14:textId="1E88F903" w:rsidR="00F5459E" w:rsidRPr="007C25F9" w:rsidRDefault="00F5459E" w:rsidP="00B207C6">
      <w:pPr>
        <w:rPr>
          <w:rFonts w:eastAsiaTheme="majorEastAsia"/>
          <w:b/>
          <w:bCs/>
          <w:sz w:val="32"/>
          <w:szCs w:val="32"/>
        </w:rPr>
      </w:pPr>
      <w:r w:rsidRPr="00DF6992">
        <w:rPr>
          <w:noProof/>
        </w:rPr>
        <w:t>An additional step we have taken is moving all juniors into Algebra 2 regardless of whether they have earned geometry credit or not so that they can benefit from Algebra 2 instruction. The Smarter Balanced Summative Assessment has a significant amount of Algebra 2 content, and by moving all juniors into that class, we are giving them a chance at exposure to that content, both in regular class and during SBAC preparation time.</w:t>
      </w:r>
      <w:r w:rsidRPr="007C25F9">
        <w:br w:type="page"/>
      </w:r>
    </w:p>
    <w:p w14:paraId="432BD3E8" w14:textId="77777777" w:rsidR="00F5459E" w:rsidRPr="007C25F9" w:rsidRDefault="00F5459E" w:rsidP="00A42D0A">
      <w:pPr>
        <w:pStyle w:val="Heading3"/>
      </w:pPr>
      <w:r w:rsidRPr="007C25F9">
        <w:lastRenderedPageBreak/>
        <w:t>Section 4. Summary of Performance on Measurable Pupil Outcomes</w:t>
      </w:r>
    </w:p>
    <w:p w14:paraId="0F6985D0" w14:textId="77777777" w:rsidR="00F5459E" w:rsidRPr="00EA4CF5" w:rsidRDefault="00F5459E" w:rsidP="00EA4CF5">
      <w:pPr>
        <w:numPr>
          <w:ilvl w:val="0"/>
          <w:numId w:val="14"/>
        </w:numPr>
        <w:ind w:left="0"/>
        <w:rPr>
          <w:b/>
          <w:bCs/>
        </w:rPr>
      </w:pPr>
      <w:r w:rsidRPr="00EA4CF5">
        <w:rPr>
          <w:b/>
          <w:bCs/>
        </w:rPr>
        <w:t>Identify the Measurable Pupil Outcomes in Element 2 of the charter petition. Summarize the performance for each outcome.</w:t>
      </w:r>
    </w:p>
    <w:p w14:paraId="35AD2C14" w14:textId="77777777" w:rsidR="00F14E40" w:rsidRDefault="00F5459E" w:rsidP="0003147F">
      <w:pPr>
        <w:rPr>
          <w:rFonts w:cs="Arial"/>
          <w:noProof/>
        </w:rPr>
      </w:pPr>
      <w:r w:rsidRPr="00DF6992">
        <w:rPr>
          <w:rFonts w:cs="Arial"/>
          <w:noProof/>
        </w:rPr>
        <w:t>CAASPP ELA:  In terms of proficiency in ELA, 55% of our students achieved proficiency.</w:t>
      </w:r>
    </w:p>
    <w:p w14:paraId="65F24280" w14:textId="77777777" w:rsidR="00F14E40" w:rsidRDefault="00F5459E" w:rsidP="0003147F">
      <w:pPr>
        <w:rPr>
          <w:rFonts w:cs="Arial"/>
          <w:noProof/>
        </w:rPr>
      </w:pPr>
      <w:r w:rsidRPr="00DF6992">
        <w:rPr>
          <w:rFonts w:cs="Arial"/>
          <w:noProof/>
        </w:rPr>
        <w:t>CAASPP Math:  In terms of proficiency in Math, 23% of our students achieved proficiency.</w:t>
      </w:r>
    </w:p>
    <w:p w14:paraId="56819FB9" w14:textId="77777777" w:rsidR="00F14E40" w:rsidRDefault="00F5459E" w:rsidP="0003147F">
      <w:pPr>
        <w:rPr>
          <w:rFonts w:cs="Arial"/>
          <w:noProof/>
        </w:rPr>
      </w:pPr>
      <w:r w:rsidRPr="00DF6992">
        <w:rPr>
          <w:rFonts w:cs="Arial"/>
          <w:noProof/>
        </w:rPr>
        <w:t>ELPAC: 35.4% of students made progress.</w:t>
      </w:r>
    </w:p>
    <w:p w14:paraId="12BBBF41" w14:textId="77777777" w:rsidR="00F14E40" w:rsidRDefault="00F5459E" w:rsidP="0003147F">
      <w:pPr>
        <w:rPr>
          <w:rFonts w:cs="Arial"/>
          <w:noProof/>
        </w:rPr>
      </w:pPr>
      <w:r w:rsidRPr="00DF6992">
        <w:rPr>
          <w:rFonts w:cs="Arial"/>
          <w:noProof/>
        </w:rPr>
        <w:t>Chronic Absenteeism: 22%</w:t>
      </w:r>
    </w:p>
    <w:p w14:paraId="3B41D3AA" w14:textId="77777777" w:rsidR="00F14E40" w:rsidRDefault="00F5459E" w:rsidP="0003147F">
      <w:pPr>
        <w:rPr>
          <w:rFonts w:cs="Arial"/>
          <w:noProof/>
        </w:rPr>
      </w:pPr>
      <w:r w:rsidRPr="00DF6992">
        <w:rPr>
          <w:rFonts w:cs="Arial"/>
          <w:noProof/>
        </w:rPr>
        <w:t>Graduation Rate: 93.3%</w:t>
      </w:r>
    </w:p>
    <w:p w14:paraId="5E3F2878" w14:textId="343CDC5C" w:rsidR="00962259" w:rsidRDefault="00F5459E" w:rsidP="0003147F">
      <w:pPr>
        <w:rPr>
          <w:rFonts w:cs="Arial"/>
          <w:noProof/>
        </w:rPr>
      </w:pPr>
      <w:r w:rsidRPr="00DF6992">
        <w:rPr>
          <w:rFonts w:cs="Arial"/>
          <w:noProof/>
        </w:rPr>
        <w:t>School Safety/Academic Instruction/Decision Making: Families and students provided ratings above the 70% positivity target.</w:t>
      </w:r>
      <w:r w:rsidR="00F14E40">
        <w:rPr>
          <w:rFonts w:cs="Arial"/>
          <w:noProof/>
        </w:rPr>
        <w:t xml:space="preserve"> </w:t>
      </w:r>
      <w:r w:rsidRPr="00DF6992">
        <w:rPr>
          <w:rFonts w:cs="Arial"/>
          <w:noProof/>
        </w:rPr>
        <w:t>These metrics depend on particular questions from the research-backed SCAI survey, on which responses are provided on a five-point scale with responses of 4 or 5 indicating positivity.</w:t>
      </w:r>
    </w:p>
    <w:p w14:paraId="34BC3B54" w14:textId="7B6A8EB1" w:rsidR="00F5459E" w:rsidRPr="007C25F9" w:rsidRDefault="00962259" w:rsidP="00962259">
      <w:pPr>
        <w:spacing w:before="0"/>
        <w:rPr>
          <w:rFonts w:cs="Arial"/>
          <w:noProof/>
        </w:rPr>
      </w:pPr>
      <w:r>
        <w:rPr>
          <w:rFonts w:cs="Arial"/>
          <w:noProof/>
        </w:rPr>
        <w:br w:type="page"/>
      </w:r>
    </w:p>
    <w:p w14:paraId="38006E5E" w14:textId="77777777" w:rsidR="00F5459E" w:rsidRPr="007C25F9" w:rsidRDefault="00F5459E" w:rsidP="00A42D0A">
      <w:pPr>
        <w:pStyle w:val="Heading3"/>
      </w:pPr>
      <w:r w:rsidRPr="007C25F9">
        <w:lastRenderedPageBreak/>
        <w:t>Section 5. Local Control and Accountability Plan Progress</w:t>
      </w:r>
    </w:p>
    <w:p w14:paraId="4E135751" w14:textId="77777777" w:rsidR="00F5459E" w:rsidRPr="00EA4CF5" w:rsidRDefault="00F5459E"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3FA6F643" w14:textId="77777777" w:rsidR="0040560F" w:rsidRDefault="00F5459E" w:rsidP="0003147F">
      <w:pPr>
        <w:rPr>
          <w:rFonts w:cs="Arial"/>
          <w:noProof/>
        </w:rPr>
      </w:pPr>
      <w:r w:rsidRPr="00DF6992">
        <w:rPr>
          <w:rFonts w:cs="Arial"/>
          <w:noProof/>
        </w:rPr>
        <w:t>A review of Dashboard data aligns with the school’s own reflection of progress, which includes data review as well as other measures of progress including observations and stakeholder feedback. In particular, the Conditions &amp; Climate data, including local indicators and the Suspension rate indicate success in creating a loving, community-centered environment that puts students first, with low overall suspensions and strong conditions for learning.</w:t>
      </w:r>
    </w:p>
    <w:p w14:paraId="4B54586E" w14:textId="77777777" w:rsidR="0040560F" w:rsidRDefault="00F5459E" w:rsidP="0003147F">
      <w:pPr>
        <w:rPr>
          <w:rFonts w:cs="Arial"/>
          <w:noProof/>
        </w:rPr>
      </w:pPr>
      <w:r w:rsidRPr="00DF6992">
        <w:rPr>
          <w:rFonts w:cs="Arial"/>
          <w:noProof/>
        </w:rPr>
        <w:t>Regarding reflection on Academic Engagement, Latitude’s graduation rate for its first few cohorts of students is on par with the State and higher than comparable neighborhood LEAs. In terms of Dashboard data and the site’s reflection of progress on Academic Progress, English Learner Progress data indicate success in helping English Learners make progress towards English language proficiency; this is particularly exciting because ELs are our largest subgroup, and we intentionally focused on their progress with our ELD priority.</w:t>
      </w:r>
    </w:p>
    <w:p w14:paraId="57099498" w14:textId="1F2E392E" w:rsidR="00F5459E" w:rsidRPr="007C25F9" w:rsidRDefault="00F5459E" w:rsidP="0003147F">
      <w:r w:rsidRPr="00DF6992">
        <w:rPr>
          <w:rFonts w:cs="Arial"/>
          <w:noProof/>
        </w:rPr>
        <w:t>A review of Dashboard data aligns with the school’s own reflection of progress, which includes data review as well as other measures of progress including observations and stakeholder feedback. In particular, the Academic Performance data, including English Language Arts and Mathematics indicate there are gaps in student outcomes and experiences and that there are opportunities for aligned and coherent support, particularly for subgroups and for chronic absenteeism.</w:t>
      </w:r>
    </w:p>
    <w:p w14:paraId="259660B7" w14:textId="77777777" w:rsidR="00F5459E" w:rsidRPr="00EA4CF5" w:rsidRDefault="00F5459E"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150909A0" w14:textId="77777777" w:rsidR="00F5459E" w:rsidRPr="007C25F9" w:rsidRDefault="00F5459E" w:rsidP="0003147F">
      <w:pPr>
        <w:rPr>
          <w:rFonts w:cs="Arial"/>
        </w:rPr>
      </w:pPr>
      <w:r w:rsidRPr="00DF6992">
        <w:rPr>
          <w:rFonts w:cs="Arial"/>
          <w:noProof/>
        </w:rPr>
        <w:t>The school is continuing to engage with various stakeholders as part of regular feedback cycles and eventual input into site planning. Family Leadership Council Engagement reviews data, progress on priorities, and discusses family observation processes. Staff and student advisory provided feedback/input on core programs. Staff gathers qualitative empathy data. Leadership reviews priorities and input on progress generated by staff and parents.</w:t>
      </w:r>
    </w:p>
    <w:p w14:paraId="16C2FAFF" w14:textId="77777777" w:rsidR="00F5459E" w:rsidRPr="007C25F9" w:rsidRDefault="00F5459E">
      <w:pPr>
        <w:spacing w:before="0"/>
        <w:rPr>
          <w:rFonts w:eastAsiaTheme="majorEastAsia"/>
          <w:b/>
          <w:bCs/>
          <w:sz w:val="32"/>
          <w:szCs w:val="32"/>
        </w:rPr>
      </w:pPr>
      <w:r w:rsidRPr="007C25F9">
        <w:br w:type="page"/>
      </w:r>
    </w:p>
    <w:p w14:paraId="5123C122" w14:textId="77777777" w:rsidR="00F5459E" w:rsidRPr="007C25F9" w:rsidRDefault="00F5459E" w:rsidP="00A42D0A">
      <w:pPr>
        <w:pStyle w:val="Heading3"/>
      </w:pPr>
      <w:r w:rsidRPr="007C25F9">
        <w:lastRenderedPageBreak/>
        <w:t>Section 6. Differentiated Assistance</w:t>
      </w:r>
    </w:p>
    <w:p w14:paraId="63B50D8A" w14:textId="77777777" w:rsidR="00F5459E" w:rsidRPr="00EA4CF5" w:rsidRDefault="00F5459E"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33D55F52" w14:textId="77777777" w:rsidR="00F5459E" w:rsidRDefault="00F5459E" w:rsidP="00E57C07">
      <w:pPr>
        <w:rPr>
          <w:noProof/>
        </w:rPr>
      </w:pPr>
      <w:r w:rsidRPr="00DF6992">
        <w:rPr>
          <w:noProof/>
        </w:rPr>
        <w:t>No</w:t>
      </w:r>
    </w:p>
    <w:p w14:paraId="1BB68DC1" w14:textId="77777777" w:rsidR="00F5459E" w:rsidRPr="003735D5" w:rsidRDefault="00F5459E"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4568EB19" w14:textId="77777777" w:rsidR="00F5459E" w:rsidRPr="007C25F9" w:rsidRDefault="00F5459E" w:rsidP="00D46026">
      <w:r w:rsidRPr="00DF6992">
        <w:rPr>
          <w:noProof/>
        </w:rPr>
        <w:t>[No Response]</w:t>
      </w:r>
    </w:p>
    <w:p w14:paraId="650FEA95" w14:textId="77777777" w:rsidR="00F5459E" w:rsidRPr="003735D5" w:rsidRDefault="00F5459E" w:rsidP="003735D5">
      <w:pPr>
        <w:numPr>
          <w:ilvl w:val="0"/>
          <w:numId w:val="16"/>
        </w:numPr>
        <w:ind w:left="0"/>
        <w:rPr>
          <w:b/>
          <w:bCs/>
        </w:rPr>
      </w:pPr>
      <w:r w:rsidRPr="003735D5">
        <w:rPr>
          <w:b/>
          <w:bCs/>
        </w:rPr>
        <w:t>Identify the support provider the charter school will be working with for technical assistance with DA.</w:t>
      </w:r>
    </w:p>
    <w:p w14:paraId="2EA7416D" w14:textId="77777777" w:rsidR="00F5459E" w:rsidRPr="007C25F9" w:rsidRDefault="00F5459E" w:rsidP="00D46026">
      <w:r w:rsidRPr="00DF6992">
        <w:rPr>
          <w:noProof/>
        </w:rPr>
        <w:t>[No Response]</w:t>
      </w:r>
    </w:p>
    <w:p w14:paraId="6185D0A2" w14:textId="77777777" w:rsidR="00F5459E" w:rsidRPr="003735D5" w:rsidRDefault="00F5459E" w:rsidP="003735D5">
      <w:pPr>
        <w:numPr>
          <w:ilvl w:val="0"/>
          <w:numId w:val="16"/>
        </w:numPr>
        <w:ind w:left="0"/>
        <w:rPr>
          <w:b/>
          <w:bCs/>
        </w:rPr>
      </w:pPr>
      <w:r w:rsidRPr="003735D5">
        <w:rPr>
          <w:b/>
          <w:bCs/>
        </w:rPr>
        <w:t>What improvement strategies and actions has the charter school selected to address its identified student groups and state priorities?</w:t>
      </w:r>
    </w:p>
    <w:p w14:paraId="65A1AF1D" w14:textId="77777777" w:rsidR="00F5459E" w:rsidRPr="007C25F9" w:rsidRDefault="00F5459E" w:rsidP="00D46026">
      <w:r w:rsidRPr="00DF6992">
        <w:rPr>
          <w:noProof/>
        </w:rPr>
        <w:t>[No Response]</w:t>
      </w:r>
    </w:p>
    <w:p w14:paraId="06C7EAB1" w14:textId="77777777" w:rsidR="00F5459E" w:rsidRPr="007C25F9" w:rsidRDefault="00F5459E">
      <w:pPr>
        <w:spacing w:before="0"/>
        <w:rPr>
          <w:rFonts w:eastAsiaTheme="majorEastAsia"/>
          <w:b/>
          <w:bCs/>
          <w:sz w:val="32"/>
          <w:szCs w:val="32"/>
        </w:rPr>
      </w:pPr>
      <w:r w:rsidRPr="007C25F9">
        <w:br w:type="page"/>
      </w:r>
    </w:p>
    <w:p w14:paraId="3E834525" w14:textId="77777777" w:rsidR="00F5459E" w:rsidRPr="007C25F9" w:rsidRDefault="00F5459E" w:rsidP="00A42D0A">
      <w:pPr>
        <w:pStyle w:val="Heading3"/>
      </w:pPr>
      <w:r w:rsidRPr="007C25F9">
        <w:lastRenderedPageBreak/>
        <w:t>Section 7. Acknowledgment, Certification, and Submission</w:t>
      </w:r>
    </w:p>
    <w:p w14:paraId="4D0062CC" w14:textId="77777777" w:rsidR="00F5459E" w:rsidRPr="007C25F9" w:rsidRDefault="00F5459E" w:rsidP="00B9677C">
      <w:r w:rsidRPr="007C25F9">
        <w:t>Initial each of the statements</w:t>
      </w:r>
      <w:r>
        <w:t xml:space="preserve"> below</w:t>
      </w:r>
      <w:r w:rsidRPr="007C25F9">
        <w:t xml:space="preserve"> to confirm that you have read and understand following:</w:t>
      </w:r>
    </w:p>
    <w:p w14:paraId="22DB1B74" w14:textId="77777777" w:rsidR="00F5459E" w:rsidRPr="007C25F9" w:rsidRDefault="00F5459E" w:rsidP="00A42D0A">
      <w:pPr>
        <w:pStyle w:val="Heading4"/>
      </w:pPr>
      <w:r w:rsidRPr="007C25F9">
        <w:t>Acknowledgment</w:t>
      </w:r>
    </w:p>
    <w:p w14:paraId="4AB907D5" w14:textId="77777777" w:rsidR="00F5459E" w:rsidRPr="007C25F9" w:rsidRDefault="00F5459E"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376E564A" w14:textId="77777777" w:rsidR="00F5459E" w:rsidRPr="007C25F9" w:rsidRDefault="00F5459E" w:rsidP="00783ABE">
      <w:r w:rsidRPr="00DF6992">
        <w:rPr>
          <w:noProof/>
        </w:rPr>
        <w:t>LH</w:t>
      </w:r>
    </w:p>
    <w:p w14:paraId="1EF11B8B" w14:textId="77777777" w:rsidR="00F5459E" w:rsidRPr="007C25F9" w:rsidRDefault="00F5459E" w:rsidP="00A42D0A">
      <w:pPr>
        <w:pStyle w:val="Heading4"/>
      </w:pPr>
      <w:r w:rsidRPr="007C25F9">
        <w:t>Certification</w:t>
      </w:r>
    </w:p>
    <w:p w14:paraId="22BA61FD" w14:textId="77777777" w:rsidR="00F5459E" w:rsidRPr="007C25F9" w:rsidRDefault="00F5459E"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634DED1E" w14:textId="77777777" w:rsidR="00F5459E" w:rsidRPr="007C25F9" w:rsidRDefault="00F5459E" w:rsidP="00783ABE">
      <w:r w:rsidRPr="00DF6992">
        <w:rPr>
          <w:noProof/>
        </w:rPr>
        <w:t>LH</w:t>
      </w:r>
    </w:p>
    <w:p w14:paraId="3F8E794E" w14:textId="77777777" w:rsidR="00F5459E" w:rsidRPr="007C25F9" w:rsidRDefault="00F5459E"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F5459E" w:rsidRPr="007C25F9" w14:paraId="44B3C0C5" w14:textId="77777777" w:rsidTr="007929F6">
        <w:trPr>
          <w:cantSplit/>
          <w:tblHeader/>
        </w:trPr>
        <w:tc>
          <w:tcPr>
            <w:tcW w:w="4675" w:type="dxa"/>
            <w:shd w:val="clear" w:color="auto" w:fill="D9D9D9" w:themeFill="background1" w:themeFillShade="D9"/>
          </w:tcPr>
          <w:p w14:paraId="57D08445" w14:textId="77777777" w:rsidR="00F5459E" w:rsidRPr="007C25F9" w:rsidRDefault="00F5459E" w:rsidP="00D41927">
            <w:pPr>
              <w:rPr>
                <w:b/>
                <w:bCs/>
              </w:rPr>
            </w:pPr>
            <w:r w:rsidRPr="007C25F9">
              <w:rPr>
                <w:b/>
                <w:bCs/>
              </w:rPr>
              <w:t>Prompt</w:t>
            </w:r>
          </w:p>
        </w:tc>
        <w:tc>
          <w:tcPr>
            <w:tcW w:w="4675" w:type="dxa"/>
            <w:shd w:val="clear" w:color="auto" w:fill="D9D9D9" w:themeFill="background1" w:themeFillShade="D9"/>
          </w:tcPr>
          <w:p w14:paraId="756F2A39" w14:textId="77777777" w:rsidR="00F5459E" w:rsidRPr="007C25F9" w:rsidRDefault="00F5459E" w:rsidP="00D41927">
            <w:pPr>
              <w:rPr>
                <w:b/>
                <w:bCs/>
              </w:rPr>
            </w:pPr>
            <w:r w:rsidRPr="007C25F9">
              <w:rPr>
                <w:b/>
                <w:bCs/>
              </w:rPr>
              <w:t>Response</w:t>
            </w:r>
          </w:p>
        </w:tc>
      </w:tr>
      <w:tr w:rsidR="00F5459E" w:rsidRPr="007C25F9" w14:paraId="4DCCED31" w14:textId="77777777" w:rsidTr="007929F6">
        <w:trPr>
          <w:cantSplit/>
          <w:tblHeader/>
        </w:trPr>
        <w:tc>
          <w:tcPr>
            <w:tcW w:w="4675" w:type="dxa"/>
          </w:tcPr>
          <w:p w14:paraId="3EF72D58" w14:textId="77777777" w:rsidR="00F5459E" w:rsidRPr="007C25F9" w:rsidRDefault="00F5459E" w:rsidP="00D41927">
            <w:r w:rsidRPr="007C25F9">
              <w:t>Full Legal Name</w:t>
            </w:r>
          </w:p>
        </w:tc>
        <w:tc>
          <w:tcPr>
            <w:tcW w:w="4675" w:type="dxa"/>
          </w:tcPr>
          <w:p w14:paraId="2B935266" w14:textId="77777777" w:rsidR="00F5459E" w:rsidRPr="007C25F9" w:rsidRDefault="00F5459E" w:rsidP="00D41927">
            <w:r w:rsidRPr="00DF6992">
              <w:rPr>
                <w:noProof/>
              </w:rPr>
              <w:t>Lillian Hsu</w:t>
            </w:r>
          </w:p>
        </w:tc>
      </w:tr>
      <w:tr w:rsidR="00F5459E" w:rsidRPr="007C25F9" w14:paraId="7E3104E1" w14:textId="77777777" w:rsidTr="007929F6">
        <w:trPr>
          <w:cantSplit/>
          <w:tblHeader/>
        </w:trPr>
        <w:tc>
          <w:tcPr>
            <w:tcW w:w="4675" w:type="dxa"/>
          </w:tcPr>
          <w:p w14:paraId="49B45E58" w14:textId="77777777" w:rsidR="00F5459E" w:rsidRPr="007C25F9" w:rsidRDefault="00F5459E" w:rsidP="00D41927">
            <w:r w:rsidRPr="007C25F9">
              <w:t>Job Title</w:t>
            </w:r>
          </w:p>
        </w:tc>
        <w:tc>
          <w:tcPr>
            <w:tcW w:w="4675" w:type="dxa"/>
          </w:tcPr>
          <w:p w14:paraId="2794453D" w14:textId="77777777" w:rsidR="00F5459E" w:rsidRPr="007C25F9" w:rsidRDefault="00F5459E" w:rsidP="00D41927">
            <w:r w:rsidRPr="00DF6992">
              <w:rPr>
                <w:noProof/>
              </w:rPr>
              <w:t>Principal</w:t>
            </w:r>
          </w:p>
        </w:tc>
      </w:tr>
      <w:tr w:rsidR="00F5459E" w:rsidRPr="007C25F9" w14:paraId="409F1B19" w14:textId="77777777" w:rsidTr="007929F6">
        <w:trPr>
          <w:cantSplit/>
          <w:tblHeader/>
        </w:trPr>
        <w:tc>
          <w:tcPr>
            <w:tcW w:w="4675" w:type="dxa"/>
          </w:tcPr>
          <w:p w14:paraId="39953622" w14:textId="77777777" w:rsidR="00F5459E" w:rsidRPr="007C25F9" w:rsidRDefault="00F5459E" w:rsidP="00D41927">
            <w:r w:rsidRPr="007C25F9">
              <w:t>Email Address</w:t>
            </w:r>
          </w:p>
        </w:tc>
        <w:tc>
          <w:tcPr>
            <w:tcW w:w="4675" w:type="dxa"/>
          </w:tcPr>
          <w:p w14:paraId="2C4A7CB6" w14:textId="77777777" w:rsidR="00F5459E" w:rsidRPr="007C25F9" w:rsidRDefault="00F5459E" w:rsidP="00D41927">
            <w:r w:rsidRPr="00DF6992">
              <w:rPr>
                <w:noProof/>
              </w:rPr>
              <w:t>lhsu@efcps.net</w:t>
            </w:r>
          </w:p>
        </w:tc>
      </w:tr>
      <w:tr w:rsidR="00F5459E" w14:paraId="447D01C3" w14:textId="77777777" w:rsidTr="007929F6">
        <w:trPr>
          <w:cantSplit/>
          <w:tblHeader/>
        </w:trPr>
        <w:tc>
          <w:tcPr>
            <w:tcW w:w="4675" w:type="dxa"/>
          </w:tcPr>
          <w:p w14:paraId="32DF64C6" w14:textId="77777777" w:rsidR="00F5459E" w:rsidRPr="007C25F9" w:rsidRDefault="00F5459E" w:rsidP="00D41927">
            <w:r w:rsidRPr="007C25F9">
              <w:t>Phone Number</w:t>
            </w:r>
          </w:p>
        </w:tc>
        <w:tc>
          <w:tcPr>
            <w:tcW w:w="4675" w:type="dxa"/>
          </w:tcPr>
          <w:p w14:paraId="3F29DFD7" w14:textId="77777777" w:rsidR="00F5459E" w:rsidRDefault="00F5459E" w:rsidP="00D41927">
            <w:r w:rsidRPr="00DF6992">
              <w:rPr>
                <w:noProof/>
              </w:rPr>
              <w:t>510-910-4138</w:t>
            </w:r>
          </w:p>
        </w:tc>
      </w:tr>
    </w:tbl>
    <w:p w14:paraId="08A4C4E0" w14:textId="77777777" w:rsidR="00F5459E" w:rsidRPr="00E810BB" w:rsidRDefault="00F5459E" w:rsidP="0040560F"/>
    <w:sectPr w:rsidR="00F5459E" w:rsidRPr="00E810BB" w:rsidSect="00F5459E">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D071" w14:textId="77777777" w:rsidR="0052150B" w:rsidRDefault="0052150B" w:rsidP="002174BD">
      <w:pPr>
        <w:spacing w:after="0"/>
      </w:pPr>
      <w:r>
        <w:separator/>
      </w:r>
    </w:p>
  </w:endnote>
  <w:endnote w:type="continuationSeparator" w:id="0">
    <w:p w14:paraId="69D10D63" w14:textId="77777777" w:rsidR="0052150B" w:rsidRDefault="0052150B"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907D" w14:textId="77777777" w:rsidR="0052150B" w:rsidRDefault="0052150B" w:rsidP="002174BD">
      <w:pPr>
        <w:spacing w:after="0"/>
      </w:pPr>
      <w:r>
        <w:separator/>
      </w:r>
    </w:p>
  </w:footnote>
  <w:footnote w:type="continuationSeparator" w:id="0">
    <w:p w14:paraId="3EB8A687" w14:textId="77777777" w:rsidR="0052150B" w:rsidRDefault="0052150B"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A028" w14:textId="689FF058" w:rsidR="00F5459E" w:rsidRDefault="00B207C6" w:rsidP="00EA4CF5">
    <w:pPr>
      <w:pStyle w:val="Header"/>
      <w:jc w:val="right"/>
    </w:pPr>
    <w:r>
      <w:t>memo-lacb-csd-apr26item02</w:t>
    </w:r>
  </w:p>
  <w:p w14:paraId="67C40CD3" w14:textId="7E02BC51" w:rsidR="00F5459E" w:rsidRDefault="00B207C6" w:rsidP="00EA4CF5">
    <w:pPr>
      <w:pStyle w:val="Header"/>
      <w:jc w:val="right"/>
    </w:pPr>
    <w:r>
      <w:t>Attachment 8 – Latitude High (Charter #2015)</w:t>
    </w:r>
  </w:p>
  <w:p w14:paraId="672CE2E0" w14:textId="77777777" w:rsidR="00F5459E" w:rsidRPr="00D852E7" w:rsidRDefault="00F5459E"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C6218"/>
    <w:rsid w:val="000E067F"/>
    <w:rsid w:val="00104EE5"/>
    <w:rsid w:val="001173E5"/>
    <w:rsid w:val="00140B3A"/>
    <w:rsid w:val="00145B44"/>
    <w:rsid w:val="0016607E"/>
    <w:rsid w:val="0019053F"/>
    <w:rsid w:val="00196813"/>
    <w:rsid w:val="001B482D"/>
    <w:rsid w:val="001B765D"/>
    <w:rsid w:val="001D3296"/>
    <w:rsid w:val="001D68D9"/>
    <w:rsid w:val="001E2C89"/>
    <w:rsid w:val="001F249C"/>
    <w:rsid w:val="001F6EDC"/>
    <w:rsid w:val="0020095A"/>
    <w:rsid w:val="00203DA8"/>
    <w:rsid w:val="002040BB"/>
    <w:rsid w:val="002174BD"/>
    <w:rsid w:val="002278F5"/>
    <w:rsid w:val="00247F98"/>
    <w:rsid w:val="00261BA3"/>
    <w:rsid w:val="00272F2D"/>
    <w:rsid w:val="002967DB"/>
    <w:rsid w:val="002A6AF3"/>
    <w:rsid w:val="002B6DCA"/>
    <w:rsid w:val="002E43F0"/>
    <w:rsid w:val="002F3887"/>
    <w:rsid w:val="003002B4"/>
    <w:rsid w:val="0031666F"/>
    <w:rsid w:val="00330138"/>
    <w:rsid w:val="00334354"/>
    <w:rsid w:val="003418E1"/>
    <w:rsid w:val="003425F0"/>
    <w:rsid w:val="00342FE5"/>
    <w:rsid w:val="003735D5"/>
    <w:rsid w:val="003878C5"/>
    <w:rsid w:val="003B125B"/>
    <w:rsid w:val="003C68FE"/>
    <w:rsid w:val="003F24F5"/>
    <w:rsid w:val="0040560F"/>
    <w:rsid w:val="0040704F"/>
    <w:rsid w:val="004235EF"/>
    <w:rsid w:val="0045774B"/>
    <w:rsid w:val="00484C51"/>
    <w:rsid w:val="0049151F"/>
    <w:rsid w:val="004926FC"/>
    <w:rsid w:val="004C7C95"/>
    <w:rsid w:val="004D7A03"/>
    <w:rsid w:val="004E145F"/>
    <w:rsid w:val="004F6124"/>
    <w:rsid w:val="00510405"/>
    <w:rsid w:val="0052150B"/>
    <w:rsid w:val="00526D4F"/>
    <w:rsid w:val="005302B7"/>
    <w:rsid w:val="005315CB"/>
    <w:rsid w:val="005428AF"/>
    <w:rsid w:val="00570E5D"/>
    <w:rsid w:val="005710BF"/>
    <w:rsid w:val="00577450"/>
    <w:rsid w:val="00580996"/>
    <w:rsid w:val="00582F1F"/>
    <w:rsid w:val="005A4D11"/>
    <w:rsid w:val="005A596B"/>
    <w:rsid w:val="005B2063"/>
    <w:rsid w:val="005E1711"/>
    <w:rsid w:val="005E21DD"/>
    <w:rsid w:val="005F171A"/>
    <w:rsid w:val="005F6FE2"/>
    <w:rsid w:val="00617D8F"/>
    <w:rsid w:val="006758A6"/>
    <w:rsid w:val="006A5890"/>
    <w:rsid w:val="006C3EF7"/>
    <w:rsid w:val="006D2661"/>
    <w:rsid w:val="006E3238"/>
    <w:rsid w:val="00700651"/>
    <w:rsid w:val="007252DE"/>
    <w:rsid w:val="0075514C"/>
    <w:rsid w:val="00757322"/>
    <w:rsid w:val="00765AEF"/>
    <w:rsid w:val="00783ABE"/>
    <w:rsid w:val="00791898"/>
    <w:rsid w:val="00791C13"/>
    <w:rsid w:val="007929F6"/>
    <w:rsid w:val="007A2AFF"/>
    <w:rsid w:val="007A747D"/>
    <w:rsid w:val="007B0294"/>
    <w:rsid w:val="007B23AC"/>
    <w:rsid w:val="007C25F9"/>
    <w:rsid w:val="007D02A9"/>
    <w:rsid w:val="007D4D23"/>
    <w:rsid w:val="007D6A6B"/>
    <w:rsid w:val="007E5BE2"/>
    <w:rsid w:val="007E7027"/>
    <w:rsid w:val="007F5859"/>
    <w:rsid w:val="0081087F"/>
    <w:rsid w:val="00834891"/>
    <w:rsid w:val="0083596B"/>
    <w:rsid w:val="008676F5"/>
    <w:rsid w:val="008A184F"/>
    <w:rsid w:val="008B72BC"/>
    <w:rsid w:val="008B759D"/>
    <w:rsid w:val="008C1CCA"/>
    <w:rsid w:val="008D6A61"/>
    <w:rsid w:val="009051A8"/>
    <w:rsid w:val="009170D7"/>
    <w:rsid w:val="00927BE3"/>
    <w:rsid w:val="00936A50"/>
    <w:rsid w:val="00951441"/>
    <w:rsid w:val="00961A90"/>
    <w:rsid w:val="00962259"/>
    <w:rsid w:val="00966DD8"/>
    <w:rsid w:val="009767A1"/>
    <w:rsid w:val="009853B6"/>
    <w:rsid w:val="009A4E4A"/>
    <w:rsid w:val="009B0CD2"/>
    <w:rsid w:val="009C518E"/>
    <w:rsid w:val="009C5880"/>
    <w:rsid w:val="00A0719E"/>
    <w:rsid w:val="00A149DE"/>
    <w:rsid w:val="00A3600D"/>
    <w:rsid w:val="00A42D0A"/>
    <w:rsid w:val="00A45C62"/>
    <w:rsid w:val="00A579D8"/>
    <w:rsid w:val="00A971A6"/>
    <w:rsid w:val="00AB2A51"/>
    <w:rsid w:val="00AC0320"/>
    <w:rsid w:val="00AC2B91"/>
    <w:rsid w:val="00AC4AEF"/>
    <w:rsid w:val="00AD3872"/>
    <w:rsid w:val="00AE1659"/>
    <w:rsid w:val="00AE4773"/>
    <w:rsid w:val="00B207C6"/>
    <w:rsid w:val="00B4292B"/>
    <w:rsid w:val="00B464FE"/>
    <w:rsid w:val="00B52D77"/>
    <w:rsid w:val="00B63405"/>
    <w:rsid w:val="00B849EC"/>
    <w:rsid w:val="00B9677C"/>
    <w:rsid w:val="00B97A3C"/>
    <w:rsid w:val="00BC6BA7"/>
    <w:rsid w:val="00BE1ECA"/>
    <w:rsid w:val="00BE661E"/>
    <w:rsid w:val="00BF0851"/>
    <w:rsid w:val="00BF26A3"/>
    <w:rsid w:val="00C025A1"/>
    <w:rsid w:val="00C235D2"/>
    <w:rsid w:val="00C2622E"/>
    <w:rsid w:val="00C31395"/>
    <w:rsid w:val="00C537DE"/>
    <w:rsid w:val="00CB3B9E"/>
    <w:rsid w:val="00CC6A9D"/>
    <w:rsid w:val="00CE0005"/>
    <w:rsid w:val="00CE1DD0"/>
    <w:rsid w:val="00CE2217"/>
    <w:rsid w:val="00D03EE1"/>
    <w:rsid w:val="00D058D4"/>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12D4A"/>
    <w:rsid w:val="00E324EF"/>
    <w:rsid w:val="00E33535"/>
    <w:rsid w:val="00E47674"/>
    <w:rsid w:val="00E47889"/>
    <w:rsid w:val="00E50B16"/>
    <w:rsid w:val="00E57C07"/>
    <w:rsid w:val="00E76516"/>
    <w:rsid w:val="00E810BB"/>
    <w:rsid w:val="00EA4CF5"/>
    <w:rsid w:val="00EA5C07"/>
    <w:rsid w:val="00EB1BC8"/>
    <w:rsid w:val="00EB4763"/>
    <w:rsid w:val="00ED5A89"/>
    <w:rsid w:val="00EF054D"/>
    <w:rsid w:val="00EF0E1C"/>
    <w:rsid w:val="00F14E40"/>
    <w:rsid w:val="00F303BC"/>
    <w:rsid w:val="00F30E3C"/>
    <w:rsid w:val="00F35436"/>
    <w:rsid w:val="00F36B48"/>
    <w:rsid w:val="00F36F1F"/>
    <w:rsid w:val="00F5459E"/>
    <w:rsid w:val="00FD31AF"/>
    <w:rsid w:val="00FD65C3"/>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E02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1913</Words>
  <Characters>11252</Characters>
  <DocSecurity>0</DocSecurity>
  <Lines>304</Lines>
  <Paragraphs>212</Paragraphs>
  <ScaleCrop>false</ScaleCrop>
  <HeadingPairs>
    <vt:vector size="2" baseType="variant">
      <vt:variant>
        <vt:lpstr>Title</vt:lpstr>
      </vt:variant>
      <vt:variant>
        <vt:i4>1</vt:i4>
      </vt:variant>
    </vt:vector>
  </HeadingPairs>
  <TitlesOfParts>
    <vt:vector size="1" baseType="lpstr">
      <vt:lpstr>April 2026 Memo LACB CSD Item 02 Attachment 8 - Information Memorandum (CA State Board of Education)</vt:lpstr>
    </vt:vector>
  </TitlesOfParts>
  <Company>CA State Board of Education</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8 - Information Memoranda (CA State Board of Education)</dc:title>
  <dc:subject>Latitude High – Academic Memorandum Response.</dc:subject>
  <dc:creator/>
  <cp:keywords/>
  <dc:description/>
  <cp:lastModifiedBy/>
  <dcterms:created xsi:type="dcterms:W3CDTF">2026-03-10T22:41:00Z</dcterms:created>
  <dcterms:modified xsi:type="dcterms:W3CDTF">2026-04-08T16:09:00Z</dcterms:modified>
</cp:coreProperties>
</file>