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8908" w14:textId="77777777" w:rsidR="000D6882" w:rsidRPr="007C25F9" w:rsidRDefault="000D6882" w:rsidP="00EA4CF5">
      <w:pPr>
        <w:pStyle w:val="Header"/>
        <w:jc w:val="right"/>
      </w:pPr>
      <w:r w:rsidRPr="007C25F9">
        <w:t>California Department of Education</w:t>
      </w:r>
    </w:p>
    <w:p w14:paraId="3BC5BD11" w14:textId="77777777" w:rsidR="000D6882" w:rsidRPr="007C25F9" w:rsidRDefault="000D6882" w:rsidP="00EA4CF5">
      <w:pPr>
        <w:pStyle w:val="Header"/>
        <w:jc w:val="right"/>
      </w:pPr>
      <w:r w:rsidRPr="007C25F9">
        <w:t>Charter Schools Division</w:t>
      </w:r>
    </w:p>
    <w:p w14:paraId="2BF301C1" w14:textId="77777777" w:rsidR="000D6882" w:rsidRPr="007C25F9" w:rsidRDefault="000D6882" w:rsidP="00EA4CF5">
      <w:pPr>
        <w:pStyle w:val="Header"/>
        <w:jc w:val="right"/>
      </w:pPr>
      <w:r w:rsidRPr="007C25F9">
        <w:t xml:space="preserve">Created </w:t>
      </w:r>
      <w:r>
        <w:t>12</w:t>
      </w:r>
      <w:r w:rsidRPr="007C25F9">
        <w:t>/202</w:t>
      </w:r>
      <w:r>
        <w:t>6</w:t>
      </w:r>
    </w:p>
    <w:p w14:paraId="24971505" w14:textId="12AD4121" w:rsidR="000D6882" w:rsidRPr="007C25F9" w:rsidRDefault="00B529A5" w:rsidP="00EA4CF5">
      <w:pPr>
        <w:pStyle w:val="Header"/>
        <w:jc w:val="right"/>
      </w:pPr>
      <w:r>
        <w:t>memo-</w:t>
      </w:r>
      <w:r w:rsidR="000D6882" w:rsidRPr="007C25F9">
        <w:t>lacb-csd-</w:t>
      </w:r>
      <w:r>
        <w:t>apr</w:t>
      </w:r>
      <w:r w:rsidR="000D6882" w:rsidRPr="007C25F9">
        <w:t>2</w:t>
      </w:r>
      <w:r w:rsidR="000D6882">
        <w:t>6</w:t>
      </w:r>
      <w:r w:rsidR="000D6882" w:rsidRPr="007C25F9">
        <w:t>item</w:t>
      </w:r>
      <w:r>
        <w:t>02</w:t>
      </w:r>
    </w:p>
    <w:p w14:paraId="530E145E" w14:textId="2F8D5D18" w:rsidR="000D6882" w:rsidRPr="007C25F9" w:rsidRDefault="000D6882" w:rsidP="00EA4CF5">
      <w:pPr>
        <w:pStyle w:val="Header"/>
        <w:jc w:val="right"/>
      </w:pPr>
      <w:r w:rsidRPr="007C25F9">
        <w:t xml:space="preserve">Attachment </w:t>
      </w:r>
      <w:r w:rsidR="00B529A5">
        <w:t>9</w:t>
      </w:r>
    </w:p>
    <w:p w14:paraId="5E3032C9" w14:textId="77777777" w:rsidR="000D6882" w:rsidRPr="007C25F9" w:rsidRDefault="000D6882" w:rsidP="008C1CCA">
      <w:pPr>
        <w:pStyle w:val="Heading1"/>
      </w:pPr>
      <w:r w:rsidRPr="007C25F9">
        <w:t>California State Board of Education-Authorized Charter School Academic Memorandum Form</w:t>
      </w:r>
    </w:p>
    <w:p w14:paraId="7A1944A6" w14:textId="77777777" w:rsidR="000D6882" w:rsidRPr="007C25F9" w:rsidRDefault="000D6882" w:rsidP="008C1CCA">
      <w:pPr>
        <w:spacing w:after="480"/>
        <w:jc w:val="center"/>
        <w:rPr>
          <w:rFonts w:eastAsia="Calibri" w:cs="Arial"/>
          <w14:ligatures w14:val="none"/>
        </w:rPr>
      </w:pPr>
      <w:r w:rsidRPr="007C25F9">
        <w:rPr>
          <w:rFonts w:eastAsia="Calibri" w:cs="Arial"/>
          <w14:ligatures w14:val="none"/>
        </w:rPr>
        <w:t>CALIFORNIA DEPARTMENT OF EDUCATION</w:t>
      </w:r>
    </w:p>
    <w:p w14:paraId="366B8945" w14:textId="77777777" w:rsidR="000D6882" w:rsidRPr="007C25F9" w:rsidRDefault="000D6882"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Magnolia Science Academy Santa Ana</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1686</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567DE45F" w14:textId="77777777" w:rsidR="000D6882" w:rsidRPr="007C25F9" w:rsidRDefault="000D6882" w:rsidP="00D852E7">
      <w:pPr>
        <w:spacing w:after="160" w:line="259" w:lineRule="auto"/>
        <w:rPr>
          <w:rFonts w:eastAsiaTheme="majorEastAsia" w:cstheme="majorBidi"/>
          <w:b/>
          <w:sz w:val="32"/>
          <w:szCs w:val="26"/>
        </w:rPr>
      </w:pPr>
      <w:r w:rsidRPr="007C25F9">
        <w:br w:type="page"/>
      </w:r>
    </w:p>
    <w:p w14:paraId="36AEF537" w14:textId="77777777" w:rsidR="000D6882" w:rsidRPr="007C25F9" w:rsidRDefault="000D6882" w:rsidP="00A42D0A">
      <w:pPr>
        <w:pStyle w:val="Heading2"/>
      </w:pPr>
      <w:r w:rsidRPr="00DF6992">
        <w:lastRenderedPageBreak/>
        <w:t>Magnolia Science Academy Santa Ana</w:t>
      </w:r>
      <w:r w:rsidRPr="007C25F9">
        <w:br/>
        <w:t>Academic Memorandum Form</w:t>
      </w:r>
    </w:p>
    <w:p w14:paraId="71021D9D" w14:textId="77777777" w:rsidR="000D6882" w:rsidRPr="007C25F9" w:rsidRDefault="000D6882" w:rsidP="00A42D0A">
      <w:pPr>
        <w:pStyle w:val="Heading3"/>
      </w:pPr>
      <w:r w:rsidRPr="007C25F9">
        <w:t>Section 1. Charter School Information</w:t>
      </w:r>
    </w:p>
    <w:p w14:paraId="7936F9AE" w14:textId="77777777" w:rsidR="000D6882" w:rsidRPr="007C25F9" w:rsidRDefault="000D6882"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0D6882" w:rsidRPr="007C25F9" w14:paraId="45B2EBBA" w14:textId="77777777" w:rsidTr="007929F6">
        <w:trPr>
          <w:cantSplit/>
          <w:tblHeader/>
        </w:trPr>
        <w:tc>
          <w:tcPr>
            <w:tcW w:w="4675" w:type="dxa"/>
            <w:shd w:val="clear" w:color="auto" w:fill="D9D9D9" w:themeFill="background1" w:themeFillShade="D9"/>
          </w:tcPr>
          <w:p w14:paraId="4ECB947F" w14:textId="77777777" w:rsidR="000D6882" w:rsidRPr="007C25F9" w:rsidRDefault="000D6882" w:rsidP="00765AEF">
            <w:pPr>
              <w:rPr>
                <w:b/>
                <w:bCs/>
              </w:rPr>
            </w:pPr>
            <w:r w:rsidRPr="007C25F9">
              <w:rPr>
                <w:b/>
                <w:bCs/>
              </w:rPr>
              <w:t>Prompt</w:t>
            </w:r>
          </w:p>
        </w:tc>
        <w:tc>
          <w:tcPr>
            <w:tcW w:w="4675" w:type="dxa"/>
            <w:shd w:val="clear" w:color="auto" w:fill="D9D9D9" w:themeFill="background1" w:themeFillShade="D9"/>
          </w:tcPr>
          <w:p w14:paraId="730C9B68" w14:textId="77777777" w:rsidR="000D6882" w:rsidRPr="007C25F9" w:rsidRDefault="000D6882" w:rsidP="00765AEF">
            <w:pPr>
              <w:rPr>
                <w:b/>
                <w:bCs/>
              </w:rPr>
            </w:pPr>
            <w:r w:rsidRPr="007C25F9">
              <w:rPr>
                <w:b/>
                <w:bCs/>
              </w:rPr>
              <w:t>Response</w:t>
            </w:r>
          </w:p>
        </w:tc>
      </w:tr>
      <w:tr w:rsidR="000D6882" w:rsidRPr="007C25F9" w14:paraId="185F30AA" w14:textId="77777777" w:rsidTr="00C2622E">
        <w:tc>
          <w:tcPr>
            <w:tcW w:w="4675" w:type="dxa"/>
          </w:tcPr>
          <w:p w14:paraId="7C0A1DA7" w14:textId="77777777" w:rsidR="000D6882" w:rsidRPr="007C25F9" w:rsidRDefault="000D6882" w:rsidP="00765AEF">
            <w:r w:rsidRPr="007C25F9">
              <w:t>Charter School Name</w:t>
            </w:r>
          </w:p>
        </w:tc>
        <w:tc>
          <w:tcPr>
            <w:tcW w:w="4675" w:type="dxa"/>
          </w:tcPr>
          <w:p w14:paraId="2B207CC4" w14:textId="77777777" w:rsidR="000D6882" w:rsidRPr="007C25F9" w:rsidRDefault="000D6882" w:rsidP="00765AEF">
            <w:r w:rsidRPr="00DF6992">
              <w:rPr>
                <w:noProof/>
              </w:rPr>
              <w:t>Magnolia Science Academy Santa Ana</w:t>
            </w:r>
          </w:p>
        </w:tc>
      </w:tr>
      <w:tr w:rsidR="000D6882" w:rsidRPr="007C25F9" w14:paraId="28F5F5AA" w14:textId="77777777" w:rsidTr="00C2622E">
        <w:tc>
          <w:tcPr>
            <w:tcW w:w="4675" w:type="dxa"/>
          </w:tcPr>
          <w:p w14:paraId="16DAABD9" w14:textId="77777777" w:rsidR="000D6882" w:rsidRPr="007C25F9" w:rsidRDefault="000D6882" w:rsidP="00765AEF">
            <w:r w:rsidRPr="007C25F9">
              <w:t>School Address</w:t>
            </w:r>
          </w:p>
        </w:tc>
        <w:tc>
          <w:tcPr>
            <w:tcW w:w="4675" w:type="dxa"/>
          </w:tcPr>
          <w:p w14:paraId="5DFF5F40" w14:textId="77777777" w:rsidR="000D6882" w:rsidRPr="007C25F9" w:rsidRDefault="000D6882" w:rsidP="00765AEF">
            <w:r w:rsidRPr="00DF6992">
              <w:rPr>
                <w:noProof/>
              </w:rPr>
              <w:t>2840 West 1st Street</w:t>
            </w:r>
          </w:p>
        </w:tc>
      </w:tr>
      <w:tr w:rsidR="000D6882" w:rsidRPr="007C25F9" w14:paraId="51E48C75" w14:textId="77777777" w:rsidTr="00C2622E">
        <w:tc>
          <w:tcPr>
            <w:tcW w:w="4675" w:type="dxa"/>
          </w:tcPr>
          <w:p w14:paraId="7EDE454F" w14:textId="77777777" w:rsidR="000D6882" w:rsidRPr="007C25F9" w:rsidRDefault="000D6882" w:rsidP="00765AEF">
            <w:r w:rsidRPr="007C25F9">
              <w:t>City</w:t>
            </w:r>
          </w:p>
        </w:tc>
        <w:tc>
          <w:tcPr>
            <w:tcW w:w="4675" w:type="dxa"/>
          </w:tcPr>
          <w:p w14:paraId="3015DDA3" w14:textId="77777777" w:rsidR="000D6882" w:rsidRPr="007C25F9" w:rsidRDefault="000D6882" w:rsidP="00765AEF">
            <w:r w:rsidRPr="00DF6992">
              <w:rPr>
                <w:noProof/>
              </w:rPr>
              <w:t>Santa Ana</w:t>
            </w:r>
          </w:p>
        </w:tc>
      </w:tr>
      <w:tr w:rsidR="000D6882" w:rsidRPr="007C25F9" w14:paraId="4569F224" w14:textId="77777777" w:rsidTr="00C2622E">
        <w:tc>
          <w:tcPr>
            <w:tcW w:w="4675" w:type="dxa"/>
          </w:tcPr>
          <w:p w14:paraId="47ED40F7" w14:textId="77777777" w:rsidR="000D6882" w:rsidRPr="007C25F9" w:rsidRDefault="000D6882" w:rsidP="00765AEF">
            <w:r w:rsidRPr="007C25F9">
              <w:t>ZIP Code</w:t>
            </w:r>
          </w:p>
        </w:tc>
        <w:tc>
          <w:tcPr>
            <w:tcW w:w="4675" w:type="dxa"/>
          </w:tcPr>
          <w:p w14:paraId="73E2231D" w14:textId="77777777" w:rsidR="000D6882" w:rsidRPr="007C25F9" w:rsidRDefault="000D6882" w:rsidP="00765AEF">
            <w:r w:rsidRPr="00DF6992">
              <w:rPr>
                <w:noProof/>
              </w:rPr>
              <w:t>92703</w:t>
            </w:r>
          </w:p>
        </w:tc>
      </w:tr>
      <w:tr w:rsidR="000D6882" w:rsidRPr="007C25F9" w14:paraId="4B927233" w14:textId="77777777" w:rsidTr="00C2622E">
        <w:tc>
          <w:tcPr>
            <w:tcW w:w="4675" w:type="dxa"/>
          </w:tcPr>
          <w:p w14:paraId="0C7B2A6B" w14:textId="77777777" w:rsidR="000D6882" w:rsidRPr="007C25F9" w:rsidRDefault="000D6882" w:rsidP="00765AEF">
            <w:r w:rsidRPr="007C25F9">
              <w:t>Located in District</w:t>
            </w:r>
          </w:p>
        </w:tc>
        <w:tc>
          <w:tcPr>
            <w:tcW w:w="4675" w:type="dxa"/>
          </w:tcPr>
          <w:p w14:paraId="6C170E74" w14:textId="77777777" w:rsidR="000D6882" w:rsidRPr="007C25F9" w:rsidRDefault="000D6882" w:rsidP="00765AEF">
            <w:r w:rsidRPr="00DF6992">
              <w:rPr>
                <w:noProof/>
              </w:rPr>
              <w:t>USD Santa Ana</w:t>
            </w:r>
          </w:p>
        </w:tc>
      </w:tr>
      <w:tr w:rsidR="000D6882" w:rsidRPr="007C25F9" w14:paraId="6E6B0E95" w14:textId="77777777" w:rsidTr="00C2622E">
        <w:tc>
          <w:tcPr>
            <w:tcW w:w="4675" w:type="dxa"/>
          </w:tcPr>
          <w:p w14:paraId="4C33E452" w14:textId="77777777" w:rsidR="000D6882" w:rsidRPr="007C25F9" w:rsidRDefault="000D6882" w:rsidP="00765AEF">
            <w:r w:rsidRPr="007C25F9">
              <w:t>County</w:t>
            </w:r>
          </w:p>
        </w:tc>
        <w:tc>
          <w:tcPr>
            <w:tcW w:w="4675" w:type="dxa"/>
          </w:tcPr>
          <w:p w14:paraId="7DCAF6CD" w14:textId="77777777" w:rsidR="000D6882" w:rsidRPr="007C25F9" w:rsidRDefault="000D6882" w:rsidP="00765AEF">
            <w:r w:rsidRPr="00DF6992">
              <w:rPr>
                <w:noProof/>
              </w:rPr>
              <w:t>Orange</w:t>
            </w:r>
          </w:p>
        </w:tc>
      </w:tr>
      <w:tr w:rsidR="000D6882" w:rsidRPr="007C25F9" w14:paraId="7EAA48D7" w14:textId="77777777" w:rsidTr="00C2622E">
        <w:tc>
          <w:tcPr>
            <w:tcW w:w="4675" w:type="dxa"/>
          </w:tcPr>
          <w:p w14:paraId="1C1B4A90" w14:textId="77777777" w:rsidR="000D6882" w:rsidRPr="007C25F9" w:rsidRDefault="000D6882" w:rsidP="00765AEF">
            <w:r w:rsidRPr="007C25F9">
              <w:t>Website Address</w:t>
            </w:r>
          </w:p>
        </w:tc>
        <w:tc>
          <w:tcPr>
            <w:tcW w:w="4675" w:type="dxa"/>
          </w:tcPr>
          <w:p w14:paraId="5E084775" w14:textId="77777777" w:rsidR="000D6882" w:rsidRPr="007C25F9" w:rsidRDefault="000D6882" w:rsidP="00765AEF">
            <w:r w:rsidRPr="00DF6992">
              <w:rPr>
                <w:noProof/>
              </w:rPr>
              <w:t>www.msasa.magnoliapublicschools.org</w:t>
            </w:r>
          </w:p>
        </w:tc>
      </w:tr>
      <w:tr w:rsidR="000D6882" w:rsidRPr="007C25F9" w14:paraId="7CDEB89A" w14:textId="77777777" w:rsidTr="00C2622E">
        <w:tc>
          <w:tcPr>
            <w:tcW w:w="4675" w:type="dxa"/>
          </w:tcPr>
          <w:p w14:paraId="65B94B2D" w14:textId="77777777" w:rsidR="000D6882" w:rsidRPr="007C25F9" w:rsidRDefault="000D6882" w:rsidP="00765AEF">
            <w:r w:rsidRPr="007C25F9">
              <w:t>County District School (CDS) Code</w:t>
            </w:r>
          </w:p>
        </w:tc>
        <w:tc>
          <w:tcPr>
            <w:tcW w:w="4675" w:type="dxa"/>
          </w:tcPr>
          <w:p w14:paraId="1085ECEB" w14:textId="77777777" w:rsidR="000D6882" w:rsidRPr="007C25F9" w:rsidRDefault="000D6882" w:rsidP="00765AEF">
            <w:r w:rsidRPr="00DF6992">
              <w:rPr>
                <w:noProof/>
              </w:rPr>
              <w:t>30-76893-0130765</w:t>
            </w:r>
          </w:p>
        </w:tc>
      </w:tr>
      <w:tr w:rsidR="000D6882" w:rsidRPr="007C25F9" w14:paraId="776425C3" w14:textId="77777777" w:rsidTr="00C2622E">
        <w:tc>
          <w:tcPr>
            <w:tcW w:w="4675" w:type="dxa"/>
          </w:tcPr>
          <w:p w14:paraId="075CE5DC" w14:textId="77777777" w:rsidR="000D6882" w:rsidRPr="007C25F9" w:rsidRDefault="000D6882" w:rsidP="00765AEF">
            <w:r w:rsidRPr="007C25F9">
              <w:t>Charter Number</w:t>
            </w:r>
          </w:p>
        </w:tc>
        <w:tc>
          <w:tcPr>
            <w:tcW w:w="4675" w:type="dxa"/>
          </w:tcPr>
          <w:p w14:paraId="11EACA6B" w14:textId="77777777" w:rsidR="000D6882" w:rsidRPr="007C25F9" w:rsidRDefault="000D6882" w:rsidP="00765AEF">
            <w:r w:rsidRPr="00DF6992">
              <w:rPr>
                <w:noProof/>
              </w:rPr>
              <w:t>1686</w:t>
            </w:r>
          </w:p>
        </w:tc>
      </w:tr>
      <w:tr w:rsidR="000D6882" w:rsidRPr="007C25F9" w14:paraId="58B83F48" w14:textId="77777777" w:rsidTr="00C2622E">
        <w:tc>
          <w:tcPr>
            <w:tcW w:w="4675" w:type="dxa"/>
          </w:tcPr>
          <w:p w14:paraId="5809A133" w14:textId="77777777" w:rsidR="000D6882" w:rsidRPr="007C25F9" w:rsidRDefault="000D6882" w:rsidP="00765AEF">
            <w:r w:rsidRPr="007C25F9">
              <w:t>Current Charter Term Start Date</w:t>
            </w:r>
          </w:p>
        </w:tc>
        <w:tc>
          <w:tcPr>
            <w:tcW w:w="4675" w:type="dxa"/>
          </w:tcPr>
          <w:p w14:paraId="047A0902" w14:textId="77777777" w:rsidR="000D6882" w:rsidRPr="007C25F9" w:rsidRDefault="000D6882" w:rsidP="00765AEF">
            <w:r w:rsidRPr="00DF6992">
              <w:rPr>
                <w:noProof/>
              </w:rPr>
              <w:t>7/1/2019</w:t>
            </w:r>
          </w:p>
        </w:tc>
      </w:tr>
      <w:tr w:rsidR="000D6882" w:rsidRPr="007C25F9" w14:paraId="7D267598" w14:textId="77777777" w:rsidTr="00C2622E">
        <w:tc>
          <w:tcPr>
            <w:tcW w:w="4675" w:type="dxa"/>
          </w:tcPr>
          <w:p w14:paraId="2F6097C8" w14:textId="77777777" w:rsidR="000D6882" w:rsidRPr="007C25F9" w:rsidRDefault="000D6882" w:rsidP="00765AEF">
            <w:r w:rsidRPr="007C25F9">
              <w:t>Current Charter Term End Date</w:t>
            </w:r>
          </w:p>
        </w:tc>
        <w:tc>
          <w:tcPr>
            <w:tcW w:w="4675" w:type="dxa"/>
          </w:tcPr>
          <w:p w14:paraId="27AB9957" w14:textId="77777777" w:rsidR="000D6882" w:rsidRPr="007C25F9" w:rsidRDefault="000D6882" w:rsidP="00765AEF">
            <w:r w:rsidRPr="00DF6992">
              <w:rPr>
                <w:noProof/>
              </w:rPr>
              <w:t>6/30/2026</w:t>
            </w:r>
          </w:p>
        </w:tc>
      </w:tr>
      <w:tr w:rsidR="000D6882" w:rsidRPr="007C25F9" w14:paraId="76A8BE1E" w14:textId="77777777" w:rsidTr="00C2622E">
        <w:tc>
          <w:tcPr>
            <w:tcW w:w="4675" w:type="dxa"/>
          </w:tcPr>
          <w:p w14:paraId="477A4400" w14:textId="77777777" w:rsidR="000D6882" w:rsidRPr="007C25F9" w:rsidRDefault="000D6882" w:rsidP="00765AEF">
            <w:r w:rsidRPr="007C25F9">
              <w:t>Grade Levels Served</w:t>
            </w:r>
          </w:p>
        </w:tc>
        <w:tc>
          <w:tcPr>
            <w:tcW w:w="4675" w:type="dxa"/>
          </w:tcPr>
          <w:p w14:paraId="388F908A" w14:textId="77777777" w:rsidR="000D6882" w:rsidRPr="007C25F9" w:rsidRDefault="000D6882" w:rsidP="00765AEF">
            <w:r w:rsidRPr="00DF6992">
              <w:rPr>
                <w:noProof/>
              </w:rPr>
              <w:t>TK-12</w:t>
            </w:r>
          </w:p>
        </w:tc>
      </w:tr>
      <w:tr w:rsidR="000D6882" w:rsidRPr="007C25F9" w14:paraId="4C99C561" w14:textId="77777777" w:rsidTr="00C2622E">
        <w:tc>
          <w:tcPr>
            <w:tcW w:w="4675" w:type="dxa"/>
          </w:tcPr>
          <w:p w14:paraId="429289BF" w14:textId="77777777" w:rsidR="000D6882" w:rsidRPr="007C25F9" w:rsidRDefault="000D6882" w:rsidP="00765AEF">
            <w:r w:rsidRPr="007C25F9">
              <w:t>202</w:t>
            </w:r>
            <w:r>
              <w:t>4</w:t>
            </w:r>
            <w:r w:rsidRPr="007C25F9">
              <w:t>–2</w:t>
            </w:r>
            <w:r>
              <w:t>5</w:t>
            </w:r>
            <w:r w:rsidRPr="007C25F9">
              <w:t xml:space="preserve"> Enrollment</w:t>
            </w:r>
          </w:p>
        </w:tc>
        <w:tc>
          <w:tcPr>
            <w:tcW w:w="4675" w:type="dxa"/>
          </w:tcPr>
          <w:p w14:paraId="0ABB402D" w14:textId="77777777" w:rsidR="000D6882" w:rsidRPr="007C25F9" w:rsidRDefault="000D6882" w:rsidP="00765AEF">
            <w:r w:rsidRPr="00DF6992">
              <w:rPr>
                <w:noProof/>
              </w:rPr>
              <w:t>521</w:t>
            </w:r>
          </w:p>
        </w:tc>
      </w:tr>
      <w:tr w:rsidR="000D6882" w:rsidRPr="007C25F9" w14:paraId="39D151A5" w14:textId="77777777" w:rsidTr="00C2622E">
        <w:tc>
          <w:tcPr>
            <w:tcW w:w="4675" w:type="dxa"/>
          </w:tcPr>
          <w:p w14:paraId="4235FB92" w14:textId="77777777" w:rsidR="000D6882" w:rsidRPr="007C25F9" w:rsidRDefault="000D6882" w:rsidP="00765AEF">
            <w:r w:rsidRPr="007C25F9">
              <w:t>Instruction Type</w:t>
            </w:r>
          </w:p>
        </w:tc>
        <w:tc>
          <w:tcPr>
            <w:tcW w:w="4675" w:type="dxa"/>
          </w:tcPr>
          <w:p w14:paraId="2C00E802" w14:textId="77777777" w:rsidR="000D6882" w:rsidRPr="007C25F9" w:rsidRDefault="000D6882" w:rsidP="00765AEF">
            <w:r w:rsidRPr="00DF6992">
              <w:rPr>
                <w:noProof/>
              </w:rPr>
              <w:t>Classroom-based</w:t>
            </w:r>
          </w:p>
        </w:tc>
      </w:tr>
    </w:tbl>
    <w:p w14:paraId="2E35F445" w14:textId="77777777" w:rsidR="000D6882" w:rsidRPr="007C25F9" w:rsidRDefault="000D6882" w:rsidP="00765AEF">
      <w:pPr>
        <w:rPr>
          <w:b/>
          <w:bCs/>
        </w:rPr>
      </w:pPr>
      <w:r>
        <w:rPr>
          <w:b/>
          <w:bCs/>
        </w:rPr>
        <w:t xml:space="preserve">Charter </w:t>
      </w:r>
      <w:r w:rsidRPr="007C25F9">
        <w:rPr>
          <w:b/>
          <w:bCs/>
        </w:rPr>
        <w:t>School Description:</w:t>
      </w:r>
    </w:p>
    <w:p w14:paraId="3EE1687E" w14:textId="1E237882" w:rsidR="003241CA" w:rsidRDefault="000D6882" w:rsidP="00C2622E">
      <w:pPr>
        <w:rPr>
          <w:bCs/>
          <w:noProof/>
        </w:rPr>
      </w:pPr>
      <w:r w:rsidRPr="00DF6992">
        <w:rPr>
          <w:bCs/>
          <w:noProof/>
        </w:rPr>
        <w:t>Magnolia Science Academy</w:t>
      </w:r>
      <w:r w:rsidR="00876ADB">
        <w:rPr>
          <w:bCs/>
          <w:noProof/>
        </w:rPr>
        <w:t xml:space="preserve"> </w:t>
      </w:r>
      <w:r w:rsidRPr="00DF6992">
        <w:rPr>
          <w:bCs/>
          <w:noProof/>
        </w:rPr>
        <w:t>-</w:t>
      </w:r>
      <w:r w:rsidR="00876ADB">
        <w:rPr>
          <w:bCs/>
          <w:noProof/>
        </w:rPr>
        <w:t xml:space="preserve"> </w:t>
      </w:r>
      <w:r w:rsidRPr="00DF6992">
        <w:rPr>
          <w:bCs/>
          <w:noProof/>
        </w:rPr>
        <w:t>Santa Ana (MSA-SA) is one of the Magnolia Public Schools founded as a public charter school in the Fall of 2009.  MSA-SA is a classroom-based charter school serving grades TK -12 with a curriculum emphasizing science, technology, engineering, arts, and math. The school primarily serves students and parents in the Orange County area.</w:t>
      </w:r>
    </w:p>
    <w:p w14:paraId="10846DE9" w14:textId="77777777" w:rsidR="003241CA" w:rsidRDefault="000D6882" w:rsidP="00C2622E">
      <w:pPr>
        <w:rPr>
          <w:bCs/>
          <w:noProof/>
        </w:rPr>
      </w:pPr>
      <w:r w:rsidRPr="00DF6992">
        <w:rPr>
          <w:bCs/>
          <w:noProof/>
        </w:rPr>
        <w:lastRenderedPageBreak/>
        <w:t>Our History</w:t>
      </w:r>
    </w:p>
    <w:p w14:paraId="0CB71A96" w14:textId="77777777" w:rsidR="003241CA" w:rsidRDefault="000D6882" w:rsidP="00C2622E">
      <w:pPr>
        <w:rPr>
          <w:bCs/>
          <w:noProof/>
        </w:rPr>
      </w:pPr>
      <w:r w:rsidRPr="00DF6992">
        <w:rPr>
          <w:bCs/>
          <w:noProof/>
        </w:rPr>
        <w:t>Magnolia Science Academy – Santa Ana (MSA-SA) opened its doors to serve Orange County's community in the Fall of 2009. In 2016, the school site moved to its current building. The school provides an academically rigorous standards-based curriculum.</w:t>
      </w:r>
    </w:p>
    <w:p w14:paraId="65608AFE" w14:textId="3FED4684" w:rsidR="003241CA" w:rsidRDefault="000D6882" w:rsidP="00C2622E">
      <w:pPr>
        <w:rPr>
          <w:bCs/>
          <w:noProof/>
        </w:rPr>
      </w:pPr>
      <w:r w:rsidRPr="00DF6992">
        <w:rPr>
          <w:bCs/>
          <w:noProof/>
        </w:rPr>
        <w:t>Our Mission</w:t>
      </w:r>
    </w:p>
    <w:p w14:paraId="4A7C0590" w14:textId="77777777" w:rsidR="003241CA" w:rsidRDefault="000D6882" w:rsidP="00C2622E">
      <w:pPr>
        <w:rPr>
          <w:bCs/>
          <w:noProof/>
        </w:rPr>
      </w:pPr>
      <w:r w:rsidRPr="00DF6992">
        <w:rPr>
          <w:bCs/>
          <w:noProof/>
        </w:rPr>
        <w:t>Magnolia Public Schools provides a college preparatory educational program emphasizing science, technology, engineering, and math (STEAM) in a safe environment that cultivates respect for self and others.</w:t>
      </w:r>
    </w:p>
    <w:p w14:paraId="726BCCDF" w14:textId="77777777" w:rsidR="003241CA" w:rsidRDefault="000D6882" w:rsidP="00C2622E">
      <w:pPr>
        <w:rPr>
          <w:bCs/>
          <w:noProof/>
        </w:rPr>
      </w:pPr>
      <w:r w:rsidRPr="00DF6992">
        <w:rPr>
          <w:bCs/>
          <w:noProof/>
        </w:rPr>
        <w:t>Our Vision</w:t>
      </w:r>
    </w:p>
    <w:p w14:paraId="0FFBFA89" w14:textId="77777777" w:rsidR="003241CA" w:rsidRDefault="000D6882" w:rsidP="00C2622E">
      <w:pPr>
        <w:rPr>
          <w:bCs/>
          <w:noProof/>
        </w:rPr>
      </w:pPr>
      <w:r w:rsidRPr="00DF6992">
        <w:rPr>
          <w:bCs/>
          <w:noProof/>
        </w:rPr>
        <w:t>Graduates of Magnolia Public Schools are scientific thinkers who contribute to the global community as socially responsible and educated members of society.</w:t>
      </w:r>
    </w:p>
    <w:p w14:paraId="662E36B3" w14:textId="77777777" w:rsidR="003241CA" w:rsidRDefault="000D6882" w:rsidP="00C2622E">
      <w:pPr>
        <w:rPr>
          <w:bCs/>
          <w:noProof/>
        </w:rPr>
      </w:pPr>
      <w:r w:rsidRPr="00DF6992">
        <w:rPr>
          <w:bCs/>
          <w:noProof/>
        </w:rPr>
        <w:t>INNOVATION Students have the freedom to choose how and what they learn. Individualized scheduling and early identification of learning styles, personalities, interests, and career plans support college and career readiness. In addition, students experience hands-on learning through robotics, computer science, and arts to promote imagination, creativity, and invention.</w:t>
      </w:r>
    </w:p>
    <w:p w14:paraId="3C20AD5E" w14:textId="77777777" w:rsidR="003241CA" w:rsidRDefault="000D6882" w:rsidP="00C2622E">
      <w:pPr>
        <w:rPr>
          <w:bCs/>
          <w:noProof/>
        </w:rPr>
      </w:pPr>
      <w:r w:rsidRPr="00DF6992">
        <w:rPr>
          <w:bCs/>
          <w:noProof/>
        </w:rPr>
        <w:t>CONNECTION School communities are integrated partnerships among the school site staff, families, students, and other stakeholders. Connection creates a safe place for all learners and stakeholders to affirm individual strengths, celebrate character, provide academic support through mentorship and internships, and promote unity and better decision-making through implementing restorative justice practices.</w:t>
      </w:r>
    </w:p>
    <w:p w14:paraId="66E8BFEC" w14:textId="7CBB650D" w:rsidR="000D6882" w:rsidRPr="007C25F9" w:rsidRDefault="000D6882" w:rsidP="00C2622E">
      <w:pPr>
        <w:rPr>
          <w:bCs/>
        </w:rPr>
      </w:pPr>
      <w:r w:rsidRPr="00DF6992">
        <w:rPr>
          <w:bCs/>
          <w:noProof/>
        </w:rPr>
        <w:t>EXCELLENCE Academic Excellence is the desire to pursue knowledge and excellence and contribute original and provocative ideas in a learning environment, in diverse settings, and as a catalyst to future academic knowledge. We foster academic excellence through project-based learning using a constructivist approach, student portfolios, assessments of and for learning and academic discourse, and argumentative writing.</w:t>
      </w:r>
    </w:p>
    <w:p w14:paraId="0A17BE2B" w14:textId="77777777" w:rsidR="000D6882" w:rsidRPr="007C25F9" w:rsidRDefault="000D6882" w:rsidP="00A42D0A">
      <w:pPr>
        <w:pStyle w:val="Heading5"/>
      </w:pPr>
      <w:r w:rsidRPr="007C25F9">
        <w:t>Demographic Information</w:t>
      </w:r>
    </w:p>
    <w:p w14:paraId="4BE72DA5" w14:textId="77777777" w:rsidR="000D6882" w:rsidRPr="007C25F9" w:rsidRDefault="000D6882"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7ECEEB5A" w14:textId="77777777" w:rsidR="000D6882" w:rsidRPr="007C25F9" w:rsidRDefault="000D6882"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0D6882" w:rsidRPr="007C25F9" w14:paraId="43650786" w14:textId="77777777" w:rsidTr="007929F6">
        <w:trPr>
          <w:cantSplit/>
          <w:tblHeader/>
        </w:trPr>
        <w:tc>
          <w:tcPr>
            <w:tcW w:w="4675" w:type="dxa"/>
            <w:shd w:val="clear" w:color="auto" w:fill="D9D9D9" w:themeFill="background1" w:themeFillShade="D9"/>
          </w:tcPr>
          <w:p w14:paraId="6327E8C9" w14:textId="77777777" w:rsidR="000D6882" w:rsidRPr="007C25F9" w:rsidRDefault="000D6882" w:rsidP="00D41927">
            <w:pPr>
              <w:rPr>
                <w:b/>
                <w:bCs/>
              </w:rPr>
            </w:pPr>
            <w:r w:rsidRPr="007C25F9">
              <w:rPr>
                <w:b/>
                <w:bCs/>
              </w:rPr>
              <w:t>Prompt</w:t>
            </w:r>
          </w:p>
        </w:tc>
        <w:tc>
          <w:tcPr>
            <w:tcW w:w="4675" w:type="dxa"/>
            <w:shd w:val="clear" w:color="auto" w:fill="D9D9D9" w:themeFill="background1" w:themeFillShade="D9"/>
          </w:tcPr>
          <w:p w14:paraId="0D1A4210" w14:textId="77777777" w:rsidR="000D6882" w:rsidRPr="007C25F9" w:rsidRDefault="000D6882" w:rsidP="00D41927">
            <w:pPr>
              <w:rPr>
                <w:b/>
                <w:bCs/>
              </w:rPr>
            </w:pPr>
            <w:r w:rsidRPr="007C25F9">
              <w:rPr>
                <w:b/>
                <w:bCs/>
              </w:rPr>
              <w:t>Percentage</w:t>
            </w:r>
          </w:p>
        </w:tc>
      </w:tr>
      <w:tr w:rsidR="000D6882" w:rsidRPr="007C25F9" w14:paraId="76693C35" w14:textId="77777777" w:rsidTr="007929F6">
        <w:trPr>
          <w:cantSplit/>
          <w:tblHeader/>
        </w:trPr>
        <w:tc>
          <w:tcPr>
            <w:tcW w:w="4675" w:type="dxa"/>
          </w:tcPr>
          <w:p w14:paraId="15DE83DD" w14:textId="77777777" w:rsidR="000D6882" w:rsidRPr="007C25F9" w:rsidRDefault="000D6882" w:rsidP="00D41927">
            <w:r w:rsidRPr="007C25F9">
              <w:t>English Learners</w:t>
            </w:r>
          </w:p>
        </w:tc>
        <w:tc>
          <w:tcPr>
            <w:tcW w:w="4675" w:type="dxa"/>
          </w:tcPr>
          <w:p w14:paraId="14756325" w14:textId="77777777" w:rsidR="000D6882" w:rsidRPr="007C25F9" w:rsidRDefault="000D6882" w:rsidP="00D41927">
            <w:r w:rsidRPr="00DF6992">
              <w:rPr>
                <w:noProof/>
              </w:rPr>
              <w:t>26.1</w:t>
            </w:r>
          </w:p>
        </w:tc>
      </w:tr>
      <w:tr w:rsidR="000D6882" w:rsidRPr="007C25F9" w14:paraId="621BF1F6" w14:textId="77777777" w:rsidTr="007929F6">
        <w:trPr>
          <w:cantSplit/>
          <w:tblHeader/>
        </w:trPr>
        <w:tc>
          <w:tcPr>
            <w:tcW w:w="4675" w:type="dxa"/>
          </w:tcPr>
          <w:p w14:paraId="3E37BF2E" w14:textId="77777777" w:rsidR="000D6882" w:rsidRPr="007C25F9" w:rsidRDefault="000D6882" w:rsidP="00D41927">
            <w:r w:rsidRPr="007C25F9">
              <w:t>Foster Youth</w:t>
            </w:r>
          </w:p>
        </w:tc>
        <w:tc>
          <w:tcPr>
            <w:tcW w:w="4675" w:type="dxa"/>
          </w:tcPr>
          <w:p w14:paraId="7BAE2059" w14:textId="77777777" w:rsidR="000D6882" w:rsidRPr="007C25F9" w:rsidRDefault="000D6882" w:rsidP="00D41927">
            <w:r w:rsidRPr="00DF6992">
              <w:rPr>
                <w:noProof/>
              </w:rPr>
              <w:t>1.7</w:t>
            </w:r>
          </w:p>
        </w:tc>
      </w:tr>
      <w:tr w:rsidR="000D6882" w:rsidRPr="007C25F9" w14:paraId="4B9CCBB0" w14:textId="77777777" w:rsidTr="007929F6">
        <w:trPr>
          <w:cantSplit/>
          <w:tblHeader/>
        </w:trPr>
        <w:tc>
          <w:tcPr>
            <w:tcW w:w="4675" w:type="dxa"/>
          </w:tcPr>
          <w:p w14:paraId="651E5F7A" w14:textId="77777777" w:rsidR="000D6882" w:rsidRPr="007C25F9" w:rsidRDefault="000D6882" w:rsidP="00D41927">
            <w:r w:rsidRPr="007C25F9">
              <w:t>Homeless</w:t>
            </w:r>
          </w:p>
        </w:tc>
        <w:tc>
          <w:tcPr>
            <w:tcW w:w="4675" w:type="dxa"/>
          </w:tcPr>
          <w:p w14:paraId="5941C7DA" w14:textId="77777777" w:rsidR="000D6882" w:rsidRPr="007C25F9" w:rsidRDefault="000D6882" w:rsidP="00D41927">
            <w:r w:rsidRPr="00DF6992">
              <w:rPr>
                <w:noProof/>
              </w:rPr>
              <w:t>6.1</w:t>
            </w:r>
          </w:p>
        </w:tc>
      </w:tr>
      <w:tr w:rsidR="000D6882" w:rsidRPr="007C25F9" w14:paraId="76E52803" w14:textId="77777777" w:rsidTr="007929F6">
        <w:trPr>
          <w:cantSplit/>
          <w:tblHeader/>
        </w:trPr>
        <w:tc>
          <w:tcPr>
            <w:tcW w:w="4675" w:type="dxa"/>
          </w:tcPr>
          <w:p w14:paraId="593F0271" w14:textId="77777777" w:rsidR="000D6882" w:rsidRPr="007C25F9" w:rsidRDefault="000D6882" w:rsidP="00D41927">
            <w:r w:rsidRPr="007C25F9">
              <w:t>Socioeconomically Disadvantaged</w:t>
            </w:r>
          </w:p>
        </w:tc>
        <w:tc>
          <w:tcPr>
            <w:tcW w:w="4675" w:type="dxa"/>
          </w:tcPr>
          <w:p w14:paraId="614D8B48" w14:textId="77777777" w:rsidR="000D6882" w:rsidRPr="007C25F9" w:rsidRDefault="000D6882" w:rsidP="00D41927">
            <w:r w:rsidRPr="00DF6992">
              <w:rPr>
                <w:noProof/>
              </w:rPr>
              <w:t>80.2</w:t>
            </w:r>
          </w:p>
        </w:tc>
      </w:tr>
      <w:tr w:rsidR="000D6882" w:rsidRPr="007C25F9" w14:paraId="55270009" w14:textId="77777777" w:rsidTr="007929F6">
        <w:trPr>
          <w:cantSplit/>
          <w:tblHeader/>
        </w:trPr>
        <w:tc>
          <w:tcPr>
            <w:tcW w:w="4675" w:type="dxa"/>
          </w:tcPr>
          <w:p w14:paraId="503CF9A5" w14:textId="77777777" w:rsidR="000D6882" w:rsidRPr="007C25F9" w:rsidRDefault="000D6882" w:rsidP="00D41927">
            <w:r w:rsidRPr="007C25F9">
              <w:t>Students with Disabilities</w:t>
            </w:r>
          </w:p>
        </w:tc>
        <w:tc>
          <w:tcPr>
            <w:tcW w:w="4675" w:type="dxa"/>
          </w:tcPr>
          <w:p w14:paraId="4E4200D6" w14:textId="77777777" w:rsidR="000D6882" w:rsidRPr="007C25F9" w:rsidRDefault="000D6882" w:rsidP="00D41927">
            <w:r w:rsidRPr="00DF6992">
              <w:rPr>
                <w:noProof/>
              </w:rPr>
              <w:t>17.2</w:t>
            </w:r>
          </w:p>
        </w:tc>
      </w:tr>
    </w:tbl>
    <w:p w14:paraId="5439417E" w14:textId="77777777" w:rsidR="000D6882" w:rsidRPr="007C25F9" w:rsidRDefault="000D6882"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0D6882" w:rsidRPr="007C25F9" w14:paraId="14894215" w14:textId="77777777" w:rsidTr="007929F6">
        <w:trPr>
          <w:cantSplit/>
          <w:tblHeader/>
        </w:trPr>
        <w:tc>
          <w:tcPr>
            <w:tcW w:w="4675" w:type="dxa"/>
            <w:shd w:val="clear" w:color="auto" w:fill="D9D9D9" w:themeFill="background1" w:themeFillShade="D9"/>
          </w:tcPr>
          <w:p w14:paraId="33927204" w14:textId="77777777" w:rsidR="000D6882" w:rsidRPr="007C25F9" w:rsidRDefault="000D6882" w:rsidP="00D41927">
            <w:pPr>
              <w:rPr>
                <w:b/>
                <w:bCs/>
              </w:rPr>
            </w:pPr>
            <w:r w:rsidRPr="007C25F9">
              <w:rPr>
                <w:b/>
                <w:bCs/>
              </w:rPr>
              <w:t>Prompt</w:t>
            </w:r>
          </w:p>
        </w:tc>
        <w:tc>
          <w:tcPr>
            <w:tcW w:w="4675" w:type="dxa"/>
            <w:shd w:val="clear" w:color="auto" w:fill="D9D9D9" w:themeFill="background1" w:themeFillShade="D9"/>
          </w:tcPr>
          <w:p w14:paraId="142CC4DE" w14:textId="77777777" w:rsidR="000D6882" w:rsidRPr="007C25F9" w:rsidRDefault="000D6882" w:rsidP="00D41927">
            <w:pPr>
              <w:rPr>
                <w:b/>
                <w:bCs/>
              </w:rPr>
            </w:pPr>
            <w:r w:rsidRPr="007C25F9">
              <w:rPr>
                <w:b/>
                <w:bCs/>
              </w:rPr>
              <w:t>Percentage</w:t>
            </w:r>
          </w:p>
        </w:tc>
      </w:tr>
      <w:tr w:rsidR="000D6882" w:rsidRPr="007C25F9" w14:paraId="0C0BE3CA" w14:textId="77777777" w:rsidTr="007929F6">
        <w:trPr>
          <w:cantSplit/>
          <w:tblHeader/>
        </w:trPr>
        <w:tc>
          <w:tcPr>
            <w:tcW w:w="4675" w:type="dxa"/>
          </w:tcPr>
          <w:p w14:paraId="70B8D367" w14:textId="77777777" w:rsidR="000D6882" w:rsidRPr="007C25F9" w:rsidRDefault="000D6882" w:rsidP="00D41927">
            <w:r w:rsidRPr="007C25F9">
              <w:t>African American</w:t>
            </w:r>
          </w:p>
        </w:tc>
        <w:tc>
          <w:tcPr>
            <w:tcW w:w="4675" w:type="dxa"/>
          </w:tcPr>
          <w:p w14:paraId="7D9303F6" w14:textId="77777777" w:rsidR="000D6882" w:rsidRPr="007C25F9" w:rsidRDefault="000D6882" w:rsidP="00D41927">
            <w:r w:rsidRPr="00DF6992">
              <w:rPr>
                <w:noProof/>
              </w:rPr>
              <w:t>1.3</w:t>
            </w:r>
          </w:p>
        </w:tc>
      </w:tr>
      <w:tr w:rsidR="000D6882" w:rsidRPr="007C25F9" w14:paraId="61514EEC" w14:textId="77777777" w:rsidTr="007929F6">
        <w:trPr>
          <w:cantSplit/>
          <w:tblHeader/>
        </w:trPr>
        <w:tc>
          <w:tcPr>
            <w:tcW w:w="4675" w:type="dxa"/>
          </w:tcPr>
          <w:p w14:paraId="3F2E73C1" w14:textId="77777777" w:rsidR="000D6882" w:rsidRPr="007C25F9" w:rsidRDefault="000D6882" w:rsidP="00D41927">
            <w:r w:rsidRPr="007C25F9">
              <w:t>American Indian</w:t>
            </w:r>
          </w:p>
        </w:tc>
        <w:tc>
          <w:tcPr>
            <w:tcW w:w="4675" w:type="dxa"/>
          </w:tcPr>
          <w:p w14:paraId="741B95DE" w14:textId="77777777" w:rsidR="000D6882" w:rsidRPr="007C25F9" w:rsidRDefault="000D6882" w:rsidP="00D41927">
            <w:r w:rsidRPr="00DF6992">
              <w:rPr>
                <w:noProof/>
              </w:rPr>
              <w:t>1</w:t>
            </w:r>
          </w:p>
        </w:tc>
      </w:tr>
      <w:tr w:rsidR="000D6882" w:rsidRPr="007C25F9" w14:paraId="7C1314B3" w14:textId="77777777" w:rsidTr="007929F6">
        <w:trPr>
          <w:cantSplit/>
          <w:tblHeader/>
        </w:trPr>
        <w:tc>
          <w:tcPr>
            <w:tcW w:w="4675" w:type="dxa"/>
          </w:tcPr>
          <w:p w14:paraId="074D9585" w14:textId="77777777" w:rsidR="000D6882" w:rsidRPr="007C25F9" w:rsidRDefault="000D6882" w:rsidP="00D41927">
            <w:r w:rsidRPr="007C25F9">
              <w:t>Asian</w:t>
            </w:r>
          </w:p>
        </w:tc>
        <w:tc>
          <w:tcPr>
            <w:tcW w:w="4675" w:type="dxa"/>
          </w:tcPr>
          <w:p w14:paraId="466DC45E" w14:textId="77777777" w:rsidR="000D6882" w:rsidRPr="007C25F9" w:rsidRDefault="000D6882" w:rsidP="00D41927">
            <w:r w:rsidRPr="00DF6992">
              <w:rPr>
                <w:noProof/>
              </w:rPr>
              <w:t>2.7</w:t>
            </w:r>
          </w:p>
        </w:tc>
      </w:tr>
      <w:tr w:rsidR="000D6882" w:rsidRPr="007C25F9" w14:paraId="1B676DEC" w14:textId="77777777" w:rsidTr="007929F6">
        <w:trPr>
          <w:cantSplit/>
          <w:tblHeader/>
        </w:trPr>
        <w:tc>
          <w:tcPr>
            <w:tcW w:w="4675" w:type="dxa"/>
          </w:tcPr>
          <w:p w14:paraId="030E0CF8" w14:textId="77777777" w:rsidR="000D6882" w:rsidRPr="007C25F9" w:rsidRDefault="000D6882" w:rsidP="00D41927">
            <w:r w:rsidRPr="007C25F9">
              <w:t>Filipino</w:t>
            </w:r>
          </w:p>
        </w:tc>
        <w:tc>
          <w:tcPr>
            <w:tcW w:w="4675" w:type="dxa"/>
          </w:tcPr>
          <w:p w14:paraId="4D1435F9" w14:textId="77777777" w:rsidR="000D6882" w:rsidRPr="007C25F9" w:rsidRDefault="000D6882" w:rsidP="00D41927">
            <w:r w:rsidRPr="00DF6992">
              <w:rPr>
                <w:noProof/>
              </w:rPr>
              <w:t>0</w:t>
            </w:r>
          </w:p>
        </w:tc>
      </w:tr>
      <w:tr w:rsidR="000D6882" w:rsidRPr="007C25F9" w14:paraId="5C89A79D" w14:textId="77777777" w:rsidTr="007929F6">
        <w:trPr>
          <w:cantSplit/>
          <w:tblHeader/>
        </w:trPr>
        <w:tc>
          <w:tcPr>
            <w:tcW w:w="4675" w:type="dxa"/>
          </w:tcPr>
          <w:p w14:paraId="69F0C6C1" w14:textId="77777777" w:rsidR="000D6882" w:rsidRPr="007C25F9" w:rsidRDefault="000D6882" w:rsidP="00D41927">
            <w:r w:rsidRPr="007C25F9">
              <w:t>Hispanic</w:t>
            </w:r>
          </w:p>
        </w:tc>
        <w:tc>
          <w:tcPr>
            <w:tcW w:w="4675" w:type="dxa"/>
          </w:tcPr>
          <w:p w14:paraId="5505DA04" w14:textId="77777777" w:rsidR="000D6882" w:rsidRPr="007C25F9" w:rsidRDefault="000D6882" w:rsidP="00D41927">
            <w:r w:rsidRPr="00DF6992">
              <w:rPr>
                <w:noProof/>
              </w:rPr>
              <w:t>81.1</w:t>
            </w:r>
          </w:p>
        </w:tc>
      </w:tr>
      <w:tr w:rsidR="000D6882" w:rsidRPr="007C25F9" w14:paraId="550EC45A" w14:textId="77777777" w:rsidTr="007929F6">
        <w:trPr>
          <w:cantSplit/>
          <w:tblHeader/>
        </w:trPr>
        <w:tc>
          <w:tcPr>
            <w:tcW w:w="4675" w:type="dxa"/>
          </w:tcPr>
          <w:p w14:paraId="27F01BE9" w14:textId="77777777" w:rsidR="000D6882" w:rsidRPr="007C25F9" w:rsidRDefault="000D6882" w:rsidP="00D41927">
            <w:r w:rsidRPr="007C25F9">
              <w:t>Pacific Islander</w:t>
            </w:r>
          </w:p>
        </w:tc>
        <w:tc>
          <w:tcPr>
            <w:tcW w:w="4675" w:type="dxa"/>
          </w:tcPr>
          <w:p w14:paraId="416B865F" w14:textId="77777777" w:rsidR="000D6882" w:rsidRPr="007C25F9" w:rsidRDefault="000D6882" w:rsidP="00D41927">
            <w:r w:rsidRPr="00DF6992">
              <w:rPr>
                <w:noProof/>
              </w:rPr>
              <w:t>0</w:t>
            </w:r>
          </w:p>
        </w:tc>
      </w:tr>
      <w:tr w:rsidR="000D6882" w:rsidRPr="007C25F9" w14:paraId="170B615C" w14:textId="77777777" w:rsidTr="007929F6">
        <w:trPr>
          <w:cantSplit/>
          <w:tblHeader/>
        </w:trPr>
        <w:tc>
          <w:tcPr>
            <w:tcW w:w="4675" w:type="dxa"/>
          </w:tcPr>
          <w:p w14:paraId="328F825E" w14:textId="77777777" w:rsidR="000D6882" w:rsidRPr="007C25F9" w:rsidRDefault="000D6882" w:rsidP="00D41927">
            <w:r w:rsidRPr="007C25F9">
              <w:t>Two or More Races</w:t>
            </w:r>
          </w:p>
        </w:tc>
        <w:tc>
          <w:tcPr>
            <w:tcW w:w="4675" w:type="dxa"/>
          </w:tcPr>
          <w:p w14:paraId="4689298A" w14:textId="77777777" w:rsidR="000D6882" w:rsidRPr="007C25F9" w:rsidRDefault="000D6882" w:rsidP="00D41927">
            <w:r w:rsidRPr="00DF6992">
              <w:rPr>
                <w:noProof/>
              </w:rPr>
              <w:t>0.2</w:t>
            </w:r>
          </w:p>
        </w:tc>
      </w:tr>
      <w:tr w:rsidR="000D6882" w:rsidRPr="007C25F9" w14:paraId="348F5509" w14:textId="77777777" w:rsidTr="007929F6">
        <w:trPr>
          <w:cantSplit/>
          <w:tblHeader/>
        </w:trPr>
        <w:tc>
          <w:tcPr>
            <w:tcW w:w="4675" w:type="dxa"/>
          </w:tcPr>
          <w:p w14:paraId="2AA2D22D" w14:textId="77777777" w:rsidR="000D6882" w:rsidRPr="007C25F9" w:rsidRDefault="000D6882" w:rsidP="00D41927">
            <w:r w:rsidRPr="007C25F9">
              <w:t>White</w:t>
            </w:r>
          </w:p>
        </w:tc>
        <w:tc>
          <w:tcPr>
            <w:tcW w:w="4675" w:type="dxa"/>
          </w:tcPr>
          <w:p w14:paraId="4365D453" w14:textId="77777777" w:rsidR="000D6882" w:rsidRPr="007C25F9" w:rsidRDefault="000D6882" w:rsidP="00D41927">
            <w:r w:rsidRPr="00DF6992">
              <w:rPr>
                <w:noProof/>
              </w:rPr>
              <w:t>13.7</w:t>
            </w:r>
          </w:p>
        </w:tc>
      </w:tr>
    </w:tbl>
    <w:p w14:paraId="79BE0EC9" w14:textId="77777777" w:rsidR="000D6882" w:rsidRPr="007C25F9" w:rsidRDefault="000D6882">
      <w:pPr>
        <w:spacing w:before="0"/>
        <w:rPr>
          <w:rFonts w:eastAsiaTheme="majorEastAsia"/>
          <w:b/>
          <w:bCs/>
          <w:sz w:val="32"/>
          <w:szCs w:val="32"/>
        </w:rPr>
      </w:pPr>
      <w:r w:rsidRPr="007C25F9">
        <w:br w:type="page"/>
      </w:r>
    </w:p>
    <w:p w14:paraId="0B4A3108" w14:textId="77777777" w:rsidR="000D6882" w:rsidRPr="007C25F9" w:rsidRDefault="000D6882" w:rsidP="00A42D0A">
      <w:pPr>
        <w:pStyle w:val="Heading3"/>
      </w:pPr>
      <w:r w:rsidRPr="007C25F9">
        <w:lastRenderedPageBreak/>
        <w:t>Section 2. California School Dashboard Data Overview</w:t>
      </w:r>
    </w:p>
    <w:p w14:paraId="3847A4B2" w14:textId="77777777" w:rsidR="000D6882" w:rsidRPr="007C25F9" w:rsidRDefault="000D6882" w:rsidP="00A42D0A">
      <w:pPr>
        <w:pStyle w:val="Heading4"/>
      </w:pPr>
      <w:r w:rsidRPr="007C25F9">
        <w:t>California School Dashboard</w:t>
      </w:r>
    </w:p>
    <w:p w14:paraId="47C4AC40" w14:textId="77777777" w:rsidR="000D6882" w:rsidRPr="007C25F9" w:rsidRDefault="000D6882"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0D6882" w:rsidRPr="007C25F9" w14:paraId="7A9A0E8A" w14:textId="77777777" w:rsidTr="007929F6">
        <w:trPr>
          <w:cantSplit/>
          <w:tblHeader/>
        </w:trPr>
        <w:tc>
          <w:tcPr>
            <w:tcW w:w="3350" w:type="dxa"/>
            <w:shd w:val="clear" w:color="auto" w:fill="D9D9D9" w:themeFill="background1" w:themeFillShade="D9"/>
          </w:tcPr>
          <w:p w14:paraId="5F10E4C5" w14:textId="77777777" w:rsidR="000D6882" w:rsidRPr="007C25F9" w:rsidRDefault="000D6882" w:rsidP="00D41927">
            <w:pPr>
              <w:rPr>
                <w:b/>
                <w:bCs/>
              </w:rPr>
            </w:pPr>
            <w:r w:rsidRPr="007C25F9">
              <w:rPr>
                <w:b/>
                <w:bCs/>
              </w:rPr>
              <w:t>Prompt</w:t>
            </w:r>
          </w:p>
        </w:tc>
        <w:tc>
          <w:tcPr>
            <w:tcW w:w="3246" w:type="dxa"/>
            <w:shd w:val="clear" w:color="auto" w:fill="D9D9D9" w:themeFill="background1" w:themeFillShade="D9"/>
          </w:tcPr>
          <w:p w14:paraId="26254B62" w14:textId="77777777" w:rsidR="000D6882" w:rsidRPr="007C25F9" w:rsidRDefault="000D6882" w:rsidP="00D41927">
            <w:pPr>
              <w:rPr>
                <w:b/>
                <w:bCs/>
              </w:rPr>
            </w:pPr>
            <w:r w:rsidRPr="007C25F9">
              <w:rPr>
                <w:b/>
                <w:bCs/>
              </w:rPr>
              <w:t>Percentage</w:t>
            </w:r>
          </w:p>
        </w:tc>
        <w:tc>
          <w:tcPr>
            <w:tcW w:w="2754" w:type="dxa"/>
            <w:shd w:val="clear" w:color="auto" w:fill="D9D9D9" w:themeFill="background1" w:themeFillShade="D9"/>
          </w:tcPr>
          <w:p w14:paraId="7FC9C511" w14:textId="77777777" w:rsidR="000D6882" w:rsidRPr="007C25F9" w:rsidRDefault="000D6882" w:rsidP="00D41927">
            <w:pPr>
              <w:rPr>
                <w:b/>
                <w:bCs/>
              </w:rPr>
            </w:pPr>
            <w:r w:rsidRPr="007C25F9">
              <w:rPr>
                <w:b/>
                <w:bCs/>
              </w:rPr>
              <w:t>Color</w:t>
            </w:r>
          </w:p>
        </w:tc>
      </w:tr>
      <w:tr w:rsidR="000D6882" w:rsidRPr="007C25F9" w14:paraId="7FC48FEC" w14:textId="77777777" w:rsidTr="007929F6">
        <w:trPr>
          <w:cantSplit/>
          <w:tblHeader/>
        </w:trPr>
        <w:tc>
          <w:tcPr>
            <w:tcW w:w="3350" w:type="dxa"/>
          </w:tcPr>
          <w:p w14:paraId="032CBD98" w14:textId="77777777" w:rsidR="000D6882" w:rsidRPr="007C25F9" w:rsidRDefault="000D6882" w:rsidP="00D41927">
            <w:r w:rsidRPr="007C25F9">
              <w:t>Chronic Absenteeism</w:t>
            </w:r>
          </w:p>
        </w:tc>
        <w:tc>
          <w:tcPr>
            <w:tcW w:w="3246" w:type="dxa"/>
          </w:tcPr>
          <w:p w14:paraId="667234A0" w14:textId="77777777" w:rsidR="000D6882" w:rsidRPr="007C25F9" w:rsidRDefault="000D6882" w:rsidP="00D41927">
            <w:r w:rsidRPr="00DF6992">
              <w:rPr>
                <w:noProof/>
              </w:rPr>
              <w:t>15.1</w:t>
            </w:r>
          </w:p>
        </w:tc>
        <w:tc>
          <w:tcPr>
            <w:tcW w:w="2754" w:type="dxa"/>
          </w:tcPr>
          <w:p w14:paraId="4659D81C" w14:textId="77777777" w:rsidR="000D6882" w:rsidRPr="007C25F9" w:rsidRDefault="000D6882" w:rsidP="00D41927">
            <w:r w:rsidRPr="00DF6992">
              <w:rPr>
                <w:noProof/>
              </w:rPr>
              <w:t>Orange</w:t>
            </w:r>
          </w:p>
        </w:tc>
      </w:tr>
      <w:tr w:rsidR="000D6882" w:rsidRPr="007C25F9" w14:paraId="56ED77B5" w14:textId="77777777" w:rsidTr="007929F6">
        <w:trPr>
          <w:cantSplit/>
          <w:tblHeader/>
        </w:trPr>
        <w:tc>
          <w:tcPr>
            <w:tcW w:w="3350" w:type="dxa"/>
          </w:tcPr>
          <w:p w14:paraId="32D24433" w14:textId="77777777" w:rsidR="000D6882" w:rsidRPr="007C25F9" w:rsidRDefault="000D6882" w:rsidP="00D41927">
            <w:r w:rsidRPr="007C25F9">
              <w:t>Suspension Rate</w:t>
            </w:r>
          </w:p>
        </w:tc>
        <w:tc>
          <w:tcPr>
            <w:tcW w:w="3246" w:type="dxa"/>
          </w:tcPr>
          <w:p w14:paraId="478F2EEB" w14:textId="77777777" w:rsidR="000D6882" w:rsidRPr="007C25F9" w:rsidRDefault="000D6882" w:rsidP="00D41927">
            <w:r w:rsidRPr="00DF6992">
              <w:rPr>
                <w:noProof/>
              </w:rPr>
              <w:t>2</w:t>
            </w:r>
          </w:p>
        </w:tc>
        <w:tc>
          <w:tcPr>
            <w:tcW w:w="2754" w:type="dxa"/>
          </w:tcPr>
          <w:p w14:paraId="5B07D7C5" w14:textId="77777777" w:rsidR="000D6882" w:rsidRPr="007C25F9" w:rsidRDefault="000D6882" w:rsidP="00D41927">
            <w:r w:rsidRPr="00DF6992">
              <w:rPr>
                <w:noProof/>
              </w:rPr>
              <w:t>Green</w:t>
            </w:r>
          </w:p>
        </w:tc>
      </w:tr>
      <w:tr w:rsidR="000D6882" w:rsidRPr="007C25F9" w14:paraId="76D9AC30" w14:textId="77777777" w:rsidTr="007929F6">
        <w:trPr>
          <w:cantSplit/>
          <w:tblHeader/>
        </w:trPr>
        <w:tc>
          <w:tcPr>
            <w:tcW w:w="3350" w:type="dxa"/>
          </w:tcPr>
          <w:p w14:paraId="6F163E1B" w14:textId="77777777" w:rsidR="000D6882" w:rsidRPr="007C25F9" w:rsidRDefault="000D6882" w:rsidP="00D41927">
            <w:r w:rsidRPr="007C25F9">
              <w:t>English Learner Progress</w:t>
            </w:r>
          </w:p>
        </w:tc>
        <w:tc>
          <w:tcPr>
            <w:tcW w:w="3246" w:type="dxa"/>
          </w:tcPr>
          <w:p w14:paraId="43598C77" w14:textId="77777777" w:rsidR="000D6882" w:rsidRPr="007C25F9" w:rsidRDefault="000D6882" w:rsidP="00D41927">
            <w:r w:rsidRPr="00DF6992">
              <w:rPr>
                <w:noProof/>
              </w:rPr>
              <w:t>43.4</w:t>
            </w:r>
          </w:p>
        </w:tc>
        <w:tc>
          <w:tcPr>
            <w:tcW w:w="2754" w:type="dxa"/>
          </w:tcPr>
          <w:p w14:paraId="5D6E9868" w14:textId="77777777" w:rsidR="000D6882" w:rsidRPr="007C25F9" w:rsidRDefault="000D6882" w:rsidP="00D41927">
            <w:r w:rsidRPr="00DF6992">
              <w:rPr>
                <w:noProof/>
              </w:rPr>
              <w:t>Yellow</w:t>
            </w:r>
          </w:p>
        </w:tc>
      </w:tr>
      <w:tr w:rsidR="000D6882" w:rsidRPr="007C25F9" w14:paraId="6870DBE7" w14:textId="77777777" w:rsidTr="007929F6">
        <w:trPr>
          <w:cantSplit/>
          <w:tblHeader/>
        </w:trPr>
        <w:tc>
          <w:tcPr>
            <w:tcW w:w="3350" w:type="dxa"/>
          </w:tcPr>
          <w:p w14:paraId="17AFA88C" w14:textId="77777777" w:rsidR="000D6882" w:rsidRPr="007C25F9" w:rsidRDefault="000D6882" w:rsidP="00D41927">
            <w:r w:rsidRPr="007C25F9">
              <w:t>Graduation Rate</w:t>
            </w:r>
          </w:p>
        </w:tc>
        <w:tc>
          <w:tcPr>
            <w:tcW w:w="3246" w:type="dxa"/>
          </w:tcPr>
          <w:p w14:paraId="48E1C71E" w14:textId="77777777" w:rsidR="000D6882" w:rsidRPr="007C25F9" w:rsidRDefault="000D6882" w:rsidP="00D41927">
            <w:r w:rsidRPr="00DF6992">
              <w:rPr>
                <w:noProof/>
              </w:rPr>
              <w:t>94.7</w:t>
            </w:r>
          </w:p>
        </w:tc>
        <w:tc>
          <w:tcPr>
            <w:tcW w:w="2754" w:type="dxa"/>
          </w:tcPr>
          <w:p w14:paraId="18A0B5F3" w14:textId="77777777" w:rsidR="000D6882" w:rsidRPr="007C25F9" w:rsidRDefault="000D6882" w:rsidP="00D41927">
            <w:r w:rsidRPr="00DF6992">
              <w:rPr>
                <w:noProof/>
              </w:rPr>
              <w:t>Yellow</w:t>
            </w:r>
          </w:p>
        </w:tc>
      </w:tr>
      <w:tr w:rsidR="000D6882" w:rsidRPr="007C25F9" w14:paraId="22D9D93F" w14:textId="77777777" w:rsidTr="007929F6">
        <w:trPr>
          <w:cantSplit/>
          <w:tblHeader/>
        </w:trPr>
        <w:tc>
          <w:tcPr>
            <w:tcW w:w="3350" w:type="dxa"/>
          </w:tcPr>
          <w:p w14:paraId="4CB128B3" w14:textId="77777777" w:rsidR="000D6882" w:rsidRPr="007C25F9" w:rsidRDefault="000D6882" w:rsidP="00D41927">
            <w:r w:rsidRPr="007C25F9">
              <w:t>College/Career</w:t>
            </w:r>
          </w:p>
        </w:tc>
        <w:tc>
          <w:tcPr>
            <w:tcW w:w="3246" w:type="dxa"/>
          </w:tcPr>
          <w:p w14:paraId="43733790" w14:textId="77777777" w:rsidR="000D6882" w:rsidRPr="007C25F9" w:rsidRDefault="000D6882" w:rsidP="00D41927">
            <w:r w:rsidRPr="00DF6992">
              <w:rPr>
                <w:noProof/>
              </w:rPr>
              <w:t>81.6</w:t>
            </w:r>
          </w:p>
        </w:tc>
        <w:tc>
          <w:tcPr>
            <w:tcW w:w="2754" w:type="dxa"/>
          </w:tcPr>
          <w:p w14:paraId="362775AA" w14:textId="77777777" w:rsidR="000D6882" w:rsidRPr="007C25F9" w:rsidRDefault="000D6882" w:rsidP="00D41927">
            <w:r w:rsidRPr="00DF6992">
              <w:rPr>
                <w:noProof/>
              </w:rPr>
              <w:t>Blue</w:t>
            </w:r>
          </w:p>
        </w:tc>
      </w:tr>
    </w:tbl>
    <w:p w14:paraId="1A6FFB3D" w14:textId="77777777" w:rsidR="000D6882" w:rsidRPr="007C25F9" w:rsidRDefault="000D6882"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0D6882" w:rsidRPr="007C25F9" w14:paraId="3E58A4C4" w14:textId="77777777" w:rsidTr="00927BE3">
        <w:trPr>
          <w:cantSplit/>
          <w:tblHeader/>
        </w:trPr>
        <w:tc>
          <w:tcPr>
            <w:tcW w:w="2655" w:type="dxa"/>
            <w:shd w:val="clear" w:color="auto" w:fill="D9D9D9" w:themeFill="background1" w:themeFillShade="D9"/>
          </w:tcPr>
          <w:p w14:paraId="55061339" w14:textId="77777777" w:rsidR="000D6882" w:rsidRPr="007C25F9" w:rsidRDefault="000D6882" w:rsidP="00D41927">
            <w:pPr>
              <w:rPr>
                <w:b/>
                <w:bCs/>
              </w:rPr>
            </w:pPr>
            <w:r w:rsidRPr="007C25F9">
              <w:rPr>
                <w:b/>
                <w:bCs/>
              </w:rPr>
              <w:t>Prompt</w:t>
            </w:r>
          </w:p>
        </w:tc>
        <w:tc>
          <w:tcPr>
            <w:tcW w:w="2061" w:type="dxa"/>
            <w:shd w:val="clear" w:color="auto" w:fill="D9D9D9" w:themeFill="background1" w:themeFillShade="D9"/>
          </w:tcPr>
          <w:p w14:paraId="651C5728" w14:textId="77777777" w:rsidR="000D6882" w:rsidRPr="007C25F9" w:rsidRDefault="000D6882" w:rsidP="00D41927">
            <w:pPr>
              <w:rPr>
                <w:b/>
                <w:bCs/>
              </w:rPr>
            </w:pPr>
            <w:r w:rsidRPr="007C25F9">
              <w:rPr>
                <w:b/>
                <w:bCs/>
              </w:rPr>
              <w:t>Color</w:t>
            </w:r>
          </w:p>
        </w:tc>
        <w:tc>
          <w:tcPr>
            <w:tcW w:w="2467" w:type="dxa"/>
            <w:shd w:val="clear" w:color="auto" w:fill="D9D9D9" w:themeFill="background1" w:themeFillShade="D9"/>
          </w:tcPr>
          <w:p w14:paraId="0B48977D" w14:textId="77777777" w:rsidR="000D6882" w:rsidRPr="007C25F9" w:rsidRDefault="000D6882" w:rsidP="00D41927">
            <w:pPr>
              <w:rPr>
                <w:b/>
                <w:bCs/>
              </w:rPr>
            </w:pPr>
            <w:r w:rsidRPr="007C25F9">
              <w:rPr>
                <w:b/>
                <w:bCs/>
              </w:rPr>
              <w:t>Above or Below Standard</w:t>
            </w:r>
          </w:p>
        </w:tc>
        <w:tc>
          <w:tcPr>
            <w:tcW w:w="2167" w:type="dxa"/>
            <w:shd w:val="clear" w:color="auto" w:fill="D9D9D9" w:themeFill="background1" w:themeFillShade="D9"/>
          </w:tcPr>
          <w:p w14:paraId="7AE856D8" w14:textId="77777777" w:rsidR="000D6882" w:rsidRPr="007C25F9" w:rsidRDefault="000D6882" w:rsidP="00D41927">
            <w:pPr>
              <w:rPr>
                <w:b/>
                <w:bCs/>
              </w:rPr>
            </w:pPr>
            <w:r w:rsidRPr="007C25F9">
              <w:rPr>
                <w:b/>
                <w:bCs/>
              </w:rPr>
              <w:t>Distance From Standard</w:t>
            </w:r>
          </w:p>
        </w:tc>
      </w:tr>
      <w:tr w:rsidR="000D6882" w:rsidRPr="007C25F9" w14:paraId="6323415F" w14:textId="77777777" w:rsidTr="00927BE3">
        <w:trPr>
          <w:cantSplit/>
          <w:tblHeader/>
        </w:trPr>
        <w:tc>
          <w:tcPr>
            <w:tcW w:w="2655" w:type="dxa"/>
          </w:tcPr>
          <w:p w14:paraId="69B5B643" w14:textId="77777777" w:rsidR="000D6882" w:rsidRPr="007C25F9" w:rsidRDefault="000D6882" w:rsidP="00D41927">
            <w:r w:rsidRPr="007C25F9">
              <w:t>English Language Arts</w:t>
            </w:r>
          </w:p>
        </w:tc>
        <w:tc>
          <w:tcPr>
            <w:tcW w:w="2061" w:type="dxa"/>
          </w:tcPr>
          <w:p w14:paraId="7B1E17FB" w14:textId="77777777" w:rsidR="000D6882" w:rsidRPr="007C25F9" w:rsidRDefault="000D6882" w:rsidP="00D41927">
            <w:r w:rsidRPr="00DF6992">
              <w:rPr>
                <w:noProof/>
              </w:rPr>
              <w:t>Green</w:t>
            </w:r>
          </w:p>
        </w:tc>
        <w:tc>
          <w:tcPr>
            <w:tcW w:w="2467" w:type="dxa"/>
          </w:tcPr>
          <w:p w14:paraId="4C8AEAC0" w14:textId="77777777" w:rsidR="000D6882" w:rsidRPr="007C25F9" w:rsidRDefault="000D6882" w:rsidP="00D41927">
            <w:r w:rsidRPr="00DF6992">
              <w:rPr>
                <w:noProof/>
              </w:rPr>
              <w:t>Below standard</w:t>
            </w:r>
          </w:p>
        </w:tc>
        <w:tc>
          <w:tcPr>
            <w:tcW w:w="2167" w:type="dxa"/>
          </w:tcPr>
          <w:p w14:paraId="085C9741" w14:textId="77777777" w:rsidR="000D6882" w:rsidRPr="007C25F9" w:rsidRDefault="000D6882" w:rsidP="00D41927">
            <w:r w:rsidRPr="00DF6992">
              <w:rPr>
                <w:noProof/>
              </w:rPr>
              <w:t>3.1</w:t>
            </w:r>
          </w:p>
        </w:tc>
      </w:tr>
      <w:tr w:rsidR="000D6882" w:rsidRPr="007C25F9" w14:paraId="2E6CEAAE" w14:textId="77777777" w:rsidTr="00927BE3">
        <w:trPr>
          <w:cantSplit/>
          <w:tblHeader/>
        </w:trPr>
        <w:tc>
          <w:tcPr>
            <w:tcW w:w="2655" w:type="dxa"/>
          </w:tcPr>
          <w:p w14:paraId="5A8FD285" w14:textId="77777777" w:rsidR="000D6882" w:rsidRPr="007C25F9" w:rsidRDefault="000D6882" w:rsidP="00D41927">
            <w:r w:rsidRPr="007C25F9">
              <w:t>Mathematics</w:t>
            </w:r>
          </w:p>
        </w:tc>
        <w:tc>
          <w:tcPr>
            <w:tcW w:w="2061" w:type="dxa"/>
          </w:tcPr>
          <w:p w14:paraId="5A8C1F91" w14:textId="77777777" w:rsidR="000D6882" w:rsidRPr="007C25F9" w:rsidRDefault="000D6882" w:rsidP="00D41927">
            <w:r w:rsidRPr="00DF6992">
              <w:rPr>
                <w:noProof/>
              </w:rPr>
              <w:t>Yellow</w:t>
            </w:r>
          </w:p>
        </w:tc>
        <w:tc>
          <w:tcPr>
            <w:tcW w:w="2467" w:type="dxa"/>
          </w:tcPr>
          <w:p w14:paraId="4CA3E30E" w14:textId="77777777" w:rsidR="000D6882" w:rsidRPr="007C25F9" w:rsidRDefault="000D6882" w:rsidP="00D41927">
            <w:r w:rsidRPr="00DF6992">
              <w:rPr>
                <w:noProof/>
              </w:rPr>
              <w:t>Below standard</w:t>
            </w:r>
          </w:p>
        </w:tc>
        <w:tc>
          <w:tcPr>
            <w:tcW w:w="2167" w:type="dxa"/>
          </w:tcPr>
          <w:p w14:paraId="464A60B5" w14:textId="77777777" w:rsidR="000D6882" w:rsidRPr="007C25F9" w:rsidRDefault="000D6882" w:rsidP="00D41927">
            <w:r w:rsidRPr="00DF6992">
              <w:rPr>
                <w:noProof/>
              </w:rPr>
              <w:t>26</w:t>
            </w:r>
          </w:p>
        </w:tc>
      </w:tr>
    </w:tbl>
    <w:p w14:paraId="2373D068" w14:textId="77777777" w:rsidR="000D6882" w:rsidRPr="007C25F9" w:rsidRDefault="000D6882" w:rsidP="00A42D0A">
      <w:pPr>
        <w:pStyle w:val="Heading4"/>
      </w:pPr>
      <w:r>
        <w:t xml:space="preserve">2024–25 </w:t>
      </w:r>
      <w:r w:rsidRPr="007C25F9">
        <w:t>California Assessment of Student Performance and Progress</w:t>
      </w:r>
    </w:p>
    <w:p w14:paraId="2D0EEC4A" w14:textId="77777777" w:rsidR="000D6882" w:rsidRPr="007C25F9" w:rsidRDefault="000D6882">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0D6882" w:rsidRPr="007C25F9" w14:paraId="40509D64" w14:textId="77777777" w:rsidTr="007929F6">
        <w:trPr>
          <w:cantSplit/>
          <w:tblHeader/>
        </w:trPr>
        <w:tc>
          <w:tcPr>
            <w:tcW w:w="4675" w:type="dxa"/>
            <w:shd w:val="clear" w:color="auto" w:fill="D9D9D9" w:themeFill="background1" w:themeFillShade="D9"/>
          </w:tcPr>
          <w:p w14:paraId="308BA9CD" w14:textId="77777777" w:rsidR="000D6882" w:rsidRPr="007C25F9" w:rsidRDefault="000D6882" w:rsidP="00D41927">
            <w:pPr>
              <w:rPr>
                <w:b/>
                <w:bCs/>
              </w:rPr>
            </w:pPr>
            <w:r w:rsidRPr="007C25F9">
              <w:rPr>
                <w:b/>
                <w:bCs/>
              </w:rPr>
              <w:t>Prompt</w:t>
            </w:r>
          </w:p>
        </w:tc>
        <w:tc>
          <w:tcPr>
            <w:tcW w:w="4675" w:type="dxa"/>
            <w:shd w:val="clear" w:color="auto" w:fill="D9D9D9" w:themeFill="background1" w:themeFillShade="D9"/>
          </w:tcPr>
          <w:p w14:paraId="78FDEBEB" w14:textId="77777777" w:rsidR="000D6882" w:rsidRPr="007C25F9" w:rsidRDefault="000D6882" w:rsidP="00D41927">
            <w:pPr>
              <w:rPr>
                <w:b/>
                <w:bCs/>
              </w:rPr>
            </w:pPr>
            <w:r w:rsidRPr="007C25F9">
              <w:rPr>
                <w:b/>
                <w:bCs/>
              </w:rPr>
              <w:t>Percentage</w:t>
            </w:r>
          </w:p>
        </w:tc>
      </w:tr>
      <w:tr w:rsidR="000D6882" w:rsidRPr="007C25F9" w14:paraId="15395ADB" w14:textId="77777777" w:rsidTr="007929F6">
        <w:trPr>
          <w:cantSplit/>
          <w:tblHeader/>
        </w:trPr>
        <w:tc>
          <w:tcPr>
            <w:tcW w:w="4675" w:type="dxa"/>
          </w:tcPr>
          <w:p w14:paraId="6FB2EB74" w14:textId="77777777" w:rsidR="000D6882" w:rsidRPr="007C25F9" w:rsidRDefault="000D6882" w:rsidP="00D41927">
            <w:r w:rsidRPr="007C25F9">
              <w:t>English Language Arts</w:t>
            </w:r>
          </w:p>
        </w:tc>
        <w:tc>
          <w:tcPr>
            <w:tcW w:w="4675" w:type="dxa"/>
          </w:tcPr>
          <w:p w14:paraId="3DFFB115" w14:textId="77777777" w:rsidR="000D6882" w:rsidRPr="007C25F9" w:rsidRDefault="000D6882" w:rsidP="00D41927">
            <w:r w:rsidRPr="00DF6992">
              <w:rPr>
                <w:noProof/>
              </w:rPr>
              <w:t>47.53</w:t>
            </w:r>
          </w:p>
        </w:tc>
      </w:tr>
      <w:tr w:rsidR="000D6882" w:rsidRPr="007C25F9" w14:paraId="242DA0E1" w14:textId="77777777" w:rsidTr="007929F6">
        <w:trPr>
          <w:cantSplit/>
          <w:tblHeader/>
        </w:trPr>
        <w:tc>
          <w:tcPr>
            <w:tcW w:w="4675" w:type="dxa"/>
          </w:tcPr>
          <w:p w14:paraId="545F506F" w14:textId="77777777" w:rsidR="000D6882" w:rsidRPr="007C25F9" w:rsidRDefault="000D6882" w:rsidP="00D41927">
            <w:r w:rsidRPr="007C25F9">
              <w:t>Mathematics</w:t>
            </w:r>
          </w:p>
        </w:tc>
        <w:tc>
          <w:tcPr>
            <w:tcW w:w="4675" w:type="dxa"/>
          </w:tcPr>
          <w:p w14:paraId="679D9A19" w14:textId="77777777" w:rsidR="000D6882" w:rsidRPr="007C25F9" w:rsidRDefault="000D6882" w:rsidP="00D41927">
            <w:r w:rsidRPr="00DF6992">
              <w:rPr>
                <w:noProof/>
              </w:rPr>
              <w:t>39.78</w:t>
            </w:r>
          </w:p>
        </w:tc>
      </w:tr>
    </w:tbl>
    <w:p w14:paraId="05818B85" w14:textId="77777777" w:rsidR="000D6882" w:rsidRPr="007C25F9" w:rsidRDefault="000D6882">
      <w:pPr>
        <w:spacing w:before="0"/>
        <w:rPr>
          <w:rFonts w:eastAsiaTheme="majorEastAsia"/>
          <w:b/>
          <w:bCs/>
          <w:sz w:val="32"/>
          <w:szCs w:val="32"/>
        </w:rPr>
      </w:pPr>
      <w:r w:rsidRPr="007C25F9">
        <w:br w:type="page"/>
      </w:r>
    </w:p>
    <w:p w14:paraId="55D20E22" w14:textId="77777777" w:rsidR="000D6882" w:rsidRPr="007C25F9" w:rsidRDefault="000D6882" w:rsidP="00A42D0A">
      <w:pPr>
        <w:pStyle w:val="Heading3"/>
      </w:pPr>
      <w:r w:rsidRPr="007C25F9">
        <w:lastRenderedPageBreak/>
        <w:t>Section 3. Areas of Greatest Progress and Need</w:t>
      </w:r>
    </w:p>
    <w:p w14:paraId="05FE2C7D" w14:textId="77777777" w:rsidR="000D6882" w:rsidRPr="00EA4CF5" w:rsidRDefault="000D6882" w:rsidP="00EA4CF5">
      <w:pPr>
        <w:numPr>
          <w:ilvl w:val="0"/>
          <w:numId w:val="13"/>
        </w:numPr>
        <w:ind w:left="0"/>
        <w:rPr>
          <w:b/>
          <w:bCs/>
        </w:rPr>
      </w:pPr>
      <w:r w:rsidRPr="00EA4CF5">
        <w:rPr>
          <w:b/>
          <w:bCs/>
        </w:rPr>
        <w:t>Based on California School Dashboard (Dashboard) data, identify the charter school’s areas of greatest progress.</w:t>
      </w:r>
    </w:p>
    <w:p w14:paraId="02FD7515" w14:textId="77777777" w:rsidR="000D6882" w:rsidRPr="007C25F9" w:rsidRDefault="000D6882" w:rsidP="0003147F">
      <w:r w:rsidRPr="00DF6992">
        <w:rPr>
          <w:noProof/>
        </w:rPr>
        <w:t>MSA-SA’s ELA performance increased by 5.1 points between 2024 to 2025. The ELA score went from yellow to green in 2024. Similarly, in math, MSA-SA saw a notable increase of 10.5 points during the 2024-2025  school year, which also kept us in the yellow band.  MSA-SA’s overall ELA scores have increased from 47.53% (in 2024) to 49.82% (in 2025).  In addition, our school’s math scores increased over the past 2 years from 39.78% (in 2024) to 42.11% (in 2025). MSA SA has consistently increased both ELA and Math scores over the last five years.</w:t>
      </w:r>
    </w:p>
    <w:p w14:paraId="5081468C" w14:textId="77777777" w:rsidR="000D6882" w:rsidRPr="00EA4CF5" w:rsidRDefault="000D6882"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0A7C513E" w14:textId="77777777" w:rsidR="000D6882" w:rsidRPr="007C25F9" w:rsidRDefault="000D6882" w:rsidP="0003147F">
      <w:r w:rsidRPr="00DF6992">
        <w:rPr>
          <w:noProof/>
        </w:rPr>
        <w:t>MSA-SA conducts the NWEA MAP Assessments as SBE-approved verified assessments and data twice a year: in the fall and spring. This data plays a crucial role in identifying students eligible for advanced math courses, which commence during the summer before 8th and 9th grade. Overall, 63.8% of students met their growth targets from fall to spring in math, and 58.1% of students met their growth targets for reading. MSA-SA’s conditional growth index (CGI) for both math and reading in all grades is positive, and the conditional growth percentile is very high (1.56 for math and 0.96 for reading).</w:t>
      </w:r>
    </w:p>
    <w:p w14:paraId="5E455C9D" w14:textId="77777777" w:rsidR="000D6882" w:rsidRPr="00EA4CF5" w:rsidRDefault="000D6882" w:rsidP="00EA4CF5">
      <w:pPr>
        <w:numPr>
          <w:ilvl w:val="0"/>
          <w:numId w:val="13"/>
        </w:numPr>
        <w:ind w:left="0"/>
        <w:rPr>
          <w:b/>
          <w:bCs/>
        </w:rPr>
      </w:pPr>
      <w:r w:rsidRPr="00EA4CF5">
        <w:rPr>
          <w:b/>
          <w:bCs/>
        </w:rPr>
        <w:t>Based on Dashboard data, identify the charter school’s areas of greatest need. Include references to student groups.</w:t>
      </w:r>
    </w:p>
    <w:p w14:paraId="25FEC981" w14:textId="77777777" w:rsidR="000D6882" w:rsidRPr="007C25F9" w:rsidRDefault="000D6882" w:rsidP="0003147F">
      <w:r w:rsidRPr="00DF6992">
        <w:rPr>
          <w:noProof/>
        </w:rPr>
        <w:t>Our greatest need for the 2024/2025 school year is chronic absenteeism, based on the most recent data from the California School Dashboard for Magnolia Science Academy Santa Ana. In 2024, 15.1% of students were identified as chronically absent. While this represented a 1.7% decline from the previous year, the indicator was reported in the Yellow performance level. In 2025, the chronic absenteeism rate remained at 15.1%, showing 0% change, and the performance level shifted to Orange. This indicates that although the rate did not increase, overall absenteeism remains elevated and continues to be an area of concern. Chronic absenteeism at this level can negatively impact student academic achievement, English learner progress, and school climate outcomes. Addressing attendance through early intervention, family engagement, and targeted supports will be an important focus area for the 2025–26 school year.</w:t>
      </w:r>
    </w:p>
    <w:p w14:paraId="3A8524DE" w14:textId="77777777" w:rsidR="000D6882" w:rsidRPr="00EA4CF5" w:rsidRDefault="000D6882" w:rsidP="00EA4CF5">
      <w:pPr>
        <w:numPr>
          <w:ilvl w:val="0"/>
          <w:numId w:val="13"/>
        </w:numPr>
        <w:ind w:left="0"/>
        <w:rPr>
          <w:b/>
          <w:bCs/>
        </w:rPr>
      </w:pPr>
      <w:r w:rsidRPr="00EA4CF5">
        <w:rPr>
          <w:b/>
          <w:bCs/>
        </w:rPr>
        <w:t>How is the charter school addressing these areas of need? Include references to student groups.</w:t>
      </w:r>
    </w:p>
    <w:p w14:paraId="4B84CEE2" w14:textId="77777777" w:rsidR="003241CA" w:rsidRDefault="000D6882" w:rsidP="0003147F">
      <w:pPr>
        <w:rPr>
          <w:noProof/>
        </w:rPr>
      </w:pPr>
      <w:r w:rsidRPr="00DF6992">
        <w:rPr>
          <w:noProof/>
        </w:rPr>
        <w:t xml:space="preserve">MSASA has and will continue to address the areas of need identified by the California Dashboard. The efforts include but are not limited to, specific targeted interventions. </w:t>
      </w:r>
      <w:r w:rsidRPr="00DF6992">
        <w:rPr>
          <w:noProof/>
        </w:rPr>
        <w:lastRenderedPageBreak/>
        <w:t>Removing attendance barriers for students and supporting our Hispanic/ Latino and Socioeconomically Disadvantaged community of students with sensitivity and feedback from the community and meeting as a collective team to identify and address areas of concern.</w:t>
      </w:r>
    </w:p>
    <w:p w14:paraId="337F9F50" w14:textId="77777777" w:rsidR="003241CA" w:rsidRDefault="000D6882" w:rsidP="0003147F">
      <w:pPr>
        <w:rPr>
          <w:noProof/>
        </w:rPr>
      </w:pPr>
      <w:r w:rsidRPr="00DF6992">
        <w:rPr>
          <w:noProof/>
        </w:rPr>
        <w:t>For our Hispanic/ Latino population of students who were identified in our Suspension rate, our school strives to provide support systems to the students and families. Our Restorative Circles have been successful this year, keeping chronic behavior offenses low, making suspension not a viable option. Our parent surveys collect essential data to address our community’s needs, and reasons for behavior.</w:t>
      </w:r>
    </w:p>
    <w:p w14:paraId="5A757ADD" w14:textId="77777777" w:rsidR="003241CA" w:rsidRDefault="000D6882" w:rsidP="0003147F">
      <w:pPr>
        <w:rPr>
          <w:noProof/>
        </w:rPr>
      </w:pPr>
      <w:r w:rsidRPr="00DF6992">
        <w:rPr>
          <w:noProof/>
        </w:rPr>
        <w:t>Title 1 funds, along with the successful expenditure of the entirety of the ARP-HYC II funds, are and were utilized to address the needs of our Socioeconomically Disadvantaged student populations. PBIS strategies, practices, and engagements are implemented to be fair and equitable for all of our student populations while considering a student’s background, needs, and support system requirements.</w:t>
      </w:r>
    </w:p>
    <w:p w14:paraId="4EF91455" w14:textId="77777777" w:rsidR="003241CA" w:rsidRDefault="000D6882" w:rsidP="0003147F">
      <w:pPr>
        <w:rPr>
          <w:noProof/>
        </w:rPr>
      </w:pPr>
      <w:r w:rsidRPr="00DF6992">
        <w:rPr>
          <w:noProof/>
        </w:rPr>
        <w:t>We take great pride in creating support plans for all of our students who have been identified as being in need of additional guidance and solutions to behavioral concerns. This includes our Hispanic, Socioeconomically Disadvantaged, and our LTEL population. Transparency in our approach with students and their parents is a priority to achieving success and equity in this area.</w:t>
      </w:r>
    </w:p>
    <w:p w14:paraId="5AF518AD" w14:textId="77777777" w:rsidR="003241CA" w:rsidRDefault="000D6882" w:rsidP="0003147F">
      <w:pPr>
        <w:rPr>
          <w:noProof/>
        </w:rPr>
      </w:pPr>
      <w:r w:rsidRPr="00DF6992">
        <w:rPr>
          <w:noProof/>
        </w:rPr>
        <w:t>When addressing the needs of our Special Needs populations, MSASA's Student Support Team, which is composed of our SPED Dept, Social Worker, School Psychologist, PBIS Coordinator, and the Admin Team work collectively to address any and all areas of concern.</w:t>
      </w:r>
    </w:p>
    <w:p w14:paraId="2F935DBA" w14:textId="77777777" w:rsidR="003241CA" w:rsidRDefault="000D6882" w:rsidP="0003147F">
      <w:pPr>
        <w:rPr>
          <w:noProof/>
        </w:rPr>
      </w:pPr>
      <w:r w:rsidRPr="00DF6992">
        <w:rPr>
          <w:noProof/>
        </w:rPr>
        <w:t>Our school is taking the ELPI scores very seriously. We target elementary school students with targeted intervention groups after school, middle school's Power English classes, and high school's ELD class. Teachers are working diligently to teach English to our Level 1 students and train these students on test-taking strategies to help them with CAASPP, MAP, and ELPAC.</w:t>
      </w:r>
    </w:p>
    <w:p w14:paraId="20E42BAC" w14:textId="01979748" w:rsidR="000D6882" w:rsidRPr="007C25F9" w:rsidRDefault="000D6882" w:rsidP="0003147F">
      <w:pPr>
        <w:rPr>
          <w:rFonts w:cs="Arial"/>
        </w:rPr>
      </w:pPr>
      <w:r w:rsidRPr="00DF6992">
        <w:rPr>
          <w:noProof/>
        </w:rPr>
        <w:t>Teachers are also having small intensive intervention groups during Saturday School. Parents are also taught how they can help their students at home during our Coffee with the Principal and Parent College classes.</w:t>
      </w:r>
    </w:p>
    <w:p w14:paraId="6C6C22D9" w14:textId="77777777" w:rsidR="000D6882" w:rsidRPr="007C25F9" w:rsidRDefault="000D6882">
      <w:pPr>
        <w:spacing w:before="0"/>
        <w:rPr>
          <w:rFonts w:eastAsiaTheme="majorEastAsia"/>
          <w:b/>
          <w:bCs/>
          <w:sz w:val="32"/>
          <w:szCs w:val="32"/>
        </w:rPr>
      </w:pPr>
      <w:r w:rsidRPr="007C25F9">
        <w:br w:type="page"/>
      </w:r>
    </w:p>
    <w:p w14:paraId="0B81D5F9" w14:textId="77777777" w:rsidR="000D6882" w:rsidRPr="007C25F9" w:rsidRDefault="000D6882" w:rsidP="00A42D0A">
      <w:pPr>
        <w:pStyle w:val="Heading3"/>
      </w:pPr>
      <w:r w:rsidRPr="007C25F9">
        <w:lastRenderedPageBreak/>
        <w:t>Section 4. Summary of Performance on Measurable Pupil Outcomes</w:t>
      </w:r>
    </w:p>
    <w:p w14:paraId="35EB02EA" w14:textId="77777777" w:rsidR="000D6882" w:rsidRPr="00EA4CF5" w:rsidRDefault="000D6882" w:rsidP="00EA4CF5">
      <w:pPr>
        <w:numPr>
          <w:ilvl w:val="0"/>
          <w:numId w:val="14"/>
        </w:numPr>
        <w:ind w:left="0"/>
        <w:rPr>
          <w:b/>
          <w:bCs/>
        </w:rPr>
      </w:pPr>
      <w:r w:rsidRPr="00EA4CF5">
        <w:rPr>
          <w:b/>
          <w:bCs/>
        </w:rPr>
        <w:t>Identify the Measurable Pupil Outcomes in Element 2 of the charter petition. Summarize the performance for each outcome.</w:t>
      </w:r>
    </w:p>
    <w:p w14:paraId="2A870CB1" w14:textId="77777777" w:rsidR="003241CA" w:rsidRDefault="000D6882" w:rsidP="0003147F">
      <w:pPr>
        <w:rPr>
          <w:rFonts w:cs="Arial"/>
          <w:noProof/>
        </w:rPr>
      </w:pPr>
      <w:r w:rsidRPr="00DF6992">
        <w:rPr>
          <w:rFonts w:cs="Arial"/>
          <w:noProof/>
        </w:rPr>
        <w:t>Measurable Pupil Outcomes are assessed through a range of benchmark assessments that adhere to state and federal standards, including the CA CCSS. These assessments will reflect the proficiency criteria mandated by the CAASPP, the California Science Test (CAST), and the California Alternative Assessment (CAA).</w:t>
      </w:r>
    </w:p>
    <w:p w14:paraId="04A195BA" w14:textId="77777777" w:rsidR="003241CA" w:rsidRDefault="000D6882" w:rsidP="0003147F">
      <w:pPr>
        <w:rPr>
          <w:rFonts w:cs="Arial"/>
          <w:noProof/>
        </w:rPr>
      </w:pPr>
      <w:r w:rsidRPr="00DF6992">
        <w:rPr>
          <w:rFonts w:cs="Arial"/>
          <w:noProof/>
        </w:rPr>
        <w:t>These assessments include, but are not limited to:</w:t>
      </w:r>
    </w:p>
    <w:p w14:paraId="571CF9BB" w14:textId="77777777" w:rsidR="003241CA" w:rsidRDefault="000D6882" w:rsidP="0003147F">
      <w:pPr>
        <w:rPr>
          <w:rFonts w:cs="Arial"/>
          <w:noProof/>
        </w:rPr>
      </w:pPr>
      <w:r w:rsidRPr="00DF6992">
        <w:rPr>
          <w:rFonts w:cs="Arial"/>
          <w:noProof/>
        </w:rPr>
        <w:t>Goal: English Learners will progress at least one level on the ELPAC each year. Update: MSA-SA’s 2025 EL Performance Indicator (ELPI) level increased from the red band to the yellow band at 43.4% vs. 44.3% in SAUSD with a increase of 6.4% vs.  46.4% in State with a maintain of 0.7%.</w:t>
      </w:r>
    </w:p>
    <w:p w14:paraId="15E58C96" w14:textId="77777777" w:rsidR="003241CA" w:rsidRDefault="000D6882" w:rsidP="0003147F">
      <w:pPr>
        <w:rPr>
          <w:rFonts w:cs="Arial"/>
          <w:noProof/>
        </w:rPr>
      </w:pPr>
      <w:r w:rsidRPr="00DF6992">
        <w:rPr>
          <w:rFonts w:cs="Arial"/>
          <w:noProof/>
        </w:rPr>
        <w:t>Goal: Special education students will exhibit appropriate progress  towards the goals outlined in their Individualized Education Programs (IEPs) annually.  Update: Special education case managers and providers have established internal mechanisms to monitor goal advancement on a weekly basis. This data is utilized in generating goal progress reports sent to parents at least three times per year.</w:t>
      </w:r>
    </w:p>
    <w:p w14:paraId="77AF1D80" w14:textId="77777777" w:rsidR="003241CA" w:rsidRDefault="000D6882" w:rsidP="0003147F">
      <w:pPr>
        <w:rPr>
          <w:rFonts w:cs="Arial"/>
          <w:noProof/>
        </w:rPr>
      </w:pPr>
      <w:r w:rsidRPr="00DF6992">
        <w:rPr>
          <w:rFonts w:cs="Arial"/>
          <w:noProof/>
        </w:rPr>
        <w:t>ELA: Students With Disabilities exhibited an increase  from the 23/24 school year from 18.36% to 20.83%. Math: Students With Disabilities also exhibited a decline in Math from 18.37% in the 23/24 school year, to 18.75% in the 24/25 school year.</w:t>
      </w:r>
    </w:p>
    <w:p w14:paraId="399BD87F" w14:textId="77777777" w:rsidR="003241CA" w:rsidRDefault="000D6882" w:rsidP="0003147F">
      <w:pPr>
        <w:rPr>
          <w:rFonts w:cs="Arial"/>
          <w:noProof/>
        </w:rPr>
      </w:pPr>
      <w:r w:rsidRPr="00DF6992">
        <w:rPr>
          <w:rFonts w:cs="Arial"/>
          <w:noProof/>
        </w:rPr>
        <w:t>Goal: MSA-Santa Ana will maintain at least 95% Average Daily Attendance. (Source: CALPADS, CDE DataQuest) Update: MSA-SA’s P2 ADA is 94.74% in 2024-25 2024-25 Chronic Absenteeism rate for MSA-SA is 15.1% vs 15.4% in SAUSD vs 17.1% in State</w:t>
      </w:r>
    </w:p>
    <w:p w14:paraId="13DB8A07" w14:textId="32D7D4F0" w:rsidR="004D1771" w:rsidRDefault="000D6882" w:rsidP="0003147F">
      <w:pPr>
        <w:rPr>
          <w:rFonts w:cs="Arial"/>
          <w:noProof/>
        </w:rPr>
      </w:pPr>
      <w:r w:rsidRPr="00DF6992">
        <w:rPr>
          <w:rFonts w:cs="Arial"/>
          <w:noProof/>
        </w:rPr>
        <w:t>Goal: Students will demonstrate a mastery of grade-level standards and designated outcome goals in the areas of English Language Arts, Mathematics, Science, Social Science/History. (Source: CALPADS, CDE DataQuest) Update: Percentage of cohort graduates meeting UC/CSU requirements is 83.3% Percentage of cohort students who earned prepared on the CCI is 81.6% 2022-25 4-year Cohort Graduation rate for MSA-SA is 94.7% vs 91.7% in SAUSD vs 87.5% in State Class of 2023 College Going rate for MSA-SA is 83.9%</w:t>
      </w:r>
      <w:r w:rsidR="004D1771">
        <w:rPr>
          <w:rFonts w:cs="Arial"/>
          <w:noProof/>
        </w:rPr>
        <w:t>.</w:t>
      </w:r>
    </w:p>
    <w:p w14:paraId="25D9E2A0" w14:textId="2A789754" w:rsidR="000D6882" w:rsidRPr="007C25F9" w:rsidRDefault="004D1771" w:rsidP="004D1771">
      <w:pPr>
        <w:spacing w:before="0"/>
        <w:rPr>
          <w:rFonts w:cs="Arial"/>
          <w:noProof/>
        </w:rPr>
      </w:pPr>
      <w:r>
        <w:rPr>
          <w:rFonts w:cs="Arial"/>
          <w:noProof/>
        </w:rPr>
        <w:br w:type="page"/>
      </w:r>
    </w:p>
    <w:p w14:paraId="684AD8CD" w14:textId="77777777" w:rsidR="000D6882" w:rsidRPr="007C25F9" w:rsidRDefault="000D6882" w:rsidP="00A42D0A">
      <w:pPr>
        <w:pStyle w:val="Heading3"/>
      </w:pPr>
      <w:r w:rsidRPr="007C25F9">
        <w:lastRenderedPageBreak/>
        <w:t>Section 5. Local Control and Accountability Plan Progress</w:t>
      </w:r>
    </w:p>
    <w:p w14:paraId="4063D340" w14:textId="77777777" w:rsidR="000D6882" w:rsidRPr="00EA4CF5" w:rsidRDefault="000D6882"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3CDF59A2" w14:textId="77777777" w:rsidR="003241CA" w:rsidRDefault="000D6882" w:rsidP="0003147F">
      <w:pPr>
        <w:rPr>
          <w:rFonts w:cs="Arial"/>
          <w:noProof/>
        </w:rPr>
      </w:pPr>
      <w:r w:rsidRPr="00DF6992">
        <w:rPr>
          <w:rFonts w:cs="Arial"/>
          <w:noProof/>
        </w:rPr>
        <w:t>According to the California dashboard, we continue to have a very low suspension rate, which we attribute to our Positive Behavior Interventions and Supports (PBIS). We have embedded Positive Behavior Interventions and Supports (PBIS) in our school system to ensure that our Tier I interventions are effective and create a positive, safe, and enriching school environment.</w:t>
      </w:r>
    </w:p>
    <w:p w14:paraId="0753AEBB" w14:textId="77777777" w:rsidR="003241CA" w:rsidRDefault="000D6882" w:rsidP="0003147F">
      <w:pPr>
        <w:rPr>
          <w:rFonts w:cs="Arial"/>
          <w:noProof/>
        </w:rPr>
      </w:pPr>
      <w:r w:rsidRPr="00DF6992">
        <w:rPr>
          <w:rFonts w:cs="Arial"/>
          <w:noProof/>
        </w:rPr>
        <w:t>We attribute our graduation rate to high parental involvement through Parent College, our Parent Advisory Committee, the English Learner Advisory Committee (ELAC), and parent workshops. All students have a four-year plan and this plan is reviewed once a year with our college counselor.</w:t>
      </w:r>
    </w:p>
    <w:p w14:paraId="5BBD86B6" w14:textId="77777777" w:rsidR="003241CA" w:rsidRDefault="000D6882" w:rsidP="0003147F">
      <w:pPr>
        <w:rPr>
          <w:rFonts w:cs="Arial"/>
          <w:noProof/>
        </w:rPr>
      </w:pPr>
      <w:r w:rsidRPr="00DF6992">
        <w:rPr>
          <w:rFonts w:cs="Arial"/>
          <w:noProof/>
        </w:rPr>
        <w:t>MSA-SA continues to have a high acceptance rate to four-year universities. Our seniors gain admission to a variety of colleges across the nation (e.g., UC Berkeley, UCI, Cornell, USC, CSUF, etc.).</w:t>
      </w:r>
    </w:p>
    <w:p w14:paraId="2DA6C73C" w14:textId="77777777" w:rsidR="003241CA" w:rsidRDefault="000D6882" w:rsidP="0003147F">
      <w:pPr>
        <w:rPr>
          <w:rFonts w:cs="Arial"/>
          <w:noProof/>
        </w:rPr>
      </w:pPr>
      <w:r w:rsidRPr="00DF6992">
        <w:rPr>
          <w:rFonts w:cs="Arial"/>
          <w:noProof/>
        </w:rPr>
        <w:t>Our classrooms offer high-quality instruction, and we continue to develop targeted intervention groups that are both academically and behaviorally appropriate to address the specific needs of our students.</w:t>
      </w:r>
    </w:p>
    <w:p w14:paraId="6B1CD4DF" w14:textId="77777777" w:rsidR="003241CA" w:rsidRDefault="000D6882" w:rsidP="0003147F">
      <w:pPr>
        <w:rPr>
          <w:rFonts w:cs="Arial"/>
          <w:noProof/>
        </w:rPr>
      </w:pPr>
      <w:r w:rsidRPr="00DF6992">
        <w:rPr>
          <w:rFonts w:cs="Arial"/>
          <w:noProof/>
        </w:rPr>
        <w:t>Continued Dual Enrollment Program with Santa Ana College, including holding some classes on our campus</w:t>
      </w:r>
    </w:p>
    <w:p w14:paraId="58FE8EC7" w14:textId="77777777" w:rsidR="003241CA" w:rsidRDefault="000D6882" w:rsidP="0003147F">
      <w:pPr>
        <w:rPr>
          <w:rFonts w:cs="Arial"/>
          <w:noProof/>
        </w:rPr>
      </w:pPr>
      <w:r w:rsidRPr="00DF6992">
        <w:rPr>
          <w:rFonts w:cs="Arial"/>
          <w:noProof/>
        </w:rPr>
        <w:t>Improved Student engagement through the implementation of PBIS practices.</w:t>
      </w:r>
    </w:p>
    <w:p w14:paraId="25990343" w14:textId="77777777" w:rsidR="003241CA" w:rsidRDefault="000D6882" w:rsidP="0003147F">
      <w:pPr>
        <w:rPr>
          <w:rFonts w:cs="Arial"/>
          <w:noProof/>
        </w:rPr>
      </w:pPr>
      <w:r w:rsidRPr="00DF6992">
        <w:rPr>
          <w:rFonts w:cs="Arial"/>
          <w:noProof/>
        </w:rPr>
        <w:t>Increased effectiveness of small group interventions with stronger program offerings before school, after school, and during Saturday School.</w:t>
      </w:r>
    </w:p>
    <w:p w14:paraId="43FA0372" w14:textId="77777777" w:rsidR="003241CA" w:rsidRDefault="000D6882" w:rsidP="0003147F">
      <w:pPr>
        <w:rPr>
          <w:rFonts w:cs="Arial"/>
          <w:noProof/>
        </w:rPr>
      </w:pPr>
      <w:r w:rsidRPr="00DF6992">
        <w:rPr>
          <w:rFonts w:cs="Arial"/>
          <w:noProof/>
        </w:rPr>
        <w:t>Provide a summary of the School’s LCAP mid-year update that describes what the School is doing to increase community input.</w:t>
      </w:r>
    </w:p>
    <w:p w14:paraId="6C6B94A4" w14:textId="77777777" w:rsidR="003241CA" w:rsidRDefault="000D6882" w:rsidP="0003147F">
      <w:pPr>
        <w:rPr>
          <w:rFonts w:cs="Arial"/>
          <w:noProof/>
        </w:rPr>
      </w:pPr>
      <w:r w:rsidRPr="00DF6992">
        <w:rPr>
          <w:rFonts w:cs="Arial"/>
          <w:noProof/>
        </w:rPr>
        <w:t>All educational partners are invited to be involved in the school review process and improvement including the development of our annual LCAP. Information/input sessions include Parent Task Force (PTF) meetings, Community Advisory Committee (CAC) meetings, English Learner Advisory Committee (ELAC) meetings, Coffee with the Principal meetings, Board of Directors meetings, Principal meetings, and staff meetings. In addition, MSA-SA conducts surveys for all educational partners.</w:t>
      </w:r>
    </w:p>
    <w:p w14:paraId="25CB0461" w14:textId="77777777" w:rsidR="003241CA" w:rsidRDefault="000D6882" w:rsidP="0003147F">
      <w:pPr>
        <w:rPr>
          <w:rFonts w:cs="Arial"/>
          <w:noProof/>
        </w:rPr>
      </w:pPr>
      <w:r w:rsidRPr="00DF6992">
        <w:rPr>
          <w:rFonts w:cs="Arial"/>
          <w:noProof/>
        </w:rPr>
        <w:t>MSA-SA has held/will hold its periodic meetings this year to gather input from our educational partners. These include four PAC/PTF meetings, four SSC meetings, four ELAC meetings, and at least five parent activities/events, including two Coffee with the Principal meetings, weekly staff meetings, and other stakeholder meetings.</w:t>
      </w:r>
    </w:p>
    <w:p w14:paraId="7FCA0F28" w14:textId="77777777" w:rsidR="003241CA" w:rsidRDefault="000D6882" w:rsidP="0003147F">
      <w:pPr>
        <w:rPr>
          <w:rFonts w:cs="Arial"/>
          <w:noProof/>
        </w:rPr>
      </w:pPr>
      <w:r w:rsidRPr="00DF6992">
        <w:rPr>
          <w:rFonts w:cs="Arial"/>
          <w:noProof/>
        </w:rPr>
        <w:lastRenderedPageBreak/>
        <w:t>Some of the updates include:</w:t>
      </w:r>
    </w:p>
    <w:p w14:paraId="07574395" w14:textId="5D479E94" w:rsidR="003241CA" w:rsidRPr="003241CA" w:rsidRDefault="000D6882" w:rsidP="003241CA">
      <w:pPr>
        <w:pStyle w:val="ListParagraph"/>
        <w:numPr>
          <w:ilvl w:val="0"/>
          <w:numId w:val="24"/>
        </w:numPr>
        <w:rPr>
          <w:rFonts w:cs="Arial"/>
          <w:noProof/>
        </w:rPr>
      </w:pPr>
      <w:r w:rsidRPr="003241CA">
        <w:rPr>
          <w:rFonts w:cs="Arial"/>
          <w:noProof/>
        </w:rPr>
        <w:t>Improvements in designated/integrated English Learner services</w:t>
      </w:r>
    </w:p>
    <w:p w14:paraId="01995D09" w14:textId="28360B94" w:rsidR="003241CA" w:rsidRPr="003241CA" w:rsidRDefault="000D6882" w:rsidP="003241CA">
      <w:pPr>
        <w:pStyle w:val="ListParagraph"/>
        <w:numPr>
          <w:ilvl w:val="0"/>
          <w:numId w:val="24"/>
        </w:numPr>
        <w:rPr>
          <w:rFonts w:cs="Arial"/>
          <w:noProof/>
        </w:rPr>
      </w:pPr>
      <w:r w:rsidRPr="003241CA">
        <w:rPr>
          <w:rFonts w:cs="Arial"/>
          <w:noProof/>
        </w:rPr>
        <w:t>Expanding before and after school clubs and tutoring, Morning Interventions, Tutoring Saturday school, and summer school opportunities</w:t>
      </w:r>
    </w:p>
    <w:p w14:paraId="059CEC1F" w14:textId="54647D49" w:rsidR="003241CA" w:rsidRPr="003241CA" w:rsidRDefault="000D6882" w:rsidP="003241CA">
      <w:pPr>
        <w:pStyle w:val="ListParagraph"/>
        <w:numPr>
          <w:ilvl w:val="0"/>
          <w:numId w:val="24"/>
        </w:numPr>
        <w:rPr>
          <w:rFonts w:cs="Arial"/>
          <w:noProof/>
        </w:rPr>
      </w:pPr>
      <w:r w:rsidRPr="003241CA">
        <w:rPr>
          <w:rFonts w:cs="Arial"/>
          <w:noProof/>
        </w:rPr>
        <w:t>Providing counseling and behavior support services to our students</w:t>
      </w:r>
    </w:p>
    <w:p w14:paraId="50AC04C2" w14:textId="32B8ED46" w:rsidR="000D6882" w:rsidRPr="007C25F9" w:rsidRDefault="000D6882" w:rsidP="003241CA">
      <w:pPr>
        <w:pStyle w:val="ListParagraph"/>
        <w:numPr>
          <w:ilvl w:val="0"/>
          <w:numId w:val="24"/>
        </w:numPr>
      </w:pPr>
      <w:r w:rsidRPr="003241CA">
        <w:rPr>
          <w:rFonts w:cs="Arial"/>
          <w:noProof/>
        </w:rPr>
        <w:t>Expanding STEAM-based programs and activities.</w:t>
      </w:r>
    </w:p>
    <w:p w14:paraId="723F5D64" w14:textId="77777777" w:rsidR="000D6882" w:rsidRPr="00EA4CF5" w:rsidRDefault="000D6882"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13F8E897" w14:textId="77777777" w:rsidR="003241CA" w:rsidRDefault="000D6882" w:rsidP="0003147F">
      <w:pPr>
        <w:rPr>
          <w:rFonts w:cs="Arial"/>
          <w:noProof/>
        </w:rPr>
      </w:pPr>
      <w:r w:rsidRPr="00DF6992">
        <w:rPr>
          <w:rFonts w:cs="Arial"/>
          <w:noProof/>
        </w:rPr>
        <w:t>All educational partners are invited to be involved in the school review process and improvement, including the development of our annual LCAP. Information/input sessions include Parent Task Force (PTF) meetings, Community Advisory Committee (CAC) meetings, English Learner Advisory Committee (ELAC) meetings, Coffee with the Principal meetings, Board of Directors meetings, Principal meetings, and staff meetings. In addition, MSA-SA conducts surveys for all educational partners where the data is used in informing all aspects of school life.</w:t>
      </w:r>
    </w:p>
    <w:p w14:paraId="266FC3F9" w14:textId="77777777" w:rsidR="003241CA" w:rsidRDefault="000D6882" w:rsidP="0003147F">
      <w:pPr>
        <w:rPr>
          <w:rFonts w:cs="Arial"/>
          <w:noProof/>
        </w:rPr>
      </w:pPr>
      <w:r w:rsidRPr="00DF6992">
        <w:rPr>
          <w:rFonts w:cs="Arial"/>
          <w:noProof/>
        </w:rPr>
        <w:t>MSA-SA has held/will hold its periodic meetings this year to gather input from our educational partners. These include four PAC/PTF meetings, four CAC meetings, four ELAC meetings, and at least five parent activities/events, including weekly Coffee with the Principal meetings, weekly staff meetings, and other stakeholder meetings.</w:t>
      </w:r>
    </w:p>
    <w:p w14:paraId="3CA4215E" w14:textId="77777777" w:rsidR="003241CA" w:rsidRDefault="000D6882" w:rsidP="0003147F">
      <w:pPr>
        <w:rPr>
          <w:rFonts w:cs="Arial"/>
          <w:noProof/>
        </w:rPr>
      </w:pPr>
      <w:r w:rsidRPr="00DF6992">
        <w:rPr>
          <w:rFonts w:cs="Arial"/>
          <w:noProof/>
        </w:rPr>
        <w:t>Some of the updates include:</w:t>
      </w:r>
    </w:p>
    <w:p w14:paraId="547A3DCB" w14:textId="77777777" w:rsidR="003241CA" w:rsidRPr="003241CA" w:rsidRDefault="000D6882" w:rsidP="003241CA">
      <w:pPr>
        <w:pStyle w:val="ListParagraph"/>
        <w:numPr>
          <w:ilvl w:val="0"/>
          <w:numId w:val="25"/>
        </w:numPr>
        <w:rPr>
          <w:rFonts w:cs="Arial"/>
          <w:noProof/>
        </w:rPr>
      </w:pPr>
      <w:r w:rsidRPr="003241CA">
        <w:rPr>
          <w:rFonts w:cs="Arial"/>
          <w:noProof/>
        </w:rPr>
        <w:t xml:space="preserve">Improvements in designated/integrated English Learner services </w:t>
      </w:r>
    </w:p>
    <w:p w14:paraId="2D9C9982" w14:textId="77777777" w:rsidR="003241CA" w:rsidRPr="003241CA" w:rsidRDefault="000D6882" w:rsidP="003241CA">
      <w:pPr>
        <w:pStyle w:val="ListParagraph"/>
        <w:numPr>
          <w:ilvl w:val="0"/>
          <w:numId w:val="25"/>
        </w:numPr>
        <w:rPr>
          <w:rFonts w:cs="Arial"/>
          <w:noProof/>
        </w:rPr>
      </w:pPr>
      <w:r w:rsidRPr="003241CA">
        <w:rPr>
          <w:rFonts w:cs="Arial"/>
          <w:noProof/>
        </w:rPr>
        <w:t xml:space="preserve">Expanding before and after school clubs and tutoring, morning Interventions, tutoring,  Saturday school, and summer school opportunities </w:t>
      </w:r>
    </w:p>
    <w:p w14:paraId="1DBDECC4" w14:textId="77777777" w:rsidR="003241CA" w:rsidRPr="003241CA" w:rsidRDefault="000D6882" w:rsidP="003241CA">
      <w:pPr>
        <w:pStyle w:val="ListParagraph"/>
        <w:numPr>
          <w:ilvl w:val="0"/>
          <w:numId w:val="25"/>
        </w:numPr>
        <w:rPr>
          <w:rFonts w:cs="Arial"/>
          <w:noProof/>
        </w:rPr>
      </w:pPr>
      <w:r w:rsidRPr="003241CA">
        <w:rPr>
          <w:rFonts w:cs="Arial"/>
          <w:noProof/>
        </w:rPr>
        <w:t>Providing counseling and behavior support services to our students</w:t>
      </w:r>
    </w:p>
    <w:p w14:paraId="03EEBA25" w14:textId="1D1730F5" w:rsidR="000D6882" w:rsidRPr="003241CA" w:rsidRDefault="000D6882" w:rsidP="003241CA">
      <w:pPr>
        <w:pStyle w:val="ListParagraph"/>
        <w:numPr>
          <w:ilvl w:val="0"/>
          <w:numId w:val="25"/>
        </w:numPr>
        <w:rPr>
          <w:rFonts w:cs="Arial"/>
        </w:rPr>
      </w:pPr>
      <w:r w:rsidRPr="003241CA">
        <w:rPr>
          <w:rFonts w:cs="Arial"/>
          <w:noProof/>
        </w:rPr>
        <w:t>Expanding STEAM-based programs and activities.</w:t>
      </w:r>
    </w:p>
    <w:p w14:paraId="7867D7CF" w14:textId="77777777" w:rsidR="000D6882" w:rsidRPr="007C25F9" w:rsidRDefault="000D6882">
      <w:pPr>
        <w:spacing w:before="0"/>
        <w:rPr>
          <w:rFonts w:eastAsiaTheme="majorEastAsia"/>
          <w:b/>
          <w:bCs/>
          <w:sz w:val="32"/>
          <w:szCs w:val="32"/>
        </w:rPr>
      </w:pPr>
      <w:r w:rsidRPr="007C25F9">
        <w:br w:type="page"/>
      </w:r>
    </w:p>
    <w:p w14:paraId="42CF0D25" w14:textId="77777777" w:rsidR="000D6882" w:rsidRPr="007C25F9" w:rsidRDefault="000D6882" w:rsidP="00A42D0A">
      <w:pPr>
        <w:pStyle w:val="Heading3"/>
      </w:pPr>
      <w:r w:rsidRPr="007C25F9">
        <w:lastRenderedPageBreak/>
        <w:t>Section 6. Differentiated Assistance</w:t>
      </w:r>
    </w:p>
    <w:p w14:paraId="1C38227B" w14:textId="77777777" w:rsidR="000D6882" w:rsidRPr="00EA4CF5" w:rsidRDefault="000D6882"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308F7A96" w14:textId="77777777" w:rsidR="000D6882" w:rsidRDefault="000D6882" w:rsidP="00E57C07">
      <w:pPr>
        <w:rPr>
          <w:noProof/>
        </w:rPr>
      </w:pPr>
      <w:r w:rsidRPr="00DF6992">
        <w:rPr>
          <w:noProof/>
        </w:rPr>
        <w:t>No</w:t>
      </w:r>
    </w:p>
    <w:p w14:paraId="0B5EA549" w14:textId="77777777" w:rsidR="000D6882" w:rsidRPr="003735D5" w:rsidRDefault="000D6882"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48F79E5C" w14:textId="77777777" w:rsidR="000D6882" w:rsidRPr="007C25F9" w:rsidRDefault="000D6882" w:rsidP="00D46026">
      <w:r w:rsidRPr="00DF6992">
        <w:rPr>
          <w:noProof/>
        </w:rPr>
        <w:t>[No Response]</w:t>
      </w:r>
    </w:p>
    <w:p w14:paraId="5E831C24" w14:textId="77777777" w:rsidR="000D6882" w:rsidRPr="003735D5" w:rsidRDefault="000D6882" w:rsidP="003735D5">
      <w:pPr>
        <w:numPr>
          <w:ilvl w:val="0"/>
          <w:numId w:val="16"/>
        </w:numPr>
        <w:ind w:left="0"/>
        <w:rPr>
          <w:b/>
          <w:bCs/>
        </w:rPr>
      </w:pPr>
      <w:r w:rsidRPr="003735D5">
        <w:rPr>
          <w:b/>
          <w:bCs/>
        </w:rPr>
        <w:t>Identify the support provider the charter school will be working with for technical assistance with DA.</w:t>
      </w:r>
    </w:p>
    <w:p w14:paraId="66DB806B" w14:textId="77777777" w:rsidR="000D6882" w:rsidRPr="007C25F9" w:rsidRDefault="000D6882" w:rsidP="00D46026">
      <w:r w:rsidRPr="00DF6992">
        <w:rPr>
          <w:noProof/>
        </w:rPr>
        <w:t>[No Response]</w:t>
      </w:r>
    </w:p>
    <w:p w14:paraId="0DDA85EE" w14:textId="77777777" w:rsidR="000D6882" w:rsidRPr="003735D5" w:rsidRDefault="000D6882"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1350B502" w14:textId="77777777" w:rsidR="000D6882" w:rsidRPr="007C25F9" w:rsidRDefault="000D6882" w:rsidP="00D46026">
      <w:r w:rsidRPr="00DF6992">
        <w:rPr>
          <w:noProof/>
        </w:rPr>
        <w:t>[No Response]</w:t>
      </w:r>
    </w:p>
    <w:p w14:paraId="1A3CD463" w14:textId="77777777" w:rsidR="000D6882" w:rsidRPr="007C25F9" w:rsidRDefault="000D6882">
      <w:pPr>
        <w:spacing w:before="0"/>
        <w:rPr>
          <w:rFonts w:eastAsiaTheme="majorEastAsia"/>
          <w:b/>
          <w:bCs/>
          <w:sz w:val="32"/>
          <w:szCs w:val="32"/>
        </w:rPr>
      </w:pPr>
      <w:r w:rsidRPr="007C25F9">
        <w:br w:type="page"/>
      </w:r>
    </w:p>
    <w:p w14:paraId="2AAC9875" w14:textId="77777777" w:rsidR="000D6882" w:rsidRPr="007C25F9" w:rsidRDefault="000D6882" w:rsidP="00A42D0A">
      <w:pPr>
        <w:pStyle w:val="Heading3"/>
      </w:pPr>
      <w:r w:rsidRPr="007C25F9">
        <w:lastRenderedPageBreak/>
        <w:t>Section 7. Acknowledgment, Certification, and Submission</w:t>
      </w:r>
    </w:p>
    <w:p w14:paraId="3A6186B6" w14:textId="77777777" w:rsidR="000D6882" w:rsidRPr="007C25F9" w:rsidRDefault="000D6882" w:rsidP="00B9677C">
      <w:r w:rsidRPr="007C25F9">
        <w:t>Initial each of the statements</w:t>
      </w:r>
      <w:r>
        <w:t xml:space="preserve"> below</w:t>
      </w:r>
      <w:r w:rsidRPr="007C25F9">
        <w:t xml:space="preserve"> to confirm that you have read and understand following:</w:t>
      </w:r>
    </w:p>
    <w:p w14:paraId="4A79D586" w14:textId="77777777" w:rsidR="000D6882" w:rsidRPr="007C25F9" w:rsidRDefault="000D6882" w:rsidP="00A42D0A">
      <w:pPr>
        <w:pStyle w:val="Heading4"/>
      </w:pPr>
      <w:r w:rsidRPr="007C25F9">
        <w:t>Acknowledgment</w:t>
      </w:r>
    </w:p>
    <w:p w14:paraId="3F01549D" w14:textId="77777777" w:rsidR="000D6882" w:rsidRPr="007C25F9" w:rsidRDefault="000D6882"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3117EA32" w14:textId="77777777" w:rsidR="000D6882" w:rsidRPr="007C25F9" w:rsidRDefault="000D6882" w:rsidP="00783ABE">
      <w:r w:rsidRPr="00DF6992">
        <w:rPr>
          <w:noProof/>
        </w:rPr>
        <w:t>SK</w:t>
      </w:r>
    </w:p>
    <w:p w14:paraId="7D804DDC" w14:textId="77777777" w:rsidR="000D6882" w:rsidRPr="007C25F9" w:rsidRDefault="000D6882" w:rsidP="00A42D0A">
      <w:pPr>
        <w:pStyle w:val="Heading4"/>
      </w:pPr>
      <w:r w:rsidRPr="007C25F9">
        <w:t>Certification</w:t>
      </w:r>
    </w:p>
    <w:p w14:paraId="3E37FEFD" w14:textId="77777777" w:rsidR="000D6882" w:rsidRPr="007C25F9" w:rsidRDefault="000D6882"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053DF260" w14:textId="77777777" w:rsidR="000D6882" w:rsidRPr="007C25F9" w:rsidRDefault="000D6882" w:rsidP="00783ABE">
      <w:r w:rsidRPr="00DF6992">
        <w:rPr>
          <w:noProof/>
        </w:rPr>
        <w:t>SK</w:t>
      </w:r>
    </w:p>
    <w:p w14:paraId="348804C6" w14:textId="77777777" w:rsidR="000D6882" w:rsidRPr="007C25F9" w:rsidRDefault="000D6882"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0D6882" w:rsidRPr="007C25F9" w14:paraId="61E00952" w14:textId="77777777" w:rsidTr="007929F6">
        <w:trPr>
          <w:cantSplit/>
          <w:tblHeader/>
        </w:trPr>
        <w:tc>
          <w:tcPr>
            <w:tcW w:w="4675" w:type="dxa"/>
            <w:shd w:val="clear" w:color="auto" w:fill="D9D9D9" w:themeFill="background1" w:themeFillShade="D9"/>
          </w:tcPr>
          <w:p w14:paraId="612BE6BC" w14:textId="77777777" w:rsidR="000D6882" w:rsidRPr="007C25F9" w:rsidRDefault="000D6882" w:rsidP="00D41927">
            <w:pPr>
              <w:rPr>
                <w:b/>
                <w:bCs/>
              </w:rPr>
            </w:pPr>
            <w:r w:rsidRPr="007C25F9">
              <w:rPr>
                <w:b/>
                <w:bCs/>
              </w:rPr>
              <w:t>Prompt</w:t>
            </w:r>
          </w:p>
        </w:tc>
        <w:tc>
          <w:tcPr>
            <w:tcW w:w="4675" w:type="dxa"/>
            <w:shd w:val="clear" w:color="auto" w:fill="D9D9D9" w:themeFill="background1" w:themeFillShade="D9"/>
          </w:tcPr>
          <w:p w14:paraId="6C3FAD16" w14:textId="77777777" w:rsidR="000D6882" w:rsidRPr="007C25F9" w:rsidRDefault="000D6882" w:rsidP="00D41927">
            <w:pPr>
              <w:rPr>
                <w:b/>
                <w:bCs/>
              </w:rPr>
            </w:pPr>
            <w:r w:rsidRPr="007C25F9">
              <w:rPr>
                <w:b/>
                <w:bCs/>
              </w:rPr>
              <w:t>Response</w:t>
            </w:r>
          </w:p>
        </w:tc>
      </w:tr>
      <w:tr w:rsidR="000D6882" w:rsidRPr="007C25F9" w14:paraId="0034E431" w14:textId="77777777" w:rsidTr="007929F6">
        <w:trPr>
          <w:cantSplit/>
          <w:tblHeader/>
        </w:trPr>
        <w:tc>
          <w:tcPr>
            <w:tcW w:w="4675" w:type="dxa"/>
          </w:tcPr>
          <w:p w14:paraId="6AD27105" w14:textId="77777777" w:rsidR="000D6882" w:rsidRPr="007C25F9" w:rsidRDefault="000D6882" w:rsidP="00D41927">
            <w:r w:rsidRPr="007C25F9">
              <w:t>Full Legal Name</w:t>
            </w:r>
          </w:p>
        </w:tc>
        <w:tc>
          <w:tcPr>
            <w:tcW w:w="4675" w:type="dxa"/>
          </w:tcPr>
          <w:p w14:paraId="2646ABAD" w14:textId="77777777" w:rsidR="000D6882" w:rsidRPr="007C25F9" w:rsidRDefault="000D6882" w:rsidP="00D41927">
            <w:r w:rsidRPr="00DF6992">
              <w:rPr>
                <w:noProof/>
              </w:rPr>
              <w:t>Steven Keskinturk</w:t>
            </w:r>
          </w:p>
        </w:tc>
      </w:tr>
      <w:tr w:rsidR="000D6882" w:rsidRPr="007C25F9" w14:paraId="78C1025B" w14:textId="77777777" w:rsidTr="007929F6">
        <w:trPr>
          <w:cantSplit/>
          <w:tblHeader/>
        </w:trPr>
        <w:tc>
          <w:tcPr>
            <w:tcW w:w="4675" w:type="dxa"/>
          </w:tcPr>
          <w:p w14:paraId="0822E533" w14:textId="77777777" w:rsidR="000D6882" w:rsidRPr="007C25F9" w:rsidRDefault="000D6882" w:rsidP="00D41927">
            <w:r w:rsidRPr="007C25F9">
              <w:t>Job Title</w:t>
            </w:r>
          </w:p>
        </w:tc>
        <w:tc>
          <w:tcPr>
            <w:tcW w:w="4675" w:type="dxa"/>
          </w:tcPr>
          <w:p w14:paraId="3DBF8E40" w14:textId="77777777" w:rsidR="000D6882" w:rsidRPr="007C25F9" w:rsidRDefault="000D6882" w:rsidP="00D41927">
            <w:r w:rsidRPr="00DF6992">
              <w:rPr>
                <w:noProof/>
              </w:rPr>
              <w:t>Principal</w:t>
            </w:r>
          </w:p>
        </w:tc>
      </w:tr>
      <w:tr w:rsidR="000D6882" w:rsidRPr="007C25F9" w14:paraId="21E8886A" w14:textId="77777777" w:rsidTr="007929F6">
        <w:trPr>
          <w:cantSplit/>
          <w:tblHeader/>
        </w:trPr>
        <w:tc>
          <w:tcPr>
            <w:tcW w:w="4675" w:type="dxa"/>
          </w:tcPr>
          <w:p w14:paraId="1F845B2A" w14:textId="77777777" w:rsidR="000D6882" w:rsidRPr="007C25F9" w:rsidRDefault="000D6882" w:rsidP="00D41927">
            <w:r w:rsidRPr="007C25F9">
              <w:t>Email Address</w:t>
            </w:r>
          </w:p>
        </w:tc>
        <w:tc>
          <w:tcPr>
            <w:tcW w:w="4675" w:type="dxa"/>
          </w:tcPr>
          <w:p w14:paraId="33AA28B5" w14:textId="77777777" w:rsidR="000D6882" w:rsidRPr="007C25F9" w:rsidRDefault="000D6882" w:rsidP="00D41927">
            <w:r w:rsidRPr="00DF6992">
              <w:rPr>
                <w:noProof/>
              </w:rPr>
              <w:t>skeskinturk@magnoliapublicschools.org</w:t>
            </w:r>
          </w:p>
        </w:tc>
      </w:tr>
      <w:tr w:rsidR="000D6882" w14:paraId="415F0605" w14:textId="77777777" w:rsidTr="007929F6">
        <w:trPr>
          <w:cantSplit/>
          <w:tblHeader/>
        </w:trPr>
        <w:tc>
          <w:tcPr>
            <w:tcW w:w="4675" w:type="dxa"/>
          </w:tcPr>
          <w:p w14:paraId="70C60A1F" w14:textId="77777777" w:rsidR="000D6882" w:rsidRPr="007C25F9" w:rsidRDefault="000D6882" w:rsidP="00D41927">
            <w:r w:rsidRPr="007C25F9">
              <w:t>Phone Number</w:t>
            </w:r>
          </w:p>
        </w:tc>
        <w:tc>
          <w:tcPr>
            <w:tcW w:w="4675" w:type="dxa"/>
          </w:tcPr>
          <w:p w14:paraId="787F2944" w14:textId="77777777" w:rsidR="000D6882" w:rsidRDefault="000D6882" w:rsidP="00D41927">
            <w:r w:rsidRPr="00DF6992">
              <w:rPr>
                <w:noProof/>
              </w:rPr>
              <w:t>714-479-0115</w:t>
            </w:r>
          </w:p>
        </w:tc>
      </w:tr>
    </w:tbl>
    <w:p w14:paraId="6A743714" w14:textId="77777777" w:rsidR="000D6882" w:rsidRPr="00E810BB" w:rsidRDefault="000D6882" w:rsidP="003241CA"/>
    <w:sectPr w:rsidR="000D6882" w:rsidRPr="00E810BB" w:rsidSect="000D6882">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AC03" w14:textId="77777777" w:rsidR="005752A3" w:rsidRDefault="005752A3" w:rsidP="002174BD">
      <w:pPr>
        <w:spacing w:after="0"/>
      </w:pPr>
      <w:r>
        <w:separator/>
      </w:r>
    </w:p>
  </w:endnote>
  <w:endnote w:type="continuationSeparator" w:id="0">
    <w:p w14:paraId="478274F2" w14:textId="77777777" w:rsidR="005752A3" w:rsidRDefault="005752A3"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0789" w14:textId="77777777" w:rsidR="005752A3" w:rsidRDefault="005752A3" w:rsidP="002174BD">
      <w:pPr>
        <w:spacing w:after="0"/>
      </w:pPr>
      <w:r>
        <w:separator/>
      </w:r>
    </w:p>
  </w:footnote>
  <w:footnote w:type="continuationSeparator" w:id="0">
    <w:p w14:paraId="087DCC18" w14:textId="77777777" w:rsidR="005752A3" w:rsidRDefault="005752A3"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396E" w14:textId="113C65BB" w:rsidR="000D6882" w:rsidRDefault="00B529A5" w:rsidP="00EA4CF5">
    <w:pPr>
      <w:pStyle w:val="Header"/>
      <w:jc w:val="right"/>
    </w:pPr>
    <w:r>
      <w:t>memo-lacb-csd-apr26item02</w:t>
    </w:r>
  </w:p>
  <w:p w14:paraId="0235E1E5" w14:textId="09E9547C" w:rsidR="000D6882" w:rsidRDefault="00B529A5" w:rsidP="00EA4CF5">
    <w:pPr>
      <w:pStyle w:val="Header"/>
      <w:jc w:val="right"/>
    </w:pPr>
    <w:r>
      <w:t>Attachment 9 – Magnolia Science Academy Santa Ana (Charter #1686)</w:t>
    </w:r>
  </w:p>
  <w:p w14:paraId="6827B2C1" w14:textId="77777777" w:rsidR="000D6882" w:rsidRPr="00D852E7" w:rsidRDefault="000D6882"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56AAE"/>
    <w:multiLevelType w:val="hybridMultilevel"/>
    <w:tmpl w:val="B6CE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7"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C60A12"/>
    <w:multiLevelType w:val="hybridMultilevel"/>
    <w:tmpl w:val="E89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9"/>
  </w:num>
  <w:num w:numId="2" w16cid:durableId="1828935111">
    <w:abstractNumId w:val="20"/>
  </w:num>
  <w:num w:numId="3" w16cid:durableId="1104766695">
    <w:abstractNumId w:val="2"/>
  </w:num>
  <w:num w:numId="4" w16cid:durableId="170995635">
    <w:abstractNumId w:val="0"/>
  </w:num>
  <w:num w:numId="5" w16cid:durableId="263461374">
    <w:abstractNumId w:val="4"/>
  </w:num>
  <w:num w:numId="6" w16cid:durableId="1051996253">
    <w:abstractNumId w:val="15"/>
  </w:num>
  <w:num w:numId="7" w16cid:durableId="1691372666">
    <w:abstractNumId w:val="24"/>
  </w:num>
  <w:num w:numId="8" w16cid:durableId="611593526">
    <w:abstractNumId w:val="10"/>
  </w:num>
  <w:num w:numId="9" w16cid:durableId="1976905465">
    <w:abstractNumId w:val="14"/>
  </w:num>
  <w:num w:numId="10" w16cid:durableId="2110344647">
    <w:abstractNumId w:val="1"/>
  </w:num>
  <w:num w:numId="11" w16cid:durableId="119694125">
    <w:abstractNumId w:val="11"/>
  </w:num>
  <w:num w:numId="12" w16cid:durableId="1247299716">
    <w:abstractNumId w:val="8"/>
  </w:num>
  <w:num w:numId="13" w16cid:durableId="130486120">
    <w:abstractNumId w:val="13"/>
  </w:num>
  <w:num w:numId="14" w16cid:durableId="1212644632">
    <w:abstractNumId w:val="21"/>
  </w:num>
  <w:num w:numId="15" w16cid:durableId="289017081">
    <w:abstractNumId w:val="12"/>
  </w:num>
  <w:num w:numId="16" w16cid:durableId="824856652">
    <w:abstractNumId w:val="23"/>
  </w:num>
  <w:num w:numId="17" w16cid:durableId="552617004">
    <w:abstractNumId w:val="6"/>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2"/>
  </w:num>
  <w:num w:numId="19" w16cid:durableId="1952129260">
    <w:abstractNumId w:val="16"/>
  </w:num>
  <w:num w:numId="20" w16cid:durableId="1554728750">
    <w:abstractNumId w:val="17"/>
  </w:num>
  <w:num w:numId="21" w16cid:durableId="1345664273">
    <w:abstractNumId w:val="19"/>
  </w:num>
  <w:num w:numId="22" w16cid:durableId="603391415">
    <w:abstractNumId w:val="5"/>
  </w:num>
  <w:num w:numId="23" w16cid:durableId="876770856">
    <w:abstractNumId w:val="7"/>
  </w:num>
  <w:num w:numId="24" w16cid:durableId="1794595448">
    <w:abstractNumId w:val="18"/>
  </w:num>
  <w:num w:numId="25" w16cid:durableId="1079136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D6882"/>
    <w:rsid w:val="000E067F"/>
    <w:rsid w:val="00104EE5"/>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A6AF3"/>
    <w:rsid w:val="002B6DCA"/>
    <w:rsid w:val="002E43F0"/>
    <w:rsid w:val="002F3887"/>
    <w:rsid w:val="003002B4"/>
    <w:rsid w:val="0031666F"/>
    <w:rsid w:val="003241CA"/>
    <w:rsid w:val="00330138"/>
    <w:rsid w:val="00334354"/>
    <w:rsid w:val="003418E1"/>
    <w:rsid w:val="003425F0"/>
    <w:rsid w:val="00342FE5"/>
    <w:rsid w:val="003735D5"/>
    <w:rsid w:val="003878C5"/>
    <w:rsid w:val="003B125B"/>
    <w:rsid w:val="003F24F5"/>
    <w:rsid w:val="0040704F"/>
    <w:rsid w:val="004235EF"/>
    <w:rsid w:val="0045774B"/>
    <w:rsid w:val="00484C51"/>
    <w:rsid w:val="0049151F"/>
    <w:rsid w:val="004926FC"/>
    <w:rsid w:val="004D1771"/>
    <w:rsid w:val="004D7A03"/>
    <w:rsid w:val="004E145F"/>
    <w:rsid w:val="004F2907"/>
    <w:rsid w:val="004F6124"/>
    <w:rsid w:val="004F75A9"/>
    <w:rsid w:val="00510405"/>
    <w:rsid w:val="00526D4F"/>
    <w:rsid w:val="005302B7"/>
    <w:rsid w:val="005315CB"/>
    <w:rsid w:val="005428AF"/>
    <w:rsid w:val="00570E5D"/>
    <w:rsid w:val="005710BF"/>
    <w:rsid w:val="005752A3"/>
    <w:rsid w:val="00577450"/>
    <w:rsid w:val="00580996"/>
    <w:rsid w:val="00582F1F"/>
    <w:rsid w:val="005A4D11"/>
    <w:rsid w:val="005A596B"/>
    <w:rsid w:val="005E1711"/>
    <w:rsid w:val="005E21DD"/>
    <w:rsid w:val="005F171A"/>
    <w:rsid w:val="005F6FE2"/>
    <w:rsid w:val="00617D8F"/>
    <w:rsid w:val="006758A6"/>
    <w:rsid w:val="006A5890"/>
    <w:rsid w:val="006C3EF7"/>
    <w:rsid w:val="006D2661"/>
    <w:rsid w:val="00700651"/>
    <w:rsid w:val="00723E11"/>
    <w:rsid w:val="007252DE"/>
    <w:rsid w:val="00757322"/>
    <w:rsid w:val="00765AEF"/>
    <w:rsid w:val="00783ABE"/>
    <w:rsid w:val="00791C13"/>
    <w:rsid w:val="007929F6"/>
    <w:rsid w:val="007A2AFF"/>
    <w:rsid w:val="007A747D"/>
    <w:rsid w:val="007B0294"/>
    <w:rsid w:val="007B23AC"/>
    <w:rsid w:val="007C25F9"/>
    <w:rsid w:val="007D02A9"/>
    <w:rsid w:val="007D6A6B"/>
    <w:rsid w:val="007E5BE2"/>
    <w:rsid w:val="007E7027"/>
    <w:rsid w:val="0081087F"/>
    <w:rsid w:val="00834891"/>
    <w:rsid w:val="0083596B"/>
    <w:rsid w:val="008676F5"/>
    <w:rsid w:val="00876ADB"/>
    <w:rsid w:val="008B72BC"/>
    <w:rsid w:val="008B759D"/>
    <w:rsid w:val="008C1CCA"/>
    <w:rsid w:val="008D6A61"/>
    <w:rsid w:val="009051A8"/>
    <w:rsid w:val="00927BE3"/>
    <w:rsid w:val="00936A50"/>
    <w:rsid w:val="00951441"/>
    <w:rsid w:val="00961A90"/>
    <w:rsid w:val="00966DD8"/>
    <w:rsid w:val="009767A1"/>
    <w:rsid w:val="009847B1"/>
    <w:rsid w:val="009853B6"/>
    <w:rsid w:val="009A4E4A"/>
    <w:rsid w:val="009B0CD2"/>
    <w:rsid w:val="009C5880"/>
    <w:rsid w:val="00A0719E"/>
    <w:rsid w:val="00A3600D"/>
    <w:rsid w:val="00A42D0A"/>
    <w:rsid w:val="00A45C62"/>
    <w:rsid w:val="00A579D8"/>
    <w:rsid w:val="00A971A6"/>
    <w:rsid w:val="00AB2A51"/>
    <w:rsid w:val="00AC0320"/>
    <w:rsid w:val="00AC2B91"/>
    <w:rsid w:val="00AC4AEF"/>
    <w:rsid w:val="00AE4773"/>
    <w:rsid w:val="00B4292B"/>
    <w:rsid w:val="00B529A5"/>
    <w:rsid w:val="00B63405"/>
    <w:rsid w:val="00B849EC"/>
    <w:rsid w:val="00B9677C"/>
    <w:rsid w:val="00B97A3C"/>
    <w:rsid w:val="00BC6BA7"/>
    <w:rsid w:val="00BD0CFD"/>
    <w:rsid w:val="00BE1ECA"/>
    <w:rsid w:val="00BE661E"/>
    <w:rsid w:val="00BF0851"/>
    <w:rsid w:val="00C025A1"/>
    <w:rsid w:val="00C235D2"/>
    <w:rsid w:val="00C2622E"/>
    <w:rsid w:val="00C31395"/>
    <w:rsid w:val="00C537DE"/>
    <w:rsid w:val="00CB3B9E"/>
    <w:rsid w:val="00CC6A9D"/>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12D4A"/>
    <w:rsid w:val="00E324EF"/>
    <w:rsid w:val="00E33535"/>
    <w:rsid w:val="00E47889"/>
    <w:rsid w:val="00E50B16"/>
    <w:rsid w:val="00E57C07"/>
    <w:rsid w:val="00E76516"/>
    <w:rsid w:val="00E810BB"/>
    <w:rsid w:val="00EA4CF5"/>
    <w:rsid w:val="00EB4763"/>
    <w:rsid w:val="00ED5A89"/>
    <w:rsid w:val="00EF054D"/>
    <w:rsid w:val="00EF0E1C"/>
    <w:rsid w:val="00F303BC"/>
    <w:rsid w:val="00F30E3C"/>
    <w:rsid w:val="00F35436"/>
    <w:rsid w:val="00F36F1F"/>
    <w:rsid w:val="00FD31AF"/>
    <w:rsid w:val="00FD65C3"/>
    <w:rsid w:val="00FD66F0"/>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CA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2535</Words>
  <Characters>15441</Characters>
  <DocSecurity>0</DocSecurity>
  <Lines>367</Lines>
  <Paragraphs>236</Paragraphs>
  <ScaleCrop>false</ScaleCrop>
  <HeadingPairs>
    <vt:vector size="2" baseType="variant">
      <vt:variant>
        <vt:lpstr>Title</vt:lpstr>
      </vt:variant>
      <vt:variant>
        <vt:i4>1</vt:i4>
      </vt:variant>
    </vt:vector>
  </HeadingPairs>
  <TitlesOfParts>
    <vt:vector size="1" baseType="lpstr">
      <vt:lpstr>April 2026 Memo LACB CSD Item 02 Attachment X - Information Memorandum (CA State Board of Education)</vt:lpstr>
    </vt:vector>
  </TitlesOfParts>
  <Company>CA State Board of Education</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9 - Information Memoranda (CA State Board of Education)</dc:title>
  <dc:subject>Magnolia Science Academy Santa Ana – Academic Memorandum Response.</dc:subject>
  <dc:creator/>
  <cp:keywords/>
  <dc:description/>
  <cp:lastModifiedBy/>
  <dcterms:created xsi:type="dcterms:W3CDTF">2026-03-10T22:42:00Z</dcterms:created>
  <dcterms:modified xsi:type="dcterms:W3CDTF">2026-04-08T20:24:00Z</dcterms:modified>
</cp:coreProperties>
</file>