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E74F0" w14:textId="77777777" w:rsidR="00057A96" w:rsidRPr="00753A60" w:rsidRDefault="00057A96" w:rsidP="00057A96">
      <w:pPr>
        <w:rPr>
          <w:rFonts w:cs="Arial"/>
        </w:rPr>
      </w:pPr>
      <w:bookmarkStart w:id="0" w:name="_GoBack"/>
      <w:bookmarkEnd w:id="0"/>
      <w:r w:rsidRPr="00753A60">
        <w:rPr>
          <w:rFonts w:cs="Arial"/>
        </w:rPr>
        <w:t>California Department of Education</w:t>
      </w:r>
    </w:p>
    <w:p w14:paraId="18691540" w14:textId="77777777" w:rsidR="00057A96" w:rsidRPr="00753A60" w:rsidRDefault="00057A96" w:rsidP="00057A96">
      <w:pPr>
        <w:rPr>
          <w:rFonts w:cs="Arial"/>
        </w:rPr>
      </w:pPr>
      <w:r w:rsidRPr="00753A60">
        <w:rPr>
          <w:rFonts w:cs="Arial"/>
        </w:rPr>
        <w:t>Executive Office</w:t>
      </w:r>
    </w:p>
    <w:p w14:paraId="1260E7AF" w14:textId="77777777" w:rsidR="00982A10" w:rsidRPr="00753A60" w:rsidRDefault="00057A96" w:rsidP="00982A10">
      <w:pPr>
        <w:rPr>
          <w:rFonts w:cs="Arial"/>
        </w:rPr>
      </w:pPr>
      <w:r w:rsidRPr="00753A60">
        <w:rPr>
          <w:rFonts w:cs="Arial"/>
        </w:rPr>
        <w:t>SBE-00</w:t>
      </w:r>
      <w:r w:rsidR="00BC376B" w:rsidRPr="00753A60">
        <w:rPr>
          <w:rFonts w:cs="Arial"/>
        </w:rPr>
        <w:t>2</w:t>
      </w:r>
      <w:r w:rsidRPr="00753A60">
        <w:rPr>
          <w:rFonts w:cs="Arial"/>
        </w:rPr>
        <w:t xml:space="preserve"> (REV. 1</w:t>
      </w:r>
      <w:r w:rsidR="000C139F" w:rsidRPr="00753A60">
        <w:rPr>
          <w:rFonts w:cs="Arial"/>
        </w:rPr>
        <w:t>1</w:t>
      </w:r>
      <w:r w:rsidRPr="00753A60">
        <w:rPr>
          <w:rFonts w:cs="Arial"/>
        </w:rPr>
        <w:t>/2017)</w:t>
      </w:r>
    </w:p>
    <w:p w14:paraId="2AA4D73A" w14:textId="4E4EE818" w:rsidR="00982A10" w:rsidRPr="00753A60" w:rsidRDefault="00982A10" w:rsidP="00271089">
      <w:pPr>
        <w:ind w:left="-360"/>
        <w:jc w:val="center"/>
        <w:rPr>
          <w:rFonts w:cs="Arial"/>
        </w:rPr>
      </w:pPr>
      <w:r w:rsidRPr="00753A60">
        <w:rPr>
          <w:rFonts w:cs="Arial"/>
        </w:rPr>
        <w:br w:type="column"/>
      </w:r>
      <w:bookmarkStart w:id="1" w:name="_Hlk24540750"/>
      <w:r w:rsidR="002A106A" w:rsidRPr="00753A60">
        <w:rPr>
          <w:rFonts w:cs="Arial"/>
        </w:rPr>
        <w:t>memo-imb</w:t>
      </w:r>
      <w:r w:rsidR="00512079" w:rsidRPr="00753A60">
        <w:rPr>
          <w:rFonts w:cs="Arial"/>
        </w:rPr>
        <w:t>-amard-</w:t>
      </w:r>
      <w:r w:rsidR="00312F55">
        <w:rPr>
          <w:rFonts w:cs="Arial"/>
        </w:rPr>
        <w:t>aug</w:t>
      </w:r>
      <w:r w:rsidR="00717F34" w:rsidRPr="00753A60">
        <w:rPr>
          <w:rFonts w:cs="Arial"/>
        </w:rPr>
        <w:t>20</w:t>
      </w:r>
      <w:r w:rsidR="000151F8" w:rsidRPr="00753A60">
        <w:rPr>
          <w:rFonts w:cs="Arial"/>
        </w:rPr>
        <w:t>item0</w:t>
      </w:r>
      <w:r w:rsidR="004B48AC" w:rsidRPr="00753A60">
        <w:rPr>
          <w:rFonts w:cs="Arial"/>
        </w:rPr>
        <w:t>1</w:t>
      </w:r>
      <w:bookmarkEnd w:id="1"/>
    </w:p>
    <w:p w14:paraId="10E19DD2" w14:textId="77777777" w:rsidR="00982A10" w:rsidRPr="00753A60" w:rsidRDefault="00982A10" w:rsidP="0033616F">
      <w:pPr>
        <w:pStyle w:val="Heading1"/>
        <w:spacing w:line="360" w:lineRule="auto"/>
        <w:rPr>
          <w:rFonts w:cs="Arial"/>
          <w:b w:val="0"/>
          <w:sz w:val="40"/>
          <w:szCs w:val="52"/>
        </w:rPr>
        <w:sectPr w:rsidR="00982A10" w:rsidRPr="00753A60" w:rsidSect="00312F55">
          <w:headerReference w:type="default" r:id="rId11"/>
          <w:headerReference w:type="first" r:id="rId12"/>
          <w:type w:val="continuous"/>
          <w:pgSz w:w="12240" w:h="15840"/>
          <w:pgMar w:top="720" w:right="1350" w:bottom="1440" w:left="1440" w:header="720" w:footer="720" w:gutter="0"/>
          <w:cols w:num="2" w:space="0" w:equalWidth="0">
            <w:col w:w="5418" w:space="0"/>
            <w:col w:w="4032"/>
          </w:cols>
          <w:titlePg/>
          <w:docGrid w:linePitch="326"/>
        </w:sectPr>
      </w:pPr>
    </w:p>
    <w:p w14:paraId="3A703B49" w14:textId="77777777" w:rsidR="00057A96" w:rsidRPr="00753A60" w:rsidRDefault="00BC376B" w:rsidP="0033616F">
      <w:pPr>
        <w:pStyle w:val="Heading1"/>
        <w:spacing w:line="360" w:lineRule="auto"/>
        <w:rPr>
          <w:rFonts w:cs="Arial"/>
          <w:b w:val="0"/>
          <w:sz w:val="40"/>
          <w:szCs w:val="52"/>
        </w:rPr>
      </w:pPr>
      <w:r w:rsidRPr="00753A60">
        <w:rPr>
          <w:rFonts w:cs="Arial"/>
          <w:sz w:val="40"/>
          <w:szCs w:val="52"/>
        </w:rPr>
        <w:t>MEMORANDUM</w:t>
      </w:r>
    </w:p>
    <w:p w14:paraId="0BB671AB" w14:textId="4045B54E" w:rsidR="00312F55" w:rsidRDefault="008F6CA0" w:rsidP="0047304C">
      <w:pPr>
        <w:pStyle w:val="MessageHeader"/>
        <w:rPr>
          <w:rFonts w:cs="Arial"/>
        </w:rPr>
      </w:pPr>
      <w:r w:rsidRPr="7C1535D5">
        <w:rPr>
          <w:b/>
        </w:rPr>
        <w:t>DATE:</w:t>
      </w:r>
      <w:r w:rsidR="74893A83" w:rsidRPr="7C1535D5">
        <w:rPr>
          <w:b/>
        </w:rPr>
        <w:t xml:space="preserve"> </w:t>
      </w:r>
      <w:r w:rsidRPr="0047304C">
        <w:tab/>
      </w:r>
      <w:r w:rsidR="00312F55" w:rsidRPr="006F1790">
        <w:rPr>
          <w:rFonts w:cs="Arial"/>
        </w:rPr>
        <w:t xml:space="preserve">August </w:t>
      </w:r>
      <w:r w:rsidR="006F1790" w:rsidRPr="006F1790">
        <w:rPr>
          <w:rFonts w:cs="Arial"/>
        </w:rPr>
        <w:t>10</w:t>
      </w:r>
      <w:r w:rsidR="00312F55" w:rsidRPr="006F1790">
        <w:rPr>
          <w:rFonts w:cs="Arial"/>
        </w:rPr>
        <w:t>, 2020</w:t>
      </w:r>
    </w:p>
    <w:p w14:paraId="3B0CAB41" w14:textId="713372F4" w:rsidR="00057A96" w:rsidRPr="0047304C" w:rsidRDefault="00057A96" w:rsidP="0047304C">
      <w:pPr>
        <w:pStyle w:val="MessageHeader"/>
      </w:pPr>
      <w:r w:rsidRPr="7C1535D5">
        <w:rPr>
          <w:b/>
        </w:rPr>
        <w:t>TO:</w:t>
      </w:r>
      <w:r w:rsidR="54249C42" w:rsidRPr="7C1535D5">
        <w:rPr>
          <w:b/>
        </w:rPr>
        <w:t xml:space="preserve"> </w:t>
      </w:r>
      <w:r w:rsidRPr="0047304C">
        <w:tab/>
        <w:t>MEMBERS, State Board of Education</w:t>
      </w:r>
    </w:p>
    <w:p w14:paraId="7012A511" w14:textId="1CF10ED0" w:rsidR="00057A96" w:rsidRPr="0047304C" w:rsidRDefault="00057A96" w:rsidP="0047304C">
      <w:pPr>
        <w:pStyle w:val="MessageHeader"/>
      </w:pPr>
      <w:r w:rsidRPr="7C1535D5">
        <w:rPr>
          <w:b/>
        </w:rPr>
        <w:t>FROM:</w:t>
      </w:r>
      <w:r w:rsidR="37E66C40" w:rsidRPr="7C1535D5">
        <w:rPr>
          <w:b/>
        </w:rPr>
        <w:t xml:space="preserve"> </w:t>
      </w:r>
      <w:r w:rsidR="00381535" w:rsidRPr="0047304C">
        <w:tab/>
        <w:t>TONY THURMOND</w:t>
      </w:r>
      <w:r w:rsidR="00C61F78" w:rsidRPr="0047304C">
        <w:t xml:space="preserve">, </w:t>
      </w:r>
      <w:r w:rsidRPr="0047304C">
        <w:t>State Superintendent of Public Instruction</w:t>
      </w:r>
    </w:p>
    <w:p w14:paraId="1C46C944" w14:textId="57C67A04" w:rsidR="00717F34" w:rsidRPr="002B032A" w:rsidRDefault="00057A96" w:rsidP="002B032A">
      <w:pPr>
        <w:pStyle w:val="MessageHeader"/>
        <w:rPr>
          <w:highlight w:val="yellow"/>
        </w:rPr>
      </w:pPr>
      <w:r w:rsidRPr="7C1535D5">
        <w:rPr>
          <w:b/>
        </w:rPr>
        <w:t>SUBJECT:</w:t>
      </w:r>
      <w:r w:rsidRPr="0047304C">
        <w:tab/>
      </w:r>
      <w:r w:rsidR="00312F55" w:rsidRPr="00CB1241">
        <w:rPr>
          <w:rFonts w:cs="Arial"/>
          <w:color w:val="000000"/>
          <w:shd w:val="clear" w:color="auto" w:fill="FFFFFF"/>
        </w:rPr>
        <w:t xml:space="preserve">Background </w:t>
      </w:r>
      <w:r w:rsidR="00312F55">
        <w:rPr>
          <w:rFonts w:cs="Arial"/>
          <w:color w:val="000000"/>
          <w:shd w:val="clear" w:color="auto" w:fill="FFFFFF"/>
        </w:rPr>
        <w:t>I</w:t>
      </w:r>
      <w:r w:rsidR="00312F55" w:rsidRPr="00CB1241">
        <w:rPr>
          <w:rFonts w:cs="Arial"/>
          <w:color w:val="000000"/>
          <w:shd w:val="clear" w:color="auto" w:fill="FFFFFF"/>
        </w:rPr>
        <w:t>nformation and</w:t>
      </w:r>
      <w:r w:rsidR="00312F55">
        <w:rPr>
          <w:rFonts w:cs="Arial"/>
          <w:color w:val="000000"/>
          <w:shd w:val="clear" w:color="auto" w:fill="FFFFFF"/>
        </w:rPr>
        <w:t xml:space="preserve"> I</w:t>
      </w:r>
      <w:r w:rsidR="00312F55" w:rsidRPr="00CB1241">
        <w:rPr>
          <w:rFonts w:cs="Arial"/>
          <w:color w:val="000000"/>
          <w:shd w:val="clear" w:color="auto" w:fill="FFFFFF"/>
        </w:rPr>
        <w:t>mplementation Plan for</w:t>
      </w:r>
      <w:r w:rsidR="00312F55">
        <w:rPr>
          <w:rFonts w:cs="Arial"/>
          <w:color w:val="000000"/>
          <w:shd w:val="clear" w:color="auto" w:fill="FFFFFF"/>
        </w:rPr>
        <w:t xml:space="preserve"> </w:t>
      </w:r>
      <w:r w:rsidR="00312F55" w:rsidRPr="00CB1241">
        <w:rPr>
          <w:rFonts w:cs="Arial"/>
          <w:i/>
          <w:color w:val="000000"/>
          <w:shd w:val="clear" w:color="auto" w:fill="FFFFFF"/>
        </w:rPr>
        <w:t>Education Code</w:t>
      </w:r>
      <w:r w:rsidR="00312F55" w:rsidRPr="00CB1241">
        <w:rPr>
          <w:rFonts w:cs="Arial"/>
          <w:color w:val="000000"/>
          <w:shd w:val="clear" w:color="auto" w:fill="FFFFFF"/>
        </w:rPr>
        <w:t xml:space="preserve"> </w:t>
      </w:r>
      <w:r w:rsidR="00312F55">
        <w:rPr>
          <w:rFonts w:cs="Arial"/>
          <w:color w:val="000000"/>
          <w:shd w:val="clear" w:color="auto" w:fill="FFFFFF"/>
        </w:rPr>
        <w:t>52064.5</w:t>
      </w:r>
      <w:r w:rsidR="00312F55" w:rsidRPr="00CB1241">
        <w:rPr>
          <w:rFonts w:cs="Arial"/>
          <w:color w:val="000000"/>
          <w:shd w:val="clear" w:color="auto" w:fill="FFFFFF"/>
        </w:rPr>
        <w:t xml:space="preserve"> </w:t>
      </w:r>
      <w:r w:rsidR="00312F55" w:rsidRPr="00CB1241">
        <w:rPr>
          <w:rFonts w:cs="Arial"/>
          <w:shd w:val="clear" w:color="auto" w:fill="FFFFFF"/>
        </w:rPr>
        <w:t>Related to the Standards for Local Indicators.</w:t>
      </w:r>
    </w:p>
    <w:p w14:paraId="4073FD7D" w14:textId="00AADDF5" w:rsidR="00312F55" w:rsidRPr="00F27E8D" w:rsidRDefault="00312F55" w:rsidP="00312F55">
      <w:pPr>
        <w:spacing w:after="240"/>
        <w:contextualSpacing/>
      </w:pPr>
      <w:r w:rsidRPr="00862B5F">
        <w:rPr>
          <w:rFonts w:cs="Arial"/>
          <w:color w:val="000000"/>
          <w:shd w:val="clear" w:color="auto" w:fill="FFFFFF"/>
        </w:rPr>
        <w:t>In this memo</w:t>
      </w:r>
      <w:r>
        <w:rPr>
          <w:rFonts w:cs="Arial"/>
          <w:color w:val="000000"/>
          <w:shd w:val="clear" w:color="auto" w:fill="FFFFFF"/>
        </w:rPr>
        <w:t>randum</w:t>
      </w:r>
      <w:r w:rsidRPr="00862B5F">
        <w:rPr>
          <w:rFonts w:cs="Arial"/>
          <w:color w:val="000000"/>
          <w:shd w:val="clear" w:color="auto" w:fill="FFFFFF"/>
        </w:rPr>
        <w:t xml:space="preserve">, the </w:t>
      </w:r>
      <w:r>
        <w:rPr>
          <w:rFonts w:cs="Arial"/>
          <w:color w:val="000000"/>
          <w:shd w:val="clear" w:color="auto" w:fill="FFFFFF"/>
        </w:rPr>
        <w:t>California Department of Education (</w:t>
      </w:r>
      <w:r w:rsidRPr="00862B5F">
        <w:rPr>
          <w:rFonts w:cs="Arial"/>
          <w:color w:val="000000"/>
          <w:shd w:val="clear" w:color="auto" w:fill="FFFFFF"/>
        </w:rPr>
        <w:t>CDE</w:t>
      </w:r>
      <w:r>
        <w:rPr>
          <w:rFonts w:cs="Arial"/>
          <w:color w:val="000000"/>
          <w:shd w:val="clear" w:color="auto" w:fill="FFFFFF"/>
        </w:rPr>
        <w:t>)</w:t>
      </w:r>
      <w:r w:rsidRPr="00862B5F">
        <w:rPr>
          <w:rFonts w:cs="Arial"/>
          <w:color w:val="000000"/>
          <w:shd w:val="clear" w:color="auto" w:fill="FFFFFF"/>
        </w:rPr>
        <w:t xml:space="preserve"> provides </w:t>
      </w:r>
      <w:r>
        <w:rPr>
          <w:rFonts w:cs="Arial"/>
          <w:color w:val="000000"/>
          <w:shd w:val="clear" w:color="auto" w:fill="FFFFFF"/>
        </w:rPr>
        <w:t xml:space="preserve">an overview of </w:t>
      </w:r>
      <w:r w:rsidRPr="00576B0F">
        <w:rPr>
          <w:rFonts w:cs="Arial"/>
        </w:rPr>
        <w:t>California</w:t>
      </w:r>
      <w:r>
        <w:rPr>
          <w:rFonts w:cs="Arial"/>
          <w:color w:val="000000"/>
          <w:shd w:val="clear" w:color="auto" w:fill="FFFFFF"/>
        </w:rPr>
        <w:t xml:space="preserve"> </w:t>
      </w:r>
      <w:r w:rsidRPr="00CB1241">
        <w:rPr>
          <w:rFonts w:cs="Arial"/>
          <w:i/>
          <w:color w:val="000000"/>
          <w:shd w:val="clear" w:color="auto" w:fill="FFFFFF"/>
        </w:rPr>
        <w:t>Education Code</w:t>
      </w:r>
      <w:r>
        <w:rPr>
          <w:rFonts w:cs="Arial"/>
          <w:color w:val="000000"/>
          <w:shd w:val="clear" w:color="auto" w:fill="FFFFFF"/>
        </w:rPr>
        <w:t xml:space="preserve"> (</w:t>
      </w:r>
      <w:r w:rsidRPr="00CB1241">
        <w:rPr>
          <w:rFonts w:cs="Arial"/>
          <w:i/>
          <w:color w:val="000000"/>
          <w:shd w:val="clear" w:color="auto" w:fill="FFFFFF"/>
        </w:rPr>
        <w:t>EC</w:t>
      </w:r>
      <w:r>
        <w:rPr>
          <w:rFonts w:cs="Arial"/>
          <w:color w:val="000000"/>
          <w:shd w:val="clear" w:color="auto" w:fill="FFFFFF"/>
        </w:rPr>
        <w:t xml:space="preserve">) Section 52064.5, which relates to the Standards for Local Indicators and an overview of the data that may be considered for use at the statewide level. In particular, this first data set focuses on </w:t>
      </w:r>
      <w:r w:rsidRPr="00862B5F">
        <w:rPr>
          <w:rFonts w:cs="Arial"/>
          <w:color w:val="000000"/>
          <w:shd w:val="clear" w:color="auto" w:fill="FFFFFF"/>
        </w:rPr>
        <w:t xml:space="preserve">teacher </w:t>
      </w:r>
      <w:r>
        <w:rPr>
          <w:rFonts w:cs="Arial"/>
          <w:color w:val="000000"/>
          <w:shd w:val="clear" w:color="auto" w:fill="FFFFFF"/>
        </w:rPr>
        <w:t>and credentialing information</w:t>
      </w:r>
      <w:r w:rsidRPr="00862B5F">
        <w:rPr>
          <w:rFonts w:cs="Arial"/>
          <w:color w:val="000000"/>
          <w:shd w:val="clear" w:color="auto" w:fill="FFFFFF"/>
        </w:rPr>
        <w:t xml:space="preserve"> </w:t>
      </w:r>
      <w:r>
        <w:rPr>
          <w:rFonts w:cs="Arial"/>
          <w:color w:val="000000"/>
          <w:shd w:val="clear" w:color="auto" w:fill="FFFFFF"/>
        </w:rPr>
        <w:t xml:space="preserve">which is collected through an exchange </w:t>
      </w:r>
      <w:r w:rsidRPr="00862B5F">
        <w:rPr>
          <w:rFonts w:cs="Arial"/>
          <w:color w:val="000000"/>
          <w:shd w:val="clear" w:color="auto" w:fill="FFFFFF"/>
        </w:rPr>
        <w:t>with the California Commission on Teacher Credentialing (CTC)</w:t>
      </w:r>
      <w:r>
        <w:rPr>
          <w:rFonts w:cs="Arial"/>
          <w:color w:val="000000"/>
          <w:shd w:val="clear" w:color="auto" w:fill="FFFFFF"/>
        </w:rPr>
        <w:t>. Additionally, the memorandum</w:t>
      </w:r>
      <w:r w:rsidRPr="00862B5F">
        <w:rPr>
          <w:rFonts w:cs="Arial"/>
          <w:color w:val="000000"/>
          <w:shd w:val="clear" w:color="auto" w:fill="FFFFFF"/>
        </w:rPr>
        <w:t xml:space="preserve"> d</w:t>
      </w:r>
      <w:r>
        <w:rPr>
          <w:rFonts w:cs="Arial"/>
          <w:color w:val="000000"/>
          <w:shd w:val="clear" w:color="auto" w:fill="FFFFFF"/>
        </w:rPr>
        <w:t>escribes</w:t>
      </w:r>
      <w:r w:rsidRPr="00862B5F">
        <w:rPr>
          <w:rFonts w:cs="Arial"/>
          <w:color w:val="000000"/>
          <w:shd w:val="clear" w:color="auto" w:fill="FFFFFF"/>
        </w:rPr>
        <w:t xml:space="preserve"> the process by which these data</w:t>
      </w:r>
      <w:r>
        <w:rPr>
          <w:rFonts w:cs="Arial"/>
          <w:color w:val="000000"/>
          <w:shd w:val="clear" w:color="auto" w:fill="FFFFFF"/>
        </w:rPr>
        <w:t>, once received,</w:t>
      </w:r>
      <w:r w:rsidRPr="00862B5F">
        <w:rPr>
          <w:rFonts w:cs="Arial"/>
          <w:color w:val="000000"/>
          <w:shd w:val="clear" w:color="auto" w:fill="FFFFFF"/>
        </w:rPr>
        <w:t xml:space="preserve"> will be analyzed to determine </w:t>
      </w:r>
      <w:r>
        <w:rPr>
          <w:rFonts w:cs="Arial"/>
          <w:color w:val="000000"/>
          <w:shd w:val="clear" w:color="auto" w:fill="FFFFFF"/>
        </w:rPr>
        <w:t>if they are valid and reliable and develop options for</w:t>
      </w:r>
      <w:r w:rsidRPr="00862B5F">
        <w:rPr>
          <w:rFonts w:cs="Arial"/>
          <w:color w:val="000000"/>
          <w:shd w:val="clear" w:color="auto" w:fill="FFFFFF"/>
        </w:rPr>
        <w:t xml:space="preserve"> </w:t>
      </w:r>
      <w:r>
        <w:rPr>
          <w:rFonts w:cs="Arial"/>
          <w:color w:val="000000"/>
          <w:shd w:val="clear" w:color="auto" w:fill="FFFFFF"/>
        </w:rPr>
        <w:t xml:space="preserve">incorporation into the </w:t>
      </w:r>
      <w:r w:rsidRPr="00862B5F">
        <w:rPr>
          <w:rFonts w:cs="Arial"/>
          <w:color w:val="000000"/>
          <w:shd w:val="clear" w:color="auto" w:fill="FFFFFF"/>
        </w:rPr>
        <w:t>local indicator</w:t>
      </w:r>
      <w:r>
        <w:rPr>
          <w:rFonts w:cs="Arial"/>
          <w:color w:val="000000"/>
          <w:shd w:val="clear" w:color="auto" w:fill="FFFFFF"/>
        </w:rPr>
        <w:t xml:space="preserve"> for Priority 1</w:t>
      </w:r>
      <w:r w:rsidRPr="00862B5F">
        <w:rPr>
          <w:rFonts w:cs="Arial"/>
          <w:color w:val="000000"/>
          <w:shd w:val="clear" w:color="auto" w:fill="FFFFFF"/>
        </w:rPr>
        <w:t>.</w:t>
      </w:r>
      <w:r w:rsidR="005C4406">
        <w:rPr>
          <w:rFonts w:cs="Arial"/>
          <w:color w:val="000000"/>
          <w:shd w:val="clear" w:color="auto" w:fill="FFFFFF"/>
        </w:rPr>
        <w:t xml:space="preserve"> This topic will be brought forward for discussion at the California Practitioners Advisory Group (CPAG) on August 14, 2020, and to the State Board of Education (SBE) at their September 2020 meeting.</w:t>
      </w:r>
    </w:p>
    <w:p w14:paraId="3CD081C5" w14:textId="77777777" w:rsidR="00312F55" w:rsidRPr="00F27E8D" w:rsidRDefault="00312F55" w:rsidP="00312F55">
      <w:pPr>
        <w:pStyle w:val="Heading2"/>
        <w:spacing w:before="0" w:after="240"/>
        <w:rPr>
          <w:rFonts w:cs="Arial"/>
          <w:sz w:val="36"/>
          <w:szCs w:val="36"/>
        </w:rPr>
      </w:pPr>
      <w:r w:rsidRPr="6ACC55D2">
        <w:rPr>
          <w:rFonts w:cs="Arial"/>
          <w:sz w:val="36"/>
          <w:szCs w:val="36"/>
        </w:rPr>
        <w:t>Summary of Key Issues</w:t>
      </w:r>
    </w:p>
    <w:p w14:paraId="10ACEB87" w14:textId="77777777" w:rsidR="00151227" w:rsidRDefault="00312F55" w:rsidP="00151227">
      <w:pPr>
        <w:rPr>
          <w:rFonts w:cs="Arial"/>
        </w:rPr>
      </w:pPr>
      <w:r w:rsidRPr="00CB1241">
        <w:rPr>
          <w:rFonts w:cs="Arial"/>
          <w:i/>
        </w:rPr>
        <w:t>EC</w:t>
      </w:r>
      <w:r>
        <w:rPr>
          <w:rFonts w:cs="Arial"/>
        </w:rPr>
        <w:t xml:space="preserve"> Section</w:t>
      </w:r>
      <w:r w:rsidRPr="00576B0F">
        <w:rPr>
          <w:rFonts w:cs="Arial"/>
        </w:rPr>
        <w:t xml:space="preserve"> 52064.5 required the State Board of Education (SBE)</w:t>
      </w:r>
      <w:r>
        <w:rPr>
          <w:rFonts w:cs="Arial"/>
        </w:rPr>
        <w:t>, o</w:t>
      </w:r>
      <w:r w:rsidRPr="005B286C">
        <w:rPr>
          <w:rFonts w:cs="Arial"/>
        </w:rPr>
        <w:t xml:space="preserve">n or before </w:t>
      </w:r>
    </w:p>
    <w:p w14:paraId="260F48D8" w14:textId="07D1A4D3" w:rsidR="00312F55" w:rsidRPr="009A6CAC" w:rsidRDefault="00312F55" w:rsidP="00151227">
      <w:pPr>
        <w:rPr>
          <w:rFonts w:cs="Arial"/>
          <w:color w:val="000000"/>
        </w:rPr>
      </w:pPr>
      <w:r w:rsidRPr="005B286C">
        <w:rPr>
          <w:rFonts w:cs="Arial"/>
        </w:rPr>
        <w:t>October 1, 2016</w:t>
      </w:r>
      <w:r>
        <w:rPr>
          <w:rFonts w:cs="Arial"/>
        </w:rPr>
        <w:t>,</w:t>
      </w:r>
      <w:r w:rsidRPr="00576B0F">
        <w:rPr>
          <w:rFonts w:cs="Arial"/>
        </w:rPr>
        <w:t xml:space="preserve"> </w:t>
      </w:r>
      <w:r w:rsidRPr="009A6CAC">
        <w:rPr>
          <w:rFonts w:ascii="Helvetica" w:hAnsi="Helvetica" w:cs="Helvetica"/>
          <w:shd w:val="clear" w:color="auto" w:fill="FFFFFF"/>
        </w:rPr>
        <w:t>to adop</w:t>
      </w:r>
      <w:r>
        <w:rPr>
          <w:rFonts w:ascii="Helvetica" w:hAnsi="Helvetica" w:cs="Helvetica"/>
          <w:shd w:val="clear" w:color="auto" w:fill="FFFFFF"/>
        </w:rPr>
        <w:t>t evaluation rubrics, known as the California School Dashboard (Dashboard), as a</w:t>
      </w:r>
      <w:r w:rsidRPr="009A6CAC">
        <w:rPr>
          <w:rFonts w:cs="Arial"/>
          <w:color w:val="000000"/>
        </w:rPr>
        <w:t xml:space="preserve"> tool to help districts and schools identify strengths and weaknesses </w:t>
      </w:r>
      <w:r>
        <w:rPr>
          <w:rFonts w:cs="Arial"/>
          <w:color w:val="000000"/>
        </w:rPr>
        <w:t>and to</w:t>
      </w:r>
      <w:r w:rsidRPr="00576B0F">
        <w:rPr>
          <w:rFonts w:cs="Arial"/>
          <w:color w:val="000000"/>
        </w:rPr>
        <w:t xml:space="preserve"> assist county superintendent</w:t>
      </w:r>
      <w:r>
        <w:rPr>
          <w:rFonts w:cs="Arial"/>
          <w:color w:val="000000"/>
        </w:rPr>
        <w:t>s</w:t>
      </w:r>
      <w:r w:rsidRPr="00576B0F">
        <w:rPr>
          <w:rFonts w:cs="Arial"/>
          <w:color w:val="000000"/>
        </w:rPr>
        <w:t xml:space="preserve"> in identifying school districts and charter schools in need of technical assistance</w:t>
      </w:r>
      <w:r>
        <w:rPr>
          <w:rFonts w:cs="Arial"/>
          <w:color w:val="000000"/>
        </w:rPr>
        <w:t xml:space="preserve">. The Dashboard </w:t>
      </w:r>
      <w:r w:rsidRPr="009A6CAC">
        <w:rPr>
          <w:rFonts w:cs="Arial"/>
          <w:color w:val="000000"/>
        </w:rPr>
        <w:t>reports performance and progress on both</w:t>
      </w:r>
      <w:r>
        <w:rPr>
          <w:rFonts w:cs="Arial"/>
          <w:color w:val="000000"/>
        </w:rPr>
        <w:t xml:space="preserve"> </w:t>
      </w:r>
      <w:r w:rsidRPr="009A6CAC">
        <w:rPr>
          <w:rFonts w:cs="Arial"/>
          <w:color w:val="000000"/>
        </w:rPr>
        <w:t>state and local measures</w:t>
      </w:r>
      <w:r>
        <w:rPr>
          <w:rFonts w:cs="Arial"/>
          <w:color w:val="000000"/>
        </w:rPr>
        <w:t xml:space="preserve">. </w:t>
      </w:r>
      <w:r w:rsidRPr="009A6CAC">
        <w:rPr>
          <w:rFonts w:cs="Arial"/>
          <w:color w:val="000000"/>
        </w:rPr>
        <w:t>The state and local measures are drawn from the ten priority areas of the</w:t>
      </w:r>
      <w:r>
        <w:rPr>
          <w:rFonts w:cs="Arial"/>
          <w:color w:val="000000"/>
        </w:rPr>
        <w:t xml:space="preserve"> Local Control Funding Formula (LCFF). </w:t>
      </w:r>
      <w:r w:rsidRPr="009A6CAC">
        <w:rPr>
          <w:rFonts w:cs="Arial"/>
          <w:color w:val="000000"/>
        </w:rPr>
        <w:t>Table 1 lists each priority area and its corresponding state and/or local measure</w:t>
      </w:r>
      <w:r>
        <w:rPr>
          <w:rFonts w:cs="Arial"/>
          <w:color w:val="000000"/>
        </w:rPr>
        <w:t>.</w:t>
      </w:r>
    </w:p>
    <w:p w14:paraId="336A5DFC" w14:textId="77777777" w:rsidR="00312F55" w:rsidRDefault="00312F55" w:rsidP="00312F55">
      <w:pPr>
        <w:shd w:val="clear" w:color="auto" w:fill="FFFFFF"/>
        <w:spacing w:before="150" w:after="150"/>
        <w:outlineLvl w:val="5"/>
        <w:rPr>
          <w:rFonts w:cs="Arial"/>
          <w:b/>
          <w:bCs/>
          <w:color w:val="000000"/>
        </w:rPr>
      </w:pPr>
      <w:r>
        <w:rPr>
          <w:rFonts w:cs="Arial"/>
          <w:b/>
          <w:bCs/>
          <w:color w:val="000000"/>
        </w:rPr>
        <w:br w:type="page"/>
      </w:r>
    </w:p>
    <w:p w14:paraId="12A46C62" w14:textId="77777777" w:rsidR="00312F55" w:rsidRDefault="00312F55" w:rsidP="00312F55">
      <w:pPr>
        <w:shd w:val="clear" w:color="auto" w:fill="FFFFFF"/>
        <w:spacing w:before="150" w:after="150"/>
        <w:outlineLvl w:val="5"/>
        <w:rPr>
          <w:rFonts w:cs="Arial"/>
          <w:b/>
          <w:bCs/>
          <w:color w:val="000000"/>
        </w:rPr>
      </w:pPr>
      <w:r w:rsidRPr="00576B0F">
        <w:rPr>
          <w:rFonts w:cs="Arial"/>
          <w:b/>
          <w:bCs/>
          <w:color w:val="000000"/>
        </w:rPr>
        <w:lastRenderedPageBreak/>
        <w:t>Table 1: The State and Local Measures for Each Local Control Funding Formula Priority Areas</w:t>
      </w:r>
    </w:p>
    <w:tbl>
      <w:tblPr>
        <w:tblStyle w:val="TableGrid"/>
        <w:tblW w:w="9895" w:type="dxa"/>
        <w:tblLook w:val="04A0" w:firstRow="1" w:lastRow="0" w:firstColumn="1" w:lastColumn="0" w:noHBand="0" w:noVBand="1"/>
        <w:tblDescription w:val="The State and Local Measures for Each Local Control Funding Formula Priority Areas"/>
      </w:tblPr>
      <w:tblGrid>
        <w:gridCol w:w="2875"/>
        <w:gridCol w:w="2880"/>
        <w:gridCol w:w="4140"/>
      </w:tblGrid>
      <w:tr w:rsidR="00312F55" w14:paraId="55E1080A" w14:textId="77777777" w:rsidTr="006F1790">
        <w:trPr>
          <w:cantSplit/>
          <w:trHeight w:val="503"/>
          <w:tblHeader/>
        </w:trPr>
        <w:tc>
          <w:tcPr>
            <w:tcW w:w="2875" w:type="dxa"/>
            <w:shd w:val="clear" w:color="auto" w:fill="833C0B" w:themeFill="accent2" w:themeFillShade="80"/>
            <w:vAlign w:val="center"/>
          </w:tcPr>
          <w:p w14:paraId="48DEAB4A" w14:textId="77777777" w:rsidR="00312F55" w:rsidRPr="00087AF3" w:rsidRDefault="00312F55" w:rsidP="00DA14AA">
            <w:pPr>
              <w:jc w:val="center"/>
              <w:rPr>
                <w:rFonts w:cs="Arial"/>
                <w:b/>
                <w:bCs/>
                <w:color w:val="FFFFFF" w:themeColor="background1"/>
              </w:rPr>
            </w:pPr>
            <w:r w:rsidRPr="00087AF3">
              <w:rPr>
                <w:rFonts w:cs="Arial"/>
                <w:b/>
                <w:bCs/>
                <w:color w:val="FFFFFF" w:themeColor="background1"/>
              </w:rPr>
              <w:t>Priority Areas</w:t>
            </w:r>
          </w:p>
        </w:tc>
        <w:tc>
          <w:tcPr>
            <w:tcW w:w="2880" w:type="dxa"/>
            <w:shd w:val="clear" w:color="auto" w:fill="833C0B" w:themeFill="accent2" w:themeFillShade="80"/>
            <w:vAlign w:val="center"/>
          </w:tcPr>
          <w:p w14:paraId="215E1EDC" w14:textId="77777777" w:rsidR="00312F55" w:rsidRPr="00087AF3" w:rsidRDefault="00312F55" w:rsidP="00DA14AA">
            <w:pPr>
              <w:jc w:val="center"/>
              <w:rPr>
                <w:rFonts w:cs="Arial"/>
                <w:b/>
                <w:bCs/>
                <w:color w:val="FFFFFF" w:themeColor="background1"/>
              </w:rPr>
            </w:pPr>
            <w:r w:rsidRPr="00087AF3">
              <w:rPr>
                <w:rFonts w:cs="Arial"/>
                <w:b/>
                <w:bCs/>
                <w:color w:val="FFFFFF" w:themeColor="background1"/>
              </w:rPr>
              <w:t>State Indicator</w:t>
            </w:r>
          </w:p>
        </w:tc>
        <w:tc>
          <w:tcPr>
            <w:tcW w:w="4140" w:type="dxa"/>
            <w:shd w:val="clear" w:color="auto" w:fill="833C0B" w:themeFill="accent2" w:themeFillShade="80"/>
            <w:vAlign w:val="center"/>
          </w:tcPr>
          <w:p w14:paraId="32D2A3C2" w14:textId="77777777" w:rsidR="00312F55" w:rsidRPr="00087AF3" w:rsidRDefault="00312F55" w:rsidP="00DA14AA">
            <w:pPr>
              <w:jc w:val="center"/>
              <w:rPr>
                <w:rFonts w:cs="Arial"/>
                <w:b/>
                <w:bCs/>
                <w:color w:val="FFFFFF" w:themeColor="background1"/>
              </w:rPr>
            </w:pPr>
            <w:r w:rsidRPr="00087AF3">
              <w:rPr>
                <w:rFonts w:cs="Arial"/>
                <w:b/>
                <w:bCs/>
                <w:color w:val="FFFFFF" w:themeColor="background1"/>
              </w:rPr>
              <w:t>Local Indicator</w:t>
            </w:r>
          </w:p>
        </w:tc>
      </w:tr>
      <w:tr w:rsidR="00312F55" w14:paraId="5560010C" w14:textId="77777777" w:rsidTr="006F1790">
        <w:trPr>
          <w:cantSplit/>
        </w:trPr>
        <w:tc>
          <w:tcPr>
            <w:tcW w:w="2875" w:type="dxa"/>
          </w:tcPr>
          <w:p w14:paraId="34FE5B2C" w14:textId="77777777" w:rsidR="00312F55" w:rsidRDefault="00312F55" w:rsidP="00DA14AA">
            <w:pPr>
              <w:rPr>
                <w:rFonts w:cs="Arial"/>
                <w:b/>
                <w:bCs/>
              </w:rPr>
            </w:pPr>
            <w:r w:rsidRPr="009A6CAC">
              <w:rPr>
                <w:rFonts w:cs="Arial"/>
                <w:b/>
                <w:bCs/>
              </w:rPr>
              <w:t>Priority 1:</w:t>
            </w:r>
            <w:r>
              <w:rPr>
                <w:rFonts w:cs="Arial"/>
                <w:b/>
                <w:bCs/>
              </w:rPr>
              <w:t xml:space="preserve"> </w:t>
            </w:r>
          </w:p>
          <w:p w14:paraId="1CFC8446" w14:textId="77777777" w:rsidR="00312F55" w:rsidRPr="009A6CAC" w:rsidRDefault="00312F55" w:rsidP="00DA14AA">
            <w:pPr>
              <w:rPr>
                <w:rFonts w:cs="Arial"/>
              </w:rPr>
            </w:pPr>
            <w:r w:rsidRPr="009A6CAC">
              <w:rPr>
                <w:rFonts w:cs="Arial"/>
              </w:rPr>
              <w:t>Basic Services and Conditions at schools</w:t>
            </w:r>
          </w:p>
        </w:tc>
        <w:tc>
          <w:tcPr>
            <w:tcW w:w="2880" w:type="dxa"/>
            <w:vAlign w:val="center"/>
          </w:tcPr>
          <w:p w14:paraId="1E6B2A61" w14:textId="77777777" w:rsidR="00312F55" w:rsidRPr="009A6CAC" w:rsidRDefault="00312F55" w:rsidP="00DA14AA">
            <w:pPr>
              <w:jc w:val="center"/>
              <w:rPr>
                <w:rFonts w:cs="Arial"/>
              </w:rPr>
            </w:pPr>
            <w:r w:rsidRPr="009A6CAC">
              <w:rPr>
                <w:rFonts w:cs="Arial"/>
              </w:rPr>
              <w:t>N/A</w:t>
            </w:r>
          </w:p>
        </w:tc>
        <w:tc>
          <w:tcPr>
            <w:tcW w:w="4140" w:type="dxa"/>
          </w:tcPr>
          <w:p w14:paraId="10458084" w14:textId="77777777" w:rsidR="00312F55" w:rsidRPr="009A6CAC" w:rsidRDefault="00312F55" w:rsidP="00DA14AA">
            <w:pPr>
              <w:rPr>
                <w:rFonts w:cs="Arial"/>
              </w:rPr>
            </w:pPr>
            <w:r w:rsidRPr="009A6CAC">
              <w:rPr>
                <w:rFonts w:cs="Arial"/>
              </w:rPr>
              <w:t>Text books availability, adequate facilities, and correctly assigned teachers.</w:t>
            </w:r>
          </w:p>
        </w:tc>
      </w:tr>
      <w:tr w:rsidR="00312F55" w14:paraId="57B8EE2D" w14:textId="77777777" w:rsidTr="006F1790">
        <w:trPr>
          <w:cantSplit/>
        </w:trPr>
        <w:tc>
          <w:tcPr>
            <w:tcW w:w="2875" w:type="dxa"/>
          </w:tcPr>
          <w:p w14:paraId="5F1512EF" w14:textId="77777777" w:rsidR="00312F55" w:rsidRPr="009A6CAC" w:rsidRDefault="00312F55" w:rsidP="00DA14AA">
            <w:pPr>
              <w:rPr>
                <w:rFonts w:cs="Arial"/>
              </w:rPr>
            </w:pPr>
            <w:r w:rsidRPr="009A6CAC">
              <w:rPr>
                <w:rFonts w:cs="Arial"/>
                <w:b/>
                <w:bCs/>
              </w:rPr>
              <w:t>Priority 2:</w:t>
            </w:r>
            <w:r>
              <w:rPr>
                <w:rFonts w:cs="Arial"/>
                <w:b/>
                <w:bCs/>
              </w:rPr>
              <w:t xml:space="preserve"> </w:t>
            </w:r>
            <w:r w:rsidRPr="009A6CAC">
              <w:rPr>
                <w:rFonts w:cs="Arial"/>
              </w:rPr>
              <w:t>Implementation of State Academic Standards</w:t>
            </w:r>
          </w:p>
        </w:tc>
        <w:tc>
          <w:tcPr>
            <w:tcW w:w="2880" w:type="dxa"/>
            <w:vAlign w:val="center"/>
          </w:tcPr>
          <w:p w14:paraId="4684320A" w14:textId="77777777" w:rsidR="00312F55" w:rsidRPr="009A6CAC" w:rsidRDefault="00312F55" w:rsidP="00DA14AA">
            <w:pPr>
              <w:spacing w:after="300"/>
              <w:jc w:val="center"/>
              <w:rPr>
                <w:rFonts w:cs="Arial"/>
              </w:rPr>
            </w:pPr>
            <w:r w:rsidRPr="009A6CAC">
              <w:rPr>
                <w:rFonts w:cs="Arial"/>
              </w:rPr>
              <w:t>N/A</w:t>
            </w:r>
          </w:p>
        </w:tc>
        <w:tc>
          <w:tcPr>
            <w:tcW w:w="4140" w:type="dxa"/>
          </w:tcPr>
          <w:p w14:paraId="588093F4" w14:textId="77777777" w:rsidR="00312F55" w:rsidRPr="009A6CAC" w:rsidRDefault="00312F55" w:rsidP="00DA14AA">
            <w:pPr>
              <w:rPr>
                <w:rFonts w:cs="Arial"/>
              </w:rPr>
            </w:pPr>
            <w:r w:rsidRPr="009A6CAC">
              <w:rPr>
                <w:rFonts w:cs="Arial"/>
              </w:rPr>
              <w:t>Annually report on progress in implementing the standards for all content areas.</w:t>
            </w:r>
          </w:p>
        </w:tc>
      </w:tr>
      <w:tr w:rsidR="00312F55" w14:paraId="7A020770" w14:textId="77777777" w:rsidTr="006F1790">
        <w:trPr>
          <w:cantSplit/>
        </w:trPr>
        <w:tc>
          <w:tcPr>
            <w:tcW w:w="2875" w:type="dxa"/>
          </w:tcPr>
          <w:p w14:paraId="6C961BD2" w14:textId="77777777" w:rsidR="00312F55" w:rsidRPr="0092099D" w:rsidRDefault="00312F55" w:rsidP="00DA14AA">
            <w:pPr>
              <w:spacing w:after="240"/>
              <w:rPr>
                <w:rFonts w:cs="Arial"/>
                <w:b/>
                <w:bCs/>
              </w:rPr>
            </w:pPr>
            <w:r w:rsidRPr="009A6CAC">
              <w:rPr>
                <w:rFonts w:cs="Arial"/>
                <w:b/>
                <w:bCs/>
              </w:rPr>
              <w:t>Priority 3:</w:t>
            </w:r>
            <w:r>
              <w:rPr>
                <w:rFonts w:cs="Arial"/>
                <w:b/>
                <w:bCs/>
              </w:rPr>
              <w:br/>
            </w:r>
            <w:r w:rsidRPr="009A6CAC">
              <w:rPr>
                <w:rFonts w:cs="Arial"/>
              </w:rPr>
              <w:t>Parent Engagement</w:t>
            </w:r>
          </w:p>
        </w:tc>
        <w:tc>
          <w:tcPr>
            <w:tcW w:w="2880" w:type="dxa"/>
            <w:vAlign w:val="center"/>
          </w:tcPr>
          <w:p w14:paraId="55B64192" w14:textId="77777777" w:rsidR="00312F55" w:rsidRPr="009A6CAC" w:rsidRDefault="00312F55" w:rsidP="00DA14AA">
            <w:pPr>
              <w:jc w:val="center"/>
              <w:rPr>
                <w:rFonts w:cs="Arial"/>
              </w:rPr>
            </w:pPr>
            <w:r w:rsidRPr="009A6CAC">
              <w:rPr>
                <w:rFonts w:cs="Arial"/>
              </w:rPr>
              <w:t>N/A</w:t>
            </w:r>
          </w:p>
        </w:tc>
        <w:tc>
          <w:tcPr>
            <w:tcW w:w="4140" w:type="dxa"/>
          </w:tcPr>
          <w:p w14:paraId="4BFE68A9" w14:textId="77777777" w:rsidR="00312F55" w:rsidRPr="009A6CAC" w:rsidRDefault="00312F55" w:rsidP="00DA14AA">
            <w:pPr>
              <w:rPr>
                <w:rFonts w:cs="Arial"/>
              </w:rPr>
            </w:pPr>
            <w:r w:rsidRPr="009A6CAC">
              <w:rPr>
                <w:rFonts w:cs="Arial"/>
              </w:rPr>
              <w:t>Annually report progress toward: (1) seeking input from parents/guardians in decision making; and (2) promoting parental participation in programs.</w:t>
            </w:r>
          </w:p>
        </w:tc>
      </w:tr>
      <w:tr w:rsidR="00312F55" w14:paraId="40C3F802" w14:textId="77777777" w:rsidTr="006F1790">
        <w:trPr>
          <w:cantSplit/>
        </w:trPr>
        <w:tc>
          <w:tcPr>
            <w:tcW w:w="2875" w:type="dxa"/>
          </w:tcPr>
          <w:p w14:paraId="3AE4510B" w14:textId="77777777" w:rsidR="00312F55" w:rsidRDefault="00312F55" w:rsidP="00DA14AA">
            <w:pPr>
              <w:rPr>
                <w:rFonts w:cs="Arial"/>
                <w:b/>
                <w:bCs/>
              </w:rPr>
            </w:pPr>
            <w:r w:rsidRPr="009A6CAC">
              <w:rPr>
                <w:rFonts w:cs="Arial"/>
                <w:b/>
                <w:bCs/>
              </w:rPr>
              <w:t>Priority 4:</w:t>
            </w:r>
            <w:r>
              <w:rPr>
                <w:rFonts w:cs="Arial"/>
                <w:b/>
                <w:bCs/>
              </w:rPr>
              <w:t xml:space="preserve"> </w:t>
            </w:r>
          </w:p>
          <w:p w14:paraId="6405E87D" w14:textId="77777777" w:rsidR="00312F55" w:rsidRPr="009A6CAC" w:rsidRDefault="00312F55" w:rsidP="00DA14AA">
            <w:pPr>
              <w:rPr>
                <w:rFonts w:cs="Arial"/>
              </w:rPr>
            </w:pPr>
            <w:r w:rsidRPr="009A6CAC">
              <w:rPr>
                <w:rFonts w:cs="Arial"/>
              </w:rPr>
              <w:t>Student Achievement</w:t>
            </w:r>
          </w:p>
        </w:tc>
        <w:tc>
          <w:tcPr>
            <w:tcW w:w="2880" w:type="dxa"/>
          </w:tcPr>
          <w:p w14:paraId="51B4E6EA" w14:textId="77777777" w:rsidR="00312F55" w:rsidRPr="009A6CAC" w:rsidRDefault="00312F55" w:rsidP="005C7A83">
            <w:pPr>
              <w:widowControl w:val="0"/>
              <w:numPr>
                <w:ilvl w:val="0"/>
                <w:numId w:val="2"/>
              </w:numPr>
              <w:tabs>
                <w:tab w:val="clear" w:pos="720"/>
                <w:tab w:val="num" w:pos="371"/>
              </w:tabs>
              <w:spacing w:before="100" w:beforeAutospacing="1" w:after="100" w:afterAutospacing="1"/>
              <w:ind w:left="371"/>
              <w:rPr>
                <w:rFonts w:cs="Arial"/>
              </w:rPr>
            </w:pPr>
            <w:r w:rsidRPr="009A6CAC">
              <w:rPr>
                <w:rFonts w:cs="Arial"/>
              </w:rPr>
              <w:t>Academic Performance (Grades 3–8 and Grade 11)</w:t>
            </w:r>
            <w:r w:rsidRPr="009A6CAC">
              <w:rPr>
                <w:rFonts w:cs="Arial"/>
              </w:rPr>
              <w:br/>
            </w:r>
          </w:p>
          <w:p w14:paraId="240B813E" w14:textId="77777777" w:rsidR="00312F55" w:rsidRPr="009A6CAC" w:rsidRDefault="00312F55" w:rsidP="005C7A83">
            <w:pPr>
              <w:widowControl w:val="0"/>
              <w:numPr>
                <w:ilvl w:val="0"/>
                <w:numId w:val="2"/>
              </w:numPr>
              <w:tabs>
                <w:tab w:val="clear" w:pos="720"/>
                <w:tab w:val="num" w:pos="371"/>
              </w:tabs>
              <w:spacing w:before="100" w:beforeAutospacing="1" w:after="100" w:afterAutospacing="1"/>
              <w:ind w:left="371"/>
              <w:rPr>
                <w:rFonts w:cs="Arial"/>
              </w:rPr>
            </w:pPr>
            <w:r w:rsidRPr="009A6CAC">
              <w:rPr>
                <w:rFonts w:cs="Arial"/>
              </w:rPr>
              <w:t>English Learner Progress</w:t>
            </w:r>
          </w:p>
        </w:tc>
        <w:tc>
          <w:tcPr>
            <w:tcW w:w="4140" w:type="dxa"/>
            <w:vAlign w:val="center"/>
          </w:tcPr>
          <w:p w14:paraId="6869E004" w14:textId="77777777" w:rsidR="00312F55" w:rsidRPr="009A6CAC" w:rsidRDefault="00312F55" w:rsidP="00DA14AA">
            <w:pPr>
              <w:jc w:val="center"/>
              <w:rPr>
                <w:rFonts w:cs="Arial"/>
              </w:rPr>
            </w:pPr>
            <w:r w:rsidRPr="009A6CAC">
              <w:rPr>
                <w:rFonts w:cs="Arial"/>
              </w:rPr>
              <w:t>N/A</w:t>
            </w:r>
          </w:p>
        </w:tc>
      </w:tr>
      <w:tr w:rsidR="00312F55" w14:paraId="5D8D7556" w14:textId="77777777" w:rsidTr="006F1790">
        <w:trPr>
          <w:cantSplit/>
        </w:trPr>
        <w:tc>
          <w:tcPr>
            <w:tcW w:w="2875" w:type="dxa"/>
          </w:tcPr>
          <w:p w14:paraId="390E368D" w14:textId="77777777" w:rsidR="00312F55" w:rsidRPr="009A6CAC" w:rsidRDefault="00312F55" w:rsidP="00DA14AA">
            <w:pPr>
              <w:rPr>
                <w:rFonts w:cs="Arial"/>
              </w:rPr>
            </w:pPr>
            <w:r w:rsidRPr="009A6CAC">
              <w:rPr>
                <w:rFonts w:cs="Arial"/>
                <w:b/>
                <w:bCs/>
              </w:rPr>
              <w:t>Priority 5:</w:t>
            </w:r>
            <w:r>
              <w:rPr>
                <w:rFonts w:cs="Arial"/>
                <w:b/>
                <w:bCs/>
              </w:rPr>
              <w:t xml:space="preserve"> </w:t>
            </w:r>
            <w:r>
              <w:rPr>
                <w:rFonts w:cs="Arial"/>
                <w:b/>
                <w:bCs/>
              </w:rPr>
              <w:br/>
            </w:r>
            <w:r w:rsidRPr="009A6CAC">
              <w:rPr>
                <w:rFonts w:cs="Arial"/>
              </w:rPr>
              <w:t>Student Engagement</w:t>
            </w:r>
          </w:p>
        </w:tc>
        <w:tc>
          <w:tcPr>
            <w:tcW w:w="2880" w:type="dxa"/>
          </w:tcPr>
          <w:p w14:paraId="714F802F" w14:textId="77777777" w:rsidR="00312F55" w:rsidRPr="009A6CAC" w:rsidRDefault="00312F55" w:rsidP="005C7A83">
            <w:pPr>
              <w:widowControl w:val="0"/>
              <w:numPr>
                <w:ilvl w:val="0"/>
                <w:numId w:val="3"/>
              </w:numPr>
              <w:tabs>
                <w:tab w:val="clear" w:pos="720"/>
                <w:tab w:val="num" w:pos="461"/>
              </w:tabs>
              <w:spacing w:before="100" w:beforeAutospacing="1" w:after="100" w:afterAutospacing="1"/>
              <w:ind w:left="371"/>
              <w:rPr>
                <w:rFonts w:cs="Arial"/>
              </w:rPr>
            </w:pPr>
            <w:r w:rsidRPr="009A6CAC">
              <w:rPr>
                <w:rFonts w:cs="Arial"/>
              </w:rPr>
              <w:t>Graduation Rate</w:t>
            </w:r>
          </w:p>
          <w:p w14:paraId="11F5776C" w14:textId="77777777" w:rsidR="00312F55" w:rsidRPr="009A6CAC" w:rsidRDefault="00312F55" w:rsidP="005C7A83">
            <w:pPr>
              <w:widowControl w:val="0"/>
              <w:numPr>
                <w:ilvl w:val="0"/>
                <w:numId w:val="4"/>
              </w:numPr>
              <w:tabs>
                <w:tab w:val="clear" w:pos="720"/>
                <w:tab w:val="num" w:pos="371"/>
              </w:tabs>
              <w:spacing w:before="100" w:beforeAutospacing="1" w:after="100" w:afterAutospacing="1"/>
              <w:ind w:left="371"/>
              <w:rPr>
                <w:rFonts w:cs="Arial"/>
              </w:rPr>
            </w:pPr>
            <w:r w:rsidRPr="009A6CAC">
              <w:rPr>
                <w:rFonts w:cs="Arial"/>
              </w:rPr>
              <w:t>Chronic Absenteeism</w:t>
            </w:r>
          </w:p>
        </w:tc>
        <w:tc>
          <w:tcPr>
            <w:tcW w:w="4140" w:type="dxa"/>
            <w:vAlign w:val="center"/>
          </w:tcPr>
          <w:p w14:paraId="10F336E4" w14:textId="77777777" w:rsidR="00312F55" w:rsidRPr="009A6CAC" w:rsidRDefault="00312F55" w:rsidP="00DA14AA">
            <w:pPr>
              <w:jc w:val="center"/>
              <w:rPr>
                <w:rFonts w:cs="Arial"/>
              </w:rPr>
            </w:pPr>
            <w:r w:rsidRPr="009A6CAC">
              <w:rPr>
                <w:rFonts w:cs="Arial"/>
              </w:rPr>
              <w:t>N/A</w:t>
            </w:r>
          </w:p>
        </w:tc>
      </w:tr>
      <w:tr w:rsidR="00312F55" w14:paraId="5E81E2C9" w14:textId="77777777" w:rsidTr="006F1790">
        <w:trPr>
          <w:cantSplit/>
        </w:trPr>
        <w:tc>
          <w:tcPr>
            <w:tcW w:w="2875" w:type="dxa"/>
          </w:tcPr>
          <w:p w14:paraId="16DB3A0A" w14:textId="77777777" w:rsidR="00312F55" w:rsidRDefault="00312F55" w:rsidP="00DA14AA">
            <w:pPr>
              <w:rPr>
                <w:rFonts w:cs="Arial"/>
                <w:b/>
                <w:bCs/>
              </w:rPr>
            </w:pPr>
            <w:r w:rsidRPr="009A6CAC">
              <w:rPr>
                <w:rFonts w:cs="Arial"/>
                <w:b/>
                <w:bCs/>
              </w:rPr>
              <w:t>Priority 6:</w:t>
            </w:r>
            <w:r>
              <w:rPr>
                <w:rFonts w:cs="Arial"/>
                <w:b/>
                <w:bCs/>
              </w:rPr>
              <w:t xml:space="preserve"> </w:t>
            </w:r>
          </w:p>
          <w:p w14:paraId="734E4448" w14:textId="77777777" w:rsidR="00312F55" w:rsidRPr="009A6CAC" w:rsidRDefault="00312F55" w:rsidP="00DA14AA">
            <w:pPr>
              <w:rPr>
                <w:rFonts w:cs="Arial"/>
              </w:rPr>
            </w:pPr>
            <w:r w:rsidRPr="009A6CAC">
              <w:rPr>
                <w:rFonts w:cs="Arial"/>
              </w:rPr>
              <w:t>School Climate</w:t>
            </w:r>
          </w:p>
        </w:tc>
        <w:tc>
          <w:tcPr>
            <w:tcW w:w="2880" w:type="dxa"/>
          </w:tcPr>
          <w:p w14:paraId="1C9E7645" w14:textId="77777777" w:rsidR="00312F55" w:rsidRPr="00833FC7" w:rsidRDefault="00312F55" w:rsidP="005C7A83">
            <w:pPr>
              <w:widowControl w:val="0"/>
              <w:numPr>
                <w:ilvl w:val="0"/>
                <w:numId w:val="3"/>
              </w:numPr>
              <w:tabs>
                <w:tab w:val="clear" w:pos="720"/>
                <w:tab w:val="num" w:pos="461"/>
              </w:tabs>
              <w:spacing w:before="100" w:beforeAutospacing="1" w:after="100" w:afterAutospacing="1"/>
              <w:ind w:left="371"/>
              <w:rPr>
                <w:rFonts w:cs="Arial"/>
              </w:rPr>
            </w:pPr>
            <w:r w:rsidRPr="00833FC7">
              <w:rPr>
                <w:rFonts w:cs="Arial"/>
              </w:rPr>
              <w:t>Suspension Rate</w:t>
            </w:r>
          </w:p>
        </w:tc>
        <w:tc>
          <w:tcPr>
            <w:tcW w:w="4140" w:type="dxa"/>
          </w:tcPr>
          <w:p w14:paraId="062BEF24" w14:textId="77777777" w:rsidR="00312F55" w:rsidRPr="009A6CAC" w:rsidRDefault="00312F55" w:rsidP="00DA14AA">
            <w:pPr>
              <w:rPr>
                <w:rFonts w:cs="Arial"/>
              </w:rPr>
            </w:pPr>
            <w:r w:rsidRPr="009A6CAC">
              <w:rPr>
                <w:rFonts w:cs="Arial"/>
              </w:rPr>
              <w:t>Administer a Local Climate Survey every other year.</w:t>
            </w:r>
          </w:p>
        </w:tc>
      </w:tr>
      <w:tr w:rsidR="00312F55" w14:paraId="0F695175" w14:textId="77777777" w:rsidTr="006F1790">
        <w:trPr>
          <w:cantSplit/>
        </w:trPr>
        <w:tc>
          <w:tcPr>
            <w:tcW w:w="2875" w:type="dxa"/>
          </w:tcPr>
          <w:p w14:paraId="37E62764" w14:textId="77777777" w:rsidR="00312F55" w:rsidRPr="009A6CAC" w:rsidRDefault="00312F55" w:rsidP="00DA14AA">
            <w:pPr>
              <w:rPr>
                <w:rFonts w:cs="Arial"/>
              </w:rPr>
            </w:pPr>
            <w:r w:rsidRPr="009A6CAC">
              <w:rPr>
                <w:rFonts w:cs="Arial"/>
                <w:b/>
                <w:bCs/>
              </w:rPr>
              <w:t>Priority 7:</w:t>
            </w:r>
            <w:r>
              <w:rPr>
                <w:rFonts w:cs="Arial"/>
                <w:b/>
                <w:bCs/>
              </w:rPr>
              <w:t xml:space="preserve"> </w:t>
            </w:r>
            <w:r>
              <w:rPr>
                <w:rFonts w:cs="Arial"/>
                <w:b/>
                <w:bCs/>
              </w:rPr>
              <w:br/>
            </w:r>
            <w:r w:rsidRPr="009A6CAC">
              <w:rPr>
                <w:rFonts w:cs="Arial"/>
              </w:rPr>
              <w:t>Access to a Broad Course of Study</w:t>
            </w:r>
          </w:p>
        </w:tc>
        <w:tc>
          <w:tcPr>
            <w:tcW w:w="2880" w:type="dxa"/>
            <w:vAlign w:val="center"/>
          </w:tcPr>
          <w:p w14:paraId="1381F029" w14:textId="77777777" w:rsidR="00312F55" w:rsidRPr="009A6CAC" w:rsidRDefault="00312F55" w:rsidP="00DA14AA">
            <w:pPr>
              <w:jc w:val="center"/>
              <w:rPr>
                <w:rFonts w:cs="Arial"/>
              </w:rPr>
            </w:pPr>
            <w:r w:rsidRPr="009A6CAC">
              <w:rPr>
                <w:rFonts w:cs="Arial"/>
              </w:rPr>
              <w:t>N/A</w:t>
            </w:r>
          </w:p>
        </w:tc>
        <w:tc>
          <w:tcPr>
            <w:tcW w:w="4140" w:type="dxa"/>
          </w:tcPr>
          <w:p w14:paraId="7AE71DA6" w14:textId="77777777" w:rsidR="00312F55" w:rsidRPr="009A6CAC" w:rsidRDefault="00312F55" w:rsidP="00DA14AA">
            <w:pPr>
              <w:rPr>
                <w:rFonts w:cs="Arial"/>
              </w:rPr>
            </w:pPr>
            <w:r w:rsidRPr="009A6CAC">
              <w:rPr>
                <w:rFonts w:cs="Arial"/>
              </w:rPr>
              <w:t>Annually report progress on the extent students have access to, and are enrolled in, a broad course of study.</w:t>
            </w:r>
          </w:p>
        </w:tc>
      </w:tr>
      <w:tr w:rsidR="00312F55" w14:paraId="770152C9" w14:textId="77777777" w:rsidTr="006F1790">
        <w:trPr>
          <w:cantSplit/>
        </w:trPr>
        <w:tc>
          <w:tcPr>
            <w:tcW w:w="2875" w:type="dxa"/>
          </w:tcPr>
          <w:p w14:paraId="5666BB90" w14:textId="77777777" w:rsidR="00312F55" w:rsidRPr="009A6CAC" w:rsidRDefault="00312F55" w:rsidP="00DA14AA">
            <w:pPr>
              <w:rPr>
                <w:rFonts w:cs="Arial"/>
              </w:rPr>
            </w:pPr>
            <w:r w:rsidRPr="009A6CAC">
              <w:rPr>
                <w:rFonts w:cs="Arial"/>
                <w:b/>
                <w:bCs/>
              </w:rPr>
              <w:t xml:space="preserve">Priority 9: </w:t>
            </w:r>
            <w:r>
              <w:rPr>
                <w:rFonts w:cs="Arial"/>
                <w:b/>
                <w:bCs/>
              </w:rPr>
              <w:br/>
            </w:r>
            <w:r w:rsidRPr="009A6CAC">
              <w:rPr>
                <w:rFonts w:cs="Arial"/>
                <w:b/>
                <w:bCs/>
              </w:rPr>
              <w:t>(COEs Only)</w:t>
            </w:r>
            <w:r>
              <w:rPr>
                <w:rFonts w:cs="Arial"/>
              </w:rPr>
              <w:t xml:space="preserve"> </w:t>
            </w:r>
            <w:r w:rsidRPr="009A6CAC">
              <w:rPr>
                <w:rFonts w:cs="Arial"/>
              </w:rPr>
              <w:t>Coordination of Services for Expelled Students</w:t>
            </w:r>
          </w:p>
        </w:tc>
        <w:tc>
          <w:tcPr>
            <w:tcW w:w="2880" w:type="dxa"/>
            <w:vAlign w:val="center"/>
          </w:tcPr>
          <w:p w14:paraId="3E3656C8" w14:textId="77777777" w:rsidR="00312F55" w:rsidRPr="009A6CAC" w:rsidRDefault="00312F55" w:rsidP="00DA14AA">
            <w:pPr>
              <w:jc w:val="center"/>
              <w:rPr>
                <w:rFonts w:cs="Arial"/>
              </w:rPr>
            </w:pPr>
            <w:r w:rsidRPr="009A6CAC">
              <w:rPr>
                <w:rFonts w:cs="Arial"/>
              </w:rPr>
              <w:t>N/A</w:t>
            </w:r>
          </w:p>
        </w:tc>
        <w:tc>
          <w:tcPr>
            <w:tcW w:w="4140" w:type="dxa"/>
          </w:tcPr>
          <w:p w14:paraId="45AC1DD5" w14:textId="77777777" w:rsidR="00312F55" w:rsidRPr="009A6CAC" w:rsidRDefault="00312F55" w:rsidP="00DA14AA">
            <w:pPr>
              <w:rPr>
                <w:rFonts w:cs="Arial"/>
              </w:rPr>
            </w:pPr>
            <w:r w:rsidRPr="009A6CAC">
              <w:rPr>
                <w:rFonts w:cs="Arial"/>
              </w:rPr>
              <w:t>Annual measure of progress in coordinating instruction for expelled students.</w:t>
            </w:r>
          </w:p>
        </w:tc>
      </w:tr>
      <w:tr w:rsidR="00312F55" w14:paraId="74776DF7" w14:textId="77777777" w:rsidTr="006F1790">
        <w:trPr>
          <w:cantSplit/>
        </w:trPr>
        <w:tc>
          <w:tcPr>
            <w:tcW w:w="2875" w:type="dxa"/>
          </w:tcPr>
          <w:p w14:paraId="08D1E421" w14:textId="77777777" w:rsidR="00312F55" w:rsidRPr="009A6CAC" w:rsidRDefault="00312F55" w:rsidP="00DA14AA">
            <w:pPr>
              <w:rPr>
                <w:rFonts w:cs="Arial"/>
              </w:rPr>
            </w:pPr>
            <w:r w:rsidRPr="009A6CAC">
              <w:rPr>
                <w:rFonts w:cs="Arial"/>
                <w:b/>
                <w:bCs/>
              </w:rPr>
              <w:t xml:space="preserve">Priority 10: </w:t>
            </w:r>
            <w:r>
              <w:rPr>
                <w:rFonts w:cs="Arial"/>
                <w:b/>
                <w:bCs/>
              </w:rPr>
              <w:br/>
            </w:r>
            <w:r w:rsidRPr="009A6CAC">
              <w:rPr>
                <w:rFonts w:cs="Arial"/>
                <w:b/>
                <w:bCs/>
              </w:rPr>
              <w:t>(COEs Only)</w:t>
            </w:r>
            <w:r>
              <w:rPr>
                <w:rFonts w:cs="Arial"/>
              </w:rPr>
              <w:t xml:space="preserve"> </w:t>
            </w:r>
            <w:r w:rsidRPr="009A6CAC">
              <w:rPr>
                <w:rFonts w:cs="Arial"/>
              </w:rPr>
              <w:t>Coordination of Services for Foster Youth</w:t>
            </w:r>
          </w:p>
        </w:tc>
        <w:tc>
          <w:tcPr>
            <w:tcW w:w="2880" w:type="dxa"/>
            <w:vAlign w:val="center"/>
          </w:tcPr>
          <w:p w14:paraId="77298A3F" w14:textId="77777777" w:rsidR="00312F55" w:rsidRPr="009A6CAC" w:rsidRDefault="00312F55" w:rsidP="00DA14AA">
            <w:pPr>
              <w:jc w:val="center"/>
              <w:rPr>
                <w:rFonts w:cs="Arial"/>
              </w:rPr>
            </w:pPr>
            <w:r w:rsidRPr="009A6CAC">
              <w:rPr>
                <w:rFonts w:cs="Arial"/>
              </w:rPr>
              <w:t>N/A</w:t>
            </w:r>
          </w:p>
        </w:tc>
        <w:tc>
          <w:tcPr>
            <w:tcW w:w="4140" w:type="dxa"/>
          </w:tcPr>
          <w:p w14:paraId="0FA97EF0" w14:textId="77777777" w:rsidR="00312F55" w:rsidRPr="009A6CAC" w:rsidRDefault="00312F55" w:rsidP="00DA14AA">
            <w:pPr>
              <w:rPr>
                <w:rFonts w:cs="Arial"/>
              </w:rPr>
            </w:pPr>
            <w:r w:rsidRPr="009A6CAC">
              <w:rPr>
                <w:rFonts w:cs="Arial"/>
              </w:rPr>
              <w:t>Annual measure of progress in coordinating instruction for foster youth.</w:t>
            </w:r>
          </w:p>
        </w:tc>
      </w:tr>
    </w:tbl>
    <w:p w14:paraId="24C28016" w14:textId="77777777" w:rsidR="00312F55" w:rsidRPr="006D36E4" w:rsidRDefault="00312F55" w:rsidP="006D36E4"/>
    <w:p w14:paraId="54B8A06F" w14:textId="77777777" w:rsidR="00312F55" w:rsidRDefault="00312F55" w:rsidP="00312F55">
      <w:pPr>
        <w:pStyle w:val="Heading2"/>
      </w:pPr>
      <w:r>
        <w:lastRenderedPageBreak/>
        <w:t>Local Indicators</w:t>
      </w:r>
    </w:p>
    <w:p w14:paraId="49EFB75D" w14:textId="77777777" w:rsidR="00312F55" w:rsidRPr="00682340" w:rsidRDefault="00312F55" w:rsidP="00312F55">
      <w:pPr>
        <w:shd w:val="clear" w:color="auto" w:fill="FFFFFF"/>
        <w:spacing w:after="240"/>
        <w:rPr>
          <w:rFonts w:cs="Arial"/>
          <w:color w:val="000000"/>
        </w:rPr>
      </w:pPr>
      <w:r w:rsidRPr="00682340">
        <w:rPr>
          <w:rFonts w:cs="Arial"/>
          <w:color w:val="000000"/>
        </w:rPr>
        <w:t>The SBE approved standards for the local indicators that support local educational agencies (LEAs) in measuring and reporting their progress within the appropriate priority area. For each local indicator, the performance standards are as follows:</w:t>
      </w:r>
    </w:p>
    <w:p w14:paraId="59890297" w14:textId="77777777" w:rsidR="005D3F9C" w:rsidRPr="00682340" w:rsidRDefault="005D3F9C" w:rsidP="005C7A83">
      <w:pPr>
        <w:pStyle w:val="ListParagraph"/>
        <w:widowControl/>
        <w:numPr>
          <w:ilvl w:val="0"/>
          <w:numId w:val="5"/>
        </w:numPr>
        <w:spacing w:after="240" w:line="240" w:lineRule="auto"/>
        <w:contextualSpacing w:val="0"/>
        <w:rPr>
          <w:rFonts w:ascii="Arial" w:hAnsi="Arial" w:cs="Arial"/>
          <w:sz w:val="24"/>
          <w:szCs w:val="24"/>
        </w:rPr>
      </w:pPr>
      <w:r w:rsidRPr="00682340">
        <w:rPr>
          <w:rFonts w:ascii="Arial" w:hAnsi="Arial" w:cs="Arial"/>
          <w:sz w:val="24"/>
          <w:szCs w:val="24"/>
        </w:rPr>
        <w:t>Annually measure its progress in meeting the requirements of the specific LCFF priority.</w:t>
      </w:r>
    </w:p>
    <w:p w14:paraId="78354EB1" w14:textId="77777777" w:rsidR="005D3F9C" w:rsidRPr="00682340" w:rsidRDefault="005D3F9C" w:rsidP="005C7A83">
      <w:pPr>
        <w:pStyle w:val="ListParagraph"/>
        <w:widowControl/>
        <w:numPr>
          <w:ilvl w:val="0"/>
          <w:numId w:val="5"/>
        </w:numPr>
        <w:spacing w:after="240" w:line="240" w:lineRule="auto"/>
        <w:contextualSpacing w:val="0"/>
        <w:rPr>
          <w:rFonts w:ascii="Arial" w:hAnsi="Arial" w:cs="Arial"/>
          <w:sz w:val="24"/>
          <w:szCs w:val="24"/>
        </w:rPr>
      </w:pPr>
      <w:r w:rsidRPr="00682340">
        <w:rPr>
          <w:rFonts w:ascii="Arial" w:hAnsi="Arial" w:cs="Arial"/>
          <w:sz w:val="24"/>
          <w:szCs w:val="24"/>
        </w:rPr>
        <w:t>Report the results as part of a non-consent item at a regularly scheduled public meeting of the local governing board/body in conjunction with the adoption of the LCAP.</w:t>
      </w:r>
    </w:p>
    <w:p w14:paraId="3018D576" w14:textId="77777777" w:rsidR="005D3F9C" w:rsidRPr="00682340" w:rsidRDefault="005D3F9C" w:rsidP="005C7A83">
      <w:pPr>
        <w:pStyle w:val="ListParagraph"/>
        <w:widowControl/>
        <w:numPr>
          <w:ilvl w:val="0"/>
          <w:numId w:val="5"/>
        </w:numPr>
        <w:spacing w:after="240" w:line="240" w:lineRule="auto"/>
        <w:rPr>
          <w:rFonts w:ascii="Arial" w:hAnsi="Arial" w:cs="Arial"/>
          <w:sz w:val="24"/>
          <w:szCs w:val="24"/>
        </w:rPr>
      </w:pPr>
      <w:r w:rsidRPr="00682340">
        <w:rPr>
          <w:rFonts w:ascii="Arial" w:hAnsi="Arial" w:cs="Arial"/>
          <w:sz w:val="24"/>
          <w:szCs w:val="24"/>
        </w:rPr>
        <w:t>Report results to the public through the Dashboard utilizing the SBE-adopted self-reflection tools for each local indicator.</w:t>
      </w:r>
    </w:p>
    <w:p w14:paraId="55191602" w14:textId="77777777" w:rsidR="00312F55" w:rsidRPr="00682340" w:rsidRDefault="00312F55" w:rsidP="00312F55">
      <w:pPr>
        <w:shd w:val="clear" w:color="auto" w:fill="FFFFFF"/>
        <w:spacing w:after="240"/>
        <w:rPr>
          <w:rFonts w:cs="Arial"/>
          <w:color w:val="000000"/>
        </w:rPr>
      </w:pPr>
      <w:r w:rsidRPr="00682340">
        <w:rPr>
          <w:rFonts w:cs="Arial"/>
          <w:color w:val="000000"/>
        </w:rPr>
        <w:t>An LEA uses the SBE-adopted self-reflection tools to report its progress through the Dashboard. The collection and reflection on locally available information relevant to progress regarding local priority areas will support LEAs in completing the self-reflection tools, reporting in the Dashboard, and in local planning and improvement efforts.</w:t>
      </w:r>
    </w:p>
    <w:p w14:paraId="3E6E1ECC" w14:textId="77777777" w:rsidR="00312F55" w:rsidRPr="00682340" w:rsidRDefault="00312F55" w:rsidP="00312F55">
      <w:pPr>
        <w:shd w:val="clear" w:color="auto" w:fill="FFFFFF"/>
        <w:spacing w:after="240"/>
        <w:rPr>
          <w:rFonts w:cs="Arial"/>
          <w:color w:val="000000"/>
        </w:rPr>
      </w:pPr>
      <w:r w:rsidRPr="00682340">
        <w:rPr>
          <w:rFonts w:cs="Arial"/>
          <w:color w:val="000000"/>
        </w:rPr>
        <w:t>Provided an LEA satisfies the performance standards for each local indicator, the Dashboard will automatically assign a performance level of Met. If an LEA does not meet the performance standards, the Dashboard will automatically assign a performance level of Not Met or Not Met for Two or More Years, as applicable.</w:t>
      </w:r>
    </w:p>
    <w:p w14:paraId="21A04A4F" w14:textId="77777777" w:rsidR="00312F55" w:rsidRDefault="00312F55" w:rsidP="00312F55">
      <w:pPr>
        <w:pStyle w:val="Heading2"/>
        <w:rPr>
          <w:rStyle w:val="Heading2Char"/>
        </w:rPr>
      </w:pPr>
      <w:r>
        <w:t xml:space="preserve">Overview and </w:t>
      </w:r>
      <w:r w:rsidRPr="00A55BB2">
        <w:rPr>
          <w:rStyle w:val="Heading2Char"/>
          <w:b/>
        </w:rPr>
        <w:t>Implementation of Senate Bill 75</w:t>
      </w:r>
    </w:p>
    <w:p w14:paraId="1D4F7625" w14:textId="7775B087" w:rsidR="00312F55" w:rsidRPr="006F1790" w:rsidRDefault="00E45BBC" w:rsidP="00312F55">
      <w:pPr>
        <w:spacing w:before="240"/>
        <w:rPr>
          <w:rFonts w:cs="Arial"/>
        </w:rPr>
      </w:pPr>
      <w:r w:rsidRPr="66CFDF20">
        <w:rPr>
          <w:rFonts w:cs="Arial"/>
        </w:rPr>
        <w:t>I</w:t>
      </w:r>
      <w:r w:rsidR="00312F55" w:rsidRPr="66CFDF20">
        <w:rPr>
          <w:rFonts w:cs="Arial"/>
        </w:rPr>
        <w:t xml:space="preserve">n 2019, the Omnibus Education Budget Bill, Senate Bill (SB) 75 (Chapter 51, Statutes of 2019), added the following </w:t>
      </w:r>
      <w:r w:rsidR="00BD7106" w:rsidRPr="006F1790">
        <w:rPr>
          <w:rFonts w:cs="Arial"/>
        </w:rPr>
        <w:t xml:space="preserve">bolded </w:t>
      </w:r>
      <w:r w:rsidR="00312F55" w:rsidRPr="006F1790">
        <w:rPr>
          <w:rFonts w:cs="Arial"/>
        </w:rPr>
        <w:t xml:space="preserve">language to </w:t>
      </w:r>
      <w:r w:rsidR="00312F55" w:rsidRPr="006F1790">
        <w:rPr>
          <w:rFonts w:cs="Arial"/>
          <w:i/>
          <w:iCs/>
        </w:rPr>
        <w:t>EC</w:t>
      </w:r>
      <w:r w:rsidR="00312F55" w:rsidRPr="006F1790">
        <w:rPr>
          <w:rFonts w:cs="Arial"/>
        </w:rPr>
        <w:t xml:space="preserve"> Section 52064.5(c):</w:t>
      </w:r>
    </w:p>
    <w:p w14:paraId="0C741AD3" w14:textId="77777777" w:rsidR="00312F55" w:rsidRPr="006F1790" w:rsidRDefault="00312F55" w:rsidP="00312F55">
      <w:pPr>
        <w:spacing w:before="240"/>
        <w:ind w:left="720" w:right="720"/>
      </w:pPr>
      <w:r w:rsidRPr="006F1790">
        <w:t xml:space="preserve">(c) As part of the evaluation rubrics, the state board shall adopt state and local indicators to measure school district and individual </w:t>
      </w:r>
      <w:proofErr w:type="spellStart"/>
      <w:r w:rsidRPr="006F1790">
        <w:t>schoolsite</w:t>
      </w:r>
      <w:proofErr w:type="spellEnd"/>
      <w:r w:rsidRPr="006F1790">
        <w:t xml:space="preserve"> performance in regard to each of the state priorities described in subdivision </w:t>
      </w:r>
      <w:r w:rsidRPr="006F1790">
        <w:rPr>
          <w:bCs/>
        </w:rPr>
        <w:t>(d) of Section 52060.</w:t>
      </w:r>
      <w:r w:rsidRPr="006F1790">
        <w:rPr>
          <w:b/>
          <w:bCs/>
        </w:rPr>
        <w:t xml:space="preserve"> No later than January 31, 2021, local indicators shall reflect school-level data to the extent the department collects or otherwise has access to relevant and reliable school-level data for all schools statewide.</w:t>
      </w:r>
    </w:p>
    <w:p w14:paraId="5D35B8AA" w14:textId="14F4667E" w:rsidR="00312F55" w:rsidRPr="006F1790" w:rsidRDefault="00312F55" w:rsidP="00312F55">
      <w:pPr>
        <w:spacing w:before="240"/>
        <w:rPr>
          <w:rFonts w:cs="Arial"/>
        </w:rPr>
      </w:pPr>
      <w:r w:rsidRPr="006F1790">
        <w:t xml:space="preserve">Additionally, SB 75 amended </w:t>
      </w:r>
      <w:r w:rsidRPr="006F1790">
        <w:rPr>
          <w:i/>
        </w:rPr>
        <w:t>EC</w:t>
      </w:r>
      <w:r w:rsidRPr="006F1790">
        <w:t xml:space="preserve"> Section 52064.5(e)(2) to include the following </w:t>
      </w:r>
      <w:r w:rsidR="00151227" w:rsidRPr="006F1790">
        <w:t xml:space="preserve">bolded </w:t>
      </w:r>
      <w:r w:rsidRPr="006F1790">
        <w:t>language related to the Local Control Accountability Plan:</w:t>
      </w:r>
    </w:p>
    <w:p w14:paraId="70FA2B72" w14:textId="77777777" w:rsidR="00312F55" w:rsidRDefault="00312F55" w:rsidP="66CFDF20">
      <w:pPr>
        <w:spacing w:before="240" w:after="240"/>
        <w:ind w:left="720" w:right="720"/>
        <w:rPr>
          <w:rStyle w:val="Heading2Char"/>
          <w:bCs/>
        </w:rPr>
      </w:pPr>
      <w:r w:rsidRPr="006F1790">
        <w:rPr>
          <w:rFonts w:cs="Arial"/>
          <w:b/>
          <w:bCs/>
        </w:rPr>
        <w:t xml:space="preserve">(2) No later than January 31, 2020, the standards for local indicators shall, at a minimum, ensure that the governing board of a school district, the county board of education, and the governing body of a charter school review any data to be publicly reported for local indicators in conjunction with adoption of the local control and </w:t>
      </w:r>
      <w:r w:rsidRPr="006F1790">
        <w:rPr>
          <w:rFonts w:cs="Arial"/>
          <w:b/>
          <w:bCs/>
        </w:rPr>
        <w:lastRenderedPageBreak/>
        <w:t xml:space="preserve">accountability plan pursuant to Section 52062, 52068, or 47606.5, as applicable. No later than January 31, 2021, the standards for local indicators for which the department collects or otherwise has access to relevant and reliable school-level data for all schools statewide shall, to the extent practicable, be based on objective criteria, which may include, but are not necessarily limited to, the extent of any disparities across </w:t>
      </w:r>
      <w:proofErr w:type="spellStart"/>
      <w:r w:rsidRPr="006F1790">
        <w:rPr>
          <w:rFonts w:cs="Arial"/>
          <w:b/>
          <w:bCs/>
        </w:rPr>
        <w:t>schoolsites</w:t>
      </w:r>
      <w:proofErr w:type="spellEnd"/>
      <w:r w:rsidRPr="006F1790">
        <w:rPr>
          <w:rFonts w:cs="Arial"/>
          <w:b/>
          <w:bCs/>
        </w:rPr>
        <w:t xml:space="preserve"> within a school district or county office of education or performance relative to statewide data.</w:t>
      </w:r>
    </w:p>
    <w:p w14:paraId="48619E83" w14:textId="77777777" w:rsidR="00312F55" w:rsidRDefault="00312F55" w:rsidP="00312F55">
      <w:pPr>
        <w:shd w:val="clear" w:color="auto" w:fill="FFFFFF"/>
        <w:spacing w:before="100" w:beforeAutospacing="1" w:after="100" w:afterAutospacing="1"/>
        <w:rPr>
          <w:rFonts w:cs="Arial"/>
        </w:rPr>
      </w:pPr>
      <w:r>
        <w:rPr>
          <w:rFonts w:cs="Arial"/>
        </w:rPr>
        <w:t xml:space="preserve">Based on this language, the CDE reviewed the local indicators and one data point from Priority 1, related to the assignment of teachers, and plans to explore further whether this data set meets the criteria outlined in SB 75. Priority 1 relates to </w:t>
      </w:r>
      <w:r w:rsidRPr="009A6CAC">
        <w:rPr>
          <w:rFonts w:cs="Arial"/>
        </w:rPr>
        <w:t>Basic Services and Conditions at schools</w:t>
      </w:r>
      <w:r>
        <w:rPr>
          <w:rFonts w:cs="Arial"/>
        </w:rPr>
        <w:t xml:space="preserve"> and includes three parts: 1) t</w:t>
      </w:r>
      <w:r w:rsidRPr="009A6CAC">
        <w:rPr>
          <w:rFonts w:cs="Arial"/>
        </w:rPr>
        <w:t xml:space="preserve">ext books availability, </w:t>
      </w:r>
      <w:r>
        <w:rPr>
          <w:rFonts w:cs="Arial"/>
        </w:rPr>
        <w:t xml:space="preserve">2) </w:t>
      </w:r>
      <w:r w:rsidRPr="009A6CAC">
        <w:rPr>
          <w:rFonts w:cs="Arial"/>
        </w:rPr>
        <w:t xml:space="preserve">adequate facilities, and </w:t>
      </w:r>
      <w:r>
        <w:rPr>
          <w:rFonts w:cs="Arial"/>
        </w:rPr>
        <w:t xml:space="preserve">3) </w:t>
      </w:r>
      <w:r w:rsidRPr="009A6CAC">
        <w:rPr>
          <w:rFonts w:cs="Arial"/>
        </w:rPr>
        <w:t>correctly assigned teachers.</w:t>
      </w:r>
      <w:r>
        <w:rPr>
          <w:rFonts w:cs="Arial"/>
        </w:rPr>
        <w:t xml:space="preserve"> </w:t>
      </w:r>
    </w:p>
    <w:p w14:paraId="640AE938" w14:textId="77777777" w:rsidR="00312F55" w:rsidRPr="00C36E87" w:rsidRDefault="00312F55" w:rsidP="00C36E87">
      <w:pPr>
        <w:pStyle w:val="Heading2"/>
        <w:rPr>
          <w:sz w:val="24"/>
          <w:szCs w:val="24"/>
        </w:rPr>
      </w:pPr>
      <w:r w:rsidRPr="00C36E87">
        <w:rPr>
          <w:sz w:val="24"/>
          <w:szCs w:val="24"/>
        </w:rPr>
        <w:t>School Accountability Report Cards</w:t>
      </w:r>
    </w:p>
    <w:p w14:paraId="11A1FD30" w14:textId="3E63F916" w:rsidR="00312F55" w:rsidRDefault="00312F55" w:rsidP="00312F55">
      <w:pPr>
        <w:shd w:val="clear" w:color="auto" w:fill="FFFFFF"/>
        <w:spacing w:before="100" w:beforeAutospacing="1" w:after="100" w:afterAutospacing="1"/>
        <w:rPr>
          <w:rFonts w:ascii="Helvetica" w:hAnsi="Helvetica" w:cs="Helvetica"/>
          <w:color w:val="000000"/>
          <w:shd w:val="clear" w:color="auto" w:fill="FFFFFF"/>
        </w:rPr>
      </w:pPr>
      <w:r>
        <w:rPr>
          <w:rFonts w:cs="Arial"/>
        </w:rPr>
        <w:t xml:space="preserve">Priority 1 was modeled after similar information which is currently self-reported annually in the School Accountability Report Card (SARC). These requirements were added to the SARC as a result of </w:t>
      </w:r>
      <w:r w:rsidRPr="00C02EB9">
        <w:rPr>
          <w:rFonts w:cs="Arial"/>
        </w:rPr>
        <w:t xml:space="preserve">SB 550 (Chapter 900, Statutes of 2004). </w:t>
      </w:r>
      <w:r>
        <w:rPr>
          <w:rFonts w:cs="Arial"/>
        </w:rPr>
        <w:t>SB 550 was an</w:t>
      </w:r>
      <w:r w:rsidRPr="00C02EB9">
        <w:rPr>
          <w:rFonts w:cs="Arial"/>
        </w:rPr>
        <w:t xml:space="preserve"> urgency measure, which took effect immediately,</w:t>
      </w:r>
      <w:r>
        <w:rPr>
          <w:rFonts w:cs="Arial"/>
        </w:rPr>
        <w:t xml:space="preserve"> and</w:t>
      </w:r>
      <w:r w:rsidRPr="00C02EB9">
        <w:rPr>
          <w:rFonts w:cs="Arial"/>
        </w:rPr>
        <w:t xml:space="preserve"> implemented portio</w:t>
      </w:r>
      <w:r w:rsidR="00C36A6A">
        <w:rPr>
          <w:rFonts w:cs="Arial"/>
        </w:rPr>
        <w:t>n</w:t>
      </w:r>
      <w:r w:rsidRPr="00C02EB9">
        <w:rPr>
          <w:rFonts w:cs="Arial"/>
        </w:rPr>
        <w:t>s of the settlement agreement in the case of</w:t>
      </w:r>
      <w:r>
        <w:rPr>
          <w:rFonts w:cs="Arial"/>
        </w:rPr>
        <w:t xml:space="preserve"> </w:t>
      </w:r>
      <w:r w:rsidRPr="00C02EB9">
        <w:rPr>
          <w:rFonts w:cs="Arial"/>
          <w:i/>
          <w:iCs/>
        </w:rPr>
        <w:t>Williams, et</w:t>
      </w:r>
      <w:r>
        <w:rPr>
          <w:rFonts w:cs="Arial"/>
          <w:i/>
          <w:iCs/>
        </w:rPr>
        <w:t xml:space="preserve"> </w:t>
      </w:r>
      <w:proofErr w:type="spellStart"/>
      <w:r w:rsidRPr="00C02EB9">
        <w:rPr>
          <w:rFonts w:cs="Arial"/>
          <w:i/>
          <w:iCs/>
        </w:rPr>
        <w:t>al.</w:t>
      </w:r>
      <w:r w:rsidRPr="00C02EB9">
        <w:rPr>
          <w:rFonts w:cs="Arial"/>
        </w:rPr>
        <w:t>v</w:t>
      </w:r>
      <w:proofErr w:type="spellEnd"/>
      <w:r w:rsidRPr="00C02EB9">
        <w:rPr>
          <w:rFonts w:cs="Arial"/>
        </w:rPr>
        <w:t>.</w:t>
      </w:r>
      <w:r>
        <w:rPr>
          <w:rFonts w:cs="Arial"/>
        </w:rPr>
        <w:t xml:space="preserve"> </w:t>
      </w:r>
      <w:r w:rsidRPr="00C02EB9">
        <w:rPr>
          <w:rFonts w:cs="Arial"/>
          <w:i/>
          <w:iCs/>
        </w:rPr>
        <w:t>State of California, et al.</w:t>
      </w:r>
      <w:r>
        <w:rPr>
          <w:rFonts w:cs="Arial"/>
          <w:i/>
          <w:iCs/>
        </w:rPr>
        <w:t xml:space="preserve"> </w:t>
      </w:r>
      <w:r>
        <w:rPr>
          <w:rFonts w:cs="Arial"/>
          <w:iCs/>
        </w:rPr>
        <w:t xml:space="preserve">Specifically, </w:t>
      </w:r>
      <w:r w:rsidRPr="00C02EB9">
        <w:rPr>
          <w:rFonts w:cs="Arial"/>
        </w:rPr>
        <w:t>SB 550 added additional reporting requirements relating to (1) any needed maintenance to ensure "good repair" of school facilities, (2) the number of teacher "</w:t>
      </w:r>
      <w:proofErr w:type="spellStart"/>
      <w:r w:rsidRPr="00C02EB9">
        <w:rPr>
          <w:rFonts w:cs="Arial"/>
        </w:rPr>
        <w:t>misassignments</w:t>
      </w:r>
      <w:proofErr w:type="spellEnd"/>
      <w:r w:rsidRPr="00C02EB9">
        <w:rPr>
          <w:rFonts w:cs="Arial"/>
        </w:rPr>
        <w:t>" and "vacant teacher positions," and (3) the availability of "sufficient textbooks and other instructional materials."</w:t>
      </w:r>
      <w:r>
        <w:rPr>
          <w:rFonts w:cs="Arial"/>
        </w:rPr>
        <w:t xml:space="preserve"> </w:t>
      </w:r>
    </w:p>
    <w:p w14:paraId="0E7AC6E0" w14:textId="32EDD9BA" w:rsidR="00312F55" w:rsidRPr="005D3F9C" w:rsidRDefault="00312F55" w:rsidP="66CFDF20">
      <w:pPr>
        <w:spacing w:before="100" w:beforeAutospacing="1" w:after="100" w:afterAutospacing="1"/>
        <w:rPr>
          <w:rFonts w:cs="Arial"/>
        </w:rPr>
      </w:pPr>
      <w:r w:rsidRPr="00682340">
        <w:rPr>
          <w:rFonts w:cs="Arial"/>
          <w:color w:val="000000"/>
          <w:shd w:val="clear" w:color="auto" w:fill="FFFFFF"/>
        </w:rPr>
        <w:t>To relieve the data burden on schools, the CDE provides a pre-population of most elements on the SARC with the data that the schools/LEAs provide to the CDE during the school year</w:t>
      </w:r>
      <w:r w:rsidRPr="006F1790">
        <w:rPr>
          <w:rFonts w:cs="Arial"/>
          <w:color w:val="000000"/>
          <w:shd w:val="clear" w:color="auto" w:fill="FFFFFF"/>
        </w:rPr>
        <w:t xml:space="preserve">. </w:t>
      </w:r>
      <w:r w:rsidR="6418FA96" w:rsidRPr="006F1790">
        <w:rPr>
          <w:rFonts w:cs="Arial"/>
          <w:color w:val="000000"/>
          <w:shd w:val="clear" w:color="auto" w:fill="FFFFFF"/>
        </w:rPr>
        <w:t>Currently, the CDE does not pre-populate the teacher misassignment and vacancy data in the SARC, it is populated by LEAs.</w:t>
      </w:r>
      <w:r w:rsidR="6418FA96" w:rsidRPr="00682340">
        <w:rPr>
          <w:rFonts w:cs="Arial"/>
          <w:color w:val="000000"/>
          <w:shd w:val="clear" w:color="auto" w:fill="FFFFFF"/>
        </w:rPr>
        <w:t xml:space="preserve"> </w:t>
      </w:r>
      <w:r w:rsidR="3EAC3F21" w:rsidRPr="00682340">
        <w:rPr>
          <w:rFonts w:cs="Arial"/>
          <w:color w:val="000000"/>
          <w:shd w:val="clear" w:color="auto" w:fill="FFFFFF"/>
        </w:rPr>
        <w:t>I</w:t>
      </w:r>
      <w:r w:rsidRPr="00682340">
        <w:rPr>
          <w:rFonts w:cs="Arial"/>
          <w:color w:val="000000"/>
          <w:shd w:val="clear" w:color="auto" w:fill="FFFFFF"/>
        </w:rPr>
        <w:t>t is the responsibility of the school/LEA to validate the data prior to posting. The schools/LEAs are ultimately responsible for the completion of their entire SARC and for the accuracy of all data in their SARC.</w:t>
      </w:r>
    </w:p>
    <w:p w14:paraId="172C27D7" w14:textId="77777777" w:rsidR="00312F55" w:rsidRPr="00C36E87" w:rsidRDefault="00312F55" w:rsidP="00C36E87">
      <w:pPr>
        <w:pStyle w:val="Heading2"/>
        <w:rPr>
          <w:sz w:val="24"/>
          <w:szCs w:val="24"/>
        </w:rPr>
      </w:pPr>
      <w:r w:rsidRPr="00C36E87">
        <w:rPr>
          <w:sz w:val="24"/>
          <w:szCs w:val="24"/>
        </w:rPr>
        <w:t>Every Student Succeeds Act Requirements</w:t>
      </w:r>
    </w:p>
    <w:p w14:paraId="140119E2" w14:textId="77777777" w:rsidR="00312F55" w:rsidRDefault="00312F55" w:rsidP="00312F55">
      <w:pPr>
        <w:shd w:val="clear" w:color="auto" w:fill="FFFFFF"/>
        <w:spacing w:before="100" w:beforeAutospacing="1" w:after="100" w:afterAutospacing="1"/>
        <w:rPr>
          <w:rFonts w:cs="Arial"/>
        </w:rPr>
      </w:pPr>
      <w:r>
        <w:rPr>
          <w:rFonts w:cs="Arial"/>
        </w:rPr>
        <w:t>California’s approved Every Student Succeeds Act (ESSA) State Plan only uses state indicators to make eligibility determinations for schools in Comprehensive Support and Improvement (CSI) and Additional Targeted Support and Improvement (ATSI). ESSA also requires the annual reporting of teacher qualifications an</w:t>
      </w:r>
      <w:r>
        <w:rPr>
          <w:rFonts w:ascii="Helvetica" w:hAnsi="Helvetica" w:cs="Helvetica"/>
          <w:color w:val="000000"/>
        </w:rPr>
        <w:t>d te</w:t>
      </w:r>
      <w:r w:rsidRPr="005A11AD">
        <w:rPr>
          <w:rFonts w:ascii="Helvetica" w:hAnsi="Helvetica" w:cs="Helvetica"/>
          <w:color w:val="000000"/>
        </w:rPr>
        <w:t xml:space="preserve">acher </w:t>
      </w:r>
      <w:r>
        <w:rPr>
          <w:rFonts w:ascii="Helvetica" w:hAnsi="Helvetica" w:cs="Helvetica"/>
          <w:color w:val="000000"/>
        </w:rPr>
        <w:t>c</w:t>
      </w:r>
      <w:r w:rsidRPr="005A11AD">
        <w:rPr>
          <w:rFonts w:ascii="Helvetica" w:hAnsi="Helvetica" w:cs="Helvetica"/>
          <w:color w:val="000000"/>
        </w:rPr>
        <w:t>redentials</w:t>
      </w:r>
      <w:r>
        <w:rPr>
          <w:rFonts w:ascii="Helvetica" w:hAnsi="Helvetica" w:cs="Helvetica"/>
          <w:color w:val="000000"/>
        </w:rPr>
        <w:t xml:space="preserve"> and t</w:t>
      </w:r>
      <w:r w:rsidRPr="005A11AD">
        <w:rPr>
          <w:rFonts w:ascii="Helvetica" w:hAnsi="Helvetica" w:cs="Helvetica"/>
          <w:color w:val="000000"/>
        </w:rPr>
        <w:t xml:space="preserve">eacher </w:t>
      </w:r>
      <w:r>
        <w:rPr>
          <w:rFonts w:ascii="Helvetica" w:hAnsi="Helvetica" w:cs="Helvetica"/>
          <w:color w:val="000000"/>
        </w:rPr>
        <w:t>e</w:t>
      </w:r>
      <w:r w:rsidRPr="005A11AD">
        <w:rPr>
          <w:rFonts w:ascii="Helvetica" w:hAnsi="Helvetica" w:cs="Helvetica"/>
          <w:color w:val="000000"/>
        </w:rPr>
        <w:t xml:space="preserve">ducation </w:t>
      </w:r>
      <w:r>
        <w:rPr>
          <w:rFonts w:ascii="Helvetica" w:hAnsi="Helvetica" w:cs="Helvetica"/>
          <w:color w:val="000000"/>
        </w:rPr>
        <w:t>l</w:t>
      </w:r>
      <w:r w:rsidRPr="005A11AD">
        <w:rPr>
          <w:rFonts w:ascii="Helvetica" w:hAnsi="Helvetica" w:cs="Helvetica"/>
          <w:color w:val="000000"/>
        </w:rPr>
        <w:t>evels</w:t>
      </w:r>
      <w:r>
        <w:rPr>
          <w:rFonts w:cs="Arial"/>
        </w:rPr>
        <w:t xml:space="preserve"> through the Local Educational Agency Report Cards and the State Accountability Report Cards</w:t>
      </w:r>
      <w:r>
        <w:rPr>
          <w:rFonts w:ascii="Helvetica" w:hAnsi="Helvetica" w:cs="Helvetica"/>
          <w:color w:val="000000"/>
        </w:rPr>
        <w:t>. The CDE develops and publishes these reports with data collected from LEAs.</w:t>
      </w:r>
    </w:p>
    <w:p w14:paraId="094A9E1D" w14:textId="77777777" w:rsidR="00312F55" w:rsidRDefault="00312F55" w:rsidP="00312F55">
      <w:pPr>
        <w:pStyle w:val="Heading2"/>
      </w:pPr>
      <w:r>
        <w:lastRenderedPageBreak/>
        <w:t>Process to Add New Measures to the California School D</w:t>
      </w:r>
      <w:r w:rsidRPr="009F6ABD">
        <w:t>ashboard</w:t>
      </w:r>
    </w:p>
    <w:p w14:paraId="0EA07C0E" w14:textId="77777777" w:rsidR="00312F55" w:rsidRDefault="00312F55" w:rsidP="00312F55">
      <w:pPr>
        <w:spacing w:after="240"/>
        <w:rPr>
          <w:rFonts w:cs="Arial"/>
        </w:rPr>
      </w:pPr>
      <w:r>
        <w:rPr>
          <w:rFonts w:cs="Arial"/>
        </w:rPr>
        <w:t xml:space="preserve">Prior to adding indicators to the Dashboard, the CDE engages in a comprehensive process to ensure that the data collected is fair and reliable, is shared and vetted with stakeholders, and conducts a review of the impact on the measures for consideration in the school and LEA eligible for assistance. The inclusion of the College/Career Indicator in 2018 and the ongoing work around development of a reliable student growth model are two examples of the deliberate, measured approach prior to making significant changes to the Dashboard. </w:t>
      </w:r>
    </w:p>
    <w:p w14:paraId="3DC3DD6F" w14:textId="77777777" w:rsidR="00312F55" w:rsidRDefault="00312F55" w:rsidP="00312F55">
      <w:pPr>
        <w:spacing w:after="240"/>
        <w:rPr>
          <w:rFonts w:cs="Arial"/>
        </w:rPr>
      </w:pPr>
      <w:r>
        <w:rPr>
          <w:rFonts w:cs="Arial"/>
        </w:rPr>
        <w:t xml:space="preserve">With the development of the Dashboard, the CDE has a systematic and rigorous vetting and approval process for inclusion of indicators in the Dashboard. This process includes first collecting data, conducting data analyses and simulations, and working closely with the Technical Design Group, an advisory body to the CDE, to determine the validity and reliability of the data elements. The CDE additionally convenes workgroups including practitioners, educators, researchers, data experts, and other members of the public in order to further assess the fairness and appropriateness of the data and information that is recommended to the SBE for inclusion on the Dashboard. </w:t>
      </w:r>
    </w:p>
    <w:p w14:paraId="1E12B595" w14:textId="07B004D6" w:rsidR="00312F55" w:rsidRDefault="00312F55" w:rsidP="00312F55">
      <w:pPr>
        <w:spacing w:after="240"/>
        <w:rPr>
          <w:rFonts w:cs="Arial"/>
        </w:rPr>
      </w:pPr>
      <w:r>
        <w:rPr>
          <w:rFonts w:cs="Arial"/>
        </w:rPr>
        <w:t xml:space="preserve">To assist with making a recommendation to the SBE, the </w:t>
      </w:r>
      <w:r w:rsidR="00C36A6A">
        <w:rPr>
          <w:rFonts w:cs="Arial"/>
        </w:rPr>
        <w:t xml:space="preserve">also </w:t>
      </w:r>
      <w:r>
        <w:rPr>
          <w:rFonts w:cs="Arial"/>
        </w:rPr>
        <w:t xml:space="preserve">CDE presents proposed </w:t>
      </w:r>
      <w:r w:rsidR="00C36A6A">
        <w:rPr>
          <w:rFonts w:cs="Arial"/>
        </w:rPr>
        <w:t xml:space="preserve">changes to the </w:t>
      </w:r>
      <w:r>
        <w:rPr>
          <w:rFonts w:cs="Arial"/>
        </w:rPr>
        <w:t>Dashboard</w:t>
      </w:r>
      <w:r w:rsidR="00C36A6A">
        <w:rPr>
          <w:rFonts w:cs="Arial"/>
        </w:rPr>
        <w:t xml:space="preserve"> to</w:t>
      </w:r>
      <w:r>
        <w:rPr>
          <w:rFonts w:cs="Arial"/>
        </w:rPr>
        <w:t xml:space="preserve"> various stakeholder groups. These groups </w:t>
      </w:r>
      <w:r w:rsidR="00C36A6A">
        <w:rPr>
          <w:rFonts w:cs="Arial"/>
        </w:rPr>
        <w:t xml:space="preserve">are asked to provide feedback on the proposal ahead of any action by the SBE. These stakeholders </w:t>
      </w:r>
      <w:r>
        <w:rPr>
          <w:rFonts w:cs="Arial"/>
        </w:rPr>
        <w:t xml:space="preserve">include, but are not limited to, the California Practitioners Advisory Group and LCFF Stakeholder Group. </w:t>
      </w:r>
    </w:p>
    <w:p w14:paraId="4ECCC8D4" w14:textId="79B77C1B" w:rsidR="00312F55" w:rsidRDefault="00312F55" w:rsidP="00312F55">
      <w:pPr>
        <w:spacing w:after="240"/>
        <w:rPr>
          <w:rFonts w:cs="Arial"/>
        </w:rPr>
      </w:pPr>
      <w:r>
        <w:rPr>
          <w:rFonts w:cs="Arial"/>
        </w:rPr>
        <w:t xml:space="preserve">Finally, when new indicators are under consideration for the Dashboard, the CDE must evaluate </w:t>
      </w:r>
      <w:r w:rsidR="00C36A6A">
        <w:rPr>
          <w:rFonts w:cs="Arial"/>
        </w:rPr>
        <w:t>how to incorporate the indicator in the</w:t>
      </w:r>
      <w:r>
        <w:rPr>
          <w:rFonts w:cs="Arial"/>
        </w:rPr>
        <w:t xml:space="preserve"> eligibility criteria for Differentiated Assistance for LEAs as well as school support under CSI and ATSI. Note that any changes which impact the criteria for determining schools eligible for CSI and ATSI would require California to amend the current ESSA State Plan and submit the plan for approval to the U.S. Department of Education. </w:t>
      </w:r>
    </w:p>
    <w:p w14:paraId="21415398" w14:textId="3ED0DD2E" w:rsidR="00312F55" w:rsidRDefault="00312F55" w:rsidP="00312F55">
      <w:pPr>
        <w:pStyle w:val="Heading2"/>
        <w:spacing w:after="240"/>
      </w:pPr>
      <w:r>
        <w:t>Teacher Misa</w:t>
      </w:r>
      <w:r w:rsidR="001B278A">
        <w:t>s</w:t>
      </w:r>
      <w:r>
        <w:t xml:space="preserve">signment Data </w:t>
      </w:r>
    </w:p>
    <w:p w14:paraId="6230BB3E" w14:textId="03F173B8" w:rsidR="00312F55" w:rsidRDefault="00312F55" w:rsidP="00312F55">
      <w:r>
        <w:t>As previously mentioned, the first data set that the CDE has identified may meet the standards under SB 75 for local indicators to “reflect school-level data to the extent the department collects or otherwise has access to relevant and reliable school-level data for all schools statewide”, is the teacher misa</w:t>
      </w:r>
      <w:r w:rsidR="001B278A">
        <w:t>s</w:t>
      </w:r>
      <w:r>
        <w:t xml:space="preserve">signment data set. </w:t>
      </w:r>
    </w:p>
    <w:p w14:paraId="028C2F3D" w14:textId="4594B5D2" w:rsidR="00312F55" w:rsidRDefault="00312F55" w:rsidP="00312F55">
      <w:pPr>
        <w:spacing w:before="240"/>
      </w:pPr>
      <w:r>
        <w:rPr>
          <w:rFonts w:cs="Arial"/>
        </w:rPr>
        <w:t xml:space="preserve">The CDE annually collects staffing information through the California Longitudinal Pupil Achievement Data System (CALPADS). This data is matched with data collected by the CTC, which will allow the CDE meet the necessary reporting requirements in California’s ESSA State Plan. In 2018, the CDE and the CTC signed a data sharing memorandum of understanding (MOU) to formally exchange teacher and credential data. </w:t>
      </w:r>
      <w:r w:rsidRPr="00E45061">
        <w:rPr>
          <w:rFonts w:cs="Arial"/>
        </w:rPr>
        <w:t xml:space="preserve">Since </w:t>
      </w:r>
      <w:r>
        <w:rPr>
          <w:rFonts w:cs="Arial"/>
        </w:rPr>
        <w:t>that time</w:t>
      </w:r>
      <w:r w:rsidRPr="00E45061">
        <w:rPr>
          <w:rFonts w:cs="Arial"/>
        </w:rPr>
        <w:t>, th</w:t>
      </w:r>
      <w:r>
        <w:rPr>
          <w:rFonts w:cs="Arial"/>
        </w:rPr>
        <w:t xml:space="preserve">e parties have worked on developing an expanded data exchange </w:t>
      </w:r>
      <w:r w:rsidRPr="00E45061">
        <w:rPr>
          <w:rFonts w:cs="Arial"/>
        </w:rPr>
        <w:t xml:space="preserve">to </w:t>
      </w:r>
      <w:r>
        <w:rPr>
          <w:rFonts w:cs="Arial"/>
        </w:rPr>
        <w:t>allow the CDE to begin reporting on misa</w:t>
      </w:r>
      <w:r w:rsidR="001B278A">
        <w:rPr>
          <w:rFonts w:cs="Arial"/>
        </w:rPr>
        <w:t>s</w:t>
      </w:r>
      <w:r>
        <w:rPr>
          <w:rFonts w:cs="Arial"/>
        </w:rPr>
        <w:t xml:space="preserve">signment data at the state, LEA, </w:t>
      </w:r>
      <w:r>
        <w:rPr>
          <w:rFonts w:cs="Arial"/>
        </w:rPr>
        <w:lastRenderedPageBreak/>
        <w:t>and school level. The 2019–20 school year is the first year of this expanded data exchange.</w:t>
      </w:r>
    </w:p>
    <w:p w14:paraId="56FCF859" w14:textId="77777777" w:rsidR="00312F55" w:rsidRPr="00C36E87" w:rsidRDefault="00312F55" w:rsidP="00C36E87">
      <w:pPr>
        <w:pStyle w:val="Heading2"/>
        <w:rPr>
          <w:sz w:val="24"/>
          <w:szCs w:val="24"/>
        </w:rPr>
      </w:pPr>
      <w:r w:rsidRPr="00C36E87">
        <w:rPr>
          <w:sz w:val="24"/>
          <w:szCs w:val="24"/>
        </w:rPr>
        <w:t>Data Exchange Key Events</w:t>
      </w:r>
    </w:p>
    <w:p w14:paraId="41D04939" w14:textId="77777777" w:rsidR="00312F55" w:rsidRPr="00CB1241" w:rsidRDefault="00312F55" w:rsidP="00312F55">
      <w:pPr>
        <w:spacing w:before="240" w:after="240"/>
        <w:rPr>
          <w:rFonts w:eastAsiaTheme="majorEastAsia"/>
        </w:rPr>
      </w:pPr>
      <w:r>
        <w:rPr>
          <w:rFonts w:eastAsiaTheme="majorEastAsia"/>
        </w:rPr>
        <w:t xml:space="preserve">This section provides an overview of key events in the data exchange process between the CDE and the CTC. </w:t>
      </w:r>
    </w:p>
    <w:p w14:paraId="6E95E6D9" w14:textId="347741BA" w:rsidR="00312F55" w:rsidRPr="006F1790" w:rsidRDefault="00312F55" w:rsidP="00312F55">
      <w:pPr>
        <w:spacing w:after="240"/>
      </w:pPr>
      <w:r>
        <w:rPr>
          <w:b/>
        </w:rPr>
        <w:t xml:space="preserve">October </w:t>
      </w:r>
      <w:r w:rsidRPr="00E45061">
        <w:rPr>
          <w:b/>
        </w:rPr>
        <w:t>2018:</w:t>
      </w:r>
      <w:r w:rsidRPr="00E45061">
        <w:t xml:space="preserve"> </w:t>
      </w:r>
      <w:r w:rsidR="007A066C" w:rsidRPr="007A066C">
        <w:rPr>
          <w:rFonts w:cs="Arial"/>
        </w:rPr>
        <w:t xml:space="preserve">The Budget Act of 2018 allocated funds with the intent that the </w:t>
      </w:r>
      <w:r w:rsidR="007A066C">
        <w:rPr>
          <w:rFonts w:cs="Arial"/>
        </w:rPr>
        <w:t>CTC</w:t>
      </w:r>
      <w:r w:rsidR="007A066C" w:rsidRPr="007A066C">
        <w:rPr>
          <w:rFonts w:cs="Arial"/>
        </w:rPr>
        <w:t xml:space="preserve"> create a streamlined and partially automated assignment monitoring system that </w:t>
      </w:r>
      <w:r w:rsidR="00171D8E" w:rsidRPr="006F1790">
        <w:rPr>
          <w:rFonts w:cs="Arial"/>
        </w:rPr>
        <w:t>will</w:t>
      </w:r>
      <w:r w:rsidR="007A066C" w:rsidRPr="006F1790">
        <w:rPr>
          <w:rFonts w:cs="Arial"/>
        </w:rPr>
        <w:t xml:space="preserve"> allow annual monitoring of all schools. The system became know</w:t>
      </w:r>
      <w:r w:rsidR="00B543EB" w:rsidRPr="006F1790">
        <w:rPr>
          <w:rFonts w:cs="Arial"/>
        </w:rPr>
        <w:t>n</w:t>
      </w:r>
      <w:r w:rsidR="007A066C" w:rsidRPr="006F1790">
        <w:rPr>
          <w:rFonts w:cs="Arial"/>
        </w:rPr>
        <w:t xml:space="preserve"> as the California Statewide Assignment Accountability System (</w:t>
      </w:r>
      <w:proofErr w:type="spellStart"/>
      <w:r w:rsidR="007A066C" w:rsidRPr="006F1790">
        <w:rPr>
          <w:rFonts w:cs="Arial"/>
        </w:rPr>
        <w:t>CalSAAS</w:t>
      </w:r>
      <w:proofErr w:type="spellEnd"/>
      <w:r w:rsidR="007A066C" w:rsidRPr="006F1790">
        <w:rPr>
          <w:rFonts w:cs="Arial"/>
        </w:rPr>
        <w:t xml:space="preserve">). </w:t>
      </w:r>
      <w:r w:rsidRPr="006F1790">
        <w:rPr>
          <w:rFonts w:cs="Arial"/>
        </w:rPr>
        <w:t>The</w:t>
      </w:r>
      <w:r w:rsidRPr="006F1790">
        <w:t xml:space="preserve"> CDE and CTC sign</w:t>
      </w:r>
      <w:r w:rsidR="00C36A6A" w:rsidRPr="006F1790">
        <w:t>ed</w:t>
      </w:r>
      <w:r w:rsidRPr="006F1790">
        <w:t xml:space="preserve"> a data sharing MOU formalizing a data exchange that outline</w:t>
      </w:r>
      <w:r w:rsidR="00C36A6A" w:rsidRPr="006F1790">
        <w:t>s</w:t>
      </w:r>
      <w:r w:rsidRPr="006F1790">
        <w:t xml:space="preserve"> the sharing of course and teacher assignment information from the CDE to the CTC, and in turn the CTC sharing credential information with CDE.</w:t>
      </w:r>
    </w:p>
    <w:p w14:paraId="16FC8417" w14:textId="29469F29" w:rsidR="00171D8E" w:rsidRPr="006F1790" w:rsidRDefault="00171D8E" w:rsidP="00312F55">
      <w:pPr>
        <w:spacing w:after="240"/>
      </w:pPr>
      <w:r w:rsidRPr="006F1790">
        <w:t>The CDE and the CTC also committed to meet on a quarterly basis to share updates on policy developments that may impact the data exchange and the teacher monitoring process. These meetings are ongoing and continue to present day.</w:t>
      </w:r>
    </w:p>
    <w:p w14:paraId="07C5F631" w14:textId="4801718E" w:rsidR="00312F55" w:rsidRPr="00E45061" w:rsidRDefault="00312F55" w:rsidP="00312F55">
      <w:pPr>
        <w:spacing w:after="240"/>
      </w:pPr>
      <w:r w:rsidRPr="006F1790">
        <w:rPr>
          <w:b/>
        </w:rPr>
        <w:t>July 2019:</w:t>
      </w:r>
      <w:r w:rsidRPr="006F1790">
        <w:t xml:space="preserve"> The CDE implemented an overhaul of </w:t>
      </w:r>
      <w:r w:rsidR="00171D8E" w:rsidRPr="006F1790">
        <w:t xml:space="preserve">state </w:t>
      </w:r>
      <w:r w:rsidRPr="006F1790">
        <w:t xml:space="preserve">course codes </w:t>
      </w:r>
      <w:r w:rsidR="00171D8E" w:rsidRPr="006F1790">
        <w:t xml:space="preserve">collected from LEAs as part </w:t>
      </w:r>
      <w:r w:rsidRPr="006F1790">
        <w:t xml:space="preserve">of the CALPADS Fall 2 data submission </w:t>
      </w:r>
      <w:r w:rsidR="00171D8E" w:rsidRPr="006F1790">
        <w:t xml:space="preserve">that was </w:t>
      </w:r>
      <w:r w:rsidRPr="006F1790">
        <w:t xml:space="preserve">scheduled to close in March 2020. The Fall 2 collection includes </w:t>
      </w:r>
      <w:r w:rsidR="00171D8E" w:rsidRPr="006F1790">
        <w:t xml:space="preserve">staff assignments for all certificated staff (i.e., teachers, administrators, and pupil services), teacher course assignments and non-classroom-based assignments, and student course enrollment, which are collectively the impetus for the teacher monitoring process. </w:t>
      </w:r>
      <w:r w:rsidRPr="006F1790">
        <w:t>The course code overhaul is anticipated</w:t>
      </w:r>
      <w:r>
        <w:t xml:space="preserve"> to </w:t>
      </w:r>
      <w:r w:rsidRPr="00E45061">
        <w:t xml:space="preserve">provide the CTC with more detailed information about courses taught in order to streamline/assist the teacher monitoring process. </w:t>
      </w:r>
    </w:p>
    <w:p w14:paraId="508263E2" w14:textId="6D4A3D61" w:rsidR="00312F55" w:rsidRPr="00E45061" w:rsidRDefault="00A65456" w:rsidP="00312F55">
      <w:pPr>
        <w:spacing w:after="240"/>
      </w:pPr>
      <w:r>
        <w:rPr>
          <w:b/>
        </w:rPr>
        <w:t>Technical</w:t>
      </w:r>
      <w:r w:rsidR="00312F55">
        <w:rPr>
          <w:b/>
        </w:rPr>
        <w:t xml:space="preserve"> Assistance Training:</w:t>
      </w:r>
      <w:r w:rsidR="00312F55">
        <w:t xml:space="preserve"> Prior to the implementing these course code changes in CALPADS, in the 2018</w:t>
      </w:r>
      <w:r w:rsidR="00312F55">
        <w:rPr>
          <w:rFonts w:cs="Arial"/>
        </w:rPr>
        <w:t>–</w:t>
      </w:r>
      <w:r w:rsidR="00312F55">
        <w:t xml:space="preserve">19 school year, </w:t>
      </w:r>
      <w:r w:rsidR="00312F55" w:rsidRPr="00E45061">
        <w:t xml:space="preserve">the CDE conducted numerous training and outreach sessions to assist </w:t>
      </w:r>
      <w:r w:rsidR="00312F55">
        <w:t xml:space="preserve">LEAs understand the impact of the </w:t>
      </w:r>
      <w:r w:rsidR="00312F55" w:rsidRPr="00E45061">
        <w:t>new course code submission</w:t>
      </w:r>
      <w:r w:rsidR="00312F55">
        <w:t xml:space="preserve"> process. LEAs were encouraged to bring their CALPADS Coordinators, Curriculum and Instruction staff, and Human Resource staff to the training to </w:t>
      </w:r>
      <w:r w:rsidR="00312F55" w:rsidRPr="00E45061">
        <w:t xml:space="preserve">ensure the accuracy </w:t>
      </w:r>
      <w:r w:rsidR="00312F55">
        <w:t xml:space="preserve">in reporting </w:t>
      </w:r>
      <w:r w:rsidR="00312F55" w:rsidRPr="00E45061">
        <w:t>these data</w:t>
      </w:r>
      <w:r w:rsidR="00312F55">
        <w:t xml:space="preserve"> in CALPADS for the 2019</w:t>
      </w:r>
      <w:r w:rsidR="00312F55">
        <w:rPr>
          <w:rFonts w:cs="Arial"/>
        </w:rPr>
        <w:t>–</w:t>
      </w:r>
      <w:r w:rsidR="00312F55">
        <w:t xml:space="preserve">2020 school year. These </w:t>
      </w:r>
      <w:r>
        <w:t>training</w:t>
      </w:r>
      <w:r w:rsidR="00312F55">
        <w:t xml:space="preserve"> were followed up with additional </w:t>
      </w:r>
      <w:r>
        <w:t>technical</w:t>
      </w:r>
      <w:r w:rsidR="00312F55">
        <w:t xml:space="preserve"> support to LEAs for the</w:t>
      </w:r>
      <w:r w:rsidR="00312F55" w:rsidRPr="001D2DDD">
        <w:t xml:space="preserve"> </w:t>
      </w:r>
      <w:r w:rsidR="00312F55">
        <w:t>2019</w:t>
      </w:r>
      <w:r w:rsidR="00312F55">
        <w:rPr>
          <w:rFonts w:cs="Arial"/>
        </w:rPr>
        <w:t>–</w:t>
      </w:r>
      <w:r w:rsidR="00312F55">
        <w:t>2020 school year.</w:t>
      </w:r>
    </w:p>
    <w:p w14:paraId="353EA3C7" w14:textId="757033CA" w:rsidR="00312F55" w:rsidRDefault="00312F55" w:rsidP="00312F55">
      <w:pPr>
        <w:spacing w:after="240"/>
      </w:pPr>
      <w:r>
        <w:rPr>
          <w:b/>
        </w:rPr>
        <w:t>November</w:t>
      </w:r>
      <w:r w:rsidRPr="00E45061">
        <w:rPr>
          <w:b/>
        </w:rPr>
        <w:t xml:space="preserve"> 2019:</w:t>
      </w:r>
      <w:r w:rsidRPr="00E45061">
        <w:t xml:space="preserve"> </w:t>
      </w:r>
      <w:r w:rsidR="007A066C">
        <w:t>The SBE adopt</w:t>
      </w:r>
      <w:r w:rsidR="00C36A6A">
        <w:t>ed</w:t>
      </w:r>
      <w:r w:rsidR="007A066C">
        <w:t xml:space="preserve"> updated teacher equity definitions under ESSA and state reporting requirements based on feedback from LEAs. </w:t>
      </w:r>
      <w:r>
        <w:t>(</w:t>
      </w:r>
      <w:hyperlink r:id="rId13" w:tooltip="November 2019 SBE Agenda Item 05" w:history="1">
        <w:r w:rsidRPr="00D51390">
          <w:rPr>
            <w:rStyle w:val="Hyperlink"/>
          </w:rPr>
          <w:t>https://www.cde.ca.gov/be/ag/ag/yr19/documents/nov19item05rev.docx</w:t>
        </w:r>
      </w:hyperlink>
      <w:r>
        <w:rPr>
          <w:rStyle w:val="Hyperlink"/>
        </w:rPr>
        <w:t>)</w:t>
      </w:r>
      <w:r>
        <w:t>.</w:t>
      </w:r>
      <w:r w:rsidRPr="00E45061">
        <w:t xml:space="preserve"> </w:t>
      </w:r>
      <w:r w:rsidR="007A066C">
        <w:t>To date, California has not been able to meet the federal reporting requirements established by ESSA with the current teacher monitoring process conducted by the CTC</w:t>
      </w:r>
      <w:r>
        <w:t>. As</w:t>
      </w:r>
      <w:r w:rsidRPr="00E45061" w:rsidDel="00D51390">
        <w:t xml:space="preserve"> </w:t>
      </w:r>
      <w:r w:rsidRPr="00E45061">
        <w:t xml:space="preserve">defined by the </w:t>
      </w:r>
      <w:r w:rsidRPr="00A55BB2">
        <w:t>Williams Act</w:t>
      </w:r>
      <w:r w:rsidRPr="00BB60C8">
        <w:t xml:space="preserve"> </w:t>
      </w:r>
      <w:r>
        <w:t>(</w:t>
      </w:r>
      <w:hyperlink r:id="rId14" w:tooltip="Williams Settlement and the SARC" w:history="1">
        <w:r w:rsidRPr="007923A1">
          <w:rPr>
            <w:rStyle w:val="Hyperlink"/>
          </w:rPr>
          <w:t>https://www.cde.ca.gov/ta/ac/sa/williamsimpact.asp</w:t>
        </w:r>
      </w:hyperlink>
      <w:r>
        <w:t>), the CTC</w:t>
      </w:r>
      <w:r w:rsidRPr="00E45061">
        <w:t xml:space="preserve"> </w:t>
      </w:r>
      <w:r w:rsidR="00C36A6A">
        <w:t xml:space="preserve">was authorized to </w:t>
      </w:r>
      <w:r>
        <w:t xml:space="preserve">monitor </w:t>
      </w:r>
      <w:r w:rsidRPr="00E45061">
        <w:t xml:space="preserve">only the lowest performing </w:t>
      </w:r>
      <w:r w:rsidR="00C36A6A">
        <w:t>three</w:t>
      </w:r>
      <w:r>
        <w:t xml:space="preserve"> deciles of </w:t>
      </w:r>
      <w:r w:rsidRPr="00E45061">
        <w:t>schoo</w:t>
      </w:r>
      <w:r>
        <w:t>ls</w:t>
      </w:r>
      <w:r w:rsidRPr="00E45061">
        <w:t>.</w:t>
      </w:r>
    </w:p>
    <w:p w14:paraId="7D14F108" w14:textId="77777777" w:rsidR="00171D8E" w:rsidRPr="006F1790" w:rsidRDefault="00171D8E" w:rsidP="00171D8E">
      <w:pPr>
        <w:spacing w:after="240"/>
        <w:rPr>
          <w:b/>
        </w:rPr>
      </w:pPr>
      <w:r w:rsidRPr="006F1790">
        <w:lastRenderedPageBreak/>
        <w:t>In response to the SBE's action on the ESSA State Plan, the CDE/CTC data sharing agreement was required to be amended to allow the CDE to meet all ESSA reporting requirements (this is still in process as of July 2020).</w:t>
      </w:r>
    </w:p>
    <w:p w14:paraId="3F1DD87E" w14:textId="25B98F00" w:rsidR="00312F55" w:rsidRPr="006F1790" w:rsidRDefault="00312F55" w:rsidP="00312F55">
      <w:pPr>
        <w:spacing w:after="240"/>
      </w:pPr>
      <w:r w:rsidRPr="006F1790">
        <w:rPr>
          <w:b/>
        </w:rPr>
        <w:t>2019 – Present:</w:t>
      </w:r>
      <w:r w:rsidRPr="006F1790">
        <w:t xml:space="preserve"> The CDE and CTC conduct</w:t>
      </w:r>
      <w:r w:rsidR="00C36A6A" w:rsidRPr="006F1790">
        <w:t>ed</w:t>
      </w:r>
      <w:r w:rsidRPr="006F1790">
        <w:t xml:space="preserve"> numerous technical collaborative meetings to articulate requirements for the teacher monitoring process as conversations with stakeholders and policy makers formalize desired reporting measurements, aligned with the November 2019 action of the SBE. </w:t>
      </w:r>
    </w:p>
    <w:p w14:paraId="6A296696" w14:textId="4083CFCA" w:rsidR="007A066C" w:rsidRPr="006F1790" w:rsidRDefault="007A066C" w:rsidP="00312F55">
      <w:pPr>
        <w:spacing w:after="240"/>
        <w:rPr>
          <w:rFonts w:cs="Arial"/>
        </w:rPr>
      </w:pPr>
      <w:r w:rsidRPr="006F1790">
        <w:rPr>
          <w:rFonts w:cs="Arial"/>
          <w:b/>
          <w:bCs/>
        </w:rPr>
        <w:t>January 2020:</w:t>
      </w:r>
      <w:r w:rsidRPr="006F1790">
        <w:rPr>
          <w:rFonts w:cs="Arial"/>
        </w:rPr>
        <w:t xml:space="preserve"> The provisions of Assembly Bill 1219 (Chap</w:t>
      </w:r>
      <w:r w:rsidR="00C36A6A" w:rsidRPr="006F1790">
        <w:rPr>
          <w:rFonts w:cs="Arial"/>
        </w:rPr>
        <w:t>ter</w:t>
      </w:r>
      <w:r w:rsidRPr="006F1790">
        <w:rPr>
          <w:rFonts w:cs="Arial"/>
        </w:rPr>
        <w:t xml:space="preserve"> 782, Stat</w:t>
      </w:r>
      <w:r w:rsidR="00C36A6A" w:rsidRPr="006F1790">
        <w:rPr>
          <w:rFonts w:cs="Arial"/>
        </w:rPr>
        <w:t>ute</w:t>
      </w:r>
      <w:r w:rsidRPr="006F1790">
        <w:rPr>
          <w:rFonts w:cs="Arial"/>
        </w:rPr>
        <w:t>s</w:t>
      </w:r>
      <w:r w:rsidR="00C36A6A" w:rsidRPr="006F1790">
        <w:rPr>
          <w:rFonts w:cs="Arial"/>
        </w:rPr>
        <w:t xml:space="preserve"> of</w:t>
      </w:r>
      <w:r w:rsidRPr="006F1790">
        <w:rPr>
          <w:rFonts w:cs="Arial"/>
        </w:rPr>
        <w:t xml:space="preserve"> 2019) take effect requiring annual assignment monitoring and the inclusion of charter schools in the assignment monitoring process.</w:t>
      </w:r>
    </w:p>
    <w:p w14:paraId="77073362" w14:textId="12EE5748" w:rsidR="00312F55" w:rsidRPr="006F1790" w:rsidRDefault="00312F55" w:rsidP="00312F55">
      <w:pPr>
        <w:spacing w:after="240"/>
      </w:pPr>
      <w:r w:rsidRPr="006F1790">
        <w:rPr>
          <w:b/>
        </w:rPr>
        <w:t>March 2020:</w:t>
      </w:r>
      <w:r w:rsidRPr="006F1790">
        <w:t xml:space="preserve"> The </w:t>
      </w:r>
      <w:r w:rsidR="001C16CF" w:rsidRPr="006F1790">
        <w:t>2019</w:t>
      </w:r>
      <w:r w:rsidR="001C16CF" w:rsidRPr="006F1790">
        <w:rPr>
          <w:rFonts w:cs="Arial"/>
        </w:rPr>
        <w:t>–</w:t>
      </w:r>
      <w:r w:rsidR="001C16CF" w:rsidRPr="006F1790">
        <w:t xml:space="preserve">2020 </w:t>
      </w:r>
      <w:r w:rsidRPr="006F1790">
        <w:t>CALPADS Fall 2 submission deadline is extended to April 24, 2020, due to the outbreak of COVID-19</w:t>
      </w:r>
      <w:r w:rsidR="001C16CF" w:rsidRPr="006F1790">
        <w:t xml:space="preserve"> which impacted LEA staffing resources needed to submit these data</w:t>
      </w:r>
      <w:r w:rsidRPr="006F1790">
        <w:t xml:space="preserve">. </w:t>
      </w:r>
    </w:p>
    <w:p w14:paraId="6A4B4018" w14:textId="77777777" w:rsidR="00312F55" w:rsidRPr="006F1790" w:rsidRDefault="00312F55" w:rsidP="00312F55">
      <w:pPr>
        <w:spacing w:after="240"/>
      </w:pPr>
      <w:r w:rsidRPr="006F1790">
        <w:rPr>
          <w:b/>
        </w:rPr>
        <w:t>April – July 2020:</w:t>
      </w:r>
      <w:r w:rsidRPr="006F1790">
        <w:t xml:space="preserve"> The Fall 2 data are extracted from CALPADS and the CDE accesses the underlying teacher, student, and course data needed to create the files articulated in the data sharing MOU that the CTC needs to conduct the teacher monitoring process. The CALPADS Fall 2 data extraction process was modified, in part, to address several changes to the Fall 2 submission and the underlying data. This process had to be developed and tested, resulting in unexpected delays.</w:t>
      </w:r>
    </w:p>
    <w:p w14:paraId="63E6BE8B" w14:textId="01C27DE9" w:rsidR="00312F55" w:rsidRPr="006F1790" w:rsidRDefault="00312F55" w:rsidP="00312F55">
      <w:pPr>
        <w:spacing w:after="240"/>
        <w:rPr>
          <w:bCs/>
        </w:rPr>
      </w:pPr>
      <w:r w:rsidRPr="006F1790">
        <w:rPr>
          <w:b/>
          <w:bCs/>
        </w:rPr>
        <w:t xml:space="preserve">July 2020 – August 2020: </w:t>
      </w:r>
      <w:r w:rsidRPr="006F1790">
        <w:rPr>
          <w:bCs/>
        </w:rPr>
        <w:t>The CDE prepar</w:t>
      </w:r>
      <w:r w:rsidR="001C16CF" w:rsidRPr="006F1790">
        <w:rPr>
          <w:bCs/>
        </w:rPr>
        <w:t>es</w:t>
      </w:r>
      <w:r w:rsidRPr="006F1790">
        <w:rPr>
          <w:bCs/>
        </w:rPr>
        <w:t xml:space="preserve"> the final data files extracted from </w:t>
      </w:r>
      <w:r w:rsidR="001C16CF" w:rsidRPr="006F1790">
        <w:rPr>
          <w:bCs/>
        </w:rPr>
        <w:t xml:space="preserve">the </w:t>
      </w:r>
      <w:r w:rsidRPr="006F1790">
        <w:rPr>
          <w:bCs/>
        </w:rPr>
        <w:t>CALPADS Fall 2 collection to the CTC, which provide essential data elements including staff profile and assignment, course and student enrollment</w:t>
      </w:r>
      <w:r w:rsidR="001C16CF" w:rsidRPr="006F1790">
        <w:rPr>
          <w:bCs/>
        </w:rPr>
        <w:t xml:space="preserve"> data needed to upload into </w:t>
      </w:r>
      <w:proofErr w:type="spellStart"/>
      <w:r w:rsidR="001C16CF" w:rsidRPr="006F1790">
        <w:rPr>
          <w:rFonts w:cs="Arial"/>
        </w:rPr>
        <w:t>CalSAAS</w:t>
      </w:r>
      <w:proofErr w:type="spellEnd"/>
      <w:r w:rsidRPr="006F1790">
        <w:rPr>
          <w:rFonts w:cs="Arial"/>
        </w:rPr>
        <w:t xml:space="preserve">. </w:t>
      </w:r>
    </w:p>
    <w:p w14:paraId="66AC3432" w14:textId="77777777" w:rsidR="001C16CF" w:rsidRDefault="001C16CF" w:rsidP="001C16CF">
      <w:pPr>
        <w:spacing w:after="240"/>
      </w:pPr>
      <w:r w:rsidRPr="006F1790">
        <w:rPr>
          <w:b/>
        </w:rPr>
        <w:t xml:space="preserve">September 1, 2020: </w:t>
      </w:r>
      <w:r w:rsidRPr="006F1790">
        <w:t>CDE sends CTC the data files as specified and articulated in the signed data sharing MOU.</w:t>
      </w:r>
    </w:p>
    <w:p w14:paraId="2628D4EE" w14:textId="6C8930E9" w:rsidR="00312F55" w:rsidRPr="001C16CF" w:rsidRDefault="00312F55" w:rsidP="00312F55">
      <w:pPr>
        <w:spacing w:after="240"/>
        <w:rPr>
          <w:bCs/>
          <w:i/>
        </w:rPr>
      </w:pPr>
      <w:r w:rsidRPr="001C16CF">
        <w:rPr>
          <w:bCs/>
          <w:i/>
        </w:rPr>
        <w:t>The CTC anticipates processing the data received by the CDE in two phases:</w:t>
      </w:r>
    </w:p>
    <w:p w14:paraId="077D80A9" w14:textId="77777777" w:rsidR="00312F55" w:rsidRDefault="00312F55" w:rsidP="00312F55">
      <w:pPr>
        <w:spacing w:after="240"/>
      </w:pPr>
      <w:r w:rsidRPr="00CB1241">
        <w:rPr>
          <w:b/>
        </w:rPr>
        <w:t>Phase One</w:t>
      </w:r>
      <w:r>
        <w:rPr>
          <w:b/>
        </w:rPr>
        <w:t xml:space="preserve">: </w:t>
      </w:r>
      <w:r>
        <w:t>For each assignment present in the initial CALPADS assignment data set, CTC will indicate simply that the educator was properly assigned or misassigned, and if misassigned, in which dimensions.</w:t>
      </w:r>
    </w:p>
    <w:p w14:paraId="74BD90D5" w14:textId="77777777" w:rsidR="00312F55" w:rsidRDefault="00312F55" w:rsidP="00312F55">
      <w:r w:rsidRPr="00CB1241">
        <w:rPr>
          <w:b/>
        </w:rPr>
        <w:t>Phase Two</w:t>
      </w:r>
      <w:r>
        <w:rPr>
          <w:b/>
        </w:rPr>
        <w:t xml:space="preserve">: </w:t>
      </w:r>
      <w:r>
        <w:t>In the second phase of data exchange, the CTC will evaluate the quality of those assignments deemed properly assigned to meet ESSA reporting requirements.</w:t>
      </w:r>
    </w:p>
    <w:p w14:paraId="276A397C" w14:textId="46DD8653" w:rsidR="00312F55" w:rsidRPr="00B3029E" w:rsidRDefault="00312F55" w:rsidP="00312F55">
      <w:pPr>
        <w:spacing w:after="240"/>
        <w:rPr>
          <w:rFonts w:cs="Arial"/>
          <w:color w:val="212121"/>
          <w:shd w:val="clear" w:color="auto" w:fill="FFFFFF"/>
        </w:rPr>
      </w:pPr>
      <w:r>
        <w:rPr>
          <w:rFonts w:cs="Arial"/>
        </w:rPr>
        <w:t xml:space="preserve">Upon receipt of a complete data set from the CTC that is determined to be valid and reliable, the CDE will </w:t>
      </w:r>
      <w:r w:rsidR="00A37E2E">
        <w:rPr>
          <w:rFonts w:cs="Arial"/>
        </w:rPr>
        <w:t>publicly</w:t>
      </w:r>
      <w:r>
        <w:rPr>
          <w:rFonts w:cs="Arial"/>
        </w:rPr>
        <w:t xml:space="preserve"> report out on this first year of data. The CDE will also begin discussions in 2021 and bring together stakeholders to </w:t>
      </w:r>
      <w:r w:rsidR="00A37E2E">
        <w:rPr>
          <w:rFonts w:cs="Arial"/>
        </w:rPr>
        <w:t>commence</w:t>
      </w:r>
      <w:r>
        <w:rPr>
          <w:rFonts w:cs="Arial"/>
        </w:rPr>
        <w:t xml:space="preserve"> the vetting process on the most appropriate way to report this information on the local </w:t>
      </w:r>
      <w:r w:rsidR="00A37E2E">
        <w:rPr>
          <w:rFonts w:cs="Arial"/>
        </w:rPr>
        <w:t>indicators</w:t>
      </w:r>
      <w:r>
        <w:rPr>
          <w:rFonts w:cs="Arial"/>
        </w:rPr>
        <w:t xml:space="preserve"> and in the pre-populated SARC application.</w:t>
      </w:r>
    </w:p>
    <w:p w14:paraId="312C187F" w14:textId="77777777" w:rsidR="00312F55" w:rsidRPr="00E45061" w:rsidRDefault="00312F55" w:rsidP="002F5DE9">
      <w:pPr>
        <w:pStyle w:val="Heading1"/>
      </w:pPr>
      <w:r w:rsidRPr="00E45061">
        <w:lastRenderedPageBreak/>
        <w:t>Summary of Previous State Board of Education Discussion and Action</w:t>
      </w:r>
    </w:p>
    <w:p w14:paraId="03B4A0CC" w14:textId="77777777" w:rsidR="00312F55" w:rsidRDefault="00312F55" w:rsidP="00312F55">
      <w:pPr>
        <w:pStyle w:val="Heading2"/>
      </w:pPr>
      <w:r>
        <w:t>Local Indicators and Local Control Accountability Plan</w:t>
      </w:r>
    </w:p>
    <w:p w14:paraId="438971B9" w14:textId="0875C46E" w:rsidR="00312F55" w:rsidRDefault="00312F55" w:rsidP="00312F55">
      <w:pPr>
        <w:spacing w:after="480"/>
        <w:contextualSpacing/>
        <w:rPr>
          <w:rFonts w:ascii="Helvetica" w:hAnsi="Helvetica" w:cs="Helvetica"/>
          <w:color w:val="000000"/>
          <w:shd w:val="clear" w:color="auto" w:fill="FFFFFF"/>
        </w:rPr>
      </w:pPr>
      <w:r>
        <w:rPr>
          <w:rFonts w:cs="Arial"/>
        </w:rPr>
        <w:t>In January 2020, the SBE adopted t</w:t>
      </w:r>
      <w:r>
        <w:rPr>
          <w:rFonts w:ascii="Helvetica" w:hAnsi="Helvetica" w:cs="Helvetica"/>
          <w:color w:val="000000"/>
          <w:shd w:val="clear" w:color="auto" w:fill="FFFFFF"/>
        </w:rPr>
        <w:t xml:space="preserve">he revised Local Control and Accountability Plan Template, consistent with California </w:t>
      </w:r>
      <w:r w:rsidR="00411476" w:rsidRPr="007A066C">
        <w:rPr>
          <w:rStyle w:val="Emphasis"/>
          <w:rFonts w:ascii="Helvetica" w:eastAsiaTheme="majorEastAsia" w:hAnsi="Helvetica" w:cs="Helvetica"/>
          <w:i/>
          <w:iCs/>
          <w:color w:val="000000"/>
          <w:shd w:val="clear" w:color="auto" w:fill="FFFFFF"/>
        </w:rPr>
        <w:t>EC</w:t>
      </w:r>
      <w:r>
        <w:rPr>
          <w:rStyle w:val="Emphasis"/>
          <w:rFonts w:ascii="Helvetica" w:eastAsiaTheme="majorEastAsia" w:hAnsi="Helvetica" w:cs="Helvetica"/>
          <w:color w:val="000000"/>
          <w:shd w:val="clear" w:color="auto" w:fill="FFFFFF"/>
        </w:rPr>
        <w:t xml:space="preserve"> </w:t>
      </w:r>
      <w:r>
        <w:rPr>
          <w:rFonts w:ascii="Helvetica" w:hAnsi="Helvetica" w:cs="Helvetica"/>
          <w:color w:val="000000"/>
          <w:shd w:val="clear" w:color="auto" w:fill="FFFFFF"/>
        </w:rPr>
        <w:t xml:space="preserve">Section 52064 and adopted the Local Control and Accountability Plan Annual Update Template for the 2019–20 Local Control and Accountability Plan Year consistent with California </w:t>
      </w:r>
      <w:r w:rsidR="00411476" w:rsidRPr="007A066C">
        <w:rPr>
          <w:rStyle w:val="Emphasis"/>
          <w:rFonts w:ascii="Helvetica" w:eastAsiaTheme="majorEastAsia" w:hAnsi="Helvetica" w:cs="Helvetica"/>
          <w:i/>
          <w:iCs/>
          <w:color w:val="000000"/>
          <w:shd w:val="clear" w:color="auto" w:fill="FFFFFF"/>
        </w:rPr>
        <w:t>EC</w:t>
      </w:r>
      <w:r>
        <w:rPr>
          <w:rStyle w:val="Emphasis"/>
          <w:rFonts w:ascii="Helvetica" w:eastAsiaTheme="majorEastAsia" w:hAnsi="Helvetica" w:cs="Helvetica"/>
          <w:color w:val="000000"/>
          <w:shd w:val="clear" w:color="auto" w:fill="FFFFFF"/>
        </w:rPr>
        <w:t xml:space="preserve"> </w:t>
      </w:r>
      <w:r w:rsidR="00C36A6A">
        <w:rPr>
          <w:rFonts w:ascii="Helvetica" w:hAnsi="Helvetica" w:cs="Helvetica"/>
          <w:color w:val="000000"/>
          <w:shd w:val="clear" w:color="auto" w:fill="FFFFFF"/>
        </w:rPr>
        <w:t>s</w:t>
      </w:r>
      <w:r>
        <w:rPr>
          <w:rFonts w:ascii="Helvetica" w:hAnsi="Helvetica" w:cs="Helvetica"/>
          <w:color w:val="000000"/>
          <w:shd w:val="clear" w:color="auto" w:fill="FFFFFF"/>
        </w:rPr>
        <w:t>ections 52061 and 52064.</w:t>
      </w:r>
    </w:p>
    <w:p w14:paraId="0ADCA838" w14:textId="77777777" w:rsidR="00312F55" w:rsidRDefault="00312F55" w:rsidP="00312F55">
      <w:pPr>
        <w:spacing w:after="480"/>
        <w:contextualSpacing/>
        <w:rPr>
          <w:rFonts w:cs="Arial"/>
        </w:rPr>
      </w:pPr>
      <w:r>
        <w:rPr>
          <w:rFonts w:cs="Arial"/>
        </w:rPr>
        <w:t>(</w:t>
      </w:r>
      <w:hyperlink r:id="rId15" w:tooltip="Jan 2020 SBE Item 02" w:history="1">
        <w:r w:rsidRPr="007923A1">
          <w:rPr>
            <w:rStyle w:val="Hyperlink"/>
            <w:rFonts w:cs="Arial"/>
          </w:rPr>
          <w:t>https://www.cde.ca.gov/be/ag/ag/yr20/documents/jan20item02.docx</w:t>
        </w:r>
      </w:hyperlink>
      <w:r>
        <w:rPr>
          <w:rFonts w:cs="Arial"/>
        </w:rPr>
        <w:t>)</w:t>
      </w:r>
    </w:p>
    <w:p w14:paraId="65A0248E" w14:textId="77777777" w:rsidR="007A25D3" w:rsidRDefault="007A25D3" w:rsidP="00312F55">
      <w:pPr>
        <w:spacing w:after="480"/>
        <w:contextualSpacing/>
        <w:rPr>
          <w:rFonts w:cs="Arial"/>
        </w:rPr>
      </w:pPr>
    </w:p>
    <w:p w14:paraId="4BA748D5" w14:textId="5B37BBEA" w:rsidR="007A25D3" w:rsidRDefault="007A25D3" w:rsidP="00312F55">
      <w:pPr>
        <w:spacing w:after="480"/>
        <w:contextualSpacing/>
        <w:rPr>
          <w:rFonts w:ascii="Helvetica" w:hAnsi="Helvetica"/>
          <w:color w:val="000000"/>
          <w:shd w:val="clear" w:color="auto" w:fill="FFFFFF"/>
        </w:rPr>
      </w:pPr>
      <w:r>
        <w:rPr>
          <w:rFonts w:cs="Arial"/>
        </w:rPr>
        <w:t xml:space="preserve">In January 2020, the SBE updated the </w:t>
      </w:r>
      <w:r>
        <w:rPr>
          <w:rFonts w:ascii="Helvetica" w:hAnsi="Helvetica"/>
          <w:color w:val="000000"/>
          <w:shd w:val="clear" w:color="auto" w:fill="FFFFFF"/>
        </w:rPr>
        <w:t>Performance Standards of Local Indicators and Self-Reflection Tools for Local Indicator Reporting within the California School Dashboard.</w:t>
      </w:r>
    </w:p>
    <w:p w14:paraId="12685C64" w14:textId="340AA450" w:rsidR="007A25D3" w:rsidRDefault="007A25D3" w:rsidP="00312F55">
      <w:pPr>
        <w:spacing w:after="480"/>
        <w:contextualSpacing/>
        <w:rPr>
          <w:rFonts w:cs="Arial"/>
        </w:rPr>
      </w:pPr>
      <w:r>
        <w:rPr>
          <w:rFonts w:cs="Arial"/>
        </w:rPr>
        <w:t>(</w:t>
      </w:r>
      <w:hyperlink r:id="rId16" w:tooltip="Jan 2020 SBE Item 06" w:history="1">
        <w:r w:rsidRPr="00576F3F">
          <w:rPr>
            <w:rStyle w:val="Hyperlink"/>
            <w:rFonts w:cs="Arial"/>
          </w:rPr>
          <w:t>https://www.cde.ca.gov/be/ag/ag/yr20/documents/jan20item06.docx</w:t>
        </w:r>
      </w:hyperlink>
      <w:r>
        <w:rPr>
          <w:rFonts w:cs="Arial"/>
        </w:rPr>
        <w:t>)</w:t>
      </w:r>
    </w:p>
    <w:p w14:paraId="4E2E0FEF" w14:textId="77777777" w:rsidR="00312F55" w:rsidRDefault="00312F55" w:rsidP="00312F55">
      <w:pPr>
        <w:spacing w:after="480"/>
        <w:contextualSpacing/>
        <w:rPr>
          <w:rFonts w:cs="Arial"/>
        </w:rPr>
      </w:pPr>
    </w:p>
    <w:p w14:paraId="58262860" w14:textId="6B90CC7D" w:rsidR="00312F55" w:rsidRDefault="00312F55" w:rsidP="00312F55">
      <w:pPr>
        <w:spacing w:after="480"/>
        <w:contextualSpacing/>
        <w:rPr>
          <w:rFonts w:cs="Arial"/>
        </w:rPr>
      </w:pPr>
      <w:r>
        <w:rPr>
          <w:rFonts w:cs="Arial"/>
        </w:rPr>
        <w:t xml:space="preserve">In September 2019, the SBE heard an update on the </w:t>
      </w:r>
      <w:r>
        <w:rPr>
          <w:rFonts w:ascii="Helvetica" w:hAnsi="Helvetica" w:cs="Helvetica"/>
          <w:color w:val="000000"/>
          <w:shd w:val="clear" w:color="auto" w:fill="FFFFFF"/>
        </w:rPr>
        <w:t xml:space="preserve">Local Control and Accountability Plan Template – Revision Prototype, consistent with California </w:t>
      </w:r>
      <w:r w:rsidR="00411476" w:rsidRPr="007A066C">
        <w:rPr>
          <w:rStyle w:val="Emphasis"/>
          <w:rFonts w:ascii="Helvetica" w:eastAsiaTheme="majorEastAsia" w:hAnsi="Helvetica" w:cs="Helvetica"/>
          <w:i/>
          <w:iCs/>
          <w:color w:val="000000"/>
          <w:shd w:val="clear" w:color="auto" w:fill="FFFFFF"/>
        </w:rPr>
        <w:t>EC</w:t>
      </w:r>
      <w:r>
        <w:rPr>
          <w:rStyle w:val="Emphasis"/>
          <w:rFonts w:ascii="Helvetica" w:eastAsiaTheme="majorEastAsia" w:hAnsi="Helvetica" w:cs="Helvetica"/>
          <w:color w:val="000000"/>
          <w:shd w:val="clear" w:color="auto" w:fill="FFFFFF"/>
        </w:rPr>
        <w:t xml:space="preserve"> </w:t>
      </w:r>
      <w:r>
        <w:rPr>
          <w:rFonts w:ascii="Helvetica" w:hAnsi="Helvetica" w:cs="Helvetica"/>
          <w:color w:val="000000"/>
          <w:shd w:val="clear" w:color="auto" w:fill="FFFFFF"/>
        </w:rPr>
        <w:t>Section 52064.</w:t>
      </w:r>
      <w:r>
        <w:rPr>
          <w:rFonts w:cs="Arial"/>
        </w:rPr>
        <w:t xml:space="preserve"> </w:t>
      </w:r>
    </w:p>
    <w:p w14:paraId="4AE7E1F0" w14:textId="77777777" w:rsidR="00312F55" w:rsidRDefault="00312F55" w:rsidP="00312F55">
      <w:pPr>
        <w:spacing w:after="480"/>
        <w:contextualSpacing/>
        <w:rPr>
          <w:rFonts w:cs="Arial"/>
        </w:rPr>
      </w:pPr>
      <w:r>
        <w:rPr>
          <w:rFonts w:cs="Arial"/>
        </w:rPr>
        <w:t>(</w:t>
      </w:r>
      <w:hyperlink r:id="rId17" w:tooltip="Sept. 2019 Item 02" w:history="1">
        <w:r w:rsidRPr="007923A1">
          <w:rPr>
            <w:rStyle w:val="Hyperlink"/>
            <w:rFonts w:cs="Arial"/>
          </w:rPr>
          <w:t>https://www.cde.ca.gov/be/ag/ag/yr19/documents/sep19item02.docx</w:t>
        </w:r>
      </w:hyperlink>
      <w:r>
        <w:rPr>
          <w:rFonts w:cs="Arial"/>
        </w:rPr>
        <w:t xml:space="preserve">) </w:t>
      </w:r>
    </w:p>
    <w:p w14:paraId="63F0CB2C" w14:textId="3777F11E" w:rsidR="007A25D3" w:rsidRDefault="007A25D3" w:rsidP="007A25D3">
      <w:pPr>
        <w:spacing w:before="240"/>
        <w:rPr>
          <w:rFonts w:cs="Arial"/>
        </w:rPr>
      </w:pPr>
      <w:r w:rsidRPr="007A25D3">
        <w:rPr>
          <w:rFonts w:cs="Arial"/>
        </w:rPr>
        <w:t>In March 2019, the SBE approved a revised self-reflection tool for Priority 3 (Family Engagement)</w:t>
      </w:r>
      <w:r w:rsidR="00576F3F">
        <w:rPr>
          <w:rFonts w:cs="Arial"/>
        </w:rPr>
        <w:t>.</w:t>
      </w:r>
    </w:p>
    <w:p w14:paraId="4ABCD442" w14:textId="0F69D149" w:rsidR="007A25D3" w:rsidRDefault="007A25D3" w:rsidP="007A066C">
      <w:pPr>
        <w:rPr>
          <w:rFonts w:cs="Arial"/>
        </w:rPr>
      </w:pPr>
      <w:r w:rsidRPr="007A25D3">
        <w:rPr>
          <w:rFonts w:cs="Arial"/>
        </w:rPr>
        <w:t>(</w:t>
      </w:r>
      <w:hyperlink r:id="rId18" w:tooltip="March 2019 SBE Agenda" w:history="1">
        <w:r w:rsidRPr="007A25D3">
          <w:rPr>
            <w:rFonts w:eastAsiaTheme="majorEastAsia"/>
            <w:color w:val="0000FF"/>
            <w:u w:val="single"/>
          </w:rPr>
          <w:t>https://www.cde.ca.gov/be/ag/ag/yr19/agenda201903.asp</w:t>
        </w:r>
      </w:hyperlink>
      <w:r w:rsidRPr="007A25D3">
        <w:t>)</w:t>
      </w:r>
    </w:p>
    <w:p w14:paraId="63CA5F7E" w14:textId="77777777" w:rsidR="007A066C" w:rsidRDefault="007A066C" w:rsidP="007A066C">
      <w:pPr>
        <w:rPr>
          <w:rFonts w:cs="Arial"/>
        </w:rPr>
      </w:pPr>
    </w:p>
    <w:p w14:paraId="18D76CEB" w14:textId="77777777" w:rsidR="00312F55" w:rsidRPr="00CB1241" w:rsidRDefault="00312F55" w:rsidP="00312F55">
      <w:pPr>
        <w:spacing w:after="240"/>
        <w:rPr>
          <w:rFonts w:cs="Arial"/>
        </w:rPr>
      </w:pPr>
      <w:r w:rsidRPr="00CE2C6D">
        <w:rPr>
          <w:rFonts w:cs="Arial"/>
        </w:rPr>
        <w:t>In March 2018, the SBE heard an update on the continuing development work of the Dashboard, including revisions under consideration for the 2018 Dashboard, and an update on the local indicators—specifically, the proposed revision to the self-reflection tool for Priority 6: School Climate; in addition, the SBE approved the tool for LEAs to determine progress on the local performance indicators for LCFF Priority 7: Access to a Broad Course of Study. (</w:t>
      </w:r>
      <w:hyperlink r:id="rId19" w:tooltip="March 2018 SBE Agenda" w:history="1">
        <w:r w:rsidRPr="00CE2C6D">
          <w:rPr>
            <w:rStyle w:val="Hyperlink"/>
            <w:rFonts w:cs="Arial"/>
          </w:rPr>
          <w:t>https://www.cde.ca.gov/be/ag/ag/yr18/documents/mar18item01.docx</w:t>
        </w:r>
      </w:hyperlink>
      <w:r w:rsidRPr="00CE2C6D">
        <w:rPr>
          <w:rFonts w:cs="Arial"/>
        </w:rPr>
        <w:t>)</w:t>
      </w:r>
    </w:p>
    <w:p w14:paraId="1B7A3A41" w14:textId="77777777" w:rsidR="00312F55" w:rsidRDefault="00312F55" w:rsidP="00312F55">
      <w:pPr>
        <w:rPr>
          <w:rFonts w:cs="Arial"/>
        </w:rPr>
      </w:pPr>
      <w:r w:rsidRPr="00CE2C6D">
        <w:rPr>
          <w:rFonts w:cs="Arial"/>
        </w:rPr>
        <w:t xml:space="preserve">In February 2018, the SBE received </w:t>
      </w:r>
      <w:r>
        <w:rPr>
          <w:rFonts w:cs="Arial"/>
        </w:rPr>
        <w:t xml:space="preserve">an </w:t>
      </w:r>
      <w:r w:rsidRPr="00CE2C6D">
        <w:rPr>
          <w:rFonts w:cs="Arial"/>
        </w:rPr>
        <w:t>Information Memorand</w:t>
      </w:r>
      <w:r>
        <w:rPr>
          <w:rFonts w:cs="Arial"/>
        </w:rPr>
        <w:t>um with an u</w:t>
      </w:r>
      <w:r w:rsidRPr="00BC0EB4">
        <w:rPr>
          <w:rFonts w:cs="Arial"/>
        </w:rPr>
        <w:t>pdat</w:t>
      </w:r>
      <w:r>
        <w:rPr>
          <w:rFonts w:cs="Arial"/>
        </w:rPr>
        <w:t xml:space="preserve">e on </w:t>
      </w:r>
      <w:r w:rsidRPr="00BC0EB4">
        <w:rPr>
          <w:rFonts w:cs="Arial"/>
        </w:rPr>
        <w:t>the Development of a Revised Self-Reflection Tool for the Local Performance Indicator for Local Control Funding Formula Priority 6, School Climate</w:t>
      </w:r>
      <w:r>
        <w:rPr>
          <w:rFonts w:cs="Arial"/>
        </w:rPr>
        <w:t>.</w:t>
      </w:r>
    </w:p>
    <w:p w14:paraId="3B19A302" w14:textId="77777777" w:rsidR="00312F55" w:rsidRPr="00BC0EB4" w:rsidRDefault="00312F55" w:rsidP="00312F55">
      <w:pPr>
        <w:spacing w:after="240"/>
        <w:rPr>
          <w:rFonts w:cs="Arial"/>
        </w:rPr>
      </w:pPr>
      <w:r w:rsidRPr="00BC0EB4">
        <w:rPr>
          <w:rFonts w:cs="Arial"/>
        </w:rPr>
        <w:t>(</w:t>
      </w:r>
      <w:hyperlink r:id="rId20" w:tooltip="February 2018 SBE Information Memo" w:history="1">
        <w:r w:rsidRPr="00BC0EB4">
          <w:rPr>
            <w:rStyle w:val="Hyperlink"/>
            <w:rFonts w:cs="Arial"/>
          </w:rPr>
          <w:t>https://www.cde.ca.gov/be/pn/im/documents/memo-exec-ocd-feb18item01.docx</w:t>
        </w:r>
      </w:hyperlink>
      <w:r w:rsidRPr="00BC0EB4">
        <w:rPr>
          <w:rFonts w:cs="Arial"/>
        </w:rPr>
        <w:t>)</w:t>
      </w:r>
    </w:p>
    <w:p w14:paraId="618F63EF" w14:textId="77777777" w:rsidR="00312F55" w:rsidRDefault="00312F55" w:rsidP="00312F55">
      <w:pPr>
        <w:spacing w:after="240"/>
        <w:rPr>
          <w:rFonts w:cs="Arial"/>
        </w:rPr>
      </w:pPr>
      <w:r>
        <w:rPr>
          <w:rFonts w:cs="Arial"/>
        </w:rPr>
        <w:t xml:space="preserve">In </w:t>
      </w:r>
      <w:r w:rsidRPr="00CE2C6D">
        <w:rPr>
          <w:rFonts w:cs="Arial"/>
        </w:rPr>
        <w:t xml:space="preserve">November 2017, the SBE received a summary report of the work of the School Conditions and Climate Work Group (CCWG). The report included a synopsis of the framework recommendations including </w:t>
      </w:r>
      <w:r w:rsidRPr="00CE2C6D">
        <w:rPr>
          <w:rFonts w:cs="Arial"/>
          <w:color w:val="000000" w:themeColor="text1"/>
        </w:rPr>
        <w:t xml:space="preserve">state- and LEA-level recommendations. The CCWG’s recommendations </w:t>
      </w:r>
      <w:r w:rsidRPr="00CE2C6D">
        <w:rPr>
          <w:rFonts w:cs="Arial"/>
        </w:rPr>
        <w:t xml:space="preserve">comprise both those that can be acted on with existing resources and authority and those for which additional resources and </w:t>
      </w:r>
      <w:r w:rsidRPr="00CE2C6D">
        <w:rPr>
          <w:rFonts w:cs="Arial"/>
          <w:noProof/>
        </w:rPr>
        <w:t>authority</w:t>
      </w:r>
      <w:r w:rsidRPr="00CE2C6D">
        <w:rPr>
          <w:rFonts w:cs="Arial"/>
        </w:rPr>
        <w:t xml:space="preserve"> will be necessary to implement. (</w:t>
      </w:r>
      <w:hyperlink r:id="rId21" w:tooltip="November 2017 State Board Agenda Item 03 Revised" w:history="1">
        <w:r w:rsidRPr="00CE2C6D">
          <w:rPr>
            <w:rStyle w:val="Hyperlink"/>
            <w:rFonts w:cs="Arial"/>
          </w:rPr>
          <w:t>https://www.cde.ca.gov/be/ag/ag/yr17/documents/nov17item03rev.doc</w:t>
        </w:r>
      </w:hyperlink>
      <w:r w:rsidRPr="00CE2C6D">
        <w:rPr>
          <w:rFonts w:cs="Arial"/>
        </w:rPr>
        <w:t>)</w:t>
      </w:r>
    </w:p>
    <w:p w14:paraId="54F9AA5B" w14:textId="77777777" w:rsidR="00312F55" w:rsidRDefault="00312F55" w:rsidP="00312F55">
      <w:pPr>
        <w:spacing w:after="240"/>
        <w:rPr>
          <w:rFonts w:cs="Arial"/>
          <w:color w:val="000000"/>
        </w:rPr>
      </w:pPr>
      <w:r w:rsidRPr="00CE2C6D">
        <w:rPr>
          <w:rFonts w:cs="Arial"/>
        </w:rPr>
        <w:t>In January 2017, the SBE approved the Academic Indicator, based on student test scores on Engl</w:t>
      </w:r>
      <w:r>
        <w:rPr>
          <w:rFonts w:cs="Arial"/>
        </w:rPr>
        <w:t>ish language arts/literacy</w:t>
      </w:r>
      <w:r w:rsidRPr="00CE2C6D">
        <w:rPr>
          <w:rFonts w:cs="Arial"/>
        </w:rPr>
        <w:t xml:space="preserve"> and mathematics for grades three through </w:t>
      </w:r>
      <w:r w:rsidRPr="00CE2C6D">
        <w:rPr>
          <w:rFonts w:cs="Arial"/>
        </w:rPr>
        <w:lastRenderedPageBreak/>
        <w:t>eight that includes results from the second year of Smarter Balanced tests, as well as the defini</w:t>
      </w:r>
      <w:r>
        <w:rPr>
          <w:rFonts w:cs="Arial"/>
        </w:rPr>
        <w:t>tion of the English Learner</w:t>
      </w:r>
      <w:r w:rsidRPr="00CE2C6D">
        <w:rPr>
          <w:rFonts w:cs="Arial"/>
        </w:rPr>
        <w:t xml:space="preserve"> student group for the Academic Indicator. Additionally, the SBE a</w:t>
      </w:r>
      <w:r w:rsidRPr="00CE2C6D">
        <w:rPr>
          <w:rFonts w:cs="Arial"/>
          <w:color w:val="000000"/>
        </w:rPr>
        <w:t xml:space="preserve">pproved the self-reflection tools for LEAs to determine progress on the local performance indicators for Implementation of State Academic Standards (Priority 2) and Parent Engagement (Priority 3). </w:t>
      </w:r>
    </w:p>
    <w:p w14:paraId="0909396E" w14:textId="77777777" w:rsidR="00312F55" w:rsidRPr="00CE2C6D" w:rsidRDefault="00312F55" w:rsidP="00312F55">
      <w:pPr>
        <w:spacing w:after="240"/>
        <w:rPr>
          <w:rFonts w:cs="Arial"/>
        </w:rPr>
      </w:pPr>
      <w:r w:rsidRPr="00CE2C6D">
        <w:rPr>
          <w:rFonts w:cs="Arial"/>
        </w:rPr>
        <w:t>(</w:t>
      </w:r>
      <w:hyperlink r:id="rId22" w:tooltip="January 2017 SBE Agenda" w:history="1">
        <w:r w:rsidRPr="00CE2C6D">
          <w:rPr>
            <w:rStyle w:val="Hyperlink"/>
            <w:rFonts w:cs="Arial"/>
          </w:rPr>
          <w:t>https://www.cde.ca.gov/be/ag/ag/yr17/documents/jan17item02.doc</w:t>
        </w:r>
      </w:hyperlink>
      <w:r w:rsidRPr="00CE2C6D">
        <w:rPr>
          <w:rFonts w:cs="Arial"/>
        </w:rPr>
        <w:t xml:space="preserve">) </w:t>
      </w:r>
    </w:p>
    <w:p w14:paraId="41ECF8AB" w14:textId="77777777" w:rsidR="00312F55" w:rsidRPr="00CE2C6D" w:rsidRDefault="00312F55" w:rsidP="00312F55">
      <w:pPr>
        <w:spacing w:after="240"/>
        <w:rPr>
          <w:rFonts w:cs="Arial"/>
        </w:rPr>
      </w:pPr>
      <w:r w:rsidRPr="00CE2C6D">
        <w:rPr>
          <w:rFonts w:cs="Arial"/>
        </w:rPr>
        <w:t xml:space="preserve">Additionally, </w:t>
      </w:r>
      <w:r>
        <w:rPr>
          <w:rFonts w:cs="Arial"/>
        </w:rPr>
        <w:t xml:space="preserve">in January 2017, </w:t>
      </w:r>
      <w:r w:rsidRPr="00CE2C6D">
        <w:rPr>
          <w:rFonts w:cs="Arial"/>
        </w:rPr>
        <w:t xml:space="preserve">the SBE received </w:t>
      </w:r>
      <w:r>
        <w:rPr>
          <w:rFonts w:cs="Arial"/>
        </w:rPr>
        <w:t xml:space="preserve">an </w:t>
      </w:r>
      <w:r w:rsidRPr="00CE2C6D">
        <w:rPr>
          <w:rFonts w:cs="Arial"/>
        </w:rPr>
        <w:t>Information Memorandum</w:t>
      </w:r>
      <w:r>
        <w:rPr>
          <w:rFonts w:cs="Arial"/>
        </w:rPr>
        <w:t xml:space="preserve"> related to an u</w:t>
      </w:r>
      <w:r w:rsidRPr="00CE2C6D">
        <w:rPr>
          <w:rFonts w:cs="Arial"/>
        </w:rPr>
        <w:t xml:space="preserve">pdate on </w:t>
      </w:r>
      <w:r>
        <w:rPr>
          <w:rFonts w:cs="Arial"/>
        </w:rPr>
        <w:t xml:space="preserve">the </w:t>
      </w:r>
      <w:r w:rsidRPr="00CE2C6D">
        <w:rPr>
          <w:rFonts w:cs="Arial"/>
        </w:rPr>
        <w:t>School Conditions and Climate Workgroup</w:t>
      </w:r>
      <w:r>
        <w:rPr>
          <w:rFonts w:cs="Arial"/>
        </w:rPr>
        <w:t>.</w:t>
      </w:r>
      <w:r w:rsidRPr="00CE2C6D">
        <w:rPr>
          <w:rFonts w:cs="Arial"/>
        </w:rPr>
        <w:t xml:space="preserve"> (</w:t>
      </w:r>
      <w:hyperlink r:id="rId23" w:tooltip="January 2017 CDE Info Memo 01" w:history="1">
        <w:r w:rsidRPr="00CE2C6D">
          <w:rPr>
            <w:rStyle w:val="Hyperlink"/>
            <w:rFonts w:eastAsiaTheme="majorEastAsia" w:cs="Arial"/>
          </w:rPr>
          <w:t>http://www.cde.ca.gov/be/pn/im/documents/memo-exe-jan17item01.doc</w:t>
        </w:r>
      </w:hyperlink>
      <w:r w:rsidRPr="00CE2C6D">
        <w:rPr>
          <w:rFonts w:cs="Arial"/>
        </w:rPr>
        <w:t>)</w:t>
      </w:r>
    </w:p>
    <w:p w14:paraId="3B0C8B71" w14:textId="77777777" w:rsidR="00312F55" w:rsidRPr="00CE2C6D" w:rsidRDefault="00312F55" w:rsidP="00312F55">
      <w:pPr>
        <w:spacing w:after="240"/>
      </w:pPr>
      <w:r>
        <w:t>At the</w:t>
      </w:r>
      <w:r w:rsidRPr="00CE2C6D">
        <w:t xml:space="preserve"> November 2016 meeting the SBE approved tools for LEAs to determine progress on the local performance indicators for specific priorities within the LCFF statute. The self-reflection tools are for: Priority 1—Basic Services and Conditions at schools; Priority 6—School Climate; Priority 9—Coordination of Services for Expelled Students; and Priority 10—Coordination of Services for Foster Youth. (</w:t>
      </w:r>
      <w:hyperlink r:id="rId24" w:tooltip="November 2016 SBE Item 03" w:history="1">
        <w:r w:rsidRPr="00CE2C6D">
          <w:rPr>
            <w:rStyle w:val="Hyperlink"/>
            <w:rFonts w:eastAsiaTheme="majorEastAsia"/>
          </w:rPr>
          <w:t>http://www.cde.ca.gov/be/ag/ag/yr16/documents/nov16item03.doc</w:t>
        </w:r>
      </w:hyperlink>
      <w:r w:rsidRPr="00CE2C6D">
        <w:t>)</w:t>
      </w:r>
    </w:p>
    <w:p w14:paraId="6B4E474A" w14:textId="77777777" w:rsidR="00312F55" w:rsidRPr="00CE2C6D" w:rsidRDefault="00312F55" w:rsidP="00312F55">
      <w:pPr>
        <w:spacing w:after="240"/>
        <w:rPr>
          <w:rFonts w:cs="Arial"/>
        </w:rPr>
      </w:pPr>
      <w:r w:rsidRPr="00CE2C6D">
        <w:rPr>
          <w:rFonts w:cs="Arial"/>
        </w:rPr>
        <w:t>In September 2016, the SBE approved the performance standards for all local indicators and the state indicators (except for the Academic Indicator), and the annual process for the SBE to review the rubrics to determine if updates or revisions are necessary. (</w:t>
      </w:r>
      <w:hyperlink r:id="rId25" w:tooltip="Performance standards document" w:history="1">
        <w:r w:rsidRPr="00CE2C6D">
          <w:rPr>
            <w:rStyle w:val="Hyperlink"/>
            <w:rFonts w:eastAsiaTheme="majorEastAsia" w:cs="Arial"/>
          </w:rPr>
          <w:t>http://www.cde.ca.gov/be/ag/ag/yr16/documents/sep16item01.doc</w:t>
        </w:r>
      </w:hyperlink>
      <w:r w:rsidRPr="00CE2C6D">
        <w:rPr>
          <w:rFonts w:cs="Arial"/>
        </w:rPr>
        <w:t>)</w:t>
      </w:r>
    </w:p>
    <w:p w14:paraId="3511C889" w14:textId="77777777" w:rsidR="00312F55" w:rsidRPr="00CE2C6D" w:rsidRDefault="00312F55" w:rsidP="00312F55">
      <w:pPr>
        <w:spacing w:after="240"/>
        <w:rPr>
          <w:rFonts w:cs="Arial"/>
        </w:rPr>
      </w:pPr>
      <w:r w:rsidRPr="00CE2C6D">
        <w:rPr>
          <w:rFonts w:cs="Arial"/>
        </w:rPr>
        <w:t xml:space="preserve">In November 2014, the SBE adopted the </w:t>
      </w:r>
      <w:r>
        <w:rPr>
          <w:rFonts w:cs="Arial"/>
        </w:rPr>
        <w:t xml:space="preserve">first </w:t>
      </w:r>
      <w:r>
        <w:rPr>
          <w:rFonts w:ascii="Helvetica" w:hAnsi="Helvetica" w:cs="Helvetica"/>
          <w:color w:val="000000"/>
          <w:shd w:val="clear" w:color="auto" w:fill="FFFFFF"/>
        </w:rPr>
        <w:t>Local Control and Accountability Plan</w:t>
      </w:r>
      <w:r w:rsidRPr="00CE2C6D">
        <w:rPr>
          <w:rFonts w:cs="Arial"/>
        </w:rPr>
        <w:t xml:space="preserve"> template. (</w:t>
      </w:r>
      <w:hyperlink r:id="rId26" w:tooltip="LCFF Template" w:history="1">
        <w:r w:rsidRPr="00CE2C6D">
          <w:rPr>
            <w:rStyle w:val="Hyperlink"/>
            <w:rFonts w:cs="Arial"/>
          </w:rPr>
          <w:t>https://www.cde.ca.gov/be/ag/ag/yr14/documents/nov14item14.doc</w:t>
        </w:r>
      </w:hyperlink>
      <w:r w:rsidRPr="00CE2C6D">
        <w:rPr>
          <w:rFonts w:cs="Arial"/>
        </w:rPr>
        <w:t xml:space="preserve"> )</w:t>
      </w:r>
    </w:p>
    <w:p w14:paraId="064703EB" w14:textId="77777777" w:rsidR="00312F55" w:rsidRDefault="00312F55" w:rsidP="00312F55">
      <w:pPr>
        <w:pStyle w:val="Heading2"/>
      </w:pPr>
      <w:r>
        <w:t>Educator Equity</w:t>
      </w:r>
    </w:p>
    <w:p w14:paraId="302FD4AB" w14:textId="0B4C30D2" w:rsidR="00312F55" w:rsidRDefault="00312F55" w:rsidP="00312F55">
      <w:pPr>
        <w:spacing w:after="480"/>
        <w:contextualSpacing/>
        <w:rPr>
          <w:rFonts w:eastAsia="Calibri" w:cs="Arial"/>
        </w:rPr>
      </w:pPr>
      <w:r w:rsidRPr="00E45061">
        <w:t xml:space="preserve">In August 2020, the SBE </w:t>
      </w:r>
      <w:r>
        <w:t xml:space="preserve">received </w:t>
      </w:r>
      <w:r w:rsidRPr="00E45061">
        <w:t xml:space="preserve">an </w:t>
      </w:r>
      <w:r>
        <w:t>I</w:t>
      </w:r>
      <w:r w:rsidRPr="00E45061">
        <w:t xml:space="preserve">nformation </w:t>
      </w:r>
      <w:r>
        <w:t>M</w:t>
      </w:r>
      <w:r w:rsidRPr="00E45061">
        <w:t xml:space="preserve">emorandum regarding </w:t>
      </w:r>
      <w:r>
        <w:rPr>
          <w:rFonts w:eastAsia="Calibri" w:cs="Arial"/>
        </w:rPr>
        <w:t xml:space="preserve">teacher assignment </w:t>
      </w:r>
      <w:r w:rsidRPr="00E45061">
        <w:rPr>
          <w:rFonts w:eastAsia="Calibri" w:cs="Arial"/>
        </w:rPr>
        <w:t xml:space="preserve">data illustrating the various credential statuses recognized by state law, statewide teacher </w:t>
      </w:r>
      <w:proofErr w:type="spellStart"/>
      <w:r w:rsidRPr="00E45061">
        <w:rPr>
          <w:rFonts w:eastAsia="Calibri" w:cs="Arial"/>
        </w:rPr>
        <w:t>misassignments</w:t>
      </w:r>
      <w:proofErr w:type="spellEnd"/>
      <w:r w:rsidRPr="00E45061">
        <w:rPr>
          <w:rFonts w:eastAsia="Calibri" w:cs="Arial"/>
        </w:rPr>
        <w:t>, and data describing the distribution of “inexperienced,” and “out-of-field” teachers serving students of color and Socioecono</w:t>
      </w:r>
      <w:r>
        <w:rPr>
          <w:rFonts w:eastAsia="Calibri" w:cs="Arial"/>
        </w:rPr>
        <w:t>mically Disadvantaged</w:t>
      </w:r>
      <w:r w:rsidRPr="00E45061">
        <w:rPr>
          <w:rFonts w:eastAsia="Calibri" w:cs="Arial"/>
        </w:rPr>
        <w:t xml:space="preserve"> students. </w:t>
      </w:r>
      <w:hyperlink r:id="rId27" w:tooltip="2018-19 Educator Equity Data" w:history="1">
        <w:r w:rsidR="001B41FD" w:rsidRPr="008C2AA2">
          <w:rPr>
            <w:rStyle w:val="Hyperlink"/>
            <w:rFonts w:eastAsia="Calibri" w:cs="Arial"/>
          </w:rPr>
          <w:t>https://www.cde.ca.gov/be/pn/im/documents/aug20eeed02.docx</w:t>
        </w:r>
      </w:hyperlink>
      <w:r w:rsidR="001B41FD">
        <w:rPr>
          <w:rFonts w:eastAsia="Calibri" w:cs="Arial"/>
        </w:rPr>
        <w:t xml:space="preserve"> </w:t>
      </w:r>
    </w:p>
    <w:p w14:paraId="35FE7C50" w14:textId="77777777" w:rsidR="00312F55" w:rsidRDefault="00312F55" w:rsidP="00312F55">
      <w:pPr>
        <w:spacing w:after="480"/>
        <w:contextualSpacing/>
        <w:rPr>
          <w:rFonts w:cs="Arial"/>
          <w:color w:val="000000"/>
          <w:shd w:val="clear" w:color="auto" w:fill="FFFFFF"/>
        </w:rPr>
      </w:pPr>
    </w:p>
    <w:p w14:paraId="7EF3DAE1" w14:textId="565C3BB3" w:rsidR="00312F55" w:rsidRPr="00CE2C6D" w:rsidRDefault="00312F55" w:rsidP="00312F55">
      <w:pPr>
        <w:spacing w:after="480"/>
        <w:contextualSpacing/>
        <w:rPr>
          <w:rFonts w:cs="Arial"/>
        </w:rPr>
      </w:pPr>
      <w:r w:rsidRPr="00B3029E">
        <w:rPr>
          <w:rFonts w:cs="Arial"/>
          <w:color w:val="000000"/>
          <w:shd w:val="clear" w:color="auto" w:fill="FFFFFF"/>
        </w:rPr>
        <w:t>In November 2019, the SBE approved updated definitions for “ineffective” and “out-of-field” teachers</w:t>
      </w:r>
      <w:r w:rsidRPr="00B3029E">
        <w:rPr>
          <w:rFonts w:cs="Arial"/>
        </w:rPr>
        <w:t>. The definition of “ineffective teacher” was expanded to include individuals teaching with Provision</w:t>
      </w:r>
      <w:r>
        <w:rPr>
          <w:rFonts w:cs="Arial"/>
        </w:rPr>
        <w:t>al Internship Permits</w:t>
      </w:r>
      <w:r w:rsidRPr="00B3029E">
        <w:rPr>
          <w:rFonts w:cs="Arial"/>
        </w:rPr>
        <w:t xml:space="preserve">, </w:t>
      </w:r>
      <w:r>
        <w:rPr>
          <w:rFonts w:cs="Arial"/>
        </w:rPr>
        <w:t>Short-Term Staff Permits</w:t>
      </w:r>
      <w:r w:rsidRPr="00B3029E">
        <w:rPr>
          <w:rFonts w:cs="Arial"/>
        </w:rPr>
        <w:t>, and Variable Term Waivers.</w:t>
      </w:r>
      <w:r w:rsidRPr="00A7592D">
        <w:t xml:space="preserve"> </w:t>
      </w:r>
      <w:hyperlink r:id="rId28" w:tooltip="November 2019 SBE Item 05" w:history="1">
        <w:r w:rsidRPr="00AB640C">
          <w:rPr>
            <w:rStyle w:val="Hyperlink"/>
          </w:rPr>
          <w:t>https://www.cde.ca.gov/be/ag/ag/yr19/documents/nov19item05rev.docx</w:t>
        </w:r>
      </w:hyperlink>
      <w:r>
        <w:t xml:space="preserve"> </w:t>
      </w:r>
    </w:p>
    <w:p w14:paraId="6C20F76D" w14:textId="77777777" w:rsidR="00312F55" w:rsidRPr="00F27E8D" w:rsidRDefault="00312F55" w:rsidP="00C36E87">
      <w:pPr>
        <w:pStyle w:val="Heading1"/>
      </w:pPr>
      <w:r w:rsidRPr="00F27E8D">
        <w:t>Attachment(s)</w:t>
      </w:r>
    </w:p>
    <w:p w14:paraId="49630C1D" w14:textId="493675BE" w:rsidR="003D116F" w:rsidRPr="00C46987" w:rsidRDefault="00312F55" w:rsidP="00AE0E9B">
      <w:pPr>
        <w:spacing w:after="240"/>
        <w:rPr>
          <w:rFonts w:eastAsia="Arial"/>
        </w:rPr>
      </w:pPr>
      <w:r>
        <w:rPr>
          <w:rFonts w:cs="Arial"/>
        </w:rPr>
        <w:t>N</w:t>
      </w:r>
      <w:r w:rsidR="00C36A6A">
        <w:rPr>
          <w:rFonts w:cs="Arial"/>
        </w:rPr>
        <w:t>one.</w:t>
      </w:r>
    </w:p>
    <w:sectPr w:rsidR="003D116F" w:rsidRPr="00C46987" w:rsidSect="00312F55">
      <w:headerReference w:type="default" r:id="rId29"/>
      <w:type w:val="continuous"/>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FA7A3" w14:textId="77777777" w:rsidR="002D35D1" w:rsidRDefault="002D35D1" w:rsidP="000151F8">
      <w:r>
        <w:separator/>
      </w:r>
    </w:p>
  </w:endnote>
  <w:endnote w:type="continuationSeparator" w:id="0">
    <w:p w14:paraId="0048BFF5" w14:textId="77777777" w:rsidR="002D35D1" w:rsidRDefault="002D35D1" w:rsidP="000151F8">
      <w:r>
        <w:continuationSeparator/>
      </w:r>
    </w:p>
  </w:endnote>
  <w:endnote w:type="continuationNotice" w:id="1">
    <w:p w14:paraId="402C4227" w14:textId="77777777" w:rsidR="002D35D1" w:rsidRDefault="002D3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C838E" w14:textId="77777777" w:rsidR="002D35D1" w:rsidRDefault="002D35D1" w:rsidP="000151F8">
      <w:r>
        <w:separator/>
      </w:r>
    </w:p>
  </w:footnote>
  <w:footnote w:type="continuationSeparator" w:id="0">
    <w:p w14:paraId="0AD47ED0" w14:textId="77777777" w:rsidR="002D35D1" w:rsidRDefault="002D35D1" w:rsidP="000151F8">
      <w:r>
        <w:continuationSeparator/>
      </w:r>
    </w:p>
  </w:footnote>
  <w:footnote w:type="continuationNotice" w:id="1">
    <w:p w14:paraId="611D807E" w14:textId="77777777" w:rsidR="002D35D1" w:rsidRDefault="002D3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6354" w14:textId="1E8DD249" w:rsidR="00877510" w:rsidRDefault="00877510" w:rsidP="000151F8">
    <w:pPr>
      <w:pStyle w:val="Header"/>
      <w:jc w:val="right"/>
    </w:pPr>
    <w:r>
      <w:t>memo-imb-amard-oct19item01</w:t>
    </w:r>
  </w:p>
  <w:p w14:paraId="3A798C85" w14:textId="77777777" w:rsidR="00877510" w:rsidRDefault="00877510" w:rsidP="000151F8">
    <w:pPr>
      <w:pStyle w:val="Header"/>
      <w:spacing w:after="480"/>
      <w:jc w:val="right"/>
    </w:pPr>
    <w:r>
      <w:t xml:space="preserve">Page </w:t>
    </w:r>
    <w:r>
      <w:fldChar w:fldCharType="begin"/>
    </w:r>
    <w:r>
      <w:instrText xml:space="preserve"> PAGE   \* MERGEFORMAT </w:instrText>
    </w:r>
    <w:r>
      <w:fldChar w:fldCharType="separate"/>
    </w:r>
    <w:r>
      <w:rPr>
        <w:noProof/>
      </w:rPr>
      <w:t>9</w:t>
    </w:r>
    <w:r>
      <w:rPr>
        <w:noProof/>
      </w:rPr>
      <w:fldChar w:fldCharType="end"/>
    </w:r>
    <w:r>
      <w:rPr>
        <w:noProof/>
      </w:rPr>
      <w:t xml:space="preserve">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F5BB1" w14:textId="77777777" w:rsidR="00877510" w:rsidRDefault="00877510" w:rsidP="00B72C4E">
    <w:pPr>
      <w:pStyle w:val="Header"/>
      <w:tabs>
        <w:tab w:val="clear" w:pos="4680"/>
        <w:tab w:val="clear" w:pos="9360"/>
        <w:tab w:val="left" w:pos="753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7EFF" w14:textId="35F5FBCF" w:rsidR="00877510" w:rsidRPr="00312F55" w:rsidRDefault="003D1DDB" w:rsidP="00312F55">
    <w:pPr>
      <w:jc w:val="right"/>
      <w:rPr>
        <w:rFonts w:cs="Arial"/>
      </w:rPr>
    </w:pPr>
    <w:r>
      <w:rPr>
        <w:rFonts w:cs="Arial"/>
      </w:rPr>
      <w:t>memo-imb-amard-aug</w:t>
    </w:r>
    <w:r w:rsidR="00877510" w:rsidRPr="00753A60">
      <w:rPr>
        <w:rFonts w:cs="Arial"/>
      </w:rPr>
      <w:t>20item01</w:t>
    </w:r>
  </w:p>
  <w:p w14:paraId="0FBE7FDD" w14:textId="48EBDB69" w:rsidR="00877510" w:rsidRDefault="00877510" w:rsidP="000151F8">
    <w:pPr>
      <w:pStyle w:val="Header"/>
      <w:spacing w:after="480"/>
      <w:jc w:val="right"/>
    </w:pPr>
    <w:r>
      <w:t xml:space="preserve">Page </w:t>
    </w:r>
    <w:r>
      <w:fldChar w:fldCharType="begin"/>
    </w:r>
    <w:r>
      <w:instrText xml:space="preserve"> PAGE   \* MERGEFORMAT </w:instrText>
    </w:r>
    <w:r>
      <w:fldChar w:fldCharType="separate"/>
    </w:r>
    <w:r w:rsidR="00D34859">
      <w:rPr>
        <w:noProof/>
      </w:rPr>
      <w:t>8</w:t>
    </w:r>
    <w:r>
      <w:rPr>
        <w:noProof/>
      </w:rPr>
      <w:fldChar w:fldCharType="end"/>
    </w:r>
    <w:r w:rsidR="00312F55">
      <w:rPr>
        <w:noProof/>
      </w:rPr>
      <w:t xml:space="preserve"> of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67FEC"/>
    <w:multiLevelType w:val="hybridMultilevel"/>
    <w:tmpl w:val="64B01C22"/>
    <w:lvl w:ilvl="0" w:tplc="C6449DB6">
      <w:start w:val="1"/>
      <w:numFmt w:val="decimal"/>
      <w:pStyle w:val="Numbered"/>
      <w:lvlText w:val="%1."/>
      <w:lvlJc w:val="right"/>
      <w:pPr>
        <w:ind w:left="990" w:hanging="360"/>
      </w:pPr>
      <w:rPr>
        <w:b w:val="0"/>
        <w:i w:val="0"/>
        <w:strike w:val="0"/>
        <w:dstrike w:val="0"/>
        <w:color w:val="000000"/>
        <w:sz w:val="22"/>
        <w:szCs w:val="24"/>
        <w:u w:val="none"/>
        <w:effect w:val="none"/>
      </w:rPr>
    </w:lvl>
    <w:lvl w:ilvl="1" w:tplc="04090019">
      <w:start w:val="1"/>
      <w:numFmt w:val="lowerLetter"/>
      <w:pStyle w:val="Numbered2"/>
      <w:lvlText w:val="%2."/>
      <w:lvlJc w:val="left"/>
      <w:pPr>
        <w:ind w:left="1710" w:hanging="360"/>
      </w:pPr>
    </w:lvl>
    <w:lvl w:ilvl="2" w:tplc="0409001B">
      <w:start w:val="1"/>
      <w:numFmt w:val="lowerRoman"/>
      <w:pStyle w:val="Numbered3"/>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15:restartNumberingAfterBreak="0">
    <w:nsid w:val="43013243"/>
    <w:multiLevelType w:val="multilevel"/>
    <w:tmpl w:val="D158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B2BE6"/>
    <w:multiLevelType w:val="multilevel"/>
    <w:tmpl w:val="B5FE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F2B93"/>
    <w:multiLevelType w:val="multilevel"/>
    <w:tmpl w:val="C6E0F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77476A"/>
    <w:multiLevelType w:val="multilevel"/>
    <w:tmpl w:val="EEAE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LU0MLIwMzE2NrZQ0lEKTi0uzszPAykwrAUAOhX04ywAAAA="/>
  </w:docVars>
  <w:rsids>
    <w:rsidRoot w:val="00057A96"/>
    <w:rsid w:val="00002DA6"/>
    <w:rsid w:val="000151F8"/>
    <w:rsid w:val="000200E4"/>
    <w:rsid w:val="00036CCC"/>
    <w:rsid w:val="00047B17"/>
    <w:rsid w:val="00053B2A"/>
    <w:rsid w:val="00057A96"/>
    <w:rsid w:val="00077927"/>
    <w:rsid w:val="0008598E"/>
    <w:rsid w:val="00093730"/>
    <w:rsid w:val="000A16B1"/>
    <w:rsid w:val="000B3212"/>
    <w:rsid w:val="000C139F"/>
    <w:rsid w:val="000D4B7D"/>
    <w:rsid w:val="000E44C0"/>
    <w:rsid w:val="000E5631"/>
    <w:rsid w:val="000F066C"/>
    <w:rsid w:val="00112DE6"/>
    <w:rsid w:val="00113319"/>
    <w:rsid w:val="00113A05"/>
    <w:rsid w:val="00137993"/>
    <w:rsid w:val="0014037D"/>
    <w:rsid w:val="001409F3"/>
    <w:rsid w:val="0014362B"/>
    <w:rsid w:val="00151227"/>
    <w:rsid w:val="0016173B"/>
    <w:rsid w:val="001648E9"/>
    <w:rsid w:val="00165494"/>
    <w:rsid w:val="00171D8E"/>
    <w:rsid w:val="00174F09"/>
    <w:rsid w:val="001777CE"/>
    <w:rsid w:val="00180C9D"/>
    <w:rsid w:val="001816D2"/>
    <w:rsid w:val="00184D24"/>
    <w:rsid w:val="00184DEF"/>
    <w:rsid w:val="00195AE5"/>
    <w:rsid w:val="001A4DE3"/>
    <w:rsid w:val="001A7E77"/>
    <w:rsid w:val="001B05B2"/>
    <w:rsid w:val="001B278A"/>
    <w:rsid w:val="001B376D"/>
    <w:rsid w:val="001B41FD"/>
    <w:rsid w:val="001B7AF1"/>
    <w:rsid w:val="001C040F"/>
    <w:rsid w:val="001C16CF"/>
    <w:rsid w:val="001C4511"/>
    <w:rsid w:val="001D32B8"/>
    <w:rsid w:val="001D53E9"/>
    <w:rsid w:val="001D7D92"/>
    <w:rsid w:val="001F2420"/>
    <w:rsid w:val="001F57CB"/>
    <w:rsid w:val="00202F1D"/>
    <w:rsid w:val="00204A5A"/>
    <w:rsid w:val="00216335"/>
    <w:rsid w:val="00233ABA"/>
    <w:rsid w:val="00234856"/>
    <w:rsid w:val="002408E4"/>
    <w:rsid w:val="002439B9"/>
    <w:rsid w:val="00253E74"/>
    <w:rsid w:val="0026441C"/>
    <w:rsid w:val="00271089"/>
    <w:rsid w:val="002743E3"/>
    <w:rsid w:val="0028069E"/>
    <w:rsid w:val="00280C65"/>
    <w:rsid w:val="00281126"/>
    <w:rsid w:val="002818B9"/>
    <w:rsid w:val="00284912"/>
    <w:rsid w:val="00285315"/>
    <w:rsid w:val="0029145D"/>
    <w:rsid w:val="0029286A"/>
    <w:rsid w:val="00294CC5"/>
    <w:rsid w:val="002A106A"/>
    <w:rsid w:val="002B032A"/>
    <w:rsid w:val="002C3BE6"/>
    <w:rsid w:val="002C57B9"/>
    <w:rsid w:val="002D35D1"/>
    <w:rsid w:val="002D4AEB"/>
    <w:rsid w:val="002E0CC9"/>
    <w:rsid w:val="002F58AD"/>
    <w:rsid w:val="002F5DE9"/>
    <w:rsid w:val="00304222"/>
    <w:rsid w:val="00312F55"/>
    <w:rsid w:val="00321D49"/>
    <w:rsid w:val="00322C00"/>
    <w:rsid w:val="00325D38"/>
    <w:rsid w:val="00325EAA"/>
    <w:rsid w:val="003306BC"/>
    <w:rsid w:val="00335D4F"/>
    <w:rsid w:val="0033616F"/>
    <w:rsid w:val="00342E1E"/>
    <w:rsid w:val="003445D3"/>
    <w:rsid w:val="00345258"/>
    <w:rsid w:val="003468E8"/>
    <w:rsid w:val="00347E43"/>
    <w:rsid w:val="003518A7"/>
    <w:rsid w:val="00361297"/>
    <w:rsid w:val="00364C1F"/>
    <w:rsid w:val="00366BF8"/>
    <w:rsid w:val="003671BE"/>
    <w:rsid w:val="00381535"/>
    <w:rsid w:val="00382250"/>
    <w:rsid w:val="003826B6"/>
    <w:rsid w:val="003842FB"/>
    <w:rsid w:val="00392B0A"/>
    <w:rsid w:val="003955FC"/>
    <w:rsid w:val="003958C9"/>
    <w:rsid w:val="00395EE9"/>
    <w:rsid w:val="003A432A"/>
    <w:rsid w:val="003A65F6"/>
    <w:rsid w:val="003C36A2"/>
    <w:rsid w:val="003C76C2"/>
    <w:rsid w:val="003D06AC"/>
    <w:rsid w:val="003D116F"/>
    <w:rsid w:val="003D1DDB"/>
    <w:rsid w:val="003D3F05"/>
    <w:rsid w:val="003E3B94"/>
    <w:rsid w:val="003E53D8"/>
    <w:rsid w:val="003F121F"/>
    <w:rsid w:val="003F4DE0"/>
    <w:rsid w:val="003F5F0A"/>
    <w:rsid w:val="00402C8A"/>
    <w:rsid w:val="00402DA6"/>
    <w:rsid w:val="00411476"/>
    <w:rsid w:val="0043556B"/>
    <w:rsid w:val="00453CAA"/>
    <w:rsid w:val="00457692"/>
    <w:rsid w:val="00461D71"/>
    <w:rsid w:val="0046397B"/>
    <w:rsid w:val="004652CD"/>
    <w:rsid w:val="0047304C"/>
    <w:rsid w:val="00474A2F"/>
    <w:rsid w:val="004770AA"/>
    <w:rsid w:val="004874C6"/>
    <w:rsid w:val="004B48AC"/>
    <w:rsid w:val="004B5BE4"/>
    <w:rsid w:val="004C2824"/>
    <w:rsid w:val="004D13AD"/>
    <w:rsid w:val="004E121C"/>
    <w:rsid w:val="004E18EE"/>
    <w:rsid w:val="004F23A3"/>
    <w:rsid w:val="005003E9"/>
    <w:rsid w:val="005014A2"/>
    <w:rsid w:val="005022BF"/>
    <w:rsid w:val="00511900"/>
    <w:rsid w:val="00512079"/>
    <w:rsid w:val="0051479B"/>
    <w:rsid w:val="00514AB1"/>
    <w:rsid w:val="00540530"/>
    <w:rsid w:val="00541E13"/>
    <w:rsid w:val="0054334A"/>
    <w:rsid w:val="00557751"/>
    <w:rsid w:val="0056773F"/>
    <w:rsid w:val="00576F3F"/>
    <w:rsid w:val="00594892"/>
    <w:rsid w:val="005B1325"/>
    <w:rsid w:val="005B2936"/>
    <w:rsid w:val="005B6B17"/>
    <w:rsid w:val="005C14A3"/>
    <w:rsid w:val="005C4406"/>
    <w:rsid w:val="005C7A83"/>
    <w:rsid w:val="005D3F9C"/>
    <w:rsid w:val="005D52F3"/>
    <w:rsid w:val="005D600A"/>
    <w:rsid w:val="005E0111"/>
    <w:rsid w:val="005E4BDB"/>
    <w:rsid w:val="006055D4"/>
    <w:rsid w:val="00610058"/>
    <w:rsid w:val="00611014"/>
    <w:rsid w:val="00617A71"/>
    <w:rsid w:val="00617A73"/>
    <w:rsid w:val="006332BB"/>
    <w:rsid w:val="006428B6"/>
    <w:rsid w:val="006458E4"/>
    <w:rsid w:val="00646E2C"/>
    <w:rsid w:val="006529C3"/>
    <w:rsid w:val="00653AA8"/>
    <w:rsid w:val="006544B0"/>
    <w:rsid w:val="00655BD7"/>
    <w:rsid w:val="006603E8"/>
    <w:rsid w:val="00664624"/>
    <w:rsid w:val="006657D7"/>
    <w:rsid w:val="0067226F"/>
    <w:rsid w:val="00681207"/>
    <w:rsid w:val="00682340"/>
    <w:rsid w:val="0068294E"/>
    <w:rsid w:val="00683865"/>
    <w:rsid w:val="00697810"/>
    <w:rsid w:val="006A008C"/>
    <w:rsid w:val="006B2143"/>
    <w:rsid w:val="006B7662"/>
    <w:rsid w:val="006D08E7"/>
    <w:rsid w:val="006D36E4"/>
    <w:rsid w:val="006F1790"/>
    <w:rsid w:val="006F365D"/>
    <w:rsid w:val="006F3E89"/>
    <w:rsid w:val="006F5DAE"/>
    <w:rsid w:val="00703DED"/>
    <w:rsid w:val="007049E1"/>
    <w:rsid w:val="00717F34"/>
    <w:rsid w:val="00726E8C"/>
    <w:rsid w:val="00730A8F"/>
    <w:rsid w:val="007322FD"/>
    <w:rsid w:val="00733D14"/>
    <w:rsid w:val="00741EE7"/>
    <w:rsid w:val="00750C23"/>
    <w:rsid w:val="00753014"/>
    <w:rsid w:val="00753A60"/>
    <w:rsid w:val="007655F7"/>
    <w:rsid w:val="007858C3"/>
    <w:rsid w:val="00785D3E"/>
    <w:rsid w:val="00797EED"/>
    <w:rsid w:val="007A066C"/>
    <w:rsid w:val="007A25D3"/>
    <w:rsid w:val="007A2653"/>
    <w:rsid w:val="007A39AB"/>
    <w:rsid w:val="007A629A"/>
    <w:rsid w:val="007B1C4A"/>
    <w:rsid w:val="007B3A74"/>
    <w:rsid w:val="007B4985"/>
    <w:rsid w:val="007C02DF"/>
    <w:rsid w:val="007C3ADD"/>
    <w:rsid w:val="007D76BA"/>
    <w:rsid w:val="007F0BD9"/>
    <w:rsid w:val="008021ED"/>
    <w:rsid w:val="008032D6"/>
    <w:rsid w:val="00820F8C"/>
    <w:rsid w:val="008213F2"/>
    <w:rsid w:val="008248CD"/>
    <w:rsid w:val="00825345"/>
    <w:rsid w:val="0083060B"/>
    <w:rsid w:val="00833385"/>
    <w:rsid w:val="008361D1"/>
    <w:rsid w:val="00854CE9"/>
    <w:rsid w:val="008601FC"/>
    <w:rsid w:val="00862B01"/>
    <w:rsid w:val="00871B4E"/>
    <w:rsid w:val="00877510"/>
    <w:rsid w:val="00892AA2"/>
    <w:rsid w:val="00893FD1"/>
    <w:rsid w:val="008A4C14"/>
    <w:rsid w:val="008B1135"/>
    <w:rsid w:val="008C36E0"/>
    <w:rsid w:val="008D2B05"/>
    <w:rsid w:val="008F5F63"/>
    <w:rsid w:val="008F6CA0"/>
    <w:rsid w:val="009031DB"/>
    <w:rsid w:val="009049C2"/>
    <w:rsid w:val="00906BD8"/>
    <w:rsid w:val="00923906"/>
    <w:rsid w:val="00933284"/>
    <w:rsid w:val="00937423"/>
    <w:rsid w:val="00950C43"/>
    <w:rsid w:val="00952468"/>
    <w:rsid w:val="00963290"/>
    <w:rsid w:val="00966A82"/>
    <w:rsid w:val="00976480"/>
    <w:rsid w:val="00982A10"/>
    <w:rsid w:val="00995687"/>
    <w:rsid w:val="009A05E6"/>
    <w:rsid w:val="009BAE5D"/>
    <w:rsid w:val="009C4853"/>
    <w:rsid w:val="009D1874"/>
    <w:rsid w:val="009D40AA"/>
    <w:rsid w:val="009D5C49"/>
    <w:rsid w:val="009E1168"/>
    <w:rsid w:val="009E2946"/>
    <w:rsid w:val="009E2FFD"/>
    <w:rsid w:val="009E53FD"/>
    <w:rsid w:val="009F2E4B"/>
    <w:rsid w:val="009F56CA"/>
    <w:rsid w:val="00A1070B"/>
    <w:rsid w:val="00A10CBA"/>
    <w:rsid w:val="00A11875"/>
    <w:rsid w:val="00A17DCC"/>
    <w:rsid w:val="00A17F20"/>
    <w:rsid w:val="00A200C0"/>
    <w:rsid w:val="00A205B0"/>
    <w:rsid w:val="00A21736"/>
    <w:rsid w:val="00A21878"/>
    <w:rsid w:val="00A35C73"/>
    <w:rsid w:val="00A37E2E"/>
    <w:rsid w:val="00A470C2"/>
    <w:rsid w:val="00A65456"/>
    <w:rsid w:val="00A66660"/>
    <w:rsid w:val="00A717E7"/>
    <w:rsid w:val="00A71912"/>
    <w:rsid w:val="00A720B5"/>
    <w:rsid w:val="00A85479"/>
    <w:rsid w:val="00A857E1"/>
    <w:rsid w:val="00A91D42"/>
    <w:rsid w:val="00A978D5"/>
    <w:rsid w:val="00AA0AB0"/>
    <w:rsid w:val="00AA2DED"/>
    <w:rsid w:val="00AA7F89"/>
    <w:rsid w:val="00AB4C92"/>
    <w:rsid w:val="00AC4A85"/>
    <w:rsid w:val="00AD30AA"/>
    <w:rsid w:val="00AE0E9B"/>
    <w:rsid w:val="00AF2D42"/>
    <w:rsid w:val="00AF3464"/>
    <w:rsid w:val="00B06937"/>
    <w:rsid w:val="00B126F0"/>
    <w:rsid w:val="00B15F09"/>
    <w:rsid w:val="00B265EF"/>
    <w:rsid w:val="00B31142"/>
    <w:rsid w:val="00B325D4"/>
    <w:rsid w:val="00B35497"/>
    <w:rsid w:val="00B501C0"/>
    <w:rsid w:val="00B543EB"/>
    <w:rsid w:val="00B648B4"/>
    <w:rsid w:val="00B72220"/>
    <w:rsid w:val="00B72C4E"/>
    <w:rsid w:val="00B753BB"/>
    <w:rsid w:val="00B776FB"/>
    <w:rsid w:val="00B82007"/>
    <w:rsid w:val="00B82968"/>
    <w:rsid w:val="00B84FCE"/>
    <w:rsid w:val="00BB1455"/>
    <w:rsid w:val="00BB204E"/>
    <w:rsid w:val="00BB71B3"/>
    <w:rsid w:val="00BC1FC5"/>
    <w:rsid w:val="00BC3667"/>
    <w:rsid w:val="00BC376B"/>
    <w:rsid w:val="00BC5B98"/>
    <w:rsid w:val="00BD13A4"/>
    <w:rsid w:val="00BD53B3"/>
    <w:rsid w:val="00BD595E"/>
    <w:rsid w:val="00BD7106"/>
    <w:rsid w:val="00BE7481"/>
    <w:rsid w:val="00BF7F32"/>
    <w:rsid w:val="00C16346"/>
    <w:rsid w:val="00C1663F"/>
    <w:rsid w:val="00C2491F"/>
    <w:rsid w:val="00C31F63"/>
    <w:rsid w:val="00C36A6A"/>
    <w:rsid w:val="00C36E87"/>
    <w:rsid w:val="00C420BB"/>
    <w:rsid w:val="00C44CC2"/>
    <w:rsid w:val="00C46987"/>
    <w:rsid w:val="00C50A5C"/>
    <w:rsid w:val="00C52AA7"/>
    <w:rsid w:val="00C61F78"/>
    <w:rsid w:val="00C724B9"/>
    <w:rsid w:val="00C7295B"/>
    <w:rsid w:val="00C77C4A"/>
    <w:rsid w:val="00C814B5"/>
    <w:rsid w:val="00C860CA"/>
    <w:rsid w:val="00C90E37"/>
    <w:rsid w:val="00CA551A"/>
    <w:rsid w:val="00CA6428"/>
    <w:rsid w:val="00CB371B"/>
    <w:rsid w:val="00CC22D3"/>
    <w:rsid w:val="00CC5474"/>
    <w:rsid w:val="00CD766E"/>
    <w:rsid w:val="00CE1BD2"/>
    <w:rsid w:val="00CE5B2B"/>
    <w:rsid w:val="00CF0AFF"/>
    <w:rsid w:val="00CF0F96"/>
    <w:rsid w:val="00CF2511"/>
    <w:rsid w:val="00CF541E"/>
    <w:rsid w:val="00CF5C7D"/>
    <w:rsid w:val="00CF6211"/>
    <w:rsid w:val="00D01F04"/>
    <w:rsid w:val="00D17745"/>
    <w:rsid w:val="00D34859"/>
    <w:rsid w:val="00D377EB"/>
    <w:rsid w:val="00D44F8C"/>
    <w:rsid w:val="00D4577C"/>
    <w:rsid w:val="00D46B99"/>
    <w:rsid w:val="00D47EB8"/>
    <w:rsid w:val="00D510C2"/>
    <w:rsid w:val="00D51108"/>
    <w:rsid w:val="00D569B3"/>
    <w:rsid w:val="00D71C18"/>
    <w:rsid w:val="00D81E7D"/>
    <w:rsid w:val="00D84CE4"/>
    <w:rsid w:val="00D96C67"/>
    <w:rsid w:val="00DA0780"/>
    <w:rsid w:val="00DB26C1"/>
    <w:rsid w:val="00DB6757"/>
    <w:rsid w:val="00DC05A2"/>
    <w:rsid w:val="00DC3F23"/>
    <w:rsid w:val="00DC48AE"/>
    <w:rsid w:val="00DC5FAA"/>
    <w:rsid w:val="00DC6B90"/>
    <w:rsid w:val="00DD573C"/>
    <w:rsid w:val="00DD574D"/>
    <w:rsid w:val="00DD6B6E"/>
    <w:rsid w:val="00DE1B42"/>
    <w:rsid w:val="00E1290F"/>
    <w:rsid w:val="00E16929"/>
    <w:rsid w:val="00E2496D"/>
    <w:rsid w:val="00E27996"/>
    <w:rsid w:val="00E31257"/>
    <w:rsid w:val="00E32FDC"/>
    <w:rsid w:val="00E37455"/>
    <w:rsid w:val="00E41479"/>
    <w:rsid w:val="00E45BBC"/>
    <w:rsid w:val="00E46899"/>
    <w:rsid w:val="00E52DDB"/>
    <w:rsid w:val="00E53C0A"/>
    <w:rsid w:val="00E548DB"/>
    <w:rsid w:val="00E66BAB"/>
    <w:rsid w:val="00E67244"/>
    <w:rsid w:val="00E7326E"/>
    <w:rsid w:val="00E83122"/>
    <w:rsid w:val="00E85C68"/>
    <w:rsid w:val="00EC3FF1"/>
    <w:rsid w:val="00EE41FC"/>
    <w:rsid w:val="00EE61B1"/>
    <w:rsid w:val="00EE7C6B"/>
    <w:rsid w:val="00EF7AF6"/>
    <w:rsid w:val="00F02400"/>
    <w:rsid w:val="00F04BAC"/>
    <w:rsid w:val="00F066B1"/>
    <w:rsid w:val="00F06887"/>
    <w:rsid w:val="00F07D19"/>
    <w:rsid w:val="00F13DE5"/>
    <w:rsid w:val="00F16059"/>
    <w:rsid w:val="00F259B7"/>
    <w:rsid w:val="00F2689B"/>
    <w:rsid w:val="00F37CA7"/>
    <w:rsid w:val="00F43F4B"/>
    <w:rsid w:val="00F46DDD"/>
    <w:rsid w:val="00F673B4"/>
    <w:rsid w:val="00F80374"/>
    <w:rsid w:val="00F85FE2"/>
    <w:rsid w:val="00F921FC"/>
    <w:rsid w:val="00F935A8"/>
    <w:rsid w:val="00FA4633"/>
    <w:rsid w:val="00FB4BD7"/>
    <w:rsid w:val="00FC2015"/>
    <w:rsid w:val="00FD082E"/>
    <w:rsid w:val="00FD7DB7"/>
    <w:rsid w:val="00FE0237"/>
    <w:rsid w:val="00FE092C"/>
    <w:rsid w:val="00FE3497"/>
    <w:rsid w:val="00FF2972"/>
    <w:rsid w:val="013BEB18"/>
    <w:rsid w:val="013D7F11"/>
    <w:rsid w:val="018AE17B"/>
    <w:rsid w:val="01BC46FD"/>
    <w:rsid w:val="02B0FD45"/>
    <w:rsid w:val="032AC57A"/>
    <w:rsid w:val="033BEE9F"/>
    <w:rsid w:val="03604D93"/>
    <w:rsid w:val="0386EFAA"/>
    <w:rsid w:val="038A7EDD"/>
    <w:rsid w:val="038ECDEC"/>
    <w:rsid w:val="03E87912"/>
    <w:rsid w:val="03F85836"/>
    <w:rsid w:val="040337F6"/>
    <w:rsid w:val="040B371D"/>
    <w:rsid w:val="0487552B"/>
    <w:rsid w:val="0497BD6B"/>
    <w:rsid w:val="0498AA5F"/>
    <w:rsid w:val="04D15661"/>
    <w:rsid w:val="04E97965"/>
    <w:rsid w:val="0510EE18"/>
    <w:rsid w:val="059DADD1"/>
    <w:rsid w:val="05BF7989"/>
    <w:rsid w:val="061B56A0"/>
    <w:rsid w:val="0624AAFD"/>
    <w:rsid w:val="064FC5E3"/>
    <w:rsid w:val="0679E219"/>
    <w:rsid w:val="06807B34"/>
    <w:rsid w:val="06EE0302"/>
    <w:rsid w:val="07237E6B"/>
    <w:rsid w:val="074EA30A"/>
    <w:rsid w:val="07773ABA"/>
    <w:rsid w:val="08BEA2BD"/>
    <w:rsid w:val="08C75DF5"/>
    <w:rsid w:val="08CD0083"/>
    <w:rsid w:val="08CD0FD7"/>
    <w:rsid w:val="08F273C3"/>
    <w:rsid w:val="094D54D1"/>
    <w:rsid w:val="0A28CE06"/>
    <w:rsid w:val="0A3C7023"/>
    <w:rsid w:val="0B0406FA"/>
    <w:rsid w:val="0B6806C8"/>
    <w:rsid w:val="0B6E5D4D"/>
    <w:rsid w:val="0BC39BCD"/>
    <w:rsid w:val="0BE27398"/>
    <w:rsid w:val="0C6C2357"/>
    <w:rsid w:val="0CF22530"/>
    <w:rsid w:val="0D0750D4"/>
    <w:rsid w:val="0D1899A7"/>
    <w:rsid w:val="0D62BCCC"/>
    <w:rsid w:val="0DAA36A7"/>
    <w:rsid w:val="0DCE0CCF"/>
    <w:rsid w:val="0E2F55A5"/>
    <w:rsid w:val="0E3570DF"/>
    <w:rsid w:val="0EC37707"/>
    <w:rsid w:val="0F40A16B"/>
    <w:rsid w:val="0F60240E"/>
    <w:rsid w:val="0F7F6C44"/>
    <w:rsid w:val="0F8134D9"/>
    <w:rsid w:val="0FF51492"/>
    <w:rsid w:val="105A49D7"/>
    <w:rsid w:val="1077A5EC"/>
    <w:rsid w:val="10D03D6B"/>
    <w:rsid w:val="1157328E"/>
    <w:rsid w:val="118AB549"/>
    <w:rsid w:val="119BF7F6"/>
    <w:rsid w:val="11A0D94C"/>
    <w:rsid w:val="1233D7D1"/>
    <w:rsid w:val="1247AF34"/>
    <w:rsid w:val="12C29743"/>
    <w:rsid w:val="12FAB9BF"/>
    <w:rsid w:val="12FE2858"/>
    <w:rsid w:val="13222386"/>
    <w:rsid w:val="13615760"/>
    <w:rsid w:val="13F0A630"/>
    <w:rsid w:val="1456FC1C"/>
    <w:rsid w:val="15154C87"/>
    <w:rsid w:val="161D4CA1"/>
    <w:rsid w:val="1627C5CE"/>
    <w:rsid w:val="165376EF"/>
    <w:rsid w:val="16A978FF"/>
    <w:rsid w:val="17305E14"/>
    <w:rsid w:val="17CAB1E8"/>
    <w:rsid w:val="17DF23BC"/>
    <w:rsid w:val="17F5A224"/>
    <w:rsid w:val="18360BB1"/>
    <w:rsid w:val="184DDE1C"/>
    <w:rsid w:val="1878721D"/>
    <w:rsid w:val="18815B90"/>
    <w:rsid w:val="1896E22D"/>
    <w:rsid w:val="18C5B181"/>
    <w:rsid w:val="18E9F955"/>
    <w:rsid w:val="193D00EC"/>
    <w:rsid w:val="194A144B"/>
    <w:rsid w:val="197E9FE0"/>
    <w:rsid w:val="19BA4700"/>
    <w:rsid w:val="1A0559EF"/>
    <w:rsid w:val="1A64837D"/>
    <w:rsid w:val="1A7E4159"/>
    <w:rsid w:val="1AAB8E28"/>
    <w:rsid w:val="1AF5C052"/>
    <w:rsid w:val="1AF6476F"/>
    <w:rsid w:val="1AFBBDCE"/>
    <w:rsid w:val="1B0076E0"/>
    <w:rsid w:val="1B142B74"/>
    <w:rsid w:val="1B8C7CF6"/>
    <w:rsid w:val="1BF558A6"/>
    <w:rsid w:val="1C2B2DEF"/>
    <w:rsid w:val="1C6C1747"/>
    <w:rsid w:val="1C8F8766"/>
    <w:rsid w:val="1CF4C8CC"/>
    <w:rsid w:val="1D00D723"/>
    <w:rsid w:val="1D173343"/>
    <w:rsid w:val="1DB098D3"/>
    <w:rsid w:val="1DC67DB8"/>
    <w:rsid w:val="1E5C4DDB"/>
    <w:rsid w:val="1EEA1EE5"/>
    <w:rsid w:val="1F1E1015"/>
    <w:rsid w:val="1F2FDE15"/>
    <w:rsid w:val="1FBD0A60"/>
    <w:rsid w:val="1FDCD0DF"/>
    <w:rsid w:val="202F16FC"/>
    <w:rsid w:val="20438700"/>
    <w:rsid w:val="20601CCD"/>
    <w:rsid w:val="2062DC41"/>
    <w:rsid w:val="20BE006F"/>
    <w:rsid w:val="2114968F"/>
    <w:rsid w:val="211E831B"/>
    <w:rsid w:val="215156E2"/>
    <w:rsid w:val="2191FFAF"/>
    <w:rsid w:val="2207FFC0"/>
    <w:rsid w:val="223207EA"/>
    <w:rsid w:val="223BA668"/>
    <w:rsid w:val="22469513"/>
    <w:rsid w:val="228676A1"/>
    <w:rsid w:val="22897FC7"/>
    <w:rsid w:val="228C7586"/>
    <w:rsid w:val="22DDB379"/>
    <w:rsid w:val="232D9B53"/>
    <w:rsid w:val="23989D08"/>
    <w:rsid w:val="23D40AFC"/>
    <w:rsid w:val="24196946"/>
    <w:rsid w:val="24554D4B"/>
    <w:rsid w:val="2456CD10"/>
    <w:rsid w:val="24BA6017"/>
    <w:rsid w:val="24CCF634"/>
    <w:rsid w:val="24DE202E"/>
    <w:rsid w:val="24F7FF95"/>
    <w:rsid w:val="25CA05BE"/>
    <w:rsid w:val="25E2B309"/>
    <w:rsid w:val="25EB9A4F"/>
    <w:rsid w:val="25F9E585"/>
    <w:rsid w:val="263A331E"/>
    <w:rsid w:val="2656B949"/>
    <w:rsid w:val="268E88DA"/>
    <w:rsid w:val="26913DE2"/>
    <w:rsid w:val="269D740A"/>
    <w:rsid w:val="26BCBB50"/>
    <w:rsid w:val="26C71B5E"/>
    <w:rsid w:val="271A324B"/>
    <w:rsid w:val="275A38B0"/>
    <w:rsid w:val="27748783"/>
    <w:rsid w:val="27757CDD"/>
    <w:rsid w:val="27C9E920"/>
    <w:rsid w:val="282966FC"/>
    <w:rsid w:val="28480288"/>
    <w:rsid w:val="28A2C0FE"/>
    <w:rsid w:val="28E20B86"/>
    <w:rsid w:val="28E24A13"/>
    <w:rsid w:val="29AFA4EE"/>
    <w:rsid w:val="29B3E26D"/>
    <w:rsid w:val="2A484611"/>
    <w:rsid w:val="2A753BB5"/>
    <w:rsid w:val="2ADBCDA3"/>
    <w:rsid w:val="2B9DB61C"/>
    <w:rsid w:val="2C23CD32"/>
    <w:rsid w:val="2C7F01BE"/>
    <w:rsid w:val="2C86D29E"/>
    <w:rsid w:val="2CDE25FB"/>
    <w:rsid w:val="2D407F8A"/>
    <w:rsid w:val="2D7486CD"/>
    <w:rsid w:val="2D7CCD1D"/>
    <w:rsid w:val="2D93B25B"/>
    <w:rsid w:val="2DEC7596"/>
    <w:rsid w:val="2E971BE2"/>
    <w:rsid w:val="2EAB28A1"/>
    <w:rsid w:val="2F129A39"/>
    <w:rsid w:val="3041EF65"/>
    <w:rsid w:val="30671EC1"/>
    <w:rsid w:val="306C25A9"/>
    <w:rsid w:val="308DA8E7"/>
    <w:rsid w:val="30B79745"/>
    <w:rsid w:val="30CD5851"/>
    <w:rsid w:val="3107894E"/>
    <w:rsid w:val="311F254F"/>
    <w:rsid w:val="3130ED8E"/>
    <w:rsid w:val="3192F77D"/>
    <w:rsid w:val="31EE8900"/>
    <w:rsid w:val="320C5558"/>
    <w:rsid w:val="323AB41C"/>
    <w:rsid w:val="3283CC1D"/>
    <w:rsid w:val="32C6C6D2"/>
    <w:rsid w:val="33029C5F"/>
    <w:rsid w:val="331CA444"/>
    <w:rsid w:val="3344F27E"/>
    <w:rsid w:val="3403CF3B"/>
    <w:rsid w:val="34526A76"/>
    <w:rsid w:val="3466E889"/>
    <w:rsid w:val="34EE4239"/>
    <w:rsid w:val="355B30E1"/>
    <w:rsid w:val="364B42D9"/>
    <w:rsid w:val="366023DB"/>
    <w:rsid w:val="3662EFF4"/>
    <w:rsid w:val="367C9717"/>
    <w:rsid w:val="377AA475"/>
    <w:rsid w:val="37E5350F"/>
    <w:rsid w:val="37E66C40"/>
    <w:rsid w:val="380B259C"/>
    <w:rsid w:val="385DBB02"/>
    <w:rsid w:val="3860C816"/>
    <w:rsid w:val="386CE286"/>
    <w:rsid w:val="3958B015"/>
    <w:rsid w:val="39934F47"/>
    <w:rsid w:val="39A92E3B"/>
    <w:rsid w:val="39CD44AC"/>
    <w:rsid w:val="39DF7786"/>
    <w:rsid w:val="39EA7A8E"/>
    <w:rsid w:val="3A033390"/>
    <w:rsid w:val="3A2A0796"/>
    <w:rsid w:val="3A4D41BB"/>
    <w:rsid w:val="3A523AFA"/>
    <w:rsid w:val="3ABEE6D5"/>
    <w:rsid w:val="3AD02586"/>
    <w:rsid w:val="3ADCC6DC"/>
    <w:rsid w:val="3B257330"/>
    <w:rsid w:val="3B81B3B3"/>
    <w:rsid w:val="3BBAA0D5"/>
    <w:rsid w:val="3BC05146"/>
    <w:rsid w:val="3BDE053E"/>
    <w:rsid w:val="3BE25B83"/>
    <w:rsid w:val="3C26CBA6"/>
    <w:rsid w:val="3C383DEA"/>
    <w:rsid w:val="3C584DF5"/>
    <w:rsid w:val="3CBB0F7D"/>
    <w:rsid w:val="3D7BC9C0"/>
    <w:rsid w:val="3E017530"/>
    <w:rsid w:val="3E05831E"/>
    <w:rsid w:val="3E4EECD8"/>
    <w:rsid w:val="3E679833"/>
    <w:rsid w:val="3EA2F380"/>
    <w:rsid w:val="3EAC3F21"/>
    <w:rsid w:val="3ED1F947"/>
    <w:rsid w:val="3EE63EA9"/>
    <w:rsid w:val="3EF1389F"/>
    <w:rsid w:val="3F5C2E82"/>
    <w:rsid w:val="3FB309C8"/>
    <w:rsid w:val="3FF79132"/>
    <w:rsid w:val="401558A8"/>
    <w:rsid w:val="409D192F"/>
    <w:rsid w:val="40D022BA"/>
    <w:rsid w:val="40E14833"/>
    <w:rsid w:val="4132BF34"/>
    <w:rsid w:val="4160F669"/>
    <w:rsid w:val="416D0FEA"/>
    <w:rsid w:val="4184444D"/>
    <w:rsid w:val="419B2A4E"/>
    <w:rsid w:val="41F473EE"/>
    <w:rsid w:val="42709882"/>
    <w:rsid w:val="427C23D0"/>
    <w:rsid w:val="4306F679"/>
    <w:rsid w:val="4336E2D3"/>
    <w:rsid w:val="43551261"/>
    <w:rsid w:val="4365B6B0"/>
    <w:rsid w:val="436D7121"/>
    <w:rsid w:val="43894A15"/>
    <w:rsid w:val="43D1418D"/>
    <w:rsid w:val="4441E3BC"/>
    <w:rsid w:val="44839549"/>
    <w:rsid w:val="4540F643"/>
    <w:rsid w:val="45502FFB"/>
    <w:rsid w:val="45AE8B07"/>
    <w:rsid w:val="465DCFDD"/>
    <w:rsid w:val="4673E30B"/>
    <w:rsid w:val="46C41399"/>
    <w:rsid w:val="46DEA7D0"/>
    <w:rsid w:val="46E5AC26"/>
    <w:rsid w:val="46F4BBF4"/>
    <w:rsid w:val="47130B29"/>
    <w:rsid w:val="4755B718"/>
    <w:rsid w:val="47AD9603"/>
    <w:rsid w:val="48450287"/>
    <w:rsid w:val="4877F1F9"/>
    <w:rsid w:val="48D28B8E"/>
    <w:rsid w:val="48FBBD74"/>
    <w:rsid w:val="4923AFF6"/>
    <w:rsid w:val="49507415"/>
    <w:rsid w:val="49648FEF"/>
    <w:rsid w:val="496DB3B3"/>
    <w:rsid w:val="49836EBB"/>
    <w:rsid w:val="4992E2FE"/>
    <w:rsid w:val="49AA3481"/>
    <w:rsid w:val="49DE9F9F"/>
    <w:rsid w:val="4A509C0C"/>
    <w:rsid w:val="4B07CB27"/>
    <w:rsid w:val="4B9B1D87"/>
    <w:rsid w:val="4C23EC25"/>
    <w:rsid w:val="4CA9892A"/>
    <w:rsid w:val="4CB6F320"/>
    <w:rsid w:val="4CFD5713"/>
    <w:rsid w:val="4E00B166"/>
    <w:rsid w:val="4E312834"/>
    <w:rsid w:val="4E35FB82"/>
    <w:rsid w:val="4EAD585B"/>
    <w:rsid w:val="4EF8C6D1"/>
    <w:rsid w:val="4F750620"/>
    <w:rsid w:val="50272B82"/>
    <w:rsid w:val="50309996"/>
    <w:rsid w:val="506411FE"/>
    <w:rsid w:val="50A8D4F2"/>
    <w:rsid w:val="50C5055D"/>
    <w:rsid w:val="50F5836F"/>
    <w:rsid w:val="5150B89A"/>
    <w:rsid w:val="51AB302F"/>
    <w:rsid w:val="51D098C1"/>
    <w:rsid w:val="51EB25FB"/>
    <w:rsid w:val="51F86DB8"/>
    <w:rsid w:val="5221F9AD"/>
    <w:rsid w:val="522AB6FC"/>
    <w:rsid w:val="528CCDCF"/>
    <w:rsid w:val="52C19497"/>
    <w:rsid w:val="52CF64EB"/>
    <w:rsid w:val="53518864"/>
    <w:rsid w:val="536D941C"/>
    <w:rsid w:val="53BCC2FB"/>
    <w:rsid w:val="53C79F0B"/>
    <w:rsid w:val="53F42102"/>
    <w:rsid w:val="540C9E32"/>
    <w:rsid w:val="54124608"/>
    <w:rsid w:val="54249C42"/>
    <w:rsid w:val="546E8616"/>
    <w:rsid w:val="547599A3"/>
    <w:rsid w:val="54D8780D"/>
    <w:rsid w:val="54FCD1F0"/>
    <w:rsid w:val="553F0A96"/>
    <w:rsid w:val="575DE7F8"/>
    <w:rsid w:val="57A09C18"/>
    <w:rsid w:val="588884D1"/>
    <w:rsid w:val="58DC2091"/>
    <w:rsid w:val="59E5737E"/>
    <w:rsid w:val="5A009311"/>
    <w:rsid w:val="5A3BD2E6"/>
    <w:rsid w:val="5AFC5329"/>
    <w:rsid w:val="5B32C197"/>
    <w:rsid w:val="5B72E633"/>
    <w:rsid w:val="5B74347F"/>
    <w:rsid w:val="5B7D0AC3"/>
    <w:rsid w:val="5B9506F8"/>
    <w:rsid w:val="5BC76C7A"/>
    <w:rsid w:val="5C78D507"/>
    <w:rsid w:val="5CA52E4A"/>
    <w:rsid w:val="5D2117BB"/>
    <w:rsid w:val="5E1B8F37"/>
    <w:rsid w:val="5ED28903"/>
    <w:rsid w:val="5F240ABE"/>
    <w:rsid w:val="5F9A2382"/>
    <w:rsid w:val="5FD35162"/>
    <w:rsid w:val="5FDB05DC"/>
    <w:rsid w:val="603A6E8E"/>
    <w:rsid w:val="605DCFC7"/>
    <w:rsid w:val="6063FC86"/>
    <w:rsid w:val="607399D6"/>
    <w:rsid w:val="607D77A9"/>
    <w:rsid w:val="610CE5E4"/>
    <w:rsid w:val="6115827C"/>
    <w:rsid w:val="612F6107"/>
    <w:rsid w:val="61D37D46"/>
    <w:rsid w:val="6215B256"/>
    <w:rsid w:val="6252AD15"/>
    <w:rsid w:val="625A523E"/>
    <w:rsid w:val="625B5AC3"/>
    <w:rsid w:val="6285732D"/>
    <w:rsid w:val="629F9C22"/>
    <w:rsid w:val="62D93CD4"/>
    <w:rsid w:val="63240750"/>
    <w:rsid w:val="6362C368"/>
    <w:rsid w:val="637AABDB"/>
    <w:rsid w:val="639059AA"/>
    <w:rsid w:val="63981981"/>
    <w:rsid w:val="6418FA96"/>
    <w:rsid w:val="642A4061"/>
    <w:rsid w:val="642BDC1B"/>
    <w:rsid w:val="64316297"/>
    <w:rsid w:val="64865FB3"/>
    <w:rsid w:val="64CC46B0"/>
    <w:rsid w:val="6543DCF2"/>
    <w:rsid w:val="65476FC4"/>
    <w:rsid w:val="6554E27D"/>
    <w:rsid w:val="655662B2"/>
    <w:rsid w:val="65988603"/>
    <w:rsid w:val="65AC3BBD"/>
    <w:rsid w:val="65EF7E52"/>
    <w:rsid w:val="663FAC1B"/>
    <w:rsid w:val="664D2FC2"/>
    <w:rsid w:val="6690DF38"/>
    <w:rsid w:val="66BA2C05"/>
    <w:rsid w:val="66CFDF20"/>
    <w:rsid w:val="6745E6D4"/>
    <w:rsid w:val="67A6F716"/>
    <w:rsid w:val="67AA8E7E"/>
    <w:rsid w:val="67BCEF10"/>
    <w:rsid w:val="68C095EC"/>
    <w:rsid w:val="68C8221A"/>
    <w:rsid w:val="68FCA059"/>
    <w:rsid w:val="692B1D81"/>
    <w:rsid w:val="698F88E6"/>
    <w:rsid w:val="6A3723A1"/>
    <w:rsid w:val="6A37B30A"/>
    <w:rsid w:val="6AB12F64"/>
    <w:rsid w:val="6B553A13"/>
    <w:rsid w:val="6BBDC349"/>
    <w:rsid w:val="6BF27F72"/>
    <w:rsid w:val="6BF796D6"/>
    <w:rsid w:val="6C0A096E"/>
    <w:rsid w:val="6C4DD37B"/>
    <w:rsid w:val="6C938E41"/>
    <w:rsid w:val="6CC49B3A"/>
    <w:rsid w:val="6DB306EB"/>
    <w:rsid w:val="6DCDB97B"/>
    <w:rsid w:val="6E49CEA6"/>
    <w:rsid w:val="6EE67B36"/>
    <w:rsid w:val="6F25C4B3"/>
    <w:rsid w:val="6F63469A"/>
    <w:rsid w:val="6FB8FB5F"/>
    <w:rsid w:val="700819FE"/>
    <w:rsid w:val="70119375"/>
    <w:rsid w:val="7077EDF8"/>
    <w:rsid w:val="70A42C4D"/>
    <w:rsid w:val="712E2E6F"/>
    <w:rsid w:val="717E0B02"/>
    <w:rsid w:val="717E9E86"/>
    <w:rsid w:val="719ABCD6"/>
    <w:rsid w:val="71A39AE8"/>
    <w:rsid w:val="71A4853E"/>
    <w:rsid w:val="71BCA69F"/>
    <w:rsid w:val="71E1F91C"/>
    <w:rsid w:val="72566976"/>
    <w:rsid w:val="72590261"/>
    <w:rsid w:val="7283611C"/>
    <w:rsid w:val="72B97263"/>
    <w:rsid w:val="72C0FF9F"/>
    <w:rsid w:val="72F0A40B"/>
    <w:rsid w:val="73751B82"/>
    <w:rsid w:val="738EC218"/>
    <w:rsid w:val="73B47987"/>
    <w:rsid w:val="73BC823C"/>
    <w:rsid w:val="73E50CE2"/>
    <w:rsid w:val="73E9BD62"/>
    <w:rsid w:val="73F764E7"/>
    <w:rsid w:val="747E6D0C"/>
    <w:rsid w:val="74893A83"/>
    <w:rsid w:val="748A1003"/>
    <w:rsid w:val="74BD80C1"/>
    <w:rsid w:val="74CA00D3"/>
    <w:rsid w:val="74E46477"/>
    <w:rsid w:val="75195ED3"/>
    <w:rsid w:val="7571475A"/>
    <w:rsid w:val="758F699B"/>
    <w:rsid w:val="75ACA9B2"/>
    <w:rsid w:val="75BAF6D6"/>
    <w:rsid w:val="75C732D5"/>
    <w:rsid w:val="75CFA8D6"/>
    <w:rsid w:val="76333FEF"/>
    <w:rsid w:val="763E359F"/>
    <w:rsid w:val="76454A74"/>
    <w:rsid w:val="7672C0CA"/>
    <w:rsid w:val="76AB0C07"/>
    <w:rsid w:val="76B82F24"/>
    <w:rsid w:val="76D53582"/>
    <w:rsid w:val="770C9F86"/>
    <w:rsid w:val="773BF0DA"/>
    <w:rsid w:val="77F41FCB"/>
    <w:rsid w:val="77FD15E7"/>
    <w:rsid w:val="78094D26"/>
    <w:rsid w:val="78291F21"/>
    <w:rsid w:val="78682071"/>
    <w:rsid w:val="796101C4"/>
    <w:rsid w:val="79CD0AC1"/>
    <w:rsid w:val="79E738D2"/>
    <w:rsid w:val="7A4A477B"/>
    <w:rsid w:val="7A4A49D9"/>
    <w:rsid w:val="7A4F5192"/>
    <w:rsid w:val="7A600088"/>
    <w:rsid w:val="7A693C9D"/>
    <w:rsid w:val="7B3C90C3"/>
    <w:rsid w:val="7BF5D477"/>
    <w:rsid w:val="7C1535D5"/>
    <w:rsid w:val="7C208796"/>
    <w:rsid w:val="7C4D344F"/>
    <w:rsid w:val="7C51DBF9"/>
    <w:rsid w:val="7C5474F2"/>
    <w:rsid w:val="7D30C0BC"/>
    <w:rsid w:val="7DBF6D17"/>
    <w:rsid w:val="7DEE43A7"/>
    <w:rsid w:val="7E108B3D"/>
    <w:rsid w:val="7E161D2C"/>
    <w:rsid w:val="7E6BB7C3"/>
    <w:rsid w:val="7F06741B"/>
    <w:rsid w:val="7F523001"/>
    <w:rsid w:val="7F814A8E"/>
    <w:rsid w:val="7FA5D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A4CD2"/>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04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C90E3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F5F63"/>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B72C4E"/>
    <w:pPr>
      <w:spacing w:before="300"/>
      <w:outlineLvl w:val="3"/>
    </w:pPr>
    <w:rPr>
      <w:b/>
      <w:spacing w:val="10"/>
      <w:szCs w:val="22"/>
    </w:rPr>
  </w:style>
  <w:style w:type="paragraph" w:styleId="Heading5">
    <w:name w:val="heading 5"/>
    <w:basedOn w:val="Normal"/>
    <w:next w:val="Normal"/>
    <w:link w:val="Heading5Char"/>
    <w:uiPriority w:val="9"/>
    <w:unhideWhenUsed/>
    <w:qFormat/>
    <w:rsid w:val="00B72C4E"/>
    <w:pPr>
      <w:pBdr>
        <w:bottom w:val="single" w:sz="6" w:space="1" w:color="5B9BD5" w:themeColor="accent1"/>
      </w:pBdr>
      <w:spacing w:before="300"/>
      <w:outlineLvl w:val="4"/>
    </w:pPr>
    <w:rPr>
      <w:rFonts w:ascii="Times New Roman" w:hAnsi="Times New Roman"/>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B72C4E"/>
    <w:pPr>
      <w:pBdr>
        <w:bottom w:val="dotted" w:sz="6" w:space="1" w:color="5B9BD5" w:themeColor="accent1"/>
      </w:pBdr>
      <w:spacing w:before="300"/>
      <w:outlineLvl w:val="5"/>
    </w:pPr>
    <w:rPr>
      <w:rFonts w:ascii="Times New Roman" w:hAnsi="Times New Roman"/>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B72C4E"/>
    <w:pPr>
      <w:spacing w:before="300"/>
      <w:outlineLvl w:val="6"/>
    </w:pPr>
    <w:rPr>
      <w:rFonts w:ascii="Times New Roman" w:hAnsi="Times New Roman"/>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B72C4E"/>
    <w:pPr>
      <w:spacing w:before="300"/>
      <w:outlineLvl w:val="7"/>
    </w:pPr>
    <w:rPr>
      <w:rFonts w:ascii="Times New Roman" w:hAnsi="Times New Roman"/>
      <w:caps/>
      <w:spacing w:val="10"/>
      <w:sz w:val="18"/>
      <w:szCs w:val="18"/>
    </w:rPr>
  </w:style>
  <w:style w:type="paragraph" w:styleId="Heading9">
    <w:name w:val="heading 9"/>
    <w:basedOn w:val="Normal"/>
    <w:next w:val="Normal"/>
    <w:link w:val="Heading9Char"/>
    <w:uiPriority w:val="9"/>
    <w:semiHidden/>
    <w:unhideWhenUsed/>
    <w:qFormat/>
    <w:rsid w:val="00B72C4E"/>
    <w:pPr>
      <w:spacing w:before="300"/>
      <w:outlineLvl w:val="8"/>
    </w:pPr>
    <w:rPr>
      <w:rFonts w:ascii="Times New Roman" w:hAnsi="Times New Roman"/>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3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8F5F63"/>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B72C4E"/>
    <w:rPr>
      <w:rFonts w:ascii="Arial" w:eastAsia="Times New Roman" w:hAnsi="Arial" w:cs="Times New Roman"/>
      <w:b/>
      <w:spacing w:val="10"/>
      <w:sz w:val="24"/>
    </w:rPr>
  </w:style>
  <w:style w:type="character" w:customStyle="1" w:styleId="Heading5Char">
    <w:name w:val="Heading 5 Char"/>
    <w:basedOn w:val="DefaultParagraphFont"/>
    <w:link w:val="Heading5"/>
    <w:uiPriority w:val="9"/>
    <w:rsid w:val="00B72C4E"/>
    <w:rPr>
      <w:rFonts w:ascii="Times New Roman" w:eastAsia="Times New Roman" w:hAnsi="Times New Roman" w:cs="Times New Roman"/>
      <w:caps/>
      <w:color w:val="2E74B5" w:themeColor="accent1" w:themeShade="BF"/>
      <w:spacing w:val="10"/>
    </w:rPr>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paragraph" w:styleId="ListParagraph">
    <w:name w:val="List Paragraph"/>
    <w:aliases w:val="list"/>
    <w:basedOn w:val="Normal"/>
    <w:link w:val="ListParagraphChar"/>
    <w:uiPriority w:val="34"/>
    <w:qFormat/>
    <w:rsid w:val="000151F8"/>
    <w:pPr>
      <w:widowControl w:val="0"/>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Char"/>
    <w:basedOn w:val="DefaultParagraphFont"/>
    <w:link w:val="ListParagraph"/>
    <w:uiPriority w:val="34"/>
    <w:locked/>
    <w:rsid w:val="000151F8"/>
  </w:style>
  <w:style w:type="character" w:styleId="Hyperlink">
    <w:name w:val="Hyperlink"/>
    <w:basedOn w:val="DefaultParagraphFont"/>
    <w:uiPriority w:val="99"/>
    <w:unhideWhenUsed/>
    <w:rsid w:val="000151F8"/>
    <w:rPr>
      <w:strike w:val="0"/>
      <w:dstrike w:val="0"/>
      <w:color w:val="0000FF"/>
      <w:u w:val="single"/>
      <w:effect w:val="none"/>
      <w:shd w:val="clear" w:color="auto" w:fill="auto"/>
    </w:rPr>
  </w:style>
  <w:style w:type="paragraph" w:styleId="Header">
    <w:name w:val="header"/>
    <w:basedOn w:val="Normal"/>
    <w:link w:val="HeaderChar"/>
    <w:uiPriority w:val="99"/>
    <w:unhideWhenUsed/>
    <w:rsid w:val="000151F8"/>
    <w:pPr>
      <w:tabs>
        <w:tab w:val="center" w:pos="4680"/>
        <w:tab w:val="right" w:pos="9360"/>
      </w:tabs>
    </w:pPr>
  </w:style>
  <w:style w:type="character" w:customStyle="1" w:styleId="HeaderChar">
    <w:name w:val="Header Char"/>
    <w:basedOn w:val="DefaultParagraphFont"/>
    <w:link w:val="Header"/>
    <w:uiPriority w:val="99"/>
    <w:rsid w:val="000151F8"/>
    <w:rPr>
      <w:rFonts w:ascii="Arial" w:eastAsia="Times New Roman" w:hAnsi="Arial" w:cs="Times New Roman"/>
      <w:sz w:val="24"/>
      <w:szCs w:val="24"/>
    </w:rPr>
  </w:style>
  <w:style w:type="paragraph" w:styleId="Footer">
    <w:name w:val="footer"/>
    <w:basedOn w:val="Normal"/>
    <w:link w:val="FooterChar"/>
    <w:uiPriority w:val="99"/>
    <w:unhideWhenUsed/>
    <w:rsid w:val="000151F8"/>
    <w:pPr>
      <w:tabs>
        <w:tab w:val="center" w:pos="4680"/>
        <w:tab w:val="right" w:pos="9360"/>
      </w:tabs>
    </w:pPr>
  </w:style>
  <w:style w:type="character" w:customStyle="1" w:styleId="FooterChar">
    <w:name w:val="Footer Char"/>
    <w:basedOn w:val="DefaultParagraphFont"/>
    <w:link w:val="Footer"/>
    <w:uiPriority w:val="99"/>
    <w:rsid w:val="000151F8"/>
    <w:rPr>
      <w:rFonts w:ascii="Arial" w:eastAsia="Times New Roman" w:hAnsi="Arial" w:cs="Times New Roman"/>
      <w:sz w:val="24"/>
      <w:szCs w:val="24"/>
    </w:rPr>
  </w:style>
  <w:style w:type="table" w:styleId="TableGrid">
    <w:name w:val="Table Grid"/>
    <w:basedOn w:val="TableNormal"/>
    <w:uiPriority w:val="39"/>
    <w:rsid w:val="0001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1F8"/>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unhideWhenUsed/>
    <w:rsid w:val="00FB4BD7"/>
    <w:rPr>
      <w:sz w:val="16"/>
      <w:szCs w:val="16"/>
    </w:rPr>
  </w:style>
  <w:style w:type="paragraph" w:styleId="CommentText">
    <w:name w:val="annotation text"/>
    <w:basedOn w:val="Normal"/>
    <w:link w:val="CommentTextChar"/>
    <w:uiPriority w:val="99"/>
    <w:unhideWhenUsed/>
    <w:rsid w:val="00FB4BD7"/>
    <w:rPr>
      <w:sz w:val="20"/>
      <w:szCs w:val="20"/>
    </w:rPr>
  </w:style>
  <w:style w:type="character" w:customStyle="1" w:styleId="CommentTextChar">
    <w:name w:val="Comment Text Char"/>
    <w:basedOn w:val="DefaultParagraphFont"/>
    <w:link w:val="CommentText"/>
    <w:uiPriority w:val="99"/>
    <w:rsid w:val="00FB4BD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B4BD7"/>
    <w:rPr>
      <w:b/>
      <w:bCs/>
    </w:rPr>
  </w:style>
  <w:style w:type="character" w:customStyle="1" w:styleId="CommentSubjectChar">
    <w:name w:val="Comment Subject Char"/>
    <w:basedOn w:val="CommentTextChar"/>
    <w:link w:val="CommentSubject"/>
    <w:uiPriority w:val="99"/>
    <w:semiHidden/>
    <w:rsid w:val="00FB4BD7"/>
    <w:rPr>
      <w:rFonts w:ascii="Arial" w:eastAsia="Times New Roman" w:hAnsi="Arial" w:cs="Times New Roman"/>
      <w:b/>
      <w:bCs/>
      <w:sz w:val="20"/>
      <w:szCs w:val="20"/>
    </w:rPr>
  </w:style>
  <w:style w:type="character" w:customStyle="1" w:styleId="Heading6Char">
    <w:name w:val="Heading 6 Char"/>
    <w:basedOn w:val="DefaultParagraphFont"/>
    <w:link w:val="Heading6"/>
    <w:uiPriority w:val="9"/>
    <w:semiHidden/>
    <w:rsid w:val="00B72C4E"/>
    <w:rPr>
      <w:rFonts w:ascii="Times New Roman" w:eastAsia="Times New Roman" w:hAnsi="Times New Roman" w:cs="Times New Roman"/>
      <w:caps/>
      <w:color w:val="2E74B5" w:themeColor="accent1" w:themeShade="BF"/>
      <w:spacing w:val="10"/>
    </w:rPr>
  </w:style>
  <w:style w:type="character" w:customStyle="1" w:styleId="Heading7Char">
    <w:name w:val="Heading 7 Char"/>
    <w:basedOn w:val="DefaultParagraphFont"/>
    <w:link w:val="Heading7"/>
    <w:uiPriority w:val="9"/>
    <w:semiHidden/>
    <w:rsid w:val="00B72C4E"/>
    <w:rPr>
      <w:rFonts w:ascii="Times New Roman" w:eastAsia="Times New Roman" w:hAnsi="Times New Roman" w:cs="Times New Roman"/>
      <w:caps/>
      <w:color w:val="2E74B5" w:themeColor="accent1" w:themeShade="BF"/>
      <w:spacing w:val="10"/>
    </w:rPr>
  </w:style>
  <w:style w:type="character" w:customStyle="1" w:styleId="Heading8Char">
    <w:name w:val="Heading 8 Char"/>
    <w:basedOn w:val="DefaultParagraphFont"/>
    <w:link w:val="Heading8"/>
    <w:uiPriority w:val="9"/>
    <w:semiHidden/>
    <w:rsid w:val="00B72C4E"/>
    <w:rPr>
      <w:rFonts w:ascii="Times New Roman" w:eastAsia="Times New Roman" w:hAnsi="Times New Roman" w:cs="Times New Roman"/>
      <w:caps/>
      <w:spacing w:val="10"/>
      <w:sz w:val="18"/>
      <w:szCs w:val="18"/>
    </w:rPr>
  </w:style>
  <w:style w:type="character" w:customStyle="1" w:styleId="Heading9Char">
    <w:name w:val="Heading 9 Char"/>
    <w:basedOn w:val="DefaultParagraphFont"/>
    <w:link w:val="Heading9"/>
    <w:uiPriority w:val="9"/>
    <w:semiHidden/>
    <w:rsid w:val="00B72C4E"/>
    <w:rPr>
      <w:rFonts w:ascii="Times New Roman" w:eastAsia="Times New Roman" w:hAnsi="Times New Roman" w:cs="Times New Roman"/>
      <w:i/>
      <w:caps/>
      <w:spacing w:val="10"/>
      <w:sz w:val="18"/>
      <w:szCs w:val="18"/>
    </w:rPr>
  </w:style>
  <w:style w:type="character" w:styleId="PageNumber">
    <w:name w:val="page number"/>
    <w:basedOn w:val="DefaultParagraphFont"/>
    <w:uiPriority w:val="99"/>
    <w:semiHidden/>
    <w:unhideWhenUsed/>
    <w:rsid w:val="00B72C4E"/>
  </w:style>
  <w:style w:type="paragraph" w:styleId="Caption">
    <w:name w:val="caption"/>
    <w:basedOn w:val="Normal"/>
    <w:next w:val="Normal"/>
    <w:uiPriority w:val="35"/>
    <w:unhideWhenUsed/>
    <w:qFormat/>
    <w:rsid w:val="00B72C4E"/>
    <w:rPr>
      <w:rFonts w:ascii="Times New Roman" w:hAnsi="Times New Roman"/>
      <w:b/>
      <w:bCs/>
      <w:color w:val="2E74B5" w:themeColor="accent1" w:themeShade="BF"/>
      <w:sz w:val="16"/>
      <w:szCs w:val="16"/>
    </w:rPr>
  </w:style>
  <w:style w:type="paragraph" w:styleId="Title">
    <w:name w:val="Title"/>
    <w:basedOn w:val="Normal"/>
    <w:next w:val="Normal"/>
    <w:link w:val="TitleChar"/>
    <w:uiPriority w:val="10"/>
    <w:qFormat/>
    <w:rsid w:val="00B72C4E"/>
    <w:pPr>
      <w:spacing w:before="720"/>
    </w:pPr>
    <w:rPr>
      <w:rFonts w:ascii="Times New Roman" w:hAnsi="Times New Roman"/>
      <w:caps/>
      <w:color w:val="5B9BD5" w:themeColor="accent1"/>
      <w:spacing w:val="10"/>
      <w:kern w:val="28"/>
      <w:sz w:val="52"/>
      <w:szCs w:val="52"/>
    </w:rPr>
  </w:style>
  <w:style w:type="character" w:customStyle="1" w:styleId="TitleChar">
    <w:name w:val="Title Char"/>
    <w:basedOn w:val="DefaultParagraphFont"/>
    <w:link w:val="Title"/>
    <w:uiPriority w:val="10"/>
    <w:rsid w:val="00B72C4E"/>
    <w:rPr>
      <w:rFonts w:ascii="Times New Roman" w:eastAsia="Times New Roman" w:hAnsi="Times New Roman" w:cs="Times New Roman"/>
      <w:caps/>
      <w:color w:val="5B9BD5" w:themeColor="accent1"/>
      <w:spacing w:val="10"/>
      <w:kern w:val="28"/>
      <w:sz w:val="52"/>
      <w:szCs w:val="52"/>
    </w:rPr>
  </w:style>
  <w:style w:type="paragraph" w:styleId="Subtitle">
    <w:name w:val="Subtitle"/>
    <w:basedOn w:val="Normal"/>
    <w:next w:val="Normal"/>
    <w:link w:val="SubtitleChar"/>
    <w:uiPriority w:val="11"/>
    <w:qFormat/>
    <w:rsid w:val="00B72C4E"/>
    <w:pPr>
      <w:spacing w:after="1000"/>
    </w:pPr>
    <w:rPr>
      <w:rFonts w:ascii="Times New Roman" w:hAnsi="Times New Roman"/>
      <w:caps/>
      <w:color w:val="595959" w:themeColor="text1" w:themeTint="A6"/>
      <w:spacing w:val="10"/>
    </w:rPr>
  </w:style>
  <w:style w:type="character" w:customStyle="1" w:styleId="SubtitleChar">
    <w:name w:val="Subtitle Char"/>
    <w:basedOn w:val="DefaultParagraphFont"/>
    <w:link w:val="Subtitle"/>
    <w:uiPriority w:val="11"/>
    <w:rsid w:val="00B72C4E"/>
    <w:rPr>
      <w:rFonts w:ascii="Times New Roman" w:eastAsia="Times New Roman" w:hAnsi="Times New Roman" w:cs="Times New Roman"/>
      <w:caps/>
      <w:color w:val="595959" w:themeColor="text1" w:themeTint="A6"/>
      <w:spacing w:val="10"/>
      <w:sz w:val="24"/>
      <w:szCs w:val="24"/>
    </w:rPr>
  </w:style>
  <w:style w:type="character" w:styleId="Strong">
    <w:name w:val="Strong"/>
    <w:uiPriority w:val="22"/>
    <w:qFormat/>
    <w:rsid w:val="00B72C4E"/>
    <w:rPr>
      <w:b/>
      <w:bCs/>
    </w:rPr>
  </w:style>
  <w:style w:type="character" w:styleId="Emphasis">
    <w:name w:val="Emphasis"/>
    <w:uiPriority w:val="20"/>
    <w:qFormat/>
    <w:rsid w:val="00B72C4E"/>
    <w:rPr>
      <w:caps/>
      <w:color w:val="1F4D78" w:themeColor="accent1" w:themeShade="7F"/>
      <w:spacing w:val="5"/>
    </w:rPr>
  </w:style>
  <w:style w:type="paragraph" w:styleId="NoSpacing">
    <w:name w:val="No Spacing"/>
    <w:aliases w:val="Citation paragraph"/>
    <w:basedOn w:val="Normal"/>
    <w:link w:val="NoSpacingChar"/>
    <w:uiPriority w:val="1"/>
    <w:qFormat/>
    <w:rsid w:val="00B72C4E"/>
    <w:rPr>
      <w:rFonts w:ascii="Times New Roman" w:hAnsi="Times New Roman"/>
    </w:rPr>
  </w:style>
  <w:style w:type="character" w:customStyle="1" w:styleId="NoSpacingChar">
    <w:name w:val="No Spacing Char"/>
    <w:aliases w:val="Citation paragraph Char"/>
    <w:basedOn w:val="DefaultParagraphFont"/>
    <w:link w:val="NoSpacing"/>
    <w:uiPriority w:val="1"/>
    <w:rsid w:val="00B72C4E"/>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B72C4E"/>
    <w:rPr>
      <w:rFonts w:ascii="Times New Roman" w:hAnsi="Times New Roman"/>
      <w:i/>
      <w:iCs/>
    </w:rPr>
  </w:style>
  <w:style w:type="character" w:customStyle="1" w:styleId="QuoteChar">
    <w:name w:val="Quote Char"/>
    <w:basedOn w:val="DefaultParagraphFont"/>
    <w:link w:val="Quote"/>
    <w:uiPriority w:val="29"/>
    <w:rsid w:val="00B72C4E"/>
    <w:rPr>
      <w:rFonts w:ascii="Times New Roman" w:eastAsia="Times New Roman" w:hAnsi="Times New Roman" w:cs="Times New Roman"/>
      <w:i/>
      <w:iCs/>
      <w:sz w:val="24"/>
      <w:szCs w:val="24"/>
    </w:rPr>
  </w:style>
  <w:style w:type="paragraph" w:styleId="IntenseQuote">
    <w:name w:val="Intense Quote"/>
    <w:basedOn w:val="Normal"/>
    <w:next w:val="Normal"/>
    <w:link w:val="IntenseQuoteChar"/>
    <w:uiPriority w:val="30"/>
    <w:qFormat/>
    <w:rsid w:val="00B72C4E"/>
    <w:pPr>
      <w:pBdr>
        <w:top w:val="single" w:sz="4" w:space="10" w:color="5B9BD5" w:themeColor="accent1"/>
        <w:left w:val="single" w:sz="4" w:space="10" w:color="5B9BD5" w:themeColor="accent1"/>
      </w:pBdr>
      <w:ind w:left="1296" w:right="1152"/>
      <w:jc w:val="both"/>
    </w:pPr>
    <w:rPr>
      <w:rFonts w:ascii="Times New Roman" w:hAnsi="Times New Roman"/>
      <w:i/>
      <w:iCs/>
      <w:color w:val="5B9BD5" w:themeColor="accent1"/>
    </w:rPr>
  </w:style>
  <w:style w:type="character" w:customStyle="1" w:styleId="IntenseQuoteChar">
    <w:name w:val="Intense Quote Char"/>
    <w:basedOn w:val="DefaultParagraphFont"/>
    <w:link w:val="IntenseQuote"/>
    <w:uiPriority w:val="30"/>
    <w:rsid w:val="00B72C4E"/>
    <w:rPr>
      <w:rFonts w:ascii="Times New Roman" w:eastAsia="Times New Roman" w:hAnsi="Times New Roman" w:cs="Times New Roman"/>
      <w:i/>
      <w:iCs/>
      <w:color w:val="5B9BD5" w:themeColor="accent1"/>
      <w:sz w:val="24"/>
      <w:szCs w:val="24"/>
    </w:rPr>
  </w:style>
  <w:style w:type="character" w:styleId="SubtleEmphasis">
    <w:name w:val="Subtle Emphasis"/>
    <w:uiPriority w:val="19"/>
    <w:rsid w:val="00B72C4E"/>
    <w:rPr>
      <w:i/>
      <w:iCs/>
      <w:color w:val="1F4D78" w:themeColor="accent1" w:themeShade="7F"/>
    </w:rPr>
  </w:style>
  <w:style w:type="character" w:styleId="IntenseEmphasis">
    <w:name w:val="Intense Emphasis"/>
    <w:uiPriority w:val="21"/>
    <w:qFormat/>
    <w:rsid w:val="00B72C4E"/>
    <w:rPr>
      <w:b/>
      <w:bCs/>
      <w:caps/>
      <w:color w:val="1F4D78" w:themeColor="accent1" w:themeShade="7F"/>
      <w:spacing w:val="10"/>
    </w:rPr>
  </w:style>
  <w:style w:type="character" w:styleId="SubtleReference">
    <w:name w:val="Subtle Reference"/>
    <w:uiPriority w:val="31"/>
    <w:qFormat/>
    <w:rsid w:val="00B72C4E"/>
    <w:rPr>
      <w:b/>
      <w:bCs/>
      <w:color w:val="5B9BD5" w:themeColor="accent1"/>
    </w:rPr>
  </w:style>
  <w:style w:type="character" w:styleId="IntenseReference">
    <w:name w:val="Intense Reference"/>
    <w:uiPriority w:val="32"/>
    <w:qFormat/>
    <w:rsid w:val="00B72C4E"/>
    <w:rPr>
      <w:b/>
      <w:bCs/>
      <w:i/>
      <w:iCs/>
      <w:caps/>
      <w:color w:val="5B9BD5" w:themeColor="accent1"/>
    </w:rPr>
  </w:style>
  <w:style w:type="character" w:styleId="BookTitle">
    <w:name w:val="Book Title"/>
    <w:uiPriority w:val="33"/>
    <w:qFormat/>
    <w:rsid w:val="00B72C4E"/>
    <w:rPr>
      <w:b/>
      <w:bCs/>
      <w:i/>
      <w:iCs/>
      <w:spacing w:val="9"/>
    </w:rPr>
  </w:style>
  <w:style w:type="paragraph" w:styleId="TOCHeading">
    <w:name w:val="TOC Heading"/>
    <w:basedOn w:val="Heading1"/>
    <w:next w:val="Normal"/>
    <w:uiPriority w:val="39"/>
    <w:unhideWhenUsed/>
    <w:qFormat/>
    <w:rsid w:val="00B72C4E"/>
    <w:pPr>
      <w:keepNext w:val="0"/>
      <w:keepLines w:val="0"/>
      <w:shd w:val="clear" w:color="auto" w:fill="FFFFFF" w:themeFill="background1"/>
      <w:spacing w:before="0"/>
      <w:outlineLvl w:val="9"/>
    </w:pPr>
    <w:rPr>
      <w:rFonts w:eastAsia="Times New Roman" w:cs="Times New Roman"/>
      <w:b w:val="0"/>
      <w:bCs/>
      <w:caps/>
      <w:spacing w:val="15"/>
      <w:sz w:val="24"/>
      <w:szCs w:val="22"/>
      <w:lang w:bidi="en-US"/>
    </w:rPr>
  </w:style>
  <w:style w:type="paragraph" w:styleId="Revision">
    <w:name w:val="Revision"/>
    <w:hidden/>
    <w:uiPriority w:val="99"/>
    <w:semiHidden/>
    <w:rsid w:val="00B72C4E"/>
    <w:pPr>
      <w:spacing w:after="0" w:line="240" w:lineRule="auto"/>
    </w:pPr>
    <w:rPr>
      <w:rFonts w:eastAsiaTheme="minorEastAsia"/>
      <w:sz w:val="20"/>
      <w:szCs w:val="20"/>
    </w:rPr>
  </w:style>
  <w:style w:type="paragraph" w:styleId="FootnoteText">
    <w:name w:val="footnote text"/>
    <w:basedOn w:val="Normal"/>
    <w:link w:val="FootnoteTextChar"/>
    <w:uiPriority w:val="99"/>
    <w:semiHidden/>
    <w:unhideWhenUsed/>
    <w:rsid w:val="00B72C4E"/>
    <w:rPr>
      <w:rFonts w:ascii="Times New Roman" w:hAnsi="Times New Roman"/>
    </w:rPr>
  </w:style>
  <w:style w:type="character" w:customStyle="1" w:styleId="FootnoteTextChar">
    <w:name w:val="Footnote Text Char"/>
    <w:basedOn w:val="DefaultParagraphFont"/>
    <w:link w:val="FootnoteText"/>
    <w:uiPriority w:val="99"/>
    <w:semiHidden/>
    <w:rsid w:val="00B72C4E"/>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B72C4E"/>
    <w:rPr>
      <w:vertAlign w:val="superscript"/>
    </w:rPr>
  </w:style>
  <w:style w:type="paragraph" w:styleId="DocumentMap">
    <w:name w:val="Document Map"/>
    <w:basedOn w:val="Normal"/>
    <w:link w:val="DocumentMapChar"/>
    <w:uiPriority w:val="99"/>
    <w:semiHidden/>
    <w:unhideWhenUsed/>
    <w:rsid w:val="00B72C4E"/>
    <w:rPr>
      <w:rFonts w:ascii="Times New Roman" w:hAnsi="Times New Roman"/>
    </w:rPr>
  </w:style>
  <w:style w:type="character" w:customStyle="1" w:styleId="DocumentMapChar">
    <w:name w:val="Document Map Char"/>
    <w:basedOn w:val="DefaultParagraphFont"/>
    <w:link w:val="DocumentMap"/>
    <w:uiPriority w:val="99"/>
    <w:semiHidden/>
    <w:rsid w:val="00B72C4E"/>
    <w:rPr>
      <w:rFonts w:ascii="Times New Roman" w:eastAsia="Times New Roman" w:hAnsi="Times New Roman" w:cs="Times New Roman"/>
      <w:sz w:val="24"/>
      <w:szCs w:val="24"/>
    </w:rPr>
  </w:style>
  <w:style w:type="character" w:customStyle="1" w:styleId="gmail-msocommentreference">
    <w:name w:val="gmail-msocommentreference"/>
    <w:basedOn w:val="DefaultParagraphFont"/>
    <w:rsid w:val="00B72C4E"/>
  </w:style>
  <w:style w:type="paragraph" w:styleId="TOC1">
    <w:name w:val="toc 1"/>
    <w:basedOn w:val="Normal"/>
    <w:next w:val="Normal"/>
    <w:autoRedefine/>
    <w:uiPriority w:val="39"/>
    <w:unhideWhenUsed/>
    <w:rsid w:val="00B72C4E"/>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B72C4E"/>
    <w:pPr>
      <w:ind w:left="240"/>
    </w:pPr>
    <w:rPr>
      <w:rFonts w:asciiTheme="minorHAnsi" w:hAnsiTheme="minorHAnsi"/>
      <w:smallCaps/>
      <w:sz w:val="20"/>
      <w:szCs w:val="20"/>
    </w:rPr>
  </w:style>
  <w:style w:type="paragraph" w:styleId="TOC3">
    <w:name w:val="toc 3"/>
    <w:basedOn w:val="Normal"/>
    <w:next w:val="Normal"/>
    <w:autoRedefine/>
    <w:uiPriority w:val="39"/>
    <w:unhideWhenUsed/>
    <w:rsid w:val="00FD082E"/>
    <w:pPr>
      <w:tabs>
        <w:tab w:val="right" w:leader="dot" w:pos="9926"/>
      </w:tabs>
      <w:ind w:left="240"/>
    </w:pPr>
    <w:rPr>
      <w:rFonts w:asciiTheme="minorHAnsi" w:hAnsiTheme="minorHAnsi"/>
      <w:i/>
      <w:iCs/>
      <w:sz w:val="20"/>
      <w:szCs w:val="20"/>
    </w:rPr>
  </w:style>
  <w:style w:type="paragraph" w:styleId="TOC4">
    <w:name w:val="toc 4"/>
    <w:basedOn w:val="Normal"/>
    <w:next w:val="Normal"/>
    <w:autoRedefine/>
    <w:uiPriority w:val="39"/>
    <w:unhideWhenUsed/>
    <w:rsid w:val="00B72C4E"/>
    <w:pPr>
      <w:ind w:left="720"/>
    </w:pPr>
    <w:rPr>
      <w:rFonts w:asciiTheme="minorHAnsi" w:hAnsiTheme="minorHAnsi"/>
      <w:sz w:val="18"/>
      <w:szCs w:val="18"/>
    </w:rPr>
  </w:style>
  <w:style w:type="paragraph" w:styleId="TOC5">
    <w:name w:val="toc 5"/>
    <w:basedOn w:val="Normal"/>
    <w:next w:val="Normal"/>
    <w:autoRedefine/>
    <w:uiPriority w:val="39"/>
    <w:unhideWhenUsed/>
    <w:rsid w:val="00B72C4E"/>
    <w:pPr>
      <w:ind w:left="960"/>
    </w:pPr>
    <w:rPr>
      <w:rFonts w:asciiTheme="minorHAnsi" w:hAnsiTheme="minorHAnsi"/>
      <w:sz w:val="18"/>
      <w:szCs w:val="18"/>
    </w:rPr>
  </w:style>
  <w:style w:type="paragraph" w:styleId="TOC6">
    <w:name w:val="toc 6"/>
    <w:basedOn w:val="Normal"/>
    <w:next w:val="Normal"/>
    <w:autoRedefine/>
    <w:uiPriority w:val="39"/>
    <w:unhideWhenUsed/>
    <w:rsid w:val="00B72C4E"/>
    <w:pPr>
      <w:ind w:left="1200"/>
    </w:pPr>
    <w:rPr>
      <w:rFonts w:asciiTheme="minorHAnsi" w:hAnsiTheme="minorHAnsi"/>
      <w:sz w:val="18"/>
      <w:szCs w:val="18"/>
    </w:rPr>
  </w:style>
  <w:style w:type="paragraph" w:styleId="TOC7">
    <w:name w:val="toc 7"/>
    <w:basedOn w:val="Normal"/>
    <w:next w:val="Normal"/>
    <w:autoRedefine/>
    <w:uiPriority w:val="39"/>
    <w:unhideWhenUsed/>
    <w:rsid w:val="00B72C4E"/>
    <w:pPr>
      <w:ind w:left="1440"/>
    </w:pPr>
    <w:rPr>
      <w:rFonts w:asciiTheme="minorHAnsi" w:hAnsiTheme="minorHAnsi"/>
      <w:sz w:val="18"/>
      <w:szCs w:val="18"/>
    </w:rPr>
  </w:style>
  <w:style w:type="paragraph" w:styleId="TOC8">
    <w:name w:val="toc 8"/>
    <w:basedOn w:val="Normal"/>
    <w:next w:val="Normal"/>
    <w:autoRedefine/>
    <w:uiPriority w:val="39"/>
    <w:unhideWhenUsed/>
    <w:rsid w:val="00B72C4E"/>
    <w:pPr>
      <w:ind w:left="1680"/>
    </w:pPr>
    <w:rPr>
      <w:rFonts w:asciiTheme="minorHAnsi" w:hAnsiTheme="minorHAnsi"/>
      <w:sz w:val="18"/>
      <w:szCs w:val="18"/>
    </w:rPr>
  </w:style>
  <w:style w:type="paragraph" w:styleId="TOC9">
    <w:name w:val="toc 9"/>
    <w:basedOn w:val="Normal"/>
    <w:next w:val="Normal"/>
    <w:autoRedefine/>
    <w:uiPriority w:val="39"/>
    <w:unhideWhenUsed/>
    <w:rsid w:val="00B72C4E"/>
    <w:pPr>
      <w:ind w:left="1920"/>
    </w:pPr>
    <w:rPr>
      <w:rFonts w:asciiTheme="minorHAnsi" w:hAnsiTheme="minorHAnsi"/>
      <w:sz w:val="18"/>
      <w:szCs w:val="18"/>
    </w:rPr>
  </w:style>
  <w:style w:type="character" w:customStyle="1" w:styleId="author-1377852204">
    <w:name w:val="author-1377852204"/>
    <w:basedOn w:val="DefaultParagraphFont"/>
    <w:rsid w:val="00B72C4E"/>
  </w:style>
  <w:style w:type="character" w:customStyle="1" w:styleId="author-190507329">
    <w:name w:val="author-190507329"/>
    <w:basedOn w:val="DefaultParagraphFont"/>
    <w:rsid w:val="00B72C4E"/>
  </w:style>
  <w:style w:type="paragraph" w:customStyle="1" w:styleId="list-bullet1">
    <w:name w:val="list-bullet1"/>
    <w:basedOn w:val="Normal"/>
    <w:uiPriority w:val="99"/>
    <w:rsid w:val="00B72C4E"/>
    <w:pPr>
      <w:spacing w:before="100" w:beforeAutospacing="1" w:after="100" w:afterAutospacing="1"/>
    </w:pPr>
    <w:rPr>
      <w:rFonts w:ascii="Times New Roman" w:hAnsi="Times New Roman"/>
    </w:rPr>
  </w:style>
  <w:style w:type="paragraph" w:customStyle="1" w:styleId="list-bullet2">
    <w:name w:val="list-bullet2"/>
    <w:basedOn w:val="Normal"/>
    <w:uiPriority w:val="99"/>
    <w:rsid w:val="00B72C4E"/>
    <w:pPr>
      <w:spacing w:before="100" w:beforeAutospacing="1" w:after="100" w:afterAutospacing="1"/>
    </w:pPr>
    <w:rPr>
      <w:rFonts w:ascii="Times New Roman" w:hAnsi="Times New Roman"/>
    </w:rPr>
  </w:style>
  <w:style w:type="character" w:customStyle="1" w:styleId="author-2973761216">
    <w:name w:val="author-2973761216"/>
    <w:basedOn w:val="DefaultParagraphFont"/>
    <w:rsid w:val="00B72C4E"/>
  </w:style>
  <w:style w:type="character" w:customStyle="1" w:styleId="hotkey-layer">
    <w:name w:val="hotkey-layer"/>
    <w:basedOn w:val="DefaultParagraphFont"/>
    <w:rsid w:val="00B72C4E"/>
  </w:style>
  <w:style w:type="paragraph" w:styleId="BodyText">
    <w:name w:val="Body Text"/>
    <w:basedOn w:val="Normal"/>
    <w:link w:val="BodyTextChar"/>
    <w:uiPriority w:val="1"/>
    <w:semiHidden/>
    <w:unhideWhenUsed/>
    <w:qFormat/>
    <w:rsid w:val="00B72C4E"/>
    <w:pPr>
      <w:widowControl w:val="0"/>
      <w:autoSpaceDE w:val="0"/>
      <w:autoSpaceDN w:val="0"/>
      <w:adjustRightInd w:val="0"/>
      <w:ind w:left="100"/>
    </w:pPr>
    <w:rPr>
      <w:rFonts w:eastAsiaTheme="minorEastAsia" w:cs="Arial"/>
      <w:b/>
      <w:bCs/>
      <w:sz w:val="40"/>
      <w:szCs w:val="40"/>
    </w:rPr>
  </w:style>
  <w:style w:type="character" w:customStyle="1" w:styleId="BodyTextChar">
    <w:name w:val="Body Text Char"/>
    <w:basedOn w:val="DefaultParagraphFont"/>
    <w:link w:val="BodyText"/>
    <w:uiPriority w:val="1"/>
    <w:semiHidden/>
    <w:rsid w:val="00B72C4E"/>
    <w:rPr>
      <w:rFonts w:ascii="Arial" w:eastAsiaTheme="minorEastAsia" w:hAnsi="Arial" w:cs="Arial"/>
      <w:b/>
      <w:bCs/>
      <w:sz w:val="40"/>
      <w:szCs w:val="40"/>
    </w:rPr>
  </w:style>
  <w:style w:type="paragraph" w:styleId="MessageHeader">
    <w:name w:val="Message Header"/>
    <w:basedOn w:val="BodyText"/>
    <w:link w:val="MessageHeaderChar"/>
    <w:uiPriority w:val="99"/>
    <w:unhideWhenUsed/>
    <w:rsid w:val="0047304C"/>
    <w:pPr>
      <w:keepLines/>
      <w:widowControl/>
      <w:autoSpaceDE/>
      <w:autoSpaceDN/>
      <w:adjustRightInd/>
      <w:spacing w:after="360"/>
      <w:ind w:left="1440" w:hanging="1440"/>
    </w:pPr>
    <w:rPr>
      <w:rFonts w:eastAsia="Times New Roman" w:cs="Times New Roman"/>
      <w:b w:val="0"/>
      <w:bCs w:val="0"/>
      <w:spacing w:val="-5"/>
      <w:sz w:val="24"/>
      <w:szCs w:val="20"/>
    </w:rPr>
  </w:style>
  <w:style w:type="character" w:customStyle="1" w:styleId="MessageHeaderChar">
    <w:name w:val="Message Header Char"/>
    <w:basedOn w:val="DefaultParagraphFont"/>
    <w:link w:val="MessageHeader"/>
    <w:uiPriority w:val="99"/>
    <w:rsid w:val="0047304C"/>
    <w:rPr>
      <w:rFonts w:ascii="Arial" w:eastAsia="Times New Roman" w:hAnsi="Arial" w:cs="Times New Roman"/>
      <w:spacing w:val="-5"/>
      <w:sz w:val="24"/>
      <w:szCs w:val="20"/>
    </w:rPr>
  </w:style>
  <w:style w:type="paragraph" w:customStyle="1" w:styleId="TableParagraph">
    <w:name w:val="Table Paragraph"/>
    <w:basedOn w:val="Normal"/>
    <w:uiPriority w:val="1"/>
    <w:semiHidden/>
    <w:qFormat/>
    <w:rsid w:val="00B72C4E"/>
    <w:pPr>
      <w:widowControl w:val="0"/>
      <w:autoSpaceDE w:val="0"/>
      <w:autoSpaceDN w:val="0"/>
      <w:adjustRightInd w:val="0"/>
    </w:pPr>
    <w:rPr>
      <w:rFonts w:ascii="Times New Roman" w:eastAsiaTheme="minorEastAsia" w:hAnsi="Times New Roman"/>
    </w:rPr>
  </w:style>
  <w:style w:type="paragraph" w:customStyle="1" w:styleId="MessageHeaderLabel">
    <w:name w:val="Message Header Label"/>
    <w:basedOn w:val="MessageHeader"/>
    <w:next w:val="MessageHeader"/>
    <w:uiPriority w:val="99"/>
    <w:semiHidden/>
    <w:rsid w:val="00B72C4E"/>
    <w:pPr>
      <w:spacing w:before="40" w:after="0"/>
      <w:ind w:left="0"/>
    </w:pPr>
    <w:rPr>
      <w:caps/>
      <w:spacing w:val="6"/>
      <w:sz w:val="14"/>
    </w:rPr>
  </w:style>
  <w:style w:type="table" w:styleId="GridTable4-Accent1">
    <w:name w:val="Grid Table 4 Accent 1"/>
    <w:basedOn w:val="TableNormal"/>
    <w:uiPriority w:val="49"/>
    <w:rsid w:val="00B72C4E"/>
    <w:pPr>
      <w:spacing w:after="0" w:line="240" w:lineRule="auto"/>
    </w:pPr>
    <w:rPr>
      <w:rFonts w:ascii="Arial" w:hAnsi="Arial"/>
      <w:sz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next w:val="GridTable4-Accent1"/>
    <w:uiPriority w:val="49"/>
    <w:rsid w:val="00B72C4E"/>
    <w:pPr>
      <w:spacing w:after="0" w:line="240" w:lineRule="auto"/>
    </w:pPr>
    <w:rPr>
      <w:rFonts w:ascii="Arial" w:eastAsia="Calibri" w:hAnsi="Arial"/>
      <w:sz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basedOn w:val="DefaultParagraphFont"/>
    <w:uiPriority w:val="99"/>
    <w:semiHidden/>
    <w:unhideWhenUsed/>
    <w:rsid w:val="00726E8C"/>
    <w:rPr>
      <w:color w:val="954F72" w:themeColor="followedHyperlink"/>
      <w:u w:val="single"/>
    </w:rPr>
  </w:style>
  <w:style w:type="table" w:customStyle="1" w:styleId="TableGrid1">
    <w:name w:val="Table Grid1"/>
    <w:basedOn w:val="TableNormal"/>
    <w:next w:val="TableGrid"/>
    <w:uiPriority w:val="39"/>
    <w:rsid w:val="00CF0AFF"/>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1C1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71C1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3DE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17A7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17A7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16346"/>
    <w:pPr>
      <w:spacing w:before="200"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52DD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17F34"/>
  </w:style>
  <w:style w:type="character" w:customStyle="1" w:styleId="UnresolvedMention1">
    <w:name w:val="Unresolved Mention1"/>
    <w:basedOn w:val="DefaultParagraphFont"/>
    <w:uiPriority w:val="99"/>
    <w:semiHidden/>
    <w:unhideWhenUsed/>
    <w:rsid w:val="00B82007"/>
    <w:rPr>
      <w:color w:val="605E5C"/>
      <w:shd w:val="clear" w:color="auto" w:fill="E1DFDD"/>
    </w:rPr>
  </w:style>
  <w:style w:type="paragraph" w:customStyle="1" w:styleId="Numbered">
    <w:name w:val="Numbered"/>
    <w:rsid w:val="0067226F"/>
    <w:pPr>
      <w:numPr>
        <w:numId w:val="1"/>
      </w:numPr>
      <w:tabs>
        <w:tab w:val="num" w:pos="360"/>
      </w:tabs>
      <w:spacing w:after="120"/>
      <w:ind w:left="720" w:firstLine="0"/>
    </w:pPr>
    <w:rPr>
      <w:rFonts w:ascii="Arial" w:eastAsia="Times New Roman" w:hAnsi="Arial" w:cs="Times New Roman"/>
      <w:lang w:bidi="en-US"/>
    </w:rPr>
  </w:style>
  <w:style w:type="paragraph" w:customStyle="1" w:styleId="Numbered2">
    <w:name w:val="Numbered2"/>
    <w:basedOn w:val="Normal"/>
    <w:rsid w:val="0067226F"/>
    <w:pPr>
      <w:numPr>
        <w:ilvl w:val="1"/>
        <w:numId w:val="1"/>
      </w:numPr>
      <w:spacing w:after="120"/>
    </w:pPr>
    <w:rPr>
      <w:sz w:val="22"/>
      <w:szCs w:val="22"/>
      <w:lang w:bidi="en-US"/>
    </w:rPr>
  </w:style>
  <w:style w:type="paragraph" w:customStyle="1" w:styleId="Numbered3">
    <w:name w:val="Numbered3"/>
    <w:basedOn w:val="Numbered2"/>
    <w:qFormat/>
    <w:rsid w:val="0067226F"/>
    <w:pPr>
      <w:numPr>
        <w:ilvl w:val="2"/>
      </w:numPr>
    </w:pPr>
  </w:style>
  <w:style w:type="table" w:styleId="ColorfulList-Accent1">
    <w:name w:val="Colorful List Accent 1"/>
    <w:basedOn w:val="TableNormal"/>
    <w:uiPriority w:val="72"/>
    <w:semiHidden/>
    <w:unhideWhenUsed/>
    <w:rsid w:val="0067226F"/>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paragraph">
    <w:name w:val="paragraph"/>
    <w:basedOn w:val="Normal"/>
    <w:rsid w:val="002818B9"/>
    <w:pPr>
      <w:spacing w:before="100" w:beforeAutospacing="1" w:after="100" w:afterAutospacing="1"/>
    </w:pPr>
    <w:rPr>
      <w:rFonts w:ascii="Times New Roman" w:hAnsi="Times New Roman"/>
    </w:rPr>
  </w:style>
  <w:style w:type="character" w:customStyle="1" w:styleId="normaltextrun">
    <w:name w:val="normaltextrun"/>
    <w:basedOn w:val="DefaultParagraphFont"/>
    <w:rsid w:val="002818B9"/>
  </w:style>
  <w:style w:type="character" w:customStyle="1" w:styleId="eop">
    <w:name w:val="eop"/>
    <w:basedOn w:val="DefaultParagraphFont"/>
    <w:rsid w:val="002818B9"/>
  </w:style>
  <w:style w:type="character" w:styleId="UnresolvedMention">
    <w:name w:val="Unresolved Mention"/>
    <w:basedOn w:val="DefaultParagraphFont"/>
    <w:uiPriority w:val="99"/>
    <w:semiHidden/>
    <w:unhideWhenUsed/>
    <w:rsid w:val="001B4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3144">
      <w:bodyDiv w:val="1"/>
      <w:marLeft w:val="0"/>
      <w:marRight w:val="0"/>
      <w:marTop w:val="0"/>
      <w:marBottom w:val="0"/>
      <w:divBdr>
        <w:top w:val="none" w:sz="0" w:space="0" w:color="auto"/>
        <w:left w:val="none" w:sz="0" w:space="0" w:color="auto"/>
        <w:bottom w:val="none" w:sz="0" w:space="0" w:color="auto"/>
        <w:right w:val="none" w:sz="0" w:space="0" w:color="auto"/>
      </w:divBdr>
      <w:divsChild>
        <w:div w:id="867571240">
          <w:marLeft w:val="360"/>
          <w:marRight w:val="0"/>
          <w:marTop w:val="240"/>
          <w:marBottom w:val="0"/>
          <w:divBdr>
            <w:top w:val="none" w:sz="0" w:space="0" w:color="auto"/>
            <w:left w:val="none" w:sz="0" w:space="0" w:color="auto"/>
            <w:bottom w:val="none" w:sz="0" w:space="0" w:color="auto"/>
            <w:right w:val="none" w:sz="0" w:space="0" w:color="auto"/>
          </w:divBdr>
        </w:div>
      </w:divsChild>
    </w:div>
    <w:div w:id="198132080">
      <w:bodyDiv w:val="1"/>
      <w:marLeft w:val="0"/>
      <w:marRight w:val="0"/>
      <w:marTop w:val="0"/>
      <w:marBottom w:val="0"/>
      <w:divBdr>
        <w:top w:val="none" w:sz="0" w:space="0" w:color="auto"/>
        <w:left w:val="none" w:sz="0" w:space="0" w:color="auto"/>
        <w:bottom w:val="none" w:sz="0" w:space="0" w:color="auto"/>
        <w:right w:val="none" w:sz="0" w:space="0" w:color="auto"/>
      </w:divBdr>
      <w:divsChild>
        <w:div w:id="969362961">
          <w:marLeft w:val="0"/>
          <w:marRight w:val="0"/>
          <w:marTop w:val="0"/>
          <w:marBottom w:val="0"/>
          <w:divBdr>
            <w:top w:val="none" w:sz="0" w:space="0" w:color="auto"/>
            <w:left w:val="none" w:sz="0" w:space="0" w:color="auto"/>
            <w:bottom w:val="none" w:sz="0" w:space="0" w:color="auto"/>
            <w:right w:val="none" w:sz="0" w:space="0" w:color="auto"/>
          </w:divBdr>
          <w:divsChild>
            <w:div w:id="339897797">
              <w:marLeft w:val="0"/>
              <w:marRight w:val="0"/>
              <w:marTop w:val="0"/>
              <w:marBottom w:val="0"/>
              <w:divBdr>
                <w:top w:val="none" w:sz="0" w:space="0" w:color="auto"/>
                <w:left w:val="none" w:sz="0" w:space="0" w:color="auto"/>
                <w:bottom w:val="none" w:sz="0" w:space="0" w:color="auto"/>
                <w:right w:val="none" w:sz="0" w:space="0" w:color="auto"/>
              </w:divBdr>
              <w:divsChild>
                <w:div w:id="17639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5020">
      <w:bodyDiv w:val="1"/>
      <w:marLeft w:val="0"/>
      <w:marRight w:val="0"/>
      <w:marTop w:val="0"/>
      <w:marBottom w:val="0"/>
      <w:divBdr>
        <w:top w:val="none" w:sz="0" w:space="0" w:color="auto"/>
        <w:left w:val="none" w:sz="0" w:space="0" w:color="auto"/>
        <w:bottom w:val="none" w:sz="0" w:space="0" w:color="auto"/>
        <w:right w:val="none" w:sz="0" w:space="0" w:color="auto"/>
      </w:divBdr>
    </w:div>
    <w:div w:id="711542493">
      <w:bodyDiv w:val="1"/>
      <w:marLeft w:val="0"/>
      <w:marRight w:val="0"/>
      <w:marTop w:val="0"/>
      <w:marBottom w:val="0"/>
      <w:divBdr>
        <w:top w:val="none" w:sz="0" w:space="0" w:color="auto"/>
        <w:left w:val="none" w:sz="0" w:space="0" w:color="auto"/>
        <w:bottom w:val="none" w:sz="0" w:space="0" w:color="auto"/>
        <w:right w:val="none" w:sz="0" w:space="0" w:color="auto"/>
      </w:divBdr>
      <w:divsChild>
        <w:div w:id="1082147382">
          <w:marLeft w:val="360"/>
          <w:marRight w:val="0"/>
          <w:marTop w:val="240"/>
          <w:marBottom w:val="0"/>
          <w:divBdr>
            <w:top w:val="none" w:sz="0" w:space="0" w:color="auto"/>
            <w:left w:val="none" w:sz="0" w:space="0" w:color="auto"/>
            <w:bottom w:val="none" w:sz="0" w:space="0" w:color="auto"/>
            <w:right w:val="none" w:sz="0" w:space="0" w:color="auto"/>
          </w:divBdr>
        </w:div>
        <w:div w:id="1682507721">
          <w:marLeft w:val="1080"/>
          <w:marRight w:val="0"/>
          <w:marTop w:val="240"/>
          <w:marBottom w:val="0"/>
          <w:divBdr>
            <w:top w:val="none" w:sz="0" w:space="0" w:color="auto"/>
            <w:left w:val="none" w:sz="0" w:space="0" w:color="auto"/>
            <w:bottom w:val="none" w:sz="0" w:space="0" w:color="auto"/>
            <w:right w:val="none" w:sz="0" w:space="0" w:color="auto"/>
          </w:divBdr>
        </w:div>
      </w:divsChild>
    </w:div>
    <w:div w:id="926575101">
      <w:bodyDiv w:val="1"/>
      <w:marLeft w:val="0"/>
      <w:marRight w:val="0"/>
      <w:marTop w:val="0"/>
      <w:marBottom w:val="0"/>
      <w:divBdr>
        <w:top w:val="none" w:sz="0" w:space="0" w:color="auto"/>
        <w:left w:val="none" w:sz="0" w:space="0" w:color="auto"/>
        <w:bottom w:val="none" w:sz="0" w:space="0" w:color="auto"/>
        <w:right w:val="none" w:sz="0" w:space="0" w:color="auto"/>
      </w:divBdr>
      <w:divsChild>
        <w:div w:id="789250583">
          <w:marLeft w:val="0"/>
          <w:marRight w:val="0"/>
          <w:marTop w:val="0"/>
          <w:marBottom w:val="0"/>
          <w:divBdr>
            <w:top w:val="none" w:sz="0" w:space="0" w:color="auto"/>
            <w:left w:val="none" w:sz="0" w:space="0" w:color="auto"/>
            <w:bottom w:val="none" w:sz="0" w:space="0" w:color="auto"/>
            <w:right w:val="none" w:sz="0" w:space="0" w:color="auto"/>
          </w:divBdr>
        </w:div>
      </w:divsChild>
    </w:div>
    <w:div w:id="1178303440">
      <w:bodyDiv w:val="1"/>
      <w:marLeft w:val="0"/>
      <w:marRight w:val="0"/>
      <w:marTop w:val="0"/>
      <w:marBottom w:val="0"/>
      <w:divBdr>
        <w:top w:val="none" w:sz="0" w:space="0" w:color="auto"/>
        <w:left w:val="none" w:sz="0" w:space="0" w:color="auto"/>
        <w:bottom w:val="none" w:sz="0" w:space="0" w:color="auto"/>
        <w:right w:val="none" w:sz="0" w:space="0" w:color="auto"/>
      </w:divBdr>
      <w:divsChild>
        <w:div w:id="1361930309">
          <w:marLeft w:val="0"/>
          <w:marRight w:val="0"/>
          <w:marTop w:val="0"/>
          <w:marBottom w:val="0"/>
          <w:divBdr>
            <w:top w:val="none" w:sz="0" w:space="0" w:color="auto"/>
            <w:left w:val="none" w:sz="0" w:space="0" w:color="auto"/>
            <w:bottom w:val="none" w:sz="0" w:space="0" w:color="auto"/>
            <w:right w:val="none" w:sz="0" w:space="0" w:color="auto"/>
          </w:divBdr>
          <w:divsChild>
            <w:div w:id="473526148">
              <w:marLeft w:val="0"/>
              <w:marRight w:val="0"/>
              <w:marTop w:val="0"/>
              <w:marBottom w:val="0"/>
              <w:divBdr>
                <w:top w:val="none" w:sz="0" w:space="0" w:color="auto"/>
                <w:left w:val="none" w:sz="0" w:space="0" w:color="auto"/>
                <w:bottom w:val="none" w:sz="0" w:space="0" w:color="auto"/>
                <w:right w:val="none" w:sz="0" w:space="0" w:color="auto"/>
              </w:divBdr>
              <w:divsChild>
                <w:div w:id="18577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17467873">
      <w:bodyDiv w:val="1"/>
      <w:marLeft w:val="0"/>
      <w:marRight w:val="0"/>
      <w:marTop w:val="0"/>
      <w:marBottom w:val="0"/>
      <w:divBdr>
        <w:top w:val="none" w:sz="0" w:space="0" w:color="auto"/>
        <w:left w:val="none" w:sz="0" w:space="0" w:color="auto"/>
        <w:bottom w:val="none" w:sz="0" w:space="0" w:color="auto"/>
        <w:right w:val="none" w:sz="0" w:space="0" w:color="auto"/>
      </w:divBdr>
      <w:divsChild>
        <w:div w:id="1968508382">
          <w:marLeft w:val="0"/>
          <w:marRight w:val="0"/>
          <w:marTop w:val="0"/>
          <w:marBottom w:val="0"/>
          <w:divBdr>
            <w:top w:val="none" w:sz="0" w:space="0" w:color="auto"/>
            <w:left w:val="none" w:sz="0" w:space="0" w:color="auto"/>
            <w:bottom w:val="none" w:sz="0" w:space="0" w:color="auto"/>
            <w:right w:val="none" w:sz="0" w:space="0" w:color="auto"/>
          </w:divBdr>
        </w:div>
        <w:div w:id="1995643567">
          <w:marLeft w:val="0"/>
          <w:marRight w:val="0"/>
          <w:marTop w:val="0"/>
          <w:marBottom w:val="0"/>
          <w:divBdr>
            <w:top w:val="none" w:sz="0" w:space="0" w:color="auto"/>
            <w:left w:val="none" w:sz="0" w:space="0" w:color="auto"/>
            <w:bottom w:val="none" w:sz="0" w:space="0" w:color="auto"/>
            <w:right w:val="none" w:sz="0" w:space="0" w:color="auto"/>
          </w:divBdr>
        </w:div>
        <w:div w:id="465785211">
          <w:marLeft w:val="1440"/>
          <w:marRight w:val="0"/>
          <w:marTop w:val="0"/>
          <w:marBottom w:val="0"/>
          <w:divBdr>
            <w:top w:val="none" w:sz="0" w:space="0" w:color="auto"/>
            <w:left w:val="none" w:sz="0" w:space="0" w:color="auto"/>
            <w:bottom w:val="none" w:sz="0" w:space="0" w:color="auto"/>
            <w:right w:val="none" w:sz="0" w:space="0" w:color="auto"/>
          </w:divBdr>
        </w:div>
        <w:div w:id="1977682844">
          <w:marLeft w:val="1440"/>
          <w:marRight w:val="0"/>
          <w:marTop w:val="0"/>
          <w:marBottom w:val="0"/>
          <w:divBdr>
            <w:top w:val="none" w:sz="0" w:space="0" w:color="auto"/>
            <w:left w:val="none" w:sz="0" w:space="0" w:color="auto"/>
            <w:bottom w:val="none" w:sz="0" w:space="0" w:color="auto"/>
            <w:right w:val="none" w:sz="0" w:space="0" w:color="auto"/>
          </w:divBdr>
        </w:div>
      </w:divsChild>
    </w:div>
    <w:div w:id="1775057709">
      <w:bodyDiv w:val="1"/>
      <w:marLeft w:val="0"/>
      <w:marRight w:val="0"/>
      <w:marTop w:val="0"/>
      <w:marBottom w:val="0"/>
      <w:divBdr>
        <w:top w:val="none" w:sz="0" w:space="0" w:color="auto"/>
        <w:left w:val="none" w:sz="0" w:space="0" w:color="auto"/>
        <w:bottom w:val="none" w:sz="0" w:space="0" w:color="auto"/>
        <w:right w:val="none" w:sz="0" w:space="0" w:color="auto"/>
      </w:divBdr>
      <w:divsChild>
        <w:div w:id="1003356963">
          <w:marLeft w:val="0"/>
          <w:marRight w:val="0"/>
          <w:marTop w:val="0"/>
          <w:marBottom w:val="0"/>
          <w:divBdr>
            <w:top w:val="none" w:sz="0" w:space="0" w:color="auto"/>
            <w:left w:val="none" w:sz="0" w:space="0" w:color="auto"/>
            <w:bottom w:val="none" w:sz="0" w:space="0" w:color="auto"/>
            <w:right w:val="none" w:sz="0" w:space="0" w:color="auto"/>
          </w:divBdr>
          <w:divsChild>
            <w:div w:id="1141996504">
              <w:marLeft w:val="0"/>
              <w:marRight w:val="0"/>
              <w:marTop w:val="0"/>
              <w:marBottom w:val="0"/>
              <w:divBdr>
                <w:top w:val="none" w:sz="0" w:space="0" w:color="auto"/>
                <w:left w:val="none" w:sz="0" w:space="0" w:color="auto"/>
                <w:bottom w:val="none" w:sz="0" w:space="0" w:color="auto"/>
                <w:right w:val="none" w:sz="0" w:space="0" w:color="auto"/>
              </w:divBdr>
              <w:divsChild>
                <w:div w:id="10380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21151">
      <w:bodyDiv w:val="1"/>
      <w:marLeft w:val="0"/>
      <w:marRight w:val="0"/>
      <w:marTop w:val="0"/>
      <w:marBottom w:val="0"/>
      <w:divBdr>
        <w:top w:val="none" w:sz="0" w:space="0" w:color="auto"/>
        <w:left w:val="none" w:sz="0" w:space="0" w:color="auto"/>
        <w:bottom w:val="none" w:sz="0" w:space="0" w:color="auto"/>
        <w:right w:val="none" w:sz="0" w:space="0" w:color="auto"/>
      </w:divBdr>
      <w:divsChild>
        <w:div w:id="1775202585">
          <w:marLeft w:val="108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be/ag/ag/yr19/documents/nov19item05rev.docx" TargetMode="External"/><Relationship Id="rId18" Type="http://schemas.openxmlformats.org/officeDocument/2006/relationships/hyperlink" Target="https://www.cde.ca.gov/be/ag/ag/yr19/agenda201903.asp" TargetMode="External"/><Relationship Id="rId26" Type="http://schemas.openxmlformats.org/officeDocument/2006/relationships/hyperlink" Target="https://www.cde.ca.gov/be/ag/ag/yr14/documents/nov14item14.doc" TargetMode="External"/><Relationship Id="rId3" Type="http://schemas.openxmlformats.org/officeDocument/2006/relationships/customXml" Target="../customXml/item3.xml"/><Relationship Id="rId21" Type="http://schemas.openxmlformats.org/officeDocument/2006/relationships/hyperlink" Target="https://www.cde.ca.gov/be/ag/ag/yr17/documents/nov17item03rev.doc"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e.ca.gov/be/ag/ag/yr19/documents/sep19item02.docx" TargetMode="External"/><Relationship Id="rId25" Type="http://schemas.openxmlformats.org/officeDocument/2006/relationships/hyperlink" Target="http://www.cde.ca.gov/be/ag/ag/yr16/documents/sep16item01.doc" TargetMode="External"/><Relationship Id="rId2" Type="http://schemas.openxmlformats.org/officeDocument/2006/relationships/customXml" Target="../customXml/item2.xml"/><Relationship Id="rId16" Type="http://schemas.openxmlformats.org/officeDocument/2006/relationships/hyperlink" Target="https://www.cde.ca.gov/be/ag/ag/yr20/documents/jan20item06.docx" TargetMode="External"/><Relationship Id="rId20" Type="http://schemas.openxmlformats.org/officeDocument/2006/relationships/hyperlink" Target="https://www.cde.ca.gov/be/pn/im/documents/memo-exec-ocd-feb18item01.doc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cde.ca.gov/be/ag/ag/yr16/documents/nov16item03.doc" TargetMode="External"/><Relationship Id="rId5" Type="http://schemas.openxmlformats.org/officeDocument/2006/relationships/numbering" Target="numbering.xml"/><Relationship Id="rId15" Type="http://schemas.openxmlformats.org/officeDocument/2006/relationships/hyperlink" Target="https://www.cde.ca.gov/be/ag/ag/yr20/documents/jan20item02.docx" TargetMode="External"/><Relationship Id="rId23" Type="http://schemas.openxmlformats.org/officeDocument/2006/relationships/hyperlink" Target="http://www.cde.ca.gov/be/pn/im/documents/memo-exe-jan17item01.doc" TargetMode="External"/><Relationship Id="rId28" Type="http://schemas.openxmlformats.org/officeDocument/2006/relationships/hyperlink" Target="https://www.cde.ca.gov/be/ag/ag/yr19/documents/nov19item05rev.docx" TargetMode="External"/><Relationship Id="rId10" Type="http://schemas.openxmlformats.org/officeDocument/2006/relationships/endnotes" Target="endnotes.xml"/><Relationship Id="rId19" Type="http://schemas.openxmlformats.org/officeDocument/2006/relationships/hyperlink" Target="https://www.cde.ca.gov/be/ag/ag/yr18/documents/mar18item01.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ta/ac/sa/williamsimpact.asp" TargetMode="External"/><Relationship Id="rId22" Type="http://schemas.openxmlformats.org/officeDocument/2006/relationships/hyperlink" Target="https://www.cde.ca.gov/be/ag/ag/yr17/documents/jan17item02.doc" TargetMode="External"/><Relationship Id="rId27" Type="http://schemas.openxmlformats.org/officeDocument/2006/relationships/hyperlink" Target="https://www.cde.ca.gov/be/pn/im/documents/aug20eeed0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6" ma:contentTypeDescription="Create a new document." ma:contentTypeScope="" ma:versionID="081a58a473b62bf266c3a16d636b4bf6">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8378148ebd5c62d163fa41123e1abab3"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EEBF6-EB47-4A9F-B6B1-57BF97B619F9}">
  <ds:schemaRefs>
    <ds:schemaRef ds:uri="http://schemas.microsoft.com/sharepoint/v3/contenttype/forms"/>
  </ds:schemaRefs>
</ds:datastoreItem>
</file>

<file path=customXml/itemProps2.xml><?xml version="1.0" encoding="utf-8"?>
<ds:datastoreItem xmlns:ds="http://schemas.openxmlformats.org/officeDocument/2006/customXml" ds:itemID="{62FBF61E-E9BE-44FE-9718-18565436EE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0156F7-B277-4865-8AB6-BC84D4264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33E38-E016-4092-AF93-433C15C5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3539</Words>
  <Characters>20178</Characters>
  <DocSecurity>0</DocSecurity>
  <Lines>168</Lines>
  <Paragraphs>47</Paragraphs>
  <ScaleCrop>false</ScaleCrop>
  <HeadingPairs>
    <vt:vector size="2" baseType="variant">
      <vt:variant>
        <vt:lpstr>Title</vt:lpstr>
      </vt:variant>
      <vt:variant>
        <vt:i4>1</vt:i4>
      </vt:variant>
    </vt:vector>
  </HeadingPairs>
  <TitlesOfParts>
    <vt:vector size="1" baseType="lpstr">
      <vt:lpstr>August 2020 Memo IMB AMARD Item 01 - Information Memorandum (CA State Board of Education)</vt:lpstr>
    </vt:vector>
  </TitlesOfParts>
  <Company>California State Board of Education</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2020 Memo IMB AMARD Item 01 - Information Memorandum (CA State Board of Education)</dc:title>
  <dc:subject>Background Information and Implementation Plan for Education Code 52064.5 Related to the Standards for Local Indicators.</dc:subject>
  <dc:creator/>
  <cp:keywords/>
  <dc:description/>
  <cp:lastPrinted>2019-11-26T22:43:00Z</cp:lastPrinted>
  <dcterms:created xsi:type="dcterms:W3CDTF">2020-07-31T22:22:00Z</dcterms:created>
  <dcterms:modified xsi:type="dcterms:W3CDTF">2020-08-11T18:53:00Z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