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197" w:rsidRPr="00407731" w:rsidRDefault="00324140" w:rsidP="00AC0904">
      <w:pPr>
        <w:pStyle w:val="Heading1"/>
        <w:spacing w:after="100" w:afterAutospacing="1"/>
      </w:pPr>
      <w:bookmarkStart w:id="0" w:name="_GoBack"/>
      <w:bookmarkEnd w:id="0"/>
      <w:r w:rsidRPr="00324140">
        <w:t>State Board of Education-Authorized Charter Schools</w:t>
      </w:r>
      <w:r w:rsidR="00407731">
        <w:t xml:space="preserve"> </w:t>
      </w:r>
      <w:r w:rsidRPr="00324140">
        <w:t>in Fair or Poor Financial Condition</w:t>
      </w:r>
    </w:p>
    <w:p w:rsidR="00F61978" w:rsidRPr="00BC16C2" w:rsidRDefault="00F61978" w:rsidP="00053A91">
      <w:pPr>
        <w:pStyle w:val="Heading2"/>
        <w:rPr>
          <w:rFonts w:eastAsia="Calibri"/>
        </w:rPr>
      </w:pPr>
      <w:r w:rsidRPr="00BC16C2">
        <w:rPr>
          <w:rFonts w:eastAsia="Calibri"/>
        </w:rPr>
        <w:t>Definition of Fiscal Indicators</w:t>
      </w:r>
    </w:p>
    <w:p w:rsidR="00F61978" w:rsidRDefault="00F61978" w:rsidP="00E31465">
      <w:pPr>
        <w:autoSpaceDE w:val="0"/>
        <w:autoSpaceDN w:val="0"/>
        <w:adjustRightInd w:val="0"/>
        <w:spacing w:after="100" w:afterAutospacing="1"/>
        <w:rPr>
          <w:rFonts w:eastAsia="Calibri" w:cs="Arial"/>
        </w:rPr>
      </w:pPr>
      <w:r w:rsidRPr="00BC16C2">
        <w:rPr>
          <w:rFonts w:eastAsia="Calibri" w:cs="Arial"/>
        </w:rPr>
        <w:t>Deficit Spending</w:t>
      </w:r>
    </w:p>
    <w:p w:rsidR="00F61978" w:rsidRPr="00BC16C2" w:rsidRDefault="00F61978" w:rsidP="00E31465">
      <w:pPr>
        <w:autoSpaceDE w:val="0"/>
        <w:autoSpaceDN w:val="0"/>
        <w:adjustRightInd w:val="0"/>
        <w:spacing w:after="100" w:afterAutospacing="1"/>
        <w:ind w:left="720"/>
        <w:rPr>
          <w:rFonts w:eastAsia="Calibri" w:cs="Arial"/>
        </w:rPr>
      </w:pPr>
      <w:r w:rsidRPr="00BC16C2">
        <w:rPr>
          <w:rFonts w:eastAsia="Calibri" w:cs="Arial"/>
        </w:rPr>
        <w:t xml:space="preserve">Deficit spending occurs when the charter </w:t>
      </w:r>
      <w:r>
        <w:rPr>
          <w:rFonts w:eastAsia="Calibri" w:cs="Arial"/>
        </w:rPr>
        <w:t>school’s (school)</w:t>
      </w:r>
      <w:r w:rsidRPr="00BC16C2">
        <w:rPr>
          <w:rFonts w:eastAsia="Calibri" w:cs="Arial"/>
        </w:rPr>
        <w:t xml:space="preserve"> expenditures exceed its revenues. A school’s </w:t>
      </w:r>
      <w:r>
        <w:rPr>
          <w:rFonts w:eastAsia="Calibri" w:cs="Arial"/>
        </w:rPr>
        <w:t>operational unrestricted budget</w:t>
      </w:r>
      <w:r w:rsidRPr="00BC16C2">
        <w:rPr>
          <w:rFonts w:eastAsia="Calibri" w:cs="Arial"/>
        </w:rPr>
        <w:t xml:space="preserve"> should be balanced and ideally provide for growth in fund balance and reserves. Deficit</w:t>
      </w:r>
      <w:r>
        <w:rPr>
          <w:rFonts w:eastAsia="Calibri" w:cs="Arial"/>
        </w:rPr>
        <w:t xml:space="preserve"> spending depletes fund balance</w:t>
      </w:r>
      <w:r w:rsidRPr="00BC16C2">
        <w:rPr>
          <w:rFonts w:eastAsia="Calibri" w:cs="Arial"/>
        </w:rPr>
        <w:t xml:space="preserve"> and rese</w:t>
      </w:r>
      <w:r>
        <w:rPr>
          <w:rFonts w:eastAsia="Calibri" w:cs="Arial"/>
        </w:rPr>
        <w:t xml:space="preserve">rves and as such, must be </w:t>
      </w:r>
      <w:r w:rsidRPr="00BC16C2">
        <w:rPr>
          <w:rFonts w:eastAsia="Calibri" w:cs="Arial"/>
        </w:rPr>
        <w:t>addressed or it will lead to an insolvent financial position.</w:t>
      </w:r>
    </w:p>
    <w:p w:rsidR="00F61978" w:rsidRDefault="00F61978" w:rsidP="00E31465">
      <w:pPr>
        <w:autoSpaceDE w:val="0"/>
        <w:autoSpaceDN w:val="0"/>
        <w:adjustRightInd w:val="0"/>
        <w:spacing w:after="100" w:afterAutospacing="1"/>
        <w:rPr>
          <w:rFonts w:eastAsia="Calibri" w:cs="Arial"/>
        </w:rPr>
      </w:pPr>
      <w:r w:rsidRPr="00BC16C2">
        <w:rPr>
          <w:rFonts w:eastAsia="Calibri" w:cs="Arial"/>
        </w:rPr>
        <w:t>Fund Balance</w:t>
      </w:r>
    </w:p>
    <w:p w:rsidR="00F61978" w:rsidRPr="00BC16C2" w:rsidRDefault="00F61978" w:rsidP="00E31465">
      <w:pPr>
        <w:autoSpaceDE w:val="0"/>
        <w:autoSpaceDN w:val="0"/>
        <w:adjustRightInd w:val="0"/>
        <w:spacing w:after="100" w:afterAutospacing="1"/>
        <w:ind w:left="720"/>
        <w:rPr>
          <w:rFonts w:eastAsia="Calibri" w:cs="Arial"/>
        </w:rPr>
      </w:pPr>
      <w:r w:rsidRPr="00BC16C2">
        <w:rPr>
          <w:rFonts w:eastAsia="Calibri" w:cs="Arial"/>
        </w:rPr>
        <w:t>The unrest</w:t>
      </w:r>
      <w:r>
        <w:rPr>
          <w:rFonts w:eastAsia="Calibri" w:cs="Arial"/>
        </w:rPr>
        <w:t>ricted fund balance of a</w:t>
      </w:r>
      <w:r w:rsidRPr="00BC16C2">
        <w:rPr>
          <w:rFonts w:eastAsia="Calibri" w:cs="Arial"/>
        </w:rPr>
        <w:t xml:space="preserve"> school should be positive. At a minimum, the sch</w:t>
      </w:r>
      <w:r>
        <w:rPr>
          <w:rFonts w:eastAsia="Calibri" w:cs="Arial"/>
        </w:rPr>
        <w:t>ool’s unrestricted fund balance</w:t>
      </w:r>
      <w:r w:rsidRPr="00BC16C2">
        <w:rPr>
          <w:rFonts w:eastAsia="Calibri" w:cs="Arial"/>
        </w:rPr>
        <w:t xml:space="preserve"> should be at a level to provide for reserves required in the Memorandum of Understanding (MOU). If </w:t>
      </w:r>
      <w:r>
        <w:rPr>
          <w:rFonts w:eastAsia="Calibri" w:cs="Arial"/>
        </w:rPr>
        <w:t xml:space="preserve">the </w:t>
      </w:r>
      <w:r w:rsidRPr="00BC16C2">
        <w:rPr>
          <w:rFonts w:eastAsia="Calibri" w:cs="Arial"/>
        </w:rPr>
        <w:t xml:space="preserve">cause of the negative fund balance is not addressed in a timely and appropriate manner, the school could be in jeopardy of financial insolvency that increases the likelihood of revocation. A negative fund balance is indicative of </w:t>
      </w:r>
      <w:r w:rsidR="00ED1BDB">
        <w:rPr>
          <w:rFonts w:eastAsia="Calibri" w:cs="Arial"/>
        </w:rPr>
        <w:t xml:space="preserve">a </w:t>
      </w:r>
      <w:r w:rsidRPr="00BC16C2">
        <w:rPr>
          <w:rFonts w:eastAsia="Calibri" w:cs="Arial"/>
        </w:rPr>
        <w:t>poor financial condition.</w:t>
      </w:r>
    </w:p>
    <w:p w:rsidR="00F61978" w:rsidRDefault="00F61978" w:rsidP="00E31465">
      <w:pPr>
        <w:autoSpaceDE w:val="0"/>
        <w:autoSpaceDN w:val="0"/>
        <w:adjustRightInd w:val="0"/>
        <w:spacing w:after="100" w:afterAutospacing="1"/>
        <w:rPr>
          <w:rFonts w:eastAsia="Calibri" w:cs="Arial"/>
        </w:rPr>
      </w:pPr>
      <w:r w:rsidRPr="00BC16C2">
        <w:rPr>
          <w:rFonts w:eastAsia="Calibri" w:cs="Arial"/>
        </w:rPr>
        <w:t>Reserves for Economic Uncertainty</w:t>
      </w:r>
    </w:p>
    <w:p w:rsidR="00F61978" w:rsidRPr="00BC16C2" w:rsidRDefault="00F61978" w:rsidP="00E31465">
      <w:pPr>
        <w:autoSpaceDE w:val="0"/>
        <w:autoSpaceDN w:val="0"/>
        <w:adjustRightInd w:val="0"/>
        <w:spacing w:after="100" w:afterAutospacing="1"/>
        <w:ind w:left="720"/>
        <w:rPr>
          <w:rFonts w:eastAsia="Calibri" w:cs="Arial"/>
        </w:rPr>
      </w:pPr>
      <w:r w:rsidRPr="00BC16C2">
        <w:rPr>
          <w:rFonts w:eastAsia="Calibri" w:cs="Arial"/>
        </w:rPr>
        <w:t>MOU terms are written with th</w:t>
      </w:r>
      <w:r>
        <w:rPr>
          <w:rFonts w:eastAsia="Calibri" w:cs="Arial"/>
        </w:rPr>
        <w:t xml:space="preserve">e expectation that each </w:t>
      </w:r>
      <w:r w:rsidRPr="00BC16C2">
        <w:rPr>
          <w:rFonts w:eastAsia="Calibri" w:cs="Arial"/>
        </w:rPr>
        <w:t>school</w:t>
      </w:r>
      <w:r>
        <w:rPr>
          <w:rFonts w:eastAsia="Calibri" w:cs="Arial"/>
        </w:rPr>
        <w:t xml:space="preserve">, depending on the level of the school’s </w:t>
      </w:r>
      <w:r w:rsidRPr="00BC16C2">
        <w:rPr>
          <w:rFonts w:eastAsia="Calibri" w:cs="Arial"/>
        </w:rPr>
        <w:t>average daily attendance</w:t>
      </w:r>
      <w:r>
        <w:rPr>
          <w:rFonts w:eastAsia="Calibri" w:cs="Arial"/>
        </w:rPr>
        <w:t xml:space="preserve"> (ADA), set aside reserves at the greater of four to five percent of expenditures, or a floor amount that is adjusted for inflation. The current</w:t>
      </w:r>
      <w:r w:rsidRPr="00BC16C2">
        <w:rPr>
          <w:rFonts w:eastAsia="Calibri" w:cs="Arial"/>
        </w:rPr>
        <w:t xml:space="preserve"> inflation adjusted floor amount is $6</w:t>
      </w:r>
      <w:r w:rsidR="001E7E1F">
        <w:rPr>
          <w:rFonts w:eastAsia="Calibri" w:cs="Arial"/>
        </w:rPr>
        <w:t>9</w:t>
      </w:r>
      <w:r w:rsidRPr="00BC16C2">
        <w:rPr>
          <w:rFonts w:eastAsia="Calibri" w:cs="Arial"/>
        </w:rPr>
        <w:t>,000. Reserves below the minimum levels are indicative of a poor financial condition.</w:t>
      </w:r>
    </w:p>
    <w:p w:rsidR="00F61978" w:rsidRDefault="00F61978" w:rsidP="00E31465">
      <w:pPr>
        <w:autoSpaceDE w:val="0"/>
        <w:autoSpaceDN w:val="0"/>
        <w:adjustRightInd w:val="0"/>
        <w:spacing w:after="100" w:afterAutospacing="1"/>
        <w:rPr>
          <w:rFonts w:eastAsia="Calibri" w:cs="Arial"/>
        </w:rPr>
      </w:pPr>
      <w:r w:rsidRPr="00BC16C2">
        <w:rPr>
          <w:rFonts w:eastAsia="Calibri" w:cs="Arial"/>
        </w:rPr>
        <w:t>Attendance Ratio</w:t>
      </w:r>
    </w:p>
    <w:p w:rsidR="00F61978" w:rsidRPr="00BC16C2" w:rsidRDefault="00F61978" w:rsidP="00E31465">
      <w:pPr>
        <w:autoSpaceDE w:val="0"/>
        <w:autoSpaceDN w:val="0"/>
        <w:adjustRightInd w:val="0"/>
        <w:spacing w:after="100" w:afterAutospacing="1"/>
        <w:ind w:left="720"/>
        <w:rPr>
          <w:rFonts w:eastAsia="Calibri" w:cs="Arial"/>
        </w:rPr>
      </w:pPr>
      <w:r w:rsidRPr="00BC16C2">
        <w:rPr>
          <w:rFonts w:eastAsia="Calibri" w:cs="Arial"/>
        </w:rPr>
        <w:t>The attendance ratio is calculated by dividing the</w:t>
      </w:r>
      <w:r>
        <w:rPr>
          <w:rFonts w:eastAsia="Calibri" w:cs="Arial"/>
        </w:rPr>
        <w:t xml:space="preserve"> second period report of ADA</w:t>
      </w:r>
      <w:r w:rsidRPr="00BC16C2">
        <w:rPr>
          <w:rFonts w:eastAsia="Calibri" w:cs="Arial"/>
        </w:rPr>
        <w:t xml:space="preserve"> f</w:t>
      </w:r>
      <w:r>
        <w:rPr>
          <w:rFonts w:eastAsia="Calibri" w:cs="Arial"/>
        </w:rPr>
        <w:t xml:space="preserve">or the Second Principal </w:t>
      </w:r>
      <w:r w:rsidR="00B66519">
        <w:rPr>
          <w:rFonts w:eastAsia="Calibri" w:cs="Arial"/>
        </w:rPr>
        <w:t>(P-</w:t>
      </w:r>
      <w:r w:rsidRPr="00BC16C2">
        <w:rPr>
          <w:rFonts w:eastAsia="Calibri" w:cs="Arial"/>
        </w:rPr>
        <w:t xml:space="preserve">2) </w:t>
      </w:r>
      <w:r>
        <w:rPr>
          <w:rFonts w:eastAsia="Calibri" w:cs="Arial"/>
        </w:rPr>
        <w:t>A</w:t>
      </w:r>
      <w:r w:rsidRPr="00BC16C2">
        <w:rPr>
          <w:rFonts w:eastAsia="Calibri" w:cs="Arial"/>
        </w:rPr>
        <w:t xml:space="preserve">pportionment by the fall October enrollment count. Generally, the </w:t>
      </w:r>
      <w:r>
        <w:rPr>
          <w:rFonts w:eastAsia="Calibri" w:cs="Arial"/>
        </w:rPr>
        <w:t>attendance ratio</w:t>
      </w:r>
      <w:r w:rsidRPr="00BC16C2">
        <w:rPr>
          <w:rFonts w:eastAsia="Calibri" w:cs="Arial"/>
        </w:rPr>
        <w:t xml:space="preserve"> is between 93 to 96 percent.</w:t>
      </w:r>
    </w:p>
    <w:p w:rsidR="00F61978" w:rsidRDefault="00F61978" w:rsidP="00E31465">
      <w:pPr>
        <w:autoSpaceDE w:val="0"/>
        <w:autoSpaceDN w:val="0"/>
        <w:adjustRightInd w:val="0"/>
        <w:spacing w:after="100" w:afterAutospacing="1"/>
        <w:rPr>
          <w:rFonts w:cs="Arial"/>
          <w:color w:val="000000"/>
        </w:rPr>
      </w:pPr>
      <w:r w:rsidRPr="00BC16C2">
        <w:rPr>
          <w:rFonts w:eastAsia="Calibri" w:cs="Arial"/>
        </w:rPr>
        <w:t>Debt Ratio</w:t>
      </w:r>
    </w:p>
    <w:p w:rsidR="00F61978" w:rsidRDefault="00F61978" w:rsidP="00E31465">
      <w:pPr>
        <w:autoSpaceDE w:val="0"/>
        <w:autoSpaceDN w:val="0"/>
        <w:adjustRightInd w:val="0"/>
        <w:spacing w:after="100" w:afterAutospacing="1"/>
        <w:ind w:left="720"/>
        <w:rPr>
          <w:rFonts w:cs="Arial"/>
          <w:color w:val="000000"/>
        </w:rPr>
      </w:pPr>
      <w:r w:rsidRPr="00BC16C2">
        <w:rPr>
          <w:rFonts w:cs="Arial"/>
          <w:color w:val="000000"/>
        </w:rPr>
        <w:t>The debt ratio is calculated</w:t>
      </w:r>
      <w:r>
        <w:rPr>
          <w:rFonts w:cs="Arial"/>
          <w:color w:val="000000"/>
        </w:rPr>
        <w:t xml:space="preserve"> by dividing the total liabilities</w:t>
      </w:r>
      <w:r w:rsidRPr="00BC16C2">
        <w:rPr>
          <w:rFonts w:cs="Arial"/>
          <w:color w:val="000000"/>
        </w:rPr>
        <w:t xml:space="preserve"> by the total assets. The d</w:t>
      </w:r>
      <w:r w:rsidRPr="00BC16C2">
        <w:rPr>
          <w:color w:val="000000"/>
        </w:rPr>
        <w:t xml:space="preserve">ebt ratio measures a school’s level of financial risk. A debt ratio of more than 1.0 indicates that the school has more debts than assets. Schools with a high </w:t>
      </w:r>
      <w:r w:rsidRPr="00BC16C2">
        <w:rPr>
          <w:color w:val="000000"/>
        </w:rPr>
        <w:lastRenderedPageBreak/>
        <w:t>debt ratio have limited options for short-term financing and generally will pay more in financing and interest cost</w:t>
      </w:r>
      <w:r w:rsidRPr="00BC16C2">
        <w:rPr>
          <w:rFonts w:cs="Arial"/>
          <w:color w:val="000000"/>
        </w:rPr>
        <w:fldChar w:fldCharType="begin"/>
      </w:r>
      <w:r w:rsidRPr="00BC16C2">
        <w:rPr>
          <w:rFonts w:cs="Arial"/>
          <w:color w:val="000000"/>
        </w:rPr>
        <w:instrText xml:space="preserve"> INCLUDEPICTURE "http://i.investopedia.com/inv/dictionary/terms/debtratio.gif" \* MERGEFORMATINET </w:instrText>
      </w:r>
      <w:r w:rsidRPr="00BC16C2">
        <w:rPr>
          <w:rFonts w:cs="Arial"/>
          <w:color w:val="000000"/>
        </w:rPr>
        <w:fldChar w:fldCharType="end"/>
      </w:r>
      <w:r>
        <w:rPr>
          <w:rFonts w:cs="Arial"/>
          <w:color w:val="000000"/>
        </w:rPr>
        <w:t>.</w:t>
      </w:r>
    </w:p>
    <w:p w:rsidR="00F61978" w:rsidRDefault="00F61978" w:rsidP="00E31465">
      <w:pPr>
        <w:autoSpaceDE w:val="0"/>
        <w:autoSpaceDN w:val="0"/>
        <w:adjustRightInd w:val="0"/>
        <w:spacing w:after="100" w:afterAutospacing="1"/>
        <w:rPr>
          <w:color w:val="000000"/>
        </w:rPr>
      </w:pPr>
      <w:r w:rsidRPr="00BC16C2">
        <w:rPr>
          <w:color w:val="000000"/>
        </w:rPr>
        <w:t>Working Capital Ratio</w:t>
      </w:r>
    </w:p>
    <w:p w:rsidR="001A6670" w:rsidRDefault="00F61978" w:rsidP="00E31465">
      <w:pPr>
        <w:shd w:val="clear" w:color="auto" w:fill="FFFFFF"/>
        <w:spacing w:after="100" w:afterAutospacing="1"/>
        <w:ind w:left="720"/>
        <w:rPr>
          <w:rFonts w:cs="Arial"/>
          <w:color w:val="000000"/>
        </w:rPr>
      </w:pPr>
      <w:r w:rsidRPr="00BC16C2">
        <w:rPr>
          <w:color w:val="000000"/>
        </w:rPr>
        <w:t>The working capital ratio is calculated by dividing current assets by current liabilities. The w</w:t>
      </w:r>
      <w:r w:rsidRPr="00BC16C2">
        <w:rPr>
          <w:rFonts w:cs="Arial"/>
          <w:color w:val="000000"/>
        </w:rPr>
        <w:t>orking capital ratio, also known as current ratio, measures cash liquidity and whether the school has enough short</w:t>
      </w:r>
      <w:r>
        <w:rPr>
          <w:rFonts w:cs="Arial"/>
          <w:color w:val="000000"/>
        </w:rPr>
        <w:t>-</w:t>
      </w:r>
      <w:r w:rsidRPr="00BC16C2">
        <w:rPr>
          <w:rFonts w:cs="Arial"/>
          <w:color w:val="000000"/>
        </w:rPr>
        <w:t xml:space="preserve">term assets to cover its short-term debt. </w:t>
      </w:r>
      <w:r w:rsidRPr="00BC16C2">
        <w:rPr>
          <w:rFonts w:cs="Arial"/>
          <w:color w:val="000000"/>
          <w:lang w:val="en"/>
        </w:rPr>
        <w:t>A ratio of less than 1.0 means current assets are le</w:t>
      </w:r>
      <w:r>
        <w:rPr>
          <w:rFonts w:cs="Arial"/>
          <w:color w:val="000000"/>
          <w:lang w:val="en"/>
        </w:rPr>
        <w:t xml:space="preserve">ss than current liabilities. A </w:t>
      </w:r>
      <w:r w:rsidRPr="00BC16C2">
        <w:rPr>
          <w:rFonts w:cs="Arial"/>
          <w:color w:val="000000"/>
        </w:rPr>
        <w:t xml:space="preserve">school with a ratio below 0.8 may have difficulty paying its bills </w:t>
      </w:r>
      <w:r>
        <w:rPr>
          <w:rFonts w:cs="Arial"/>
          <w:color w:val="000000"/>
        </w:rPr>
        <w:t>i</w:t>
      </w:r>
      <w:r w:rsidR="001A6670">
        <w:rPr>
          <w:rFonts w:cs="Arial"/>
          <w:color w:val="000000"/>
        </w:rPr>
        <w:t xml:space="preserve">n a timely manner. A current ratio of 1.2 or higher is considered to represent good </w:t>
      </w:r>
      <w:r w:rsidR="00ED1BDB">
        <w:rPr>
          <w:rFonts w:cs="Arial"/>
          <w:color w:val="000000"/>
        </w:rPr>
        <w:t>short-term</w:t>
      </w:r>
      <w:r w:rsidR="001A6670">
        <w:rPr>
          <w:rFonts w:cs="Arial"/>
          <w:color w:val="000000"/>
        </w:rPr>
        <w:t xml:space="preserve"> liquidity.</w:t>
      </w:r>
    </w:p>
    <w:p w:rsidR="001A6670" w:rsidRDefault="001A6670" w:rsidP="00E31465">
      <w:pPr>
        <w:spacing w:after="160"/>
        <w:rPr>
          <w:rFonts w:cs="Arial"/>
          <w:color w:val="000000"/>
        </w:rPr>
      </w:pPr>
      <w:r>
        <w:rPr>
          <w:rFonts w:cs="Arial"/>
          <w:color w:val="000000"/>
        </w:rPr>
        <w:br w:type="page"/>
      </w:r>
    </w:p>
    <w:p w:rsidR="001A6670" w:rsidRPr="00407731" w:rsidRDefault="001A6670" w:rsidP="00053A91">
      <w:pPr>
        <w:pStyle w:val="Heading2"/>
      </w:pPr>
      <w:r w:rsidRPr="00407731">
        <w:lastRenderedPageBreak/>
        <w:t>Fair Financial Condition</w:t>
      </w:r>
    </w:p>
    <w:p w:rsidR="00407731" w:rsidRDefault="001A6670" w:rsidP="00E31465">
      <w:pPr>
        <w:spacing w:after="100" w:afterAutospacing="1"/>
      </w:pPr>
      <w:r>
        <w:t>Charter schools</w:t>
      </w:r>
      <w:r w:rsidRPr="00BC16C2">
        <w:t xml:space="preserve"> in fair financial condition </w:t>
      </w:r>
      <w:r>
        <w:t>are</w:t>
      </w:r>
      <w:r w:rsidRPr="00BC16C2">
        <w:t xml:space="preserve"> showing some signs of fiscal distress and need to take appropriate action</w:t>
      </w:r>
      <w:r>
        <w:t>s</w:t>
      </w:r>
      <w:r w:rsidRPr="00BC16C2">
        <w:t xml:space="preserve"> to address the</w:t>
      </w:r>
      <w:r w:rsidR="00ED1BDB">
        <w:t xml:space="preserve">ir </w:t>
      </w:r>
      <w:r w:rsidRPr="00BC16C2">
        <w:t xml:space="preserve">decline in financial condition. Specifically, </w:t>
      </w:r>
      <w:r>
        <w:t>charter schools</w:t>
      </w:r>
      <w:r w:rsidRPr="00BC16C2">
        <w:t xml:space="preserve"> in fa</w:t>
      </w:r>
      <w:r>
        <w:t xml:space="preserve">ir financial condition may have </w:t>
      </w:r>
      <w:r w:rsidRPr="00BC16C2">
        <w:t>budget</w:t>
      </w:r>
      <w:r>
        <w:t>s</w:t>
      </w:r>
      <w:r w:rsidRPr="00BC16C2">
        <w:t xml:space="preserve"> that</w:t>
      </w:r>
      <w:r>
        <w:t xml:space="preserve"> are</w:t>
      </w:r>
      <w:r w:rsidRPr="00BC16C2">
        <w:t xml:space="preserve"> out of balance (deficit spending)</w:t>
      </w:r>
      <w:r w:rsidR="00ED1BDB">
        <w:t>;</w:t>
      </w:r>
      <w:r w:rsidRPr="00BC16C2">
        <w:t xml:space="preserve"> declining</w:t>
      </w:r>
      <w:r>
        <w:t xml:space="preserve"> enrollment or attendance ratio</w:t>
      </w:r>
      <w:r w:rsidR="00ED1BDB">
        <w:t>;</w:t>
      </w:r>
      <w:r w:rsidRPr="00BC16C2">
        <w:t xml:space="preserve"> cash liquidity that is not adequate</w:t>
      </w:r>
      <w:r w:rsidR="00ED1BDB">
        <w:t>;</w:t>
      </w:r>
      <w:r w:rsidRPr="00BC16C2">
        <w:t xml:space="preserve"> debt level</w:t>
      </w:r>
      <w:r>
        <w:t>s that are</w:t>
      </w:r>
      <w:r w:rsidRPr="00BC16C2">
        <w:t xml:space="preserve"> high</w:t>
      </w:r>
      <w:r w:rsidR="00ED1BDB">
        <w:t>;</w:t>
      </w:r>
      <w:r w:rsidRPr="00BC16C2">
        <w:t xml:space="preserve"> </w:t>
      </w:r>
      <w:r>
        <w:t>d</w:t>
      </w:r>
      <w:r w:rsidRPr="00BC16C2">
        <w:t>eclining or low fund balance</w:t>
      </w:r>
      <w:r>
        <w:t>s</w:t>
      </w:r>
      <w:r w:rsidR="00ED1BDB">
        <w:t>;</w:t>
      </w:r>
      <w:r>
        <w:t xml:space="preserve"> or reserve levels</w:t>
      </w:r>
      <w:r w:rsidRPr="00BC16C2">
        <w:t xml:space="preserve"> tha</w:t>
      </w:r>
      <w:r>
        <w:t xml:space="preserve">t are below the levels required </w:t>
      </w:r>
      <w:r w:rsidRPr="00BC16C2">
        <w:t>in the MOU. The chart</w:t>
      </w:r>
      <w:r w:rsidR="008250AC">
        <w:t>er school</w:t>
      </w:r>
      <w:r w:rsidR="00ED1BDB">
        <w:t>s</w:t>
      </w:r>
      <w:r w:rsidRPr="00BC16C2">
        <w:t xml:space="preserve"> identified as bein</w:t>
      </w:r>
      <w:r w:rsidR="001F4207">
        <w:t>g in fair financial condition</w:t>
      </w:r>
      <w:r w:rsidR="00815147">
        <w:t xml:space="preserve"> </w:t>
      </w:r>
      <w:r w:rsidR="00ED1BDB">
        <w:t>are as follows</w:t>
      </w:r>
      <w:r w:rsidRPr="00BC16C2">
        <w:t>:</w:t>
      </w:r>
    </w:p>
    <w:p w:rsidR="007C3BB7" w:rsidRDefault="00BC5F51" w:rsidP="00E31465">
      <w:pPr>
        <w:pStyle w:val="ListParagraph"/>
        <w:numPr>
          <w:ilvl w:val="0"/>
          <w:numId w:val="4"/>
        </w:numPr>
        <w:spacing w:after="100" w:afterAutospacing="1"/>
        <w:rPr>
          <w:rFonts w:cs="Arial"/>
        </w:rPr>
      </w:pPr>
      <w:r w:rsidRPr="009F22F7">
        <w:rPr>
          <w:rFonts w:cs="Arial"/>
        </w:rPr>
        <w:t xml:space="preserve">High Tech </w:t>
      </w:r>
      <w:r w:rsidR="009F22F7" w:rsidRPr="009F22F7">
        <w:rPr>
          <w:rFonts w:cs="Arial"/>
        </w:rPr>
        <w:t>Middle Mesa</w:t>
      </w:r>
      <w:r w:rsidR="00ED1BDB">
        <w:rPr>
          <w:rFonts w:cs="Arial"/>
        </w:rPr>
        <w:t xml:space="preserve"> (HTMM)</w:t>
      </w:r>
    </w:p>
    <w:p w:rsidR="0012162F" w:rsidRPr="009F22F7" w:rsidRDefault="0012162F" w:rsidP="00E31465">
      <w:pPr>
        <w:pStyle w:val="ListParagraph"/>
        <w:numPr>
          <w:ilvl w:val="0"/>
          <w:numId w:val="4"/>
        </w:numPr>
        <w:spacing w:after="100" w:afterAutospacing="1"/>
        <w:rPr>
          <w:rFonts w:cs="Arial"/>
        </w:rPr>
      </w:pPr>
      <w:r>
        <w:rPr>
          <w:rFonts w:cs="Arial"/>
        </w:rPr>
        <w:t>Mary L. Booker Leadership Academy</w:t>
      </w:r>
      <w:r w:rsidR="000F6628">
        <w:rPr>
          <w:rFonts w:cs="Arial"/>
        </w:rPr>
        <w:t xml:space="preserve"> (MLBLA)</w:t>
      </w:r>
    </w:p>
    <w:p w:rsidR="007C3BB7" w:rsidRDefault="009F22F7" w:rsidP="00A34996">
      <w:pPr>
        <w:pStyle w:val="Heading3"/>
      </w:pPr>
      <w:r>
        <w:t xml:space="preserve">High Tech </w:t>
      </w:r>
      <w:r w:rsidR="00FD402F">
        <w:t xml:space="preserve">Middle </w:t>
      </w:r>
      <w:r>
        <w:t>Mesa</w:t>
      </w:r>
    </w:p>
    <w:p w:rsidR="007C3BB7" w:rsidRDefault="003D3054" w:rsidP="00E31465">
      <w:pPr>
        <w:pStyle w:val="ListParagraph"/>
        <w:numPr>
          <w:ilvl w:val="0"/>
          <w:numId w:val="5"/>
        </w:numPr>
      </w:pPr>
      <w:r>
        <w:t>Charter Term Expires: 6/30/20</w:t>
      </w:r>
      <w:r w:rsidRPr="00C46875">
        <w:t>2</w:t>
      </w:r>
      <w:r w:rsidR="009F22F7" w:rsidRPr="00C46875">
        <w:t>3</w:t>
      </w:r>
    </w:p>
    <w:p w:rsidR="007C3BB7" w:rsidRDefault="007C3BB7" w:rsidP="00E31465">
      <w:pPr>
        <w:pStyle w:val="ListParagraph"/>
        <w:numPr>
          <w:ilvl w:val="0"/>
          <w:numId w:val="5"/>
        </w:numPr>
      </w:pPr>
      <w:r>
        <w:t xml:space="preserve">Grades Authorized to Serve: </w:t>
      </w:r>
      <w:r w:rsidR="00C46875" w:rsidRPr="00C46875">
        <w:t>6</w:t>
      </w:r>
      <w:r w:rsidRPr="00C46875">
        <w:t>–</w:t>
      </w:r>
      <w:r w:rsidR="00C46875" w:rsidRPr="00C46875">
        <w:t>7</w:t>
      </w:r>
    </w:p>
    <w:p w:rsidR="007C3BB7" w:rsidRDefault="00B66519" w:rsidP="00E31465">
      <w:pPr>
        <w:pStyle w:val="ListParagraph"/>
        <w:numPr>
          <w:ilvl w:val="0"/>
          <w:numId w:val="5"/>
        </w:numPr>
      </w:pPr>
      <w:r>
        <w:t>201</w:t>
      </w:r>
      <w:r w:rsidR="002F5B62">
        <w:t>8</w:t>
      </w:r>
      <w:r w:rsidR="003D3054">
        <w:t>–1</w:t>
      </w:r>
      <w:r w:rsidR="002F5B62">
        <w:t>9</w:t>
      </w:r>
      <w:r>
        <w:t xml:space="preserve"> P-</w:t>
      </w:r>
      <w:r w:rsidR="007C3BB7">
        <w:t xml:space="preserve">2 ADA: </w:t>
      </w:r>
      <w:r w:rsidR="002F5B62">
        <w:t>N</w:t>
      </w:r>
      <w:r w:rsidR="00ED1BDB">
        <w:t xml:space="preserve">ot </w:t>
      </w:r>
      <w:r w:rsidR="00E4143C">
        <w:t>ap</w:t>
      </w:r>
      <w:r w:rsidR="00ED1BDB">
        <w:t>plicable</w:t>
      </w:r>
      <w:r w:rsidR="002F5B62">
        <w:t>, HTMM was not in operation</w:t>
      </w:r>
    </w:p>
    <w:p w:rsidR="00407731" w:rsidRPr="00EA3FA7" w:rsidRDefault="00B66519" w:rsidP="00E31465">
      <w:pPr>
        <w:pStyle w:val="ListParagraph"/>
        <w:numPr>
          <w:ilvl w:val="0"/>
          <w:numId w:val="5"/>
        </w:numPr>
        <w:spacing w:after="100" w:afterAutospacing="1"/>
      </w:pPr>
      <w:r>
        <w:t>201</w:t>
      </w:r>
      <w:r w:rsidR="002F5B62">
        <w:t>9</w:t>
      </w:r>
      <w:r w:rsidR="003D3054">
        <w:t>–</w:t>
      </w:r>
      <w:r w:rsidR="002F5B62">
        <w:t>20</w:t>
      </w:r>
      <w:r>
        <w:t xml:space="preserve"> P-</w:t>
      </w:r>
      <w:r w:rsidR="007C3BB7">
        <w:t xml:space="preserve">2 ADA: </w:t>
      </w:r>
      <w:r w:rsidR="002F5B62" w:rsidRPr="00EA3FA7">
        <w:t>1</w:t>
      </w:r>
      <w:r w:rsidR="00EA3FA7" w:rsidRPr="00EA3FA7">
        <w:t>09.23</w:t>
      </w:r>
    </w:p>
    <w:p w:rsidR="007C3BB7" w:rsidRPr="004F37E1" w:rsidRDefault="007C3BB7" w:rsidP="00E31465">
      <w:pPr>
        <w:pStyle w:val="Heading4"/>
      </w:pPr>
      <w:r w:rsidRPr="004F37E1">
        <w:t>Fiscal Concerns</w:t>
      </w:r>
    </w:p>
    <w:p w:rsidR="001D0D17" w:rsidRDefault="008B67AD" w:rsidP="00E31465">
      <w:pPr>
        <w:spacing w:after="100" w:afterAutospacing="1"/>
      </w:pPr>
      <w:r>
        <w:t>HTMM opened in fall 2019 with a projected enrollmen</w:t>
      </w:r>
      <w:r w:rsidRPr="00ED1BDB">
        <w:t xml:space="preserve">t of </w:t>
      </w:r>
      <w:r w:rsidR="007D1D53" w:rsidRPr="00ED1BDB">
        <w:t>120</w:t>
      </w:r>
      <w:r w:rsidRPr="00ED1BDB">
        <w:t xml:space="preserve"> pupil</w:t>
      </w:r>
      <w:r>
        <w:t>s. HTMM’s</w:t>
      </w:r>
      <w:r w:rsidR="00BF4286" w:rsidRPr="00391D2E">
        <w:t xml:space="preserve"> </w:t>
      </w:r>
      <w:r w:rsidRPr="00391D2E">
        <w:t>201</w:t>
      </w:r>
      <w:r>
        <w:t>9</w:t>
      </w:r>
      <w:r w:rsidRPr="00391D2E">
        <w:t>–</w:t>
      </w:r>
      <w:r>
        <w:t xml:space="preserve">20 </w:t>
      </w:r>
      <w:r w:rsidR="00BF4286" w:rsidRPr="00391D2E">
        <w:t>second interim r</w:t>
      </w:r>
      <w:r>
        <w:t>eport indicates that HTMM is projecting</w:t>
      </w:r>
      <w:r w:rsidR="002F5B62">
        <w:t xml:space="preserve"> a positive ending fund </w:t>
      </w:r>
      <w:r w:rsidR="00BF4286" w:rsidRPr="00391D2E">
        <w:t>balance of $</w:t>
      </w:r>
      <w:r w:rsidR="002F5B62">
        <w:t>60,188</w:t>
      </w:r>
      <w:r w:rsidR="00FE1B05">
        <w:t xml:space="preserve"> with </w:t>
      </w:r>
      <w:r w:rsidR="002F5B62">
        <w:t>4.11</w:t>
      </w:r>
      <w:r w:rsidR="00BF4286" w:rsidRPr="00391D2E">
        <w:t xml:space="preserve"> percent</w:t>
      </w:r>
      <w:r w:rsidR="000F6628">
        <w:t xml:space="preserve"> in</w:t>
      </w:r>
      <w:r w:rsidR="00BF4286" w:rsidRPr="00391D2E">
        <w:t xml:space="preserve"> reserve</w:t>
      </w:r>
      <w:r w:rsidR="00FE1B05">
        <w:t>s</w:t>
      </w:r>
      <w:r w:rsidR="00BF4286" w:rsidRPr="00391D2E">
        <w:t xml:space="preserve"> for </w:t>
      </w:r>
      <w:r w:rsidR="000F6628">
        <w:t>fiscal year (FY)</w:t>
      </w:r>
      <w:r w:rsidR="00BF4286" w:rsidRPr="00391D2E">
        <w:t xml:space="preserve"> 201</w:t>
      </w:r>
      <w:r w:rsidR="002F5B62">
        <w:t>9</w:t>
      </w:r>
      <w:r w:rsidR="00BF4286" w:rsidRPr="00391D2E">
        <w:t>–</w:t>
      </w:r>
      <w:r w:rsidR="002F5B62">
        <w:t>20</w:t>
      </w:r>
      <w:r>
        <w:t xml:space="preserve">, which is below the recommended five percent in reserves outlined in the MOU between HTMM and the </w:t>
      </w:r>
      <w:r w:rsidR="00ED1BDB">
        <w:t>State Board of Education (SBE)</w:t>
      </w:r>
      <w:r>
        <w:t>.</w:t>
      </w:r>
    </w:p>
    <w:p w:rsidR="001D0D17" w:rsidRDefault="001D0D17" w:rsidP="00E31465">
      <w:pPr>
        <w:spacing w:after="100" w:afterAutospacing="1"/>
        <w:sectPr w:rsidR="001D0D17" w:rsidSect="00A34996">
          <w:headerReference w:type="default" r:id="rId8"/>
          <w:type w:val="continuous"/>
          <w:pgSz w:w="12240" w:h="15840"/>
          <w:pgMar w:top="1440" w:right="1440" w:bottom="1440" w:left="1440" w:header="720" w:footer="720" w:gutter="0"/>
          <w:cols w:space="720"/>
          <w:docGrid w:linePitch="326"/>
        </w:sectPr>
      </w:pPr>
    </w:p>
    <w:p w:rsidR="007C3BB7" w:rsidRPr="001D0D17" w:rsidRDefault="007D1D53" w:rsidP="00A34996">
      <w:pPr>
        <w:spacing w:after="100" w:afterAutospacing="1"/>
        <w:rPr>
          <w:b/>
        </w:rPr>
      </w:pPr>
      <w:r>
        <w:rPr>
          <w:b/>
        </w:rPr>
        <w:lastRenderedPageBreak/>
        <w:t>High Tech Middle Mesa</w:t>
      </w:r>
      <w:r w:rsidR="001D0D17" w:rsidRPr="001D0D17">
        <w:rPr>
          <w:b/>
        </w:rPr>
        <w:t xml:space="preserve"> </w:t>
      </w:r>
      <w:r w:rsidR="007C3BB7" w:rsidRPr="001D0D17">
        <w:rPr>
          <w:b/>
        </w:rPr>
        <w:t>Financial Highlights</w:t>
      </w:r>
    </w:p>
    <w:p w:rsidR="001D0D17" w:rsidRDefault="00F147CD" w:rsidP="00E31465">
      <w:r>
        <w:t>N</w:t>
      </w:r>
      <w:r w:rsidR="001D0D17">
        <w:t>A</w:t>
      </w:r>
      <w:r w:rsidR="00A34996">
        <w:t xml:space="preserve">: </w:t>
      </w:r>
      <w:r w:rsidR="001D0D17">
        <w:t>Not Applicable</w:t>
      </w:r>
    </w:p>
    <w:tbl>
      <w:tblPr>
        <w:tblStyle w:val="GridTable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nancial Highlights"/>
        <w:tblDescription w:val="Financial Highlights High Tech Middle Mesa"/>
      </w:tblPr>
      <w:tblGrid>
        <w:gridCol w:w="1256"/>
        <w:gridCol w:w="1453"/>
        <w:gridCol w:w="1922"/>
        <w:gridCol w:w="1492"/>
        <w:gridCol w:w="1300"/>
        <w:gridCol w:w="901"/>
        <w:gridCol w:w="1684"/>
        <w:gridCol w:w="1523"/>
        <w:gridCol w:w="1419"/>
      </w:tblGrid>
      <w:tr w:rsidR="007C3BB7" w:rsidRPr="00407731" w:rsidTr="00A3499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85" w:type="pct"/>
            <w:tcBorders>
              <w:top w:val="none" w:sz="0" w:space="0" w:color="auto"/>
              <w:left w:val="none" w:sz="0" w:space="0" w:color="auto"/>
              <w:bottom w:val="none" w:sz="0" w:space="0" w:color="auto"/>
              <w:right w:val="none" w:sz="0" w:space="0" w:color="auto"/>
            </w:tcBorders>
            <w:vAlign w:val="center"/>
          </w:tcPr>
          <w:p w:rsidR="007C3BB7" w:rsidRPr="00407731" w:rsidRDefault="007C3BB7" w:rsidP="00E31465">
            <w:pPr>
              <w:jc w:val="center"/>
              <w:rPr>
                <w:rFonts w:cs="Arial"/>
                <w:b w:val="0"/>
              </w:rPr>
            </w:pPr>
            <w:r w:rsidRPr="00407731">
              <w:rPr>
                <w:rFonts w:cs="Arial"/>
              </w:rPr>
              <w:t>F</w:t>
            </w:r>
            <w:r w:rsidR="000F6628">
              <w:rPr>
                <w:rFonts w:cs="Arial"/>
              </w:rPr>
              <w:t xml:space="preserve">iscal Year </w:t>
            </w:r>
            <w:r w:rsidRPr="00407731">
              <w:rPr>
                <w:rFonts w:cs="Arial"/>
              </w:rPr>
              <w:t>/ Source</w:t>
            </w:r>
          </w:p>
        </w:tc>
        <w:tc>
          <w:tcPr>
            <w:tcW w:w="561" w:type="pct"/>
            <w:tcBorders>
              <w:top w:val="none" w:sz="0" w:space="0" w:color="auto"/>
              <w:left w:val="none" w:sz="0" w:space="0" w:color="auto"/>
              <w:bottom w:val="none" w:sz="0" w:space="0" w:color="auto"/>
              <w:right w:val="none" w:sz="0" w:space="0" w:color="auto"/>
            </w:tcBorders>
            <w:vAlign w:val="center"/>
          </w:tcPr>
          <w:p w:rsidR="007C3BB7" w:rsidRPr="00407731" w:rsidRDefault="007C3BB7"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407731">
              <w:rPr>
                <w:rFonts w:cs="Arial"/>
              </w:rPr>
              <w:t>Total Revenues</w:t>
            </w:r>
          </w:p>
        </w:tc>
        <w:tc>
          <w:tcPr>
            <w:tcW w:w="742" w:type="pct"/>
            <w:tcBorders>
              <w:top w:val="none" w:sz="0" w:space="0" w:color="auto"/>
              <w:left w:val="none" w:sz="0" w:space="0" w:color="auto"/>
              <w:bottom w:val="none" w:sz="0" w:space="0" w:color="auto"/>
              <w:right w:val="none" w:sz="0" w:space="0" w:color="auto"/>
            </w:tcBorders>
            <w:vAlign w:val="center"/>
          </w:tcPr>
          <w:p w:rsidR="007C3BB7" w:rsidRPr="00407731" w:rsidRDefault="007C3BB7"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407731">
              <w:rPr>
                <w:rFonts w:cs="Arial"/>
              </w:rPr>
              <w:t>Total Expenditures</w:t>
            </w:r>
          </w:p>
        </w:tc>
        <w:tc>
          <w:tcPr>
            <w:tcW w:w="576" w:type="pct"/>
            <w:tcBorders>
              <w:top w:val="none" w:sz="0" w:space="0" w:color="auto"/>
              <w:left w:val="none" w:sz="0" w:space="0" w:color="auto"/>
              <w:bottom w:val="none" w:sz="0" w:space="0" w:color="auto"/>
              <w:right w:val="none" w:sz="0" w:space="0" w:color="auto"/>
            </w:tcBorders>
            <w:vAlign w:val="center"/>
          </w:tcPr>
          <w:p w:rsidR="007C3BB7" w:rsidRPr="00407731" w:rsidRDefault="007C3BB7"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407731">
              <w:rPr>
                <w:rFonts w:cs="Arial"/>
              </w:rPr>
              <w:t>Net Operating Surplus (Deficit)</w:t>
            </w:r>
          </w:p>
        </w:tc>
        <w:tc>
          <w:tcPr>
            <w:tcW w:w="502" w:type="pct"/>
            <w:tcBorders>
              <w:top w:val="none" w:sz="0" w:space="0" w:color="auto"/>
              <w:left w:val="none" w:sz="0" w:space="0" w:color="auto"/>
              <w:bottom w:val="none" w:sz="0" w:space="0" w:color="auto"/>
              <w:right w:val="none" w:sz="0" w:space="0" w:color="auto"/>
            </w:tcBorders>
            <w:vAlign w:val="center"/>
          </w:tcPr>
          <w:p w:rsidR="007C3BB7" w:rsidRPr="00407731" w:rsidRDefault="007C3BB7"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407731">
              <w:rPr>
                <w:rFonts w:cs="Arial"/>
              </w:rPr>
              <w:t>Working Capital Ratio</w:t>
            </w:r>
          </w:p>
        </w:tc>
        <w:tc>
          <w:tcPr>
            <w:tcW w:w="348" w:type="pct"/>
            <w:tcBorders>
              <w:top w:val="none" w:sz="0" w:space="0" w:color="auto"/>
              <w:left w:val="none" w:sz="0" w:space="0" w:color="auto"/>
              <w:bottom w:val="none" w:sz="0" w:space="0" w:color="auto"/>
              <w:right w:val="none" w:sz="0" w:space="0" w:color="auto"/>
            </w:tcBorders>
            <w:vAlign w:val="center"/>
          </w:tcPr>
          <w:p w:rsidR="007C3BB7" w:rsidRPr="00407731" w:rsidRDefault="007C3BB7"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407731">
              <w:rPr>
                <w:rFonts w:cs="Arial"/>
              </w:rPr>
              <w:t>Debt Ratio</w:t>
            </w:r>
          </w:p>
        </w:tc>
        <w:tc>
          <w:tcPr>
            <w:tcW w:w="650" w:type="pct"/>
            <w:tcBorders>
              <w:top w:val="none" w:sz="0" w:space="0" w:color="auto"/>
              <w:left w:val="none" w:sz="0" w:space="0" w:color="auto"/>
              <w:bottom w:val="none" w:sz="0" w:space="0" w:color="auto"/>
              <w:right w:val="none" w:sz="0" w:space="0" w:color="auto"/>
            </w:tcBorders>
            <w:vAlign w:val="center"/>
          </w:tcPr>
          <w:p w:rsidR="007C3BB7" w:rsidRPr="00407731" w:rsidRDefault="007C3BB7"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407731">
              <w:rPr>
                <w:rFonts w:cs="Arial"/>
              </w:rPr>
              <w:t>Attendance Ratio</w:t>
            </w:r>
          </w:p>
        </w:tc>
        <w:tc>
          <w:tcPr>
            <w:tcW w:w="588" w:type="pct"/>
            <w:tcBorders>
              <w:top w:val="none" w:sz="0" w:space="0" w:color="auto"/>
              <w:left w:val="none" w:sz="0" w:space="0" w:color="auto"/>
              <w:bottom w:val="none" w:sz="0" w:space="0" w:color="auto"/>
              <w:right w:val="none" w:sz="0" w:space="0" w:color="auto"/>
            </w:tcBorders>
            <w:vAlign w:val="center"/>
          </w:tcPr>
          <w:p w:rsidR="007C3BB7" w:rsidRPr="00407731" w:rsidRDefault="007C3BB7"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407731">
              <w:rPr>
                <w:rFonts w:cs="Arial"/>
              </w:rPr>
              <w:t>Ending Fund Balance</w:t>
            </w:r>
          </w:p>
        </w:tc>
        <w:tc>
          <w:tcPr>
            <w:tcW w:w="548" w:type="pct"/>
            <w:tcBorders>
              <w:top w:val="none" w:sz="0" w:space="0" w:color="auto"/>
              <w:left w:val="none" w:sz="0" w:space="0" w:color="auto"/>
              <w:bottom w:val="none" w:sz="0" w:space="0" w:color="auto"/>
              <w:right w:val="none" w:sz="0" w:space="0" w:color="auto"/>
            </w:tcBorders>
            <w:vAlign w:val="center"/>
          </w:tcPr>
          <w:p w:rsidR="007C3BB7" w:rsidRPr="00407731" w:rsidRDefault="007C3BB7"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407731">
              <w:rPr>
                <w:rFonts w:cs="Arial"/>
              </w:rPr>
              <w:t>Percent of Reserves</w:t>
            </w:r>
          </w:p>
        </w:tc>
      </w:tr>
      <w:tr w:rsidR="007C3BB7" w:rsidRPr="00407731" w:rsidTr="00A349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5" w:type="pct"/>
            <w:vAlign w:val="center"/>
          </w:tcPr>
          <w:p w:rsidR="007C3BB7" w:rsidRPr="00407731" w:rsidRDefault="007C3BB7" w:rsidP="00E31465">
            <w:pPr>
              <w:rPr>
                <w:rFonts w:cs="Arial"/>
              </w:rPr>
            </w:pPr>
            <w:r w:rsidRPr="00407731">
              <w:rPr>
                <w:rFonts w:cs="Arial"/>
              </w:rPr>
              <w:t>201</w:t>
            </w:r>
            <w:r w:rsidR="007D1D53">
              <w:rPr>
                <w:rFonts w:cs="Arial"/>
              </w:rPr>
              <w:t>8</w:t>
            </w:r>
            <w:r w:rsidR="00714FE2">
              <w:rPr>
                <w:rFonts w:cs="Arial"/>
              </w:rPr>
              <w:t>–1</w:t>
            </w:r>
            <w:r w:rsidR="007D1D53">
              <w:rPr>
                <w:rFonts w:cs="Arial"/>
              </w:rPr>
              <w:t>9</w:t>
            </w:r>
            <w:r w:rsidRPr="00407731">
              <w:rPr>
                <w:rFonts w:cs="Arial"/>
              </w:rPr>
              <w:t xml:space="preserve"> Audit</w:t>
            </w:r>
          </w:p>
        </w:tc>
        <w:tc>
          <w:tcPr>
            <w:tcW w:w="561" w:type="pct"/>
            <w:vAlign w:val="center"/>
          </w:tcPr>
          <w:p w:rsidR="007C3BB7" w:rsidRPr="00407731" w:rsidRDefault="007D1D53"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NA</w:t>
            </w:r>
          </w:p>
        </w:tc>
        <w:tc>
          <w:tcPr>
            <w:tcW w:w="742" w:type="pct"/>
            <w:vAlign w:val="center"/>
          </w:tcPr>
          <w:p w:rsidR="007C3BB7" w:rsidRPr="00407731" w:rsidRDefault="007D1D53"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NA</w:t>
            </w:r>
          </w:p>
        </w:tc>
        <w:tc>
          <w:tcPr>
            <w:tcW w:w="576" w:type="pct"/>
            <w:vAlign w:val="center"/>
          </w:tcPr>
          <w:p w:rsidR="007C3BB7" w:rsidRPr="00407731" w:rsidRDefault="007D1D53"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NA</w:t>
            </w:r>
          </w:p>
        </w:tc>
        <w:tc>
          <w:tcPr>
            <w:tcW w:w="502" w:type="pct"/>
            <w:vAlign w:val="center"/>
          </w:tcPr>
          <w:p w:rsidR="007C3BB7" w:rsidRPr="00407731" w:rsidRDefault="007D1D53"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NA</w:t>
            </w:r>
          </w:p>
        </w:tc>
        <w:tc>
          <w:tcPr>
            <w:tcW w:w="348" w:type="pct"/>
            <w:vAlign w:val="center"/>
          </w:tcPr>
          <w:p w:rsidR="007C3BB7" w:rsidRPr="00407731" w:rsidRDefault="007D1D53"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NA</w:t>
            </w:r>
          </w:p>
        </w:tc>
        <w:tc>
          <w:tcPr>
            <w:tcW w:w="650" w:type="pct"/>
            <w:vAlign w:val="center"/>
          </w:tcPr>
          <w:p w:rsidR="007C3BB7" w:rsidRPr="00407731" w:rsidRDefault="007D1D53"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NA</w:t>
            </w:r>
          </w:p>
        </w:tc>
        <w:tc>
          <w:tcPr>
            <w:tcW w:w="588" w:type="pct"/>
            <w:vAlign w:val="center"/>
          </w:tcPr>
          <w:p w:rsidR="007C3BB7" w:rsidRPr="00407731" w:rsidRDefault="007D1D53"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NA</w:t>
            </w:r>
          </w:p>
        </w:tc>
        <w:tc>
          <w:tcPr>
            <w:tcW w:w="548" w:type="pct"/>
            <w:vAlign w:val="center"/>
          </w:tcPr>
          <w:p w:rsidR="007C3BB7" w:rsidRPr="00407731" w:rsidRDefault="007D1D53"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NA</w:t>
            </w:r>
          </w:p>
        </w:tc>
      </w:tr>
      <w:tr w:rsidR="007C3BB7" w:rsidRPr="00407731" w:rsidTr="00A34996">
        <w:trPr>
          <w:cantSplit/>
        </w:trPr>
        <w:tc>
          <w:tcPr>
            <w:cnfStyle w:val="001000000000" w:firstRow="0" w:lastRow="0" w:firstColumn="1" w:lastColumn="0" w:oddVBand="0" w:evenVBand="0" w:oddHBand="0" w:evenHBand="0" w:firstRowFirstColumn="0" w:firstRowLastColumn="0" w:lastRowFirstColumn="0" w:lastRowLastColumn="0"/>
            <w:tcW w:w="485" w:type="pct"/>
            <w:vAlign w:val="center"/>
          </w:tcPr>
          <w:p w:rsidR="007C3BB7" w:rsidRPr="00407731" w:rsidRDefault="007C3BB7" w:rsidP="00E31465">
            <w:pPr>
              <w:rPr>
                <w:rFonts w:cs="Arial"/>
              </w:rPr>
            </w:pPr>
            <w:r w:rsidRPr="00407731">
              <w:rPr>
                <w:rFonts w:cs="Arial"/>
              </w:rPr>
              <w:t>201</w:t>
            </w:r>
            <w:r w:rsidR="007D1D53">
              <w:rPr>
                <w:rFonts w:cs="Arial"/>
              </w:rPr>
              <w:t>9</w:t>
            </w:r>
            <w:r w:rsidR="00714FE2">
              <w:rPr>
                <w:rFonts w:cs="Arial"/>
              </w:rPr>
              <w:t>–</w:t>
            </w:r>
            <w:r w:rsidR="007D1D53">
              <w:rPr>
                <w:rFonts w:cs="Arial"/>
              </w:rPr>
              <w:t>20</w:t>
            </w:r>
            <w:r w:rsidRPr="00407731">
              <w:rPr>
                <w:rFonts w:cs="Arial"/>
              </w:rPr>
              <w:t xml:space="preserve"> Budget</w:t>
            </w:r>
          </w:p>
        </w:tc>
        <w:tc>
          <w:tcPr>
            <w:tcW w:w="561" w:type="pct"/>
            <w:vAlign w:val="center"/>
          </w:tcPr>
          <w:p w:rsidR="007C3BB7" w:rsidRPr="00407731" w:rsidRDefault="007C3BB7"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407731">
              <w:rPr>
                <w:rFonts w:cs="Arial"/>
              </w:rPr>
              <w:t>$</w:t>
            </w:r>
            <w:r w:rsidR="007D1D53">
              <w:rPr>
                <w:rFonts w:cs="Arial"/>
              </w:rPr>
              <w:t>1,323,347</w:t>
            </w:r>
          </w:p>
        </w:tc>
        <w:tc>
          <w:tcPr>
            <w:tcW w:w="742" w:type="pct"/>
            <w:vAlign w:val="center"/>
          </w:tcPr>
          <w:p w:rsidR="007C3BB7" w:rsidRPr="00407731" w:rsidRDefault="007C3BB7"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407731">
              <w:rPr>
                <w:rFonts w:cs="Arial"/>
              </w:rPr>
              <w:t>$</w:t>
            </w:r>
            <w:r w:rsidR="007D1D53">
              <w:rPr>
                <w:rFonts w:cs="Arial"/>
              </w:rPr>
              <w:t>1,310,114</w:t>
            </w:r>
          </w:p>
        </w:tc>
        <w:tc>
          <w:tcPr>
            <w:tcW w:w="576" w:type="pct"/>
            <w:vAlign w:val="center"/>
          </w:tcPr>
          <w:p w:rsidR="007C3BB7" w:rsidRPr="00407731" w:rsidRDefault="007C3BB7"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407731">
              <w:rPr>
                <w:rFonts w:cs="Arial"/>
              </w:rPr>
              <w:t>$</w:t>
            </w:r>
            <w:r w:rsidR="007D1D53">
              <w:rPr>
                <w:rFonts w:cs="Arial"/>
              </w:rPr>
              <w:t>13,233</w:t>
            </w:r>
          </w:p>
        </w:tc>
        <w:tc>
          <w:tcPr>
            <w:tcW w:w="502" w:type="pct"/>
            <w:vAlign w:val="center"/>
          </w:tcPr>
          <w:p w:rsidR="007C3BB7" w:rsidRPr="00407731" w:rsidRDefault="007C3BB7"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407731">
              <w:rPr>
                <w:rFonts w:cs="Arial"/>
              </w:rPr>
              <w:t>NA</w:t>
            </w:r>
          </w:p>
        </w:tc>
        <w:tc>
          <w:tcPr>
            <w:tcW w:w="348" w:type="pct"/>
            <w:vAlign w:val="center"/>
          </w:tcPr>
          <w:p w:rsidR="007C3BB7" w:rsidRPr="00407731" w:rsidRDefault="007C3BB7"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407731">
              <w:rPr>
                <w:rFonts w:cs="Arial"/>
              </w:rPr>
              <w:t>NA</w:t>
            </w:r>
          </w:p>
        </w:tc>
        <w:tc>
          <w:tcPr>
            <w:tcW w:w="650" w:type="pct"/>
            <w:vAlign w:val="center"/>
          </w:tcPr>
          <w:p w:rsidR="007C3BB7" w:rsidRPr="00407731" w:rsidRDefault="0016783C"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4B0582">
              <w:rPr>
                <w:rFonts w:cs="Arial"/>
              </w:rPr>
              <w:t>9</w:t>
            </w:r>
            <w:r w:rsidR="004B0582" w:rsidRPr="004B0582">
              <w:rPr>
                <w:rFonts w:cs="Arial"/>
              </w:rPr>
              <w:t>7.34</w:t>
            </w:r>
            <w:r w:rsidR="007C3BB7" w:rsidRPr="00407731">
              <w:rPr>
                <w:rFonts w:cs="Arial"/>
              </w:rPr>
              <w:t>%</w:t>
            </w:r>
          </w:p>
        </w:tc>
        <w:tc>
          <w:tcPr>
            <w:tcW w:w="588" w:type="pct"/>
            <w:vAlign w:val="center"/>
          </w:tcPr>
          <w:p w:rsidR="007C3BB7" w:rsidRPr="00407731" w:rsidRDefault="007C3BB7"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407731">
              <w:rPr>
                <w:rFonts w:cs="Arial"/>
              </w:rPr>
              <w:t>$</w:t>
            </w:r>
            <w:r w:rsidR="007D1D53">
              <w:rPr>
                <w:rFonts w:cs="Arial"/>
              </w:rPr>
              <w:t>13,233</w:t>
            </w:r>
          </w:p>
        </w:tc>
        <w:tc>
          <w:tcPr>
            <w:tcW w:w="548" w:type="pct"/>
            <w:vAlign w:val="center"/>
          </w:tcPr>
          <w:p w:rsidR="007C3BB7" w:rsidRPr="00407731" w:rsidRDefault="007D1D53" w:rsidP="00E31465">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1.01</w:t>
            </w:r>
            <w:r w:rsidR="007C3BB7" w:rsidRPr="00407731">
              <w:rPr>
                <w:rFonts w:cs="Arial"/>
              </w:rPr>
              <w:t>%</w:t>
            </w:r>
          </w:p>
        </w:tc>
      </w:tr>
      <w:tr w:rsidR="007C3BB7" w:rsidRPr="00407731" w:rsidTr="00A349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5" w:type="pct"/>
            <w:vAlign w:val="center"/>
          </w:tcPr>
          <w:p w:rsidR="007C3BB7" w:rsidRPr="00407731" w:rsidRDefault="00714FE2" w:rsidP="00E31465">
            <w:pPr>
              <w:rPr>
                <w:rFonts w:cs="Arial"/>
              </w:rPr>
            </w:pPr>
            <w:r>
              <w:rPr>
                <w:rFonts w:cs="Arial"/>
              </w:rPr>
              <w:t>201</w:t>
            </w:r>
            <w:r w:rsidR="007D1D53">
              <w:rPr>
                <w:rFonts w:cs="Arial"/>
              </w:rPr>
              <w:t>9</w:t>
            </w:r>
            <w:r>
              <w:rPr>
                <w:rFonts w:cs="Arial"/>
              </w:rPr>
              <w:t>–</w:t>
            </w:r>
            <w:r w:rsidR="007D1D53">
              <w:rPr>
                <w:rFonts w:cs="Arial"/>
              </w:rPr>
              <w:t>20</w:t>
            </w:r>
            <w:r w:rsidR="007C3BB7" w:rsidRPr="00407731">
              <w:rPr>
                <w:rFonts w:cs="Arial"/>
              </w:rPr>
              <w:t xml:space="preserve"> 2</w:t>
            </w:r>
            <w:r w:rsidR="001D0D17" w:rsidRPr="001D0D17">
              <w:rPr>
                <w:rFonts w:cs="Arial"/>
              </w:rPr>
              <w:t>nd</w:t>
            </w:r>
            <w:r w:rsidR="007C3BB7" w:rsidRPr="001D0D17">
              <w:rPr>
                <w:rFonts w:cs="Arial"/>
              </w:rPr>
              <w:t xml:space="preserve"> </w:t>
            </w:r>
            <w:r w:rsidR="007C3BB7" w:rsidRPr="00407731">
              <w:rPr>
                <w:rFonts w:cs="Arial"/>
              </w:rPr>
              <w:t>Interim</w:t>
            </w:r>
          </w:p>
        </w:tc>
        <w:tc>
          <w:tcPr>
            <w:tcW w:w="561" w:type="pct"/>
            <w:vAlign w:val="center"/>
          </w:tcPr>
          <w:p w:rsidR="007C3BB7" w:rsidRPr="00407731" w:rsidRDefault="007C3BB7"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407731">
              <w:rPr>
                <w:rFonts w:cs="Arial"/>
              </w:rPr>
              <w:t>$</w:t>
            </w:r>
            <w:r w:rsidR="007D1D53">
              <w:rPr>
                <w:rFonts w:cs="Arial"/>
              </w:rPr>
              <w:t>1,524,969</w:t>
            </w:r>
          </w:p>
        </w:tc>
        <w:tc>
          <w:tcPr>
            <w:tcW w:w="742" w:type="pct"/>
            <w:vAlign w:val="center"/>
          </w:tcPr>
          <w:p w:rsidR="007C3BB7" w:rsidRPr="00407731" w:rsidRDefault="007C3BB7"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407731">
              <w:rPr>
                <w:rFonts w:cs="Arial"/>
              </w:rPr>
              <w:t>$</w:t>
            </w:r>
            <w:r w:rsidR="007D1D53">
              <w:rPr>
                <w:rFonts w:cs="Arial"/>
              </w:rPr>
              <w:t>1,464,781</w:t>
            </w:r>
          </w:p>
        </w:tc>
        <w:tc>
          <w:tcPr>
            <w:tcW w:w="576" w:type="pct"/>
            <w:vAlign w:val="center"/>
          </w:tcPr>
          <w:p w:rsidR="007C3BB7" w:rsidRPr="00407731" w:rsidRDefault="007C3BB7"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407731">
              <w:rPr>
                <w:rFonts w:cs="Arial"/>
              </w:rPr>
              <w:t>$</w:t>
            </w:r>
            <w:r w:rsidR="007D1D53">
              <w:rPr>
                <w:rFonts w:cs="Arial"/>
              </w:rPr>
              <w:t>60,188</w:t>
            </w:r>
          </w:p>
        </w:tc>
        <w:tc>
          <w:tcPr>
            <w:tcW w:w="502" w:type="pct"/>
            <w:vAlign w:val="center"/>
          </w:tcPr>
          <w:p w:rsidR="007C3BB7" w:rsidRPr="00407731" w:rsidRDefault="007C3BB7"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407731">
              <w:rPr>
                <w:rFonts w:cs="Arial"/>
              </w:rPr>
              <w:t>NA</w:t>
            </w:r>
          </w:p>
        </w:tc>
        <w:tc>
          <w:tcPr>
            <w:tcW w:w="348" w:type="pct"/>
            <w:vAlign w:val="center"/>
          </w:tcPr>
          <w:p w:rsidR="007C3BB7" w:rsidRPr="00407731" w:rsidRDefault="007C3BB7"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407731">
              <w:rPr>
                <w:rFonts w:cs="Arial"/>
              </w:rPr>
              <w:t>NA</w:t>
            </w:r>
          </w:p>
        </w:tc>
        <w:tc>
          <w:tcPr>
            <w:tcW w:w="650" w:type="pct"/>
            <w:vAlign w:val="center"/>
          </w:tcPr>
          <w:p w:rsidR="007C3BB7" w:rsidRPr="00A34996" w:rsidRDefault="004E4875"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34996">
              <w:rPr>
                <w:rFonts w:cs="Arial"/>
              </w:rPr>
              <w:t>95.82</w:t>
            </w:r>
            <w:r w:rsidR="001F4207" w:rsidRPr="00A34996">
              <w:rPr>
                <w:rFonts w:cs="Arial"/>
              </w:rPr>
              <w:t>%</w:t>
            </w:r>
          </w:p>
        </w:tc>
        <w:tc>
          <w:tcPr>
            <w:tcW w:w="588" w:type="pct"/>
            <w:vAlign w:val="center"/>
          </w:tcPr>
          <w:p w:rsidR="007C3BB7" w:rsidRPr="00A34996" w:rsidRDefault="00714FE2"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34996">
              <w:rPr>
                <w:rFonts w:cs="Arial"/>
              </w:rPr>
              <w:t>$</w:t>
            </w:r>
            <w:r w:rsidR="007D1D53" w:rsidRPr="00A34996">
              <w:rPr>
                <w:rFonts w:cs="Arial"/>
              </w:rPr>
              <w:t>60,188</w:t>
            </w:r>
          </w:p>
        </w:tc>
        <w:tc>
          <w:tcPr>
            <w:tcW w:w="548" w:type="pct"/>
            <w:vAlign w:val="center"/>
          </w:tcPr>
          <w:p w:rsidR="007C3BB7" w:rsidRPr="00407731" w:rsidRDefault="007D1D53"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4.11</w:t>
            </w:r>
            <w:r w:rsidR="007C3BB7" w:rsidRPr="00407731">
              <w:rPr>
                <w:rFonts w:cs="Arial"/>
              </w:rPr>
              <w:t>%</w:t>
            </w:r>
          </w:p>
        </w:tc>
      </w:tr>
    </w:tbl>
    <w:p w:rsidR="0012162F" w:rsidRPr="00A34996" w:rsidRDefault="0012162F" w:rsidP="00A34996">
      <w:pPr>
        <w:rPr>
          <w:szCs w:val="16"/>
        </w:rPr>
      </w:pPr>
    </w:p>
    <w:p w:rsidR="0012162F" w:rsidRDefault="0012162F" w:rsidP="00E31465">
      <w:pPr>
        <w:ind w:firstLine="720"/>
        <w:rPr>
          <w:sz w:val="16"/>
          <w:szCs w:val="16"/>
        </w:rPr>
        <w:sectPr w:rsidR="0012162F" w:rsidSect="00A34996">
          <w:pgSz w:w="15840" w:h="12240" w:orient="landscape"/>
          <w:pgMar w:top="1440" w:right="1440" w:bottom="1440" w:left="1440" w:header="720" w:footer="720" w:gutter="0"/>
          <w:cols w:space="720"/>
          <w:docGrid w:linePitch="326"/>
        </w:sectPr>
      </w:pPr>
    </w:p>
    <w:p w:rsidR="0012162F" w:rsidRDefault="0012162F" w:rsidP="00A34996">
      <w:pPr>
        <w:pStyle w:val="Heading3"/>
      </w:pPr>
      <w:r>
        <w:lastRenderedPageBreak/>
        <w:t>Mary L. Booker Leadership Academy</w:t>
      </w:r>
    </w:p>
    <w:p w:rsidR="0012162F" w:rsidRDefault="0012162F" w:rsidP="00E31465">
      <w:pPr>
        <w:pStyle w:val="ListParagraph"/>
        <w:numPr>
          <w:ilvl w:val="0"/>
          <w:numId w:val="5"/>
        </w:numPr>
        <w:spacing w:after="240"/>
      </w:pPr>
      <w:r>
        <w:t xml:space="preserve">Charter </w:t>
      </w:r>
      <w:r w:rsidR="009019BE">
        <w:t>Voluntarily Closed</w:t>
      </w:r>
      <w:r>
        <w:t>: 6/30/20</w:t>
      </w:r>
      <w:r w:rsidR="009019BE">
        <w:t>20</w:t>
      </w:r>
    </w:p>
    <w:p w:rsidR="0012162F" w:rsidRDefault="0012162F" w:rsidP="00E31465">
      <w:pPr>
        <w:pStyle w:val="ListParagraph"/>
        <w:numPr>
          <w:ilvl w:val="0"/>
          <w:numId w:val="5"/>
        </w:numPr>
        <w:spacing w:after="240"/>
      </w:pPr>
      <w:r>
        <w:t xml:space="preserve">Grades Authorized to Serve: </w:t>
      </w:r>
      <w:r w:rsidRPr="00C46875">
        <w:t>6–</w:t>
      </w:r>
      <w:r>
        <w:t>12</w:t>
      </w:r>
    </w:p>
    <w:p w:rsidR="0012162F" w:rsidRDefault="0012162F" w:rsidP="00E31465">
      <w:pPr>
        <w:pStyle w:val="ListParagraph"/>
        <w:numPr>
          <w:ilvl w:val="0"/>
          <w:numId w:val="5"/>
        </w:numPr>
        <w:spacing w:after="240"/>
      </w:pPr>
      <w:r>
        <w:t xml:space="preserve">2018–19 P-2 ADA: </w:t>
      </w:r>
      <w:r w:rsidR="000F6628">
        <w:t xml:space="preserve">Not </w:t>
      </w:r>
      <w:r w:rsidR="00E4143C">
        <w:t>a</w:t>
      </w:r>
      <w:r w:rsidR="000F6628">
        <w:t xml:space="preserve">pplicable, </w:t>
      </w:r>
      <w:r>
        <w:t>MLBLA was not in operation</w:t>
      </w:r>
    </w:p>
    <w:p w:rsidR="0012162F" w:rsidRDefault="0012162F" w:rsidP="00E31465">
      <w:pPr>
        <w:pStyle w:val="ListParagraph"/>
        <w:numPr>
          <w:ilvl w:val="0"/>
          <w:numId w:val="5"/>
        </w:numPr>
        <w:spacing w:after="240"/>
      </w:pPr>
      <w:r>
        <w:t xml:space="preserve">2019–20 P-2 ADA: </w:t>
      </w:r>
      <w:r w:rsidRPr="004B0582">
        <w:t>5</w:t>
      </w:r>
      <w:r w:rsidR="004B0582" w:rsidRPr="004B0582">
        <w:t>1.33</w:t>
      </w:r>
    </w:p>
    <w:p w:rsidR="0012162F" w:rsidRDefault="0012162F" w:rsidP="00E31465">
      <w:pPr>
        <w:pStyle w:val="Heading4"/>
      </w:pPr>
      <w:r>
        <w:t>Fiscal Concerns</w:t>
      </w:r>
    </w:p>
    <w:p w:rsidR="0012162F" w:rsidRPr="00391D2E" w:rsidRDefault="0012162F" w:rsidP="00E31465">
      <w:pPr>
        <w:spacing w:after="100" w:afterAutospacing="1"/>
      </w:pPr>
      <w:r>
        <w:t xml:space="preserve">MLBLA opened in fall 2019 with a projected enrollment of </w:t>
      </w:r>
      <w:r w:rsidR="004F37E1" w:rsidRPr="004F37E1">
        <w:t>120</w:t>
      </w:r>
      <w:r>
        <w:t xml:space="preserve"> pupils. MLBLA’s</w:t>
      </w:r>
      <w:r w:rsidRPr="00391D2E">
        <w:t xml:space="preserve"> 201</w:t>
      </w:r>
      <w:r>
        <w:t>9</w:t>
      </w:r>
      <w:r w:rsidRPr="00391D2E">
        <w:t>–</w:t>
      </w:r>
      <w:r>
        <w:t xml:space="preserve">20 </w:t>
      </w:r>
      <w:r w:rsidRPr="00391D2E">
        <w:t>second interim r</w:t>
      </w:r>
      <w:r>
        <w:t xml:space="preserve">eport indicates that MLBLA is projecting a positive ending fund </w:t>
      </w:r>
      <w:r w:rsidRPr="00391D2E">
        <w:t>balance of $</w:t>
      </w:r>
      <w:r>
        <w:t>34,246 with 2.30</w:t>
      </w:r>
      <w:r w:rsidRPr="00391D2E">
        <w:t xml:space="preserve"> percent </w:t>
      </w:r>
      <w:r w:rsidR="000F6628">
        <w:t xml:space="preserve">in </w:t>
      </w:r>
      <w:r w:rsidRPr="00391D2E">
        <w:t>reserve</w:t>
      </w:r>
      <w:r>
        <w:t>s</w:t>
      </w:r>
      <w:r w:rsidRPr="00391D2E">
        <w:t xml:space="preserve"> for FY 201</w:t>
      </w:r>
      <w:r>
        <w:t>9</w:t>
      </w:r>
      <w:r w:rsidRPr="00391D2E">
        <w:t>–</w:t>
      </w:r>
      <w:r>
        <w:t xml:space="preserve">20, which is below the recommended five percent in reserves outlined in the MOU between </w:t>
      </w:r>
      <w:r w:rsidR="00054876">
        <w:t>MLBLA</w:t>
      </w:r>
      <w:r>
        <w:t xml:space="preserve"> and the SBE.</w:t>
      </w:r>
    </w:p>
    <w:p w:rsidR="009019BE" w:rsidRDefault="009019BE" w:rsidP="00E31465">
      <w:pPr>
        <w:pStyle w:val="Heading4"/>
      </w:pPr>
      <w:r>
        <w:t>Charter School Update</w:t>
      </w:r>
    </w:p>
    <w:p w:rsidR="009019BE" w:rsidRDefault="009019BE" w:rsidP="00E31465">
      <w:pPr>
        <w:spacing w:after="100" w:afterAutospacing="1"/>
      </w:pPr>
      <w:r>
        <w:t>MLBLA voluntarily closed effective June 30, 2020.</w:t>
      </w:r>
    </w:p>
    <w:p w:rsidR="0001738B" w:rsidRDefault="00162FDB" w:rsidP="00E31465">
      <w:pPr>
        <w:pStyle w:val="Heading4"/>
      </w:pPr>
      <w:r>
        <w:t>California Department of Education Follow</w:t>
      </w:r>
      <w:r w:rsidR="000F6628">
        <w:t xml:space="preserve"> </w:t>
      </w:r>
      <w:r>
        <w:t>Up</w:t>
      </w:r>
    </w:p>
    <w:p w:rsidR="00162FDB" w:rsidRDefault="00162FDB" w:rsidP="00E31465">
      <w:pPr>
        <w:spacing w:after="100" w:afterAutospacing="1"/>
      </w:pPr>
      <w:r w:rsidRPr="00B21BCA">
        <w:t>On Ju</w:t>
      </w:r>
      <w:r>
        <w:t xml:space="preserve">ne 15, 2020, the </w:t>
      </w:r>
      <w:r w:rsidR="000F6628">
        <w:t>California Department of Education (CDE)</w:t>
      </w:r>
      <w:r>
        <w:t xml:space="preserve"> issued the MLBLA Board written notice to invoke closure procedures</w:t>
      </w:r>
      <w:r w:rsidR="000F6628">
        <w:t>, which included the following:</w:t>
      </w:r>
    </w:p>
    <w:p w:rsidR="00162FDB" w:rsidRPr="00587E6B" w:rsidRDefault="00162FDB" w:rsidP="000F6628">
      <w:pPr>
        <w:pStyle w:val="ListParagraph"/>
        <w:numPr>
          <w:ilvl w:val="0"/>
          <w:numId w:val="12"/>
        </w:numPr>
        <w:spacing w:after="240"/>
        <w:contextualSpacing w:val="0"/>
      </w:pPr>
      <w:r w:rsidRPr="000F6628">
        <w:rPr>
          <w:szCs w:val="23"/>
        </w:rPr>
        <w:t>Return grant funds and restricted categorical funds to their source in accordance with the terms of the grant or state and federal law as appropriate. Federal grants must be closed out, including the filing of the required Final Expenditure Reports and Final Performance Reports. Federal Forms 269 and 269a may apply if MLBLA was receiving funds directly from the U.S. Department of Education.</w:t>
      </w:r>
    </w:p>
    <w:p w:rsidR="00162FDB" w:rsidRPr="003D1042" w:rsidRDefault="00162FDB" w:rsidP="000F6628">
      <w:pPr>
        <w:pStyle w:val="ListParagraph"/>
        <w:numPr>
          <w:ilvl w:val="0"/>
          <w:numId w:val="12"/>
        </w:numPr>
        <w:spacing w:after="240"/>
        <w:contextualSpacing w:val="0"/>
      </w:pPr>
      <w:r w:rsidRPr="000F6628">
        <w:rPr>
          <w:szCs w:val="23"/>
        </w:rPr>
        <w:t>Close all financial records of the school effective June 30, 2020. Develop a plan to close out all financial records for FY 2019–20.</w:t>
      </w:r>
    </w:p>
    <w:p w:rsidR="00162FDB" w:rsidRPr="00587E6B" w:rsidRDefault="00162FDB" w:rsidP="000F6628">
      <w:pPr>
        <w:pStyle w:val="ListParagraph"/>
        <w:numPr>
          <w:ilvl w:val="0"/>
          <w:numId w:val="12"/>
        </w:numPr>
        <w:spacing w:after="240"/>
        <w:contextualSpacing w:val="0"/>
      </w:pPr>
      <w:r w:rsidRPr="000F6628">
        <w:rPr>
          <w:szCs w:val="23"/>
        </w:rPr>
        <w:t xml:space="preserve">Provide the CDE </w:t>
      </w:r>
      <w:r w:rsidR="000F6628">
        <w:rPr>
          <w:szCs w:val="23"/>
        </w:rPr>
        <w:t xml:space="preserve">with </w:t>
      </w:r>
      <w:r w:rsidRPr="000F6628">
        <w:rPr>
          <w:szCs w:val="23"/>
        </w:rPr>
        <w:t xml:space="preserve">a description of current and projected payroll and payroll benefits commitments through closure, including a list of each employee and their job duties, and a projection of the funds necessary </w:t>
      </w:r>
      <w:r w:rsidR="000F6628">
        <w:rPr>
          <w:szCs w:val="23"/>
        </w:rPr>
        <w:t>for the following</w:t>
      </w:r>
      <w:r w:rsidRPr="000F6628">
        <w:rPr>
          <w:szCs w:val="23"/>
        </w:rPr>
        <w:t>: (1) transition the pupils and records; (2) complete all administrative closure related tasks; and (3) complete contracts and grants.</w:t>
      </w:r>
    </w:p>
    <w:p w:rsidR="00162FDB" w:rsidRPr="00587E6B" w:rsidRDefault="00162FDB" w:rsidP="000F6628">
      <w:pPr>
        <w:pStyle w:val="ListParagraph"/>
        <w:numPr>
          <w:ilvl w:val="0"/>
          <w:numId w:val="12"/>
        </w:numPr>
        <w:spacing w:after="240"/>
        <w:contextualSpacing w:val="0"/>
      </w:pPr>
      <w:r w:rsidRPr="000F6628">
        <w:rPr>
          <w:szCs w:val="23"/>
        </w:rPr>
        <w:t>Provide the CDE with notice of any outstanding payments to staff and the method by which the school will make the payments.</w:t>
      </w:r>
    </w:p>
    <w:p w:rsidR="00162FDB" w:rsidRPr="003D1042" w:rsidRDefault="00162FDB" w:rsidP="000F6628">
      <w:pPr>
        <w:pStyle w:val="ListParagraph"/>
        <w:numPr>
          <w:ilvl w:val="0"/>
          <w:numId w:val="12"/>
        </w:numPr>
        <w:spacing w:after="240"/>
        <w:contextualSpacing w:val="0"/>
      </w:pPr>
      <w:r w:rsidRPr="000F6628">
        <w:rPr>
          <w:szCs w:val="23"/>
        </w:rPr>
        <w:t xml:space="preserve">Notify all funding sources (including charitable partners), all current and former contractors (such as a charter management organization, education </w:t>
      </w:r>
      <w:r w:rsidRPr="000F6628">
        <w:rPr>
          <w:szCs w:val="23"/>
        </w:rPr>
        <w:lastRenderedPageBreak/>
        <w:t>management organization, food service provider, instructional service provider, or transportation service provider), and lenders of MLBLA’s closure.</w:t>
      </w:r>
    </w:p>
    <w:p w:rsidR="00162FDB" w:rsidRPr="003D1042" w:rsidRDefault="00162FDB" w:rsidP="000F6628">
      <w:pPr>
        <w:pStyle w:val="ListParagraph"/>
        <w:numPr>
          <w:ilvl w:val="0"/>
          <w:numId w:val="12"/>
        </w:numPr>
        <w:spacing w:after="240"/>
        <w:contextualSpacing w:val="0"/>
      </w:pPr>
      <w:r w:rsidRPr="000F6628">
        <w:rPr>
          <w:szCs w:val="23"/>
        </w:rPr>
        <w:t>Notify the CDE in electronic format of all pending litigation to which MLBLA is a party to.</w:t>
      </w:r>
    </w:p>
    <w:p w:rsidR="00162FDB" w:rsidRPr="003D1042" w:rsidRDefault="00162FDB" w:rsidP="000F6628">
      <w:pPr>
        <w:pStyle w:val="ListParagraph"/>
        <w:numPr>
          <w:ilvl w:val="0"/>
          <w:numId w:val="12"/>
        </w:numPr>
        <w:spacing w:after="240"/>
        <w:contextualSpacing w:val="0"/>
      </w:pPr>
      <w:r w:rsidRPr="000F6628">
        <w:rPr>
          <w:szCs w:val="23"/>
        </w:rPr>
        <w:t>Prepare a comprehensive list of creditors and debtors and comprehensive inventory of all assets.</w:t>
      </w:r>
    </w:p>
    <w:p w:rsidR="00162FDB" w:rsidRPr="00DE7B37" w:rsidRDefault="00162FDB" w:rsidP="000F6628">
      <w:pPr>
        <w:pStyle w:val="ListParagraph"/>
        <w:numPr>
          <w:ilvl w:val="0"/>
          <w:numId w:val="12"/>
        </w:numPr>
        <w:spacing w:after="240"/>
        <w:contextualSpacing w:val="0"/>
      </w:pPr>
      <w:r w:rsidRPr="000F6628">
        <w:rPr>
          <w:szCs w:val="23"/>
        </w:rPr>
        <w:t xml:space="preserve">Prepare a plan for the proposed disposal of all property owned by MLBLA (and acquired with public funds) in order to maximize revenue in accordance with law; payment of any and all liabilities and the disbursement of any remaining assets of </w:t>
      </w:r>
      <w:r w:rsidR="00DE7B37" w:rsidRPr="000F6628">
        <w:rPr>
          <w:szCs w:val="23"/>
        </w:rPr>
        <w:t>MLBLA</w:t>
      </w:r>
      <w:r w:rsidRPr="000F6628">
        <w:rPr>
          <w:szCs w:val="23"/>
        </w:rPr>
        <w:t xml:space="preserve">; and liquidation of assets to pay off any and all outstanding liabilities, bearing in mind that assets paid for by state funds may be transferred in accordance with the nonprofit corporation’s bylaws to another public agency such as another charter school. Assets donated to </w:t>
      </w:r>
      <w:r w:rsidR="00DE7B37" w:rsidRPr="000F6628">
        <w:rPr>
          <w:szCs w:val="23"/>
        </w:rPr>
        <w:t>MLBLA</w:t>
      </w:r>
      <w:r w:rsidRPr="000F6628">
        <w:rPr>
          <w:szCs w:val="23"/>
        </w:rPr>
        <w:t xml:space="preserve"> may be returned to donors or disposed of in accordance with donor’s wishes. Net assets (after the payment of outstanding liabilities), if any, may be transferred to another public agency such as another charter school.</w:t>
      </w:r>
    </w:p>
    <w:p w:rsidR="00162FDB" w:rsidRPr="000F6628" w:rsidRDefault="00162FDB" w:rsidP="000F6628">
      <w:pPr>
        <w:pStyle w:val="ListParagraph"/>
        <w:numPr>
          <w:ilvl w:val="0"/>
          <w:numId w:val="12"/>
        </w:numPr>
        <w:spacing w:after="240"/>
        <w:contextualSpacing w:val="0"/>
        <w:rPr>
          <w:color w:val="FF0000"/>
        </w:rPr>
        <w:sectPr w:rsidR="00162FDB" w:rsidRPr="000F6628" w:rsidSect="00A34996">
          <w:pgSz w:w="12240" w:h="15840"/>
          <w:pgMar w:top="720" w:right="1440" w:bottom="1440" w:left="1440" w:header="720" w:footer="720" w:gutter="0"/>
          <w:cols w:space="720"/>
        </w:sectPr>
      </w:pPr>
      <w:r w:rsidRPr="000F6628">
        <w:rPr>
          <w:szCs w:val="23"/>
        </w:rPr>
        <w:t xml:space="preserve">Arrange for final closure audits to be paid for from the special reserve or bond revenue. The auditor engaged to perform the audit shall be from the list of approved school auditors maintained by the California State Controller’s Office and shall be approved by the CDE. The audit, at a minimum, shall determine the disposition of all assets and liabilities of </w:t>
      </w:r>
      <w:r w:rsidR="00DE7B37" w:rsidRPr="000F6628">
        <w:rPr>
          <w:szCs w:val="23"/>
        </w:rPr>
        <w:t>MLBLA</w:t>
      </w:r>
      <w:r w:rsidRPr="000F6628">
        <w:rPr>
          <w:szCs w:val="23"/>
        </w:rPr>
        <w:t xml:space="preserve"> and shall verify the </w:t>
      </w:r>
      <w:r w:rsidR="00DE7B37" w:rsidRPr="000F6628">
        <w:rPr>
          <w:szCs w:val="23"/>
        </w:rPr>
        <w:t>MLBLA</w:t>
      </w:r>
      <w:r w:rsidRPr="000F6628">
        <w:rPr>
          <w:szCs w:val="23"/>
        </w:rPr>
        <w:t xml:space="preserve">’s comprehensive list of creditors and debtors, and the amounts owed or owing, as well as verify </w:t>
      </w:r>
      <w:r w:rsidR="00DE7B37" w:rsidRPr="000F6628">
        <w:rPr>
          <w:szCs w:val="23"/>
        </w:rPr>
        <w:t>MLBLA</w:t>
      </w:r>
      <w:r w:rsidRPr="000F6628">
        <w:rPr>
          <w:szCs w:val="23"/>
        </w:rPr>
        <w:t>’s comprehensive list of all assets by source, noting any restrictions on each asset’s use.</w:t>
      </w:r>
    </w:p>
    <w:p w:rsidR="007310DB" w:rsidRPr="001D0D17" w:rsidRDefault="002670C7" w:rsidP="00A34996">
      <w:pPr>
        <w:spacing w:after="100" w:afterAutospacing="1"/>
        <w:rPr>
          <w:b/>
        </w:rPr>
      </w:pPr>
      <w:r>
        <w:rPr>
          <w:b/>
        </w:rPr>
        <w:lastRenderedPageBreak/>
        <w:t>Mary L. Booker Leadership Academy</w:t>
      </w:r>
      <w:r w:rsidR="007310DB" w:rsidRPr="001D0D17">
        <w:rPr>
          <w:b/>
        </w:rPr>
        <w:t xml:space="preserve"> Financial Highlights</w:t>
      </w:r>
    </w:p>
    <w:p w:rsidR="007310DB" w:rsidRDefault="007310DB" w:rsidP="00E31465">
      <w:r>
        <w:t>NA</w:t>
      </w:r>
      <w:r w:rsidR="00A34996">
        <w:t>:</w:t>
      </w:r>
      <w:r>
        <w:t xml:space="preserve"> Not Applicable</w:t>
      </w:r>
    </w:p>
    <w:tbl>
      <w:tblPr>
        <w:tblStyle w:val="GridTable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nancial Highlights"/>
        <w:tblDescription w:val="Financial Highlights Mary L. Booker Leadership Academy"/>
      </w:tblPr>
      <w:tblGrid>
        <w:gridCol w:w="1256"/>
        <w:gridCol w:w="1453"/>
        <w:gridCol w:w="1922"/>
        <w:gridCol w:w="1492"/>
        <w:gridCol w:w="1300"/>
        <w:gridCol w:w="901"/>
        <w:gridCol w:w="1684"/>
        <w:gridCol w:w="1523"/>
        <w:gridCol w:w="1419"/>
      </w:tblGrid>
      <w:tr w:rsidR="007310DB" w:rsidRPr="00407731" w:rsidTr="00A3499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85" w:type="pct"/>
            <w:tcBorders>
              <w:top w:val="none" w:sz="0" w:space="0" w:color="auto"/>
              <w:left w:val="none" w:sz="0" w:space="0" w:color="auto"/>
              <w:bottom w:val="none" w:sz="0" w:space="0" w:color="auto"/>
              <w:right w:val="none" w:sz="0" w:space="0" w:color="auto"/>
            </w:tcBorders>
            <w:vAlign w:val="center"/>
          </w:tcPr>
          <w:p w:rsidR="007310DB" w:rsidRPr="00407731" w:rsidRDefault="007310DB" w:rsidP="00E31465">
            <w:pPr>
              <w:jc w:val="center"/>
              <w:rPr>
                <w:rFonts w:cs="Arial"/>
                <w:b w:val="0"/>
              </w:rPr>
            </w:pPr>
            <w:r w:rsidRPr="00407731">
              <w:rPr>
                <w:rFonts w:cs="Arial"/>
              </w:rPr>
              <w:t>F</w:t>
            </w:r>
            <w:r w:rsidR="000F6628">
              <w:rPr>
                <w:rFonts w:cs="Arial"/>
              </w:rPr>
              <w:t xml:space="preserve">iscal Year </w:t>
            </w:r>
            <w:r w:rsidRPr="00407731">
              <w:rPr>
                <w:rFonts w:cs="Arial"/>
              </w:rPr>
              <w:t>/ Source</w:t>
            </w:r>
          </w:p>
        </w:tc>
        <w:tc>
          <w:tcPr>
            <w:tcW w:w="561" w:type="pct"/>
            <w:tcBorders>
              <w:top w:val="none" w:sz="0" w:space="0" w:color="auto"/>
              <w:left w:val="none" w:sz="0" w:space="0" w:color="auto"/>
              <w:bottom w:val="none" w:sz="0" w:space="0" w:color="auto"/>
              <w:right w:val="none" w:sz="0" w:space="0" w:color="auto"/>
            </w:tcBorders>
            <w:vAlign w:val="center"/>
          </w:tcPr>
          <w:p w:rsidR="007310DB" w:rsidRPr="00407731"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407731">
              <w:rPr>
                <w:rFonts w:cs="Arial"/>
              </w:rPr>
              <w:t>Total Revenues</w:t>
            </w:r>
          </w:p>
        </w:tc>
        <w:tc>
          <w:tcPr>
            <w:tcW w:w="742" w:type="pct"/>
            <w:tcBorders>
              <w:top w:val="none" w:sz="0" w:space="0" w:color="auto"/>
              <w:left w:val="none" w:sz="0" w:space="0" w:color="auto"/>
              <w:bottom w:val="none" w:sz="0" w:space="0" w:color="auto"/>
              <w:right w:val="none" w:sz="0" w:space="0" w:color="auto"/>
            </w:tcBorders>
            <w:vAlign w:val="center"/>
          </w:tcPr>
          <w:p w:rsidR="007310DB" w:rsidRPr="00407731"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407731">
              <w:rPr>
                <w:rFonts w:cs="Arial"/>
              </w:rPr>
              <w:t>Total Expenditures</w:t>
            </w:r>
          </w:p>
        </w:tc>
        <w:tc>
          <w:tcPr>
            <w:tcW w:w="576" w:type="pct"/>
            <w:tcBorders>
              <w:top w:val="none" w:sz="0" w:space="0" w:color="auto"/>
              <w:left w:val="none" w:sz="0" w:space="0" w:color="auto"/>
              <w:bottom w:val="none" w:sz="0" w:space="0" w:color="auto"/>
              <w:right w:val="none" w:sz="0" w:space="0" w:color="auto"/>
            </w:tcBorders>
            <w:vAlign w:val="center"/>
          </w:tcPr>
          <w:p w:rsidR="007310DB" w:rsidRPr="00407731"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407731">
              <w:rPr>
                <w:rFonts w:cs="Arial"/>
              </w:rPr>
              <w:t>Net Operating Surplus (Deficit)</w:t>
            </w:r>
          </w:p>
        </w:tc>
        <w:tc>
          <w:tcPr>
            <w:tcW w:w="502" w:type="pct"/>
            <w:tcBorders>
              <w:top w:val="none" w:sz="0" w:space="0" w:color="auto"/>
              <w:left w:val="none" w:sz="0" w:space="0" w:color="auto"/>
              <w:bottom w:val="none" w:sz="0" w:space="0" w:color="auto"/>
              <w:right w:val="none" w:sz="0" w:space="0" w:color="auto"/>
            </w:tcBorders>
            <w:vAlign w:val="center"/>
          </w:tcPr>
          <w:p w:rsidR="007310DB" w:rsidRPr="00407731"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407731">
              <w:rPr>
                <w:rFonts w:cs="Arial"/>
              </w:rPr>
              <w:t>Working Capital Ratio</w:t>
            </w:r>
          </w:p>
        </w:tc>
        <w:tc>
          <w:tcPr>
            <w:tcW w:w="348" w:type="pct"/>
            <w:tcBorders>
              <w:top w:val="none" w:sz="0" w:space="0" w:color="auto"/>
              <w:left w:val="none" w:sz="0" w:space="0" w:color="auto"/>
              <w:bottom w:val="none" w:sz="0" w:space="0" w:color="auto"/>
              <w:right w:val="none" w:sz="0" w:space="0" w:color="auto"/>
            </w:tcBorders>
            <w:vAlign w:val="center"/>
          </w:tcPr>
          <w:p w:rsidR="007310DB" w:rsidRPr="00407731"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407731">
              <w:rPr>
                <w:rFonts w:cs="Arial"/>
              </w:rPr>
              <w:t>Debt Ratio</w:t>
            </w:r>
          </w:p>
        </w:tc>
        <w:tc>
          <w:tcPr>
            <w:tcW w:w="650" w:type="pct"/>
            <w:tcBorders>
              <w:top w:val="none" w:sz="0" w:space="0" w:color="auto"/>
              <w:left w:val="none" w:sz="0" w:space="0" w:color="auto"/>
              <w:bottom w:val="none" w:sz="0" w:space="0" w:color="auto"/>
              <w:right w:val="none" w:sz="0" w:space="0" w:color="auto"/>
            </w:tcBorders>
            <w:vAlign w:val="center"/>
          </w:tcPr>
          <w:p w:rsidR="007310DB" w:rsidRPr="00407731"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407731">
              <w:rPr>
                <w:rFonts w:cs="Arial"/>
              </w:rPr>
              <w:t>Attendance Ratio</w:t>
            </w:r>
          </w:p>
        </w:tc>
        <w:tc>
          <w:tcPr>
            <w:tcW w:w="588" w:type="pct"/>
            <w:tcBorders>
              <w:top w:val="none" w:sz="0" w:space="0" w:color="auto"/>
              <w:left w:val="none" w:sz="0" w:space="0" w:color="auto"/>
              <w:bottom w:val="none" w:sz="0" w:space="0" w:color="auto"/>
              <w:right w:val="none" w:sz="0" w:space="0" w:color="auto"/>
            </w:tcBorders>
            <w:vAlign w:val="center"/>
          </w:tcPr>
          <w:p w:rsidR="007310DB" w:rsidRPr="00407731"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407731">
              <w:rPr>
                <w:rFonts w:cs="Arial"/>
              </w:rPr>
              <w:t>Ending Fund Balance</w:t>
            </w:r>
          </w:p>
        </w:tc>
        <w:tc>
          <w:tcPr>
            <w:tcW w:w="548" w:type="pct"/>
            <w:tcBorders>
              <w:top w:val="none" w:sz="0" w:space="0" w:color="auto"/>
              <w:left w:val="none" w:sz="0" w:space="0" w:color="auto"/>
              <w:bottom w:val="none" w:sz="0" w:space="0" w:color="auto"/>
              <w:right w:val="none" w:sz="0" w:space="0" w:color="auto"/>
            </w:tcBorders>
            <w:vAlign w:val="center"/>
          </w:tcPr>
          <w:p w:rsidR="007310DB" w:rsidRPr="00407731"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407731">
              <w:rPr>
                <w:rFonts w:cs="Arial"/>
              </w:rPr>
              <w:t>Percent of Reserves</w:t>
            </w:r>
          </w:p>
        </w:tc>
      </w:tr>
      <w:tr w:rsidR="007310DB" w:rsidRPr="00407731" w:rsidTr="00A349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5" w:type="pct"/>
            <w:vAlign w:val="center"/>
          </w:tcPr>
          <w:p w:rsidR="007310DB" w:rsidRPr="00407731" w:rsidRDefault="007310DB" w:rsidP="00E31465">
            <w:pPr>
              <w:rPr>
                <w:rFonts w:cs="Arial"/>
              </w:rPr>
            </w:pPr>
            <w:r w:rsidRPr="00407731">
              <w:rPr>
                <w:rFonts w:cs="Arial"/>
              </w:rPr>
              <w:t>201</w:t>
            </w:r>
            <w:r>
              <w:rPr>
                <w:rFonts w:cs="Arial"/>
              </w:rPr>
              <w:t>8–19</w:t>
            </w:r>
            <w:r w:rsidRPr="00407731">
              <w:rPr>
                <w:rFonts w:cs="Arial"/>
              </w:rPr>
              <w:t xml:space="preserve"> Audit</w:t>
            </w:r>
          </w:p>
        </w:tc>
        <w:tc>
          <w:tcPr>
            <w:tcW w:w="561" w:type="pct"/>
            <w:vAlign w:val="center"/>
          </w:tcPr>
          <w:p w:rsidR="007310DB" w:rsidRPr="00407731"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NA</w:t>
            </w:r>
          </w:p>
        </w:tc>
        <w:tc>
          <w:tcPr>
            <w:tcW w:w="742" w:type="pct"/>
            <w:vAlign w:val="center"/>
          </w:tcPr>
          <w:p w:rsidR="007310DB" w:rsidRPr="00407731"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NA</w:t>
            </w:r>
          </w:p>
        </w:tc>
        <w:tc>
          <w:tcPr>
            <w:tcW w:w="576" w:type="pct"/>
            <w:vAlign w:val="center"/>
          </w:tcPr>
          <w:p w:rsidR="007310DB" w:rsidRPr="00407731"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NA</w:t>
            </w:r>
          </w:p>
        </w:tc>
        <w:tc>
          <w:tcPr>
            <w:tcW w:w="502" w:type="pct"/>
            <w:vAlign w:val="center"/>
          </w:tcPr>
          <w:p w:rsidR="007310DB" w:rsidRPr="00407731"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NA</w:t>
            </w:r>
          </w:p>
        </w:tc>
        <w:tc>
          <w:tcPr>
            <w:tcW w:w="348" w:type="pct"/>
            <w:vAlign w:val="center"/>
          </w:tcPr>
          <w:p w:rsidR="007310DB" w:rsidRPr="00407731"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NA</w:t>
            </w:r>
          </w:p>
        </w:tc>
        <w:tc>
          <w:tcPr>
            <w:tcW w:w="650" w:type="pct"/>
            <w:vAlign w:val="center"/>
          </w:tcPr>
          <w:p w:rsidR="007310DB" w:rsidRPr="00407731"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NA</w:t>
            </w:r>
          </w:p>
        </w:tc>
        <w:tc>
          <w:tcPr>
            <w:tcW w:w="588" w:type="pct"/>
            <w:vAlign w:val="center"/>
          </w:tcPr>
          <w:p w:rsidR="007310DB" w:rsidRPr="00407731"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NA</w:t>
            </w:r>
          </w:p>
        </w:tc>
        <w:tc>
          <w:tcPr>
            <w:tcW w:w="548" w:type="pct"/>
            <w:vAlign w:val="center"/>
          </w:tcPr>
          <w:p w:rsidR="007310DB" w:rsidRPr="00407731"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NA</w:t>
            </w:r>
          </w:p>
        </w:tc>
      </w:tr>
      <w:tr w:rsidR="007310DB" w:rsidRPr="00407731" w:rsidTr="00A34996">
        <w:trPr>
          <w:cantSplit/>
        </w:trPr>
        <w:tc>
          <w:tcPr>
            <w:cnfStyle w:val="001000000000" w:firstRow="0" w:lastRow="0" w:firstColumn="1" w:lastColumn="0" w:oddVBand="0" w:evenVBand="0" w:oddHBand="0" w:evenHBand="0" w:firstRowFirstColumn="0" w:firstRowLastColumn="0" w:lastRowFirstColumn="0" w:lastRowLastColumn="0"/>
            <w:tcW w:w="485" w:type="pct"/>
            <w:vAlign w:val="center"/>
          </w:tcPr>
          <w:p w:rsidR="007310DB" w:rsidRPr="00407731" w:rsidRDefault="007310DB" w:rsidP="00E31465">
            <w:pPr>
              <w:rPr>
                <w:rFonts w:cs="Arial"/>
              </w:rPr>
            </w:pPr>
            <w:r w:rsidRPr="00407731">
              <w:rPr>
                <w:rFonts w:cs="Arial"/>
              </w:rPr>
              <w:t>201</w:t>
            </w:r>
            <w:r>
              <w:rPr>
                <w:rFonts w:cs="Arial"/>
              </w:rPr>
              <w:t>9–20</w:t>
            </w:r>
            <w:r w:rsidRPr="00407731">
              <w:rPr>
                <w:rFonts w:cs="Arial"/>
              </w:rPr>
              <w:t xml:space="preserve"> Budget</w:t>
            </w:r>
          </w:p>
        </w:tc>
        <w:tc>
          <w:tcPr>
            <w:tcW w:w="561" w:type="pct"/>
            <w:vAlign w:val="center"/>
          </w:tcPr>
          <w:p w:rsidR="007310DB" w:rsidRPr="00407731"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407731">
              <w:rPr>
                <w:rFonts w:cs="Arial"/>
              </w:rPr>
              <w:t>$</w:t>
            </w:r>
            <w:r w:rsidR="002670C7">
              <w:rPr>
                <w:rFonts w:cs="Arial"/>
              </w:rPr>
              <w:t>1,401,730</w:t>
            </w:r>
          </w:p>
        </w:tc>
        <w:tc>
          <w:tcPr>
            <w:tcW w:w="742" w:type="pct"/>
            <w:vAlign w:val="center"/>
          </w:tcPr>
          <w:p w:rsidR="007310DB" w:rsidRPr="00407731"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407731">
              <w:rPr>
                <w:rFonts w:cs="Arial"/>
              </w:rPr>
              <w:t>$</w:t>
            </w:r>
            <w:r w:rsidR="002670C7">
              <w:rPr>
                <w:rFonts w:cs="Arial"/>
              </w:rPr>
              <w:t>1,362,124</w:t>
            </w:r>
          </w:p>
        </w:tc>
        <w:tc>
          <w:tcPr>
            <w:tcW w:w="576" w:type="pct"/>
            <w:vAlign w:val="center"/>
          </w:tcPr>
          <w:p w:rsidR="007310DB" w:rsidRPr="00407731"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407731">
              <w:rPr>
                <w:rFonts w:cs="Arial"/>
              </w:rPr>
              <w:t>$</w:t>
            </w:r>
            <w:r w:rsidR="002670C7">
              <w:rPr>
                <w:rFonts w:cs="Arial"/>
              </w:rPr>
              <w:t>39,606</w:t>
            </w:r>
          </w:p>
        </w:tc>
        <w:tc>
          <w:tcPr>
            <w:tcW w:w="502" w:type="pct"/>
            <w:vAlign w:val="center"/>
          </w:tcPr>
          <w:p w:rsidR="007310DB" w:rsidRPr="00407731"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407731">
              <w:rPr>
                <w:rFonts w:cs="Arial"/>
              </w:rPr>
              <w:t>NA</w:t>
            </w:r>
          </w:p>
        </w:tc>
        <w:tc>
          <w:tcPr>
            <w:tcW w:w="348" w:type="pct"/>
            <w:vAlign w:val="center"/>
          </w:tcPr>
          <w:p w:rsidR="007310DB" w:rsidRPr="00407731"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407731">
              <w:rPr>
                <w:rFonts w:cs="Arial"/>
              </w:rPr>
              <w:t>NA</w:t>
            </w:r>
          </w:p>
        </w:tc>
        <w:tc>
          <w:tcPr>
            <w:tcW w:w="650" w:type="pct"/>
            <w:vAlign w:val="center"/>
          </w:tcPr>
          <w:p w:rsidR="007310DB" w:rsidRPr="00407731"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2670C7">
              <w:rPr>
                <w:rFonts w:cs="Arial"/>
              </w:rPr>
              <w:t>9</w:t>
            </w:r>
            <w:r w:rsidR="002670C7" w:rsidRPr="002670C7">
              <w:rPr>
                <w:rFonts w:cs="Arial"/>
              </w:rPr>
              <w:t>3</w:t>
            </w:r>
            <w:r w:rsidRPr="00407731">
              <w:rPr>
                <w:rFonts w:cs="Arial"/>
              </w:rPr>
              <w:t>%</w:t>
            </w:r>
          </w:p>
        </w:tc>
        <w:tc>
          <w:tcPr>
            <w:tcW w:w="588" w:type="pct"/>
            <w:vAlign w:val="center"/>
          </w:tcPr>
          <w:p w:rsidR="007310DB" w:rsidRPr="00407731"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407731">
              <w:rPr>
                <w:rFonts w:cs="Arial"/>
              </w:rPr>
              <w:t>$</w:t>
            </w:r>
            <w:r w:rsidR="002670C7">
              <w:rPr>
                <w:rFonts w:cs="Arial"/>
              </w:rPr>
              <w:t>237,146</w:t>
            </w:r>
          </w:p>
        </w:tc>
        <w:tc>
          <w:tcPr>
            <w:tcW w:w="548" w:type="pct"/>
            <w:vAlign w:val="center"/>
          </w:tcPr>
          <w:p w:rsidR="007310DB" w:rsidRPr="00407731"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w:t>
            </w:r>
            <w:r w:rsidR="002670C7">
              <w:rPr>
                <w:rFonts w:cs="Arial"/>
              </w:rPr>
              <w:t>7.41</w:t>
            </w:r>
            <w:r w:rsidRPr="00407731">
              <w:rPr>
                <w:rFonts w:cs="Arial"/>
              </w:rPr>
              <w:t>%</w:t>
            </w:r>
          </w:p>
        </w:tc>
      </w:tr>
      <w:tr w:rsidR="007310DB" w:rsidRPr="00407731" w:rsidTr="00A349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5" w:type="pct"/>
            <w:vAlign w:val="center"/>
          </w:tcPr>
          <w:p w:rsidR="007310DB" w:rsidRPr="00407731" w:rsidRDefault="007310DB" w:rsidP="00E31465">
            <w:pPr>
              <w:rPr>
                <w:rFonts w:cs="Arial"/>
              </w:rPr>
            </w:pPr>
            <w:r>
              <w:rPr>
                <w:rFonts w:cs="Arial"/>
              </w:rPr>
              <w:t>2019–20</w:t>
            </w:r>
            <w:r w:rsidRPr="00407731">
              <w:rPr>
                <w:rFonts w:cs="Arial"/>
              </w:rPr>
              <w:t xml:space="preserve"> 2</w:t>
            </w:r>
            <w:r w:rsidRPr="001D0D17">
              <w:rPr>
                <w:rFonts w:cs="Arial"/>
              </w:rPr>
              <w:t xml:space="preserve">nd </w:t>
            </w:r>
            <w:r w:rsidRPr="00407731">
              <w:rPr>
                <w:rFonts w:cs="Arial"/>
              </w:rPr>
              <w:t>Interim</w:t>
            </w:r>
          </w:p>
        </w:tc>
        <w:tc>
          <w:tcPr>
            <w:tcW w:w="561" w:type="pct"/>
            <w:vAlign w:val="center"/>
          </w:tcPr>
          <w:p w:rsidR="007310DB" w:rsidRPr="00407731"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407731">
              <w:rPr>
                <w:rFonts w:cs="Arial"/>
              </w:rPr>
              <w:t>$</w:t>
            </w:r>
            <w:r>
              <w:rPr>
                <w:rFonts w:cs="Arial"/>
              </w:rPr>
              <w:t>1,</w:t>
            </w:r>
            <w:r w:rsidR="002670C7">
              <w:rPr>
                <w:rFonts w:cs="Arial"/>
              </w:rPr>
              <w:t>357,166</w:t>
            </w:r>
          </w:p>
        </w:tc>
        <w:tc>
          <w:tcPr>
            <w:tcW w:w="742" w:type="pct"/>
            <w:vAlign w:val="center"/>
          </w:tcPr>
          <w:p w:rsidR="007310DB" w:rsidRPr="00407731"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407731">
              <w:rPr>
                <w:rFonts w:cs="Arial"/>
              </w:rPr>
              <w:t>$</w:t>
            </w:r>
            <w:r>
              <w:rPr>
                <w:rFonts w:cs="Arial"/>
              </w:rPr>
              <w:t>1,4</w:t>
            </w:r>
            <w:r w:rsidR="002670C7">
              <w:rPr>
                <w:rFonts w:cs="Arial"/>
              </w:rPr>
              <w:t>87,877</w:t>
            </w:r>
          </w:p>
        </w:tc>
        <w:tc>
          <w:tcPr>
            <w:tcW w:w="576" w:type="pct"/>
            <w:vAlign w:val="center"/>
          </w:tcPr>
          <w:p w:rsidR="007310DB" w:rsidRPr="00407731" w:rsidRDefault="002670C7"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w:t>
            </w:r>
            <w:r w:rsidR="007310DB" w:rsidRPr="00407731">
              <w:rPr>
                <w:rFonts w:cs="Arial"/>
              </w:rPr>
              <w:t>$</w:t>
            </w:r>
            <w:r>
              <w:rPr>
                <w:rFonts w:cs="Arial"/>
              </w:rPr>
              <w:t>130,711)</w:t>
            </w:r>
          </w:p>
        </w:tc>
        <w:tc>
          <w:tcPr>
            <w:tcW w:w="502" w:type="pct"/>
            <w:vAlign w:val="center"/>
          </w:tcPr>
          <w:p w:rsidR="007310DB" w:rsidRPr="00407731"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407731">
              <w:rPr>
                <w:rFonts w:cs="Arial"/>
              </w:rPr>
              <w:t>NA</w:t>
            </w:r>
          </w:p>
        </w:tc>
        <w:tc>
          <w:tcPr>
            <w:tcW w:w="348" w:type="pct"/>
            <w:vAlign w:val="center"/>
          </w:tcPr>
          <w:p w:rsidR="007310DB" w:rsidRPr="00A34996"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34996">
              <w:rPr>
                <w:rFonts w:cs="Arial"/>
              </w:rPr>
              <w:t>NA</w:t>
            </w:r>
          </w:p>
        </w:tc>
        <w:tc>
          <w:tcPr>
            <w:tcW w:w="650" w:type="pct"/>
            <w:vAlign w:val="center"/>
          </w:tcPr>
          <w:p w:rsidR="007310DB" w:rsidRPr="00A34996"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34996">
              <w:rPr>
                <w:rFonts w:cs="Arial"/>
              </w:rPr>
              <w:t>9</w:t>
            </w:r>
            <w:r w:rsidR="00054876" w:rsidRPr="00A34996">
              <w:rPr>
                <w:rFonts w:cs="Arial"/>
              </w:rPr>
              <w:t>0.05</w:t>
            </w:r>
            <w:r w:rsidRPr="00A34996">
              <w:rPr>
                <w:rFonts w:cs="Arial"/>
              </w:rPr>
              <w:t>%</w:t>
            </w:r>
          </w:p>
        </w:tc>
        <w:tc>
          <w:tcPr>
            <w:tcW w:w="588" w:type="pct"/>
            <w:vAlign w:val="center"/>
          </w:tcPr>
          <w:p w:rsidR="007310DB" w:rsidRPr="00A34996"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34996">
              <w:rPr>
                <w:rFonts w:cs="Arial"/>
              </w:rPr>
              <w:t>$</w:t>
            </w:r>
            <w:r w:rsidR="002670C7" w:rsidRPr="00A34996">
              <w:rPr>
                <w:rFonts w:cs="Arial"/>
              </w:rPr>
              <w:t>34,246</w:t>
            </w:r>
          </w:p>
        </w:tc>
        <w:tc>
          <w:tcPr>
            <w:tcW w:w="548" w:type="pct"/>
            <w:vAlign w:val="center"/>
          </w:tcPr>
          <w:p w:rsidR="007310DB" w:rsidRPr="00407731" w:rsidRDefault="002670C7"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2.30</w:t>
            </w:r>
            <w:r w:rsidR="007310DB" w:rsidRPr="00407731">
              <w:rPr>
                <w:rFonts w:cs="Arial"/>
              </w:rPr>
              <w:t>%</w:t>
            </w:r>
          </w:p>
        </w:tc>
      </w:tr>
    </w:tbl>
    <w:p w:rsidR="00D22B8F" w:rsidRDefault="00D22B8F" w:rsidP="00053A91">
      <w:pPr>
        <w:pStyle w:val="Heading2"/>
        <w:sectPr w:rsidR="00D22B8F" w:rsidSect="00A34996">
          <w:pgSz w:w="15840" w:h="12240" w:orient="landscape"/>
          <w:pgMar w:top="1440" w:right="1440" w:bottom="1440" w:left="1440" w:header="720" w:footer="720" w:gutter="0"/>
          <w:cols w:space="720"/>
          <w:docGrid w:linePitch="326"/>
        </w:sectPr>
      </w:pPr>
    </w:p>
    <w:p w:rsidR="0000439B" w:rsidRDefault="0000439B" w:rsidP="00053A91">
      <w:pPr>
        <w:pStyle w:val="Heading2"/>
      </w:pPr>
      <w:r>
        <w:lastRenderedPageBreak/>
        <w:t>Poor Financial Condition</w:t>
      </w:r>
    </w:p>
    <w:p w:rsidR="0000439B" w:rsidRDefault="0000439B" w:rsidP="00E31465">
      <w:pPr>
        <w:spacing w:after="100" w:afterAutospacing="1"/>
        <w:rPr>
          <w:rFonts w:cs="Arial"/>
        </w:rPr>
      </w:pPr>
      <w:r>
        <w:rPr>
          <w:rFonts w:cs="Arial"/>
        </w:rPr>
        <w:t>C</w:t>
      </w:r>
      <w:r w:rsidRPr="00BC16C2">
        <w:rPr>
          <w:rFonts w:cs="Arial"/>
        </w:rPr>
        <w:t>harter school</w:t>
      </w:r>
      <w:r>
        <w:rPr>
          <w:rFonts w:cs="Arial"/>
        </w:rPr>
        <w:t>s</w:t>
      </w:r>
      <w:r w:rsidRPr="00BC16C2">
        <w:rPr>
          <w:rFonts w:cs="Arial"/>
        </w:rPr>
        <w:t xml:space="preserve"> in poor financial condition </w:t>
      </w:r>
      <w:r>
        <w:rPr>
          <w:rFonts w:cs="Arial"/>
        </w:rPr>
        <w:t>are</w:t>
      </w:r>
      <w:r w:rsidRPr="00BC16C2">
        <w:rPr>
          <w:rFonts w:cs="Arial"/>
        </w:rPr>
        <w:t xml:space="preserve"> in danger of jeopardizing </w:t>
      </w:r>
      <w:r>
        <w:rPr>
          <w:rFonts w:cs="Arial"/>
        </w:rPr>
        <w:t>their</w:t>
      </w:r>
      <w:r w:rsidRPr="00BC16C2">
        <w:rPr>
          <w:rFonts w:cs="Arial"/>
        </w:rPr>
        <w:t xml:space="preserve"> fiscal operations going forward. Timely and appropriate action by the charter school</w:t>
      </w:r>
      <w:r>
        <w:rPr>
          <w:rFonts w:cs="Arial"/>
        </w:rPr>
        <w:t xml:space="preserve">’s </w:t>
      </w:r>
      <w:r w:rsidR="000F6628">
        <w:rPr>
          <w:rFonts w:cs="Arial"/>
        </w:rPr>
        <w:t>b</w:t>
      </w:r>
      <w:r>
        <w:rPr>
          <w:rFonts w:cs="Arial"/>
        </w:rPr>
        <w:t>oard is</w:t>
      </w:r>
      <w:r w:rsidRPr="00BC16C2">
        <w:rPr>
          <w:rFonts w:cs="Arial"/>
        </w:rPr>
        <w:t xml:space="preserve"> critical in addressing and mitigating the serious decline in financial condition. Specifically, </w:t>
      </w:r>
      <w:r>
        <w:rPr>
          <w:rFonts w:cs="Arial"/>
        </w:rPr>
        <w:t xml:space="preserve">charter schools in poor financial condition may have a </w:t>
      </w:r>
      <w:r w:rsidRPr="00BC16C2">
        <w:rPr>
          <w:rFonts w:cs="Arial"/>
        </w:rPr>
        <w:t>negative fund balance</w:t>
      </w:r>
      <w:r>
        <w:rPr>
          <w:rFonts w:cs="Arial"/>
        </w:rPr>
        <w:t xml:space="preserve">, no reserves, an inadequate cash balance, and a high debt level. </w:t>
      </w:r>
      <w:r w:rsidRPr="00BC16C2">
        <w:rPr>
          <w:rFonts w:cs="Arial"/>
        </w:rPr>
        <w:t xml:space="preserve">The </w:t>
      </w:r>
      <w:r>
        <w:rPr>
          <w:rFonts w:cs="Arial"/>
        </w:rPr>
        <w:t xml:space="preserve">SBE-authorized </w:t>
      </w:r>
      <w:r w:rsidRPr="00BC16C2">
        <w:rPr>
          <w:rFonts w:cs="Arial"/>
        </w:rPr>
        <w:t>charter school</w:t>
      </w:r>
      <w:r>
        <w:rPr>
          <w:rFonts w:cs="Arial"/>
        </w:rPr>
        <w:t>s in poor financial condition are</w:t>
      </w:r>
      <w:r w:rsidR="000F6628">
        <w:rPr>
          <w:rFonts w:cs="Arial"/>
        </w:rPr>
        <w:t xml:space="preserve"> as follows</w:t>
      </w:r>
      <w:r>
        <w:rPr>
          <w:rFonts w:cs="Arial"/>
        </w:rPr>
        <w:t>:</w:t>
      </w:r>
    </w:p>
    <w:p w:rsidR="00861A80" w:rsidRPr="002670C7" w:rsidRDefault="002670C7" w:rsidP="00E31465">
      <w:pPr>
        <w:pStyle w:val="ListParagraph"/>
        <w:numPr>
          <w:ilvl w:val="0"/>
          <w:numId w:val="2"/>
        </w:numPr>
        <w:shd w:val="clear" w:color="auto" w:fill="FFFFFF"/>
        <w:ind w:left="360" w:firstLine="0"/>
      </w:pPr>
      <w:r>
        <w:rPr>
          <w:rFonts w:cs="Arial"/>
          <w:color w:val="000000"/>
        </w:rPr>
        <w:t>High Tech Elementary Mesa</w:t>
      </w:r>
      <w:r w:rsidR="00E4143C">
        <w:rPr>
          <w:rFonts w:cs="Arial"/>
          <w:color w:val="000000"/>
        </w:rPr>
        <w:t xml:space="preserve"> (HTEM)</w:t>
      </w:r>
    </w:p>
    <w:p w:rsidR="002670C7" w:rsidRPr="002670C7" w:rsidRDefault="002670C7" w:rsidP="00E31465">
      <w:pPr>
        <w:pStyle w:val="ListParagraph"/>
        <w:numPr>
          <w:ilvl w:val="0"/>
          <w:numId w:val="2"/>
        </w:numPr>
        <w:shd w:val="clear" w:color="auto" w:fill="FFFFFF"/>
        <w:ind w:left="360" w:firstLine="0"/>
      </w:pPr>
      <w:r>
        <w:rPr>
          <w:rFonts w:cs="Arial"/>
        </w:rPr>
        <w:t>Olive Grove Charter – Lompoc</w:t>
      </w:r>
      <w:r w:rsidR="00975887">
        <w:rPr>
          <w:rFonts w:cs="Arial"/>
        </w:rPr>
        <w:t xml:space="preserve"> (</w:t>
      </w:r>
      <w:r w:rsidR="00975887">
        <w:t>OGCL</w:t>
      </w:r>
      <w:r w:rsidR="00975887">
        <w:t>)</w:t>
      </w:r>
    </w:p>
    <w:p w:rsidR="002670C7" w:rsidRPr="002670C7" w:rsidRDefault="002670C7" w:rsidP="00E31465">
      <w:pPr>
        <w:pStyle w:val="ListParagraph"/>
        <w:numPr>
          <w:ilvl w:val="0"/>
          <w:numId w:val="2"/>
        </w:numPr>
        <w:shd w:val="clear" w:color="auto" w:fill="FFFFFF"/>
        <w:ind w:left="360" w:firstLine="0"/>
      </w:pPr>
      <w:r>
        <w:rPr>
          <w:rFonts w:cs="Arial"/>
        </w:rPr>
        <w:t>Olive Grove Charter – Santa Barbara</w:t>
      </w:r>
      <w:r w:rsidR="00975887">
        <w:rPr>
          <w:rFonts w:cs="Arial"/>
        </w:rPr>
        <w:t xml:space="preserve"> (</w:t>
      </w:r>
      <w:r w:rsidR="00975887">
        <w:t>OGCSB</w:t>
      </w:r>
      <w:r w:rsidR="00975887">
        <w:t>)</w:t>
      </w:r>
    </w:p>
    <w:p w:rsidR="002670C7" w:rsidRPr="00861A80" w:rsidRDefault="002670C7" w:rsidP="00E31465">
      <w:pPr>
        <w:pStyle w:val="ListParagraph"/>
        <w:numPr>
          <w:ilvl w:val="0"/>
          <w:numId w:val="2"/>
        </w:numPr>
        <w:shd w:val="clear" w:color="auto" w:fill="FFFFFF"/>
        <w:ind w:left="360" w:firstLine="0"/>
      </w:pPr>
      <w:r>
        <w:rPr>
          <w:rFonts w:cs="Arial"/>
        </w:rPr>
        <w:t>Olive Grove Charter – Orcutt/Santa Maria</w:t>
      </w:r>
      <w:r w:rsidR="00975887">
        <w:rPr>
          <w:rFonts w:cs="Arial"/>
        </w:rPr>
        <w:t xml:space="preserve"> (</w:t>
      </w:r>
      <w:r w:rsidR="00975887">
        <w:t>OGCOSM</w:t>
      </w:r>
      <w:r w:rsidR="00975887">
        <w:t>)</w:t>
      </w:r>
    </w:p>
    <w:p w:rsidR="00861A80" w:rsidRPr="00714FE2" w:rsidRDefault="0000439B" w:rsidP="00E31465">
      <w:pPr>
        <w:pStyle w:val="ListParagraph"/>
        <w:numPr>
          <w:ilvl w:val="0"/>
          <w:numId w:val="2"/>
        </w:numPr>
        <w:shd w:val="clear" w:color="auto" w:fill="FFFFFF"/>
        <w:spacing w:after="100" w:afterAutospacing="1"/>
        <w:ind w:left="360" w:firstLine="0"/>
        <w:contextualSpacing w:val="0"/>
      </w:pPr>
      <w:proofErr w:type="spellStart"/>
      <w:r w:rsidRPr="00861A80">
        <w:rPr>
          <w:rFonts w:cs="Arial"/>
          <w:color w:val="000000"/>
        </w:rPr>
        <w:t>Prepa</w:t>
      </w:r>
      <w:proofErr w:type="spellEnd"/>
      <w:r w:rsidRPr="00861A80">
        <w:rPr>
          <w:rFonts w:cs="Arial"/>
          <w:color w:val="000000"/>
        </w:rPr>
        <w:t xml:space="preserve"> Tec Los Angeles High</w:t>
      </w:r>
      <w:r w:rsidR="00975887">
        <w:rPr>
          <w:rFonts w:cs="Arial"/>
          <w:color w:val="000000"/>
        </w:rPr>
        <w:t xml:space="preserve"> (</w:t>
      </w:r>
      <w:r w:rsidR="00975887" w:rsidRPr="00814B6C">
        <w:t>PTLAH</w:t>
      </w:r>
      <w:r w:rsidR="00975887">
        <w:t>)</w:t>
      </w:r>
    </w:p>
    <w:p w:rsidR="00D43FB8" w:rsidRPr="00EA651B" w:rsidRDefault="00796F8E" w:rsidP="00E31465">
      <w:pPr>
        <w:pStyle w:val="Heading3"/>
      </w:pPr>
      <w:r w:rsidRPr="00EA651B">
        <w:t>High Tech Elementary Mesa</w:t>
      </w:r>
    </w:p>
    <w:p w:rsidR="001D3CFD" w:rsidRPr="00EA651B" w:rsidRDefault="00EA651B" w:rsidP="00E4143C">
      <w:pPr>
        <w:pStyle w:val="ListParagraph"/>
        <w:numPr>
          <w:ilvl w:val="0"/>
          <w:numId w:val="8"/>
        </w:numPr>
        <w:spacing w:after="240"/>
      </w:pPr>
      <w:r w:rsidRPr="00EA651B">
        <w:t>Charter Term Expires: 6/30/2023</w:t>
      </w:r>
    </w:p>
    <w:p w:rsidR="001D3CFD" w:rsidRDefault="001D3CFD" w:rsidP="00E4143C">
      <w:pPr>
        <w:pStyle w:val="ListParagraph"/>
        <w:numPr>
          <w:ilvl w:val="0"/>
          <w:numId w:val="8"/>
        </w:numPr>
        <w:spacing w:after="240"/>
      </w:pPr>
      <w:r w:rsidRPr="00EA651B">
        <w:t xml:space="preserve">Grades </w:t>
      </w:r>
      <w:r>
        <w:t>Authorized to Serve: K</w:t>
      </w:r>
      <w:r w:rsidR="00A34996">
        <w:t>indergarten (K)</w:t>
      </w:r>
      <w:r>
        <w:t>–</w:t>
      </w:r>
      <w:r w:rsidR="00EA651B">
        <w:t>5</w:t>
      </w:r>
    </w:p>
    <w:p w:rsidR="001D3CFD" w:rsidRDefault="00714FE2" w:rsidP="00E4143C">
      <w:pPr>
        <w:pStyle w:val="ListParagraph"/>
        <w:numPr>
          <w:ilvl w:val="0"/>
          <w:numId w:val="8"/>
        </w:numPr>
        <w:spacing w:after="240"/>
      </w:pPr>
      <w:r>
        <w:t>201</w:t>
      </w:r>
      <w:r w:rsidR="00EA651B">
        <w:t>8</w:t>
      </w:r>
      <w:r>
        <w:t>–1</w:t>
      </w:r>
      <w:r w:rsidR="00EA651B">
        <w:t>9</w:t>
      </w:r>
      <w:r w:rsidR="00F147CD">
        <w:t xml:space="preserve"> P-</w:t>
      </w:r>
      <w:r w:rsidR="001D3CFD">
        <w:t xml:space="preserve">2 ADA: </w:t>
      </w:r>
      <w:r w:rsidR="00E4143C">
        <w:t xml:space="preserve">Not applicable, HTEM </w:t>
      </w:r>
      <w:r w:rsidR="00EA651B">
        <w:t>was not in operation</w:t>
      </w:r>
    </w:p>
    <w:p w:rsidR="00D43FB8" w:rsidRDefault="00714FE2" w:rsidP="00E4143C">
      <w:pPr>
        <w:pStyle w:val="ListParagraph"/>
        <w:numPr>
          <w:ilvl w:val="0"/>
          <w:numId w:val="8"/>
        </w:numPr>
        <w:spacing w:after="240"/>
      </w:pPr>
      <w:r>
        <w:t>201</w:t>
      </w:r>
      <w:r w:rsidR="00EA651B">
        <w:t>9</w:t>
      </w:r>
      <w:r>
        <w:t>–</w:t>
      </w:r>
      <w:r w:rsidR="00EA651B">
        <w:t>20</w:t>
      </w:r>
      <w:r w:rsidR="00D43FB8">
        <w:t xml:space="preserve"> P-2 ADA: </w:t>
      </w:r>
      <w:r w:rsidR="002A2142" w:rsidRPr="00BD7045">
        <w:t>197.42</w:t>
      </w:r>
    </w:p>
    <w:p w:rsidR="001D3CFD" w:rsidRDefault="001D3CFD" w:rsidP="00E31465">
      <w:pPr>
        <w:pStyle w:val="Heading4"/>
      </w:pPr>
      <w:r>
        <w:t>Fiscal Concerns</w:t>
      </w:r>
    </w:p>
    <w:p w:rsidR="004E2933" w:rsidRDefault="00EA651B" w:rsidP="00975887">
      <w:pPr>
        <w:spacing w:after="100" w:afterAutospacing="1"/>
      </w:pPr>
      <w:r>
        <w:t>HTEM opened in fall 2019 with a projected enrollment of</w:t>
      </w:r>
      <w:r w:rsidRPr="00E4143C">
        <w:t xml:space="preserve"> 120 pu</w:t>
      </w:r>
      <w:r>
        <w:t>pils. HTEM’s</w:t>
      </w:r>
      <w:r w:rsidRPr="00391D2E">
        <w:t xml:space="preserve"> 201</w:t>
      </w:r>
      <w:r>
        <w:t>9</w:t>
      </w:r>
      <w:r w:rsidRPr="00391D2E">
        <w:t>–</w:t>
      </w:r>
      <w:r>
        <w:t xml:space="preserve">20 </w:t>
      </w:r>
      <w:r w:rsidRPr="00391D2E">
        <w:t>second interim r</w:t>
      </w:r>
      <w:r>
        <w:t xml:space="preserve">eport indicates that HTEM is projecting a negative ending fund </w:t>
      </w:r>
      <w:r w:rsidRPr="00391D2E">
        <w:t>balance of $</w:t>
      </w:r>
      <w:r>
        <w:t>128,371 with zero</w:t>
      </w:r>
      <w:r w:rsidRPr="00391D2E">
        <w:t xml:space="preserve"> percent </w:t>
      </w:r>
      <w:r w:rsidR="00975887">
        <w:t xml:space="preserve">in </w:t>
      </w:r>
      <w:r w:rsidRPr="00391D2E">
        <w:t>reserve</w:t>
      </w:r>
      <w:r>
        <w:t>s</w:t>
      </w:r>
      <w:r w:rsidRPr="00391D2E">
        <w:t xml:space="preserve"> for FY 201</w:t>
      </w:r>
      <w:r>
        <w:t>9</w:t>
      </w:r>
      <w:r w:rsidRPr="00391D2E">
        <w:t>–</w:t>
      </w:r>
      <w:r>
        <w:t>20, which is below the recommended five percent in reserves outlined in the MOU between HTEM and the SBE.</w:t>
      </w:r>
    </w:p>
    <w:p w:rsidR="004E2933" w:rsidRDefault="004E2933" w:rsidP="00053A91">
      <w:pPr>
        <w:pStyle w:val="Heading2"/>
        <w:sectPr w:rsidR="004E2933" w:rsidSect="00A34996">
          <w:pgSz w:w="12240" w:h="15840"/>
          <w:pgMar w:top="720" w:right="1440" w:bottom="1440" w:left="1440" w:header="720" w:footer="720" w:gutter="0"/>
          <w:cols w:space="720"/>
        </w:sectPr>
      </w:pPr>
    </w:p>
    <w:p w:rsidR="001D3CFD" w:rsidRDefault="00EA651B" w:rsidP="00975887">
      <w:pPr>
        <w:spacing w:after="100" w:afterAutospacing="1"/>
        <w:rPr>
          <w:b/>
        </w:rPr>
      </w:pPr>
      <w:r>
        <w:rPr>
          <w:b/>
        </w:rPr>
        <w:lastRenderedPageBreak/>
        <w:t>High Tech Elementary Mesa</w:t>
      </w:r>
      <w:r w:rsidR="004E2933" w:rsidRPr="004E2933">
        <w:rPr>
          <w:b/>
        </w:rPr>
        <w:t xml:space="preserve"> </w:t>
      </w:r>
      <w:r w:rsidR="003321A8" w:rsidRPr="004E2933">
        <w:rPr>
          <w:b/>
        </w:rPr>
        <w:t>Financial Highlights</w:t>
      </w:r>
    </w:p>
    <w:p w:rsidR="00EA4DF4" w:rsidRPr="00EA4DF4" w:rsidRDefault="00EA4DF4" w:rsidP="00E31465">
      <w:r>
        <w:t>N</w:t>
      </w:r>
      <w:r w:rsidR="00EA651B">
        <w:t>A</w:t>
      </w:r>
      <w:r w:rsidR="00975887">
        <w:t xml:space="preserve">: </w:t>
      </w:r>
      <w:r>
        <w:t xml:space="preserve">Not </w:t>
      </w:r>
      <w:r w:rsidR="00EA651B">
        <w:t>Applicable</w:t>
      </w:r>
    </w:p>
    <w:tbl>
      <w:tblPr>
        <w:tblStyle w:val="GridTable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nancial Highlights"/>
        <w:tblDescription w:val="Financial Highlights High Tech Elementary Mesa"/>
      </w:tblPr>
      <w:tblGrid>
        <w:gridCol w:w="1169"/>
        <w:gridCol w:w="1547"/>
        <w:gridCol w:w="1880"/>
        <w:gridCol w:w="1505"/>
        <w:gridCol w:w="1308"/>
        <w:gridCol w:w="966"/>
        <w:gridCol w:w="1658"/>
        <w:gridCol w:w="1505"/>
        <w:gridCol w:w="1412"/>
      </w:tblGrid>
      <w:tr w:rsidR="003321A8" w:rsidRPr="004E2933" w:rsidTr="0097588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51" w:type="pct"/>
            <w:tcBorders>
              <w:top w:val="none" w:sz="0" w:space="0" w:color="auto"/>
              <w:left w:val="none" w:sz="0" w:space="0" w:color="auto"/>
              <w:bottom w:val="none" w:sz="0" w:space="0" w:color="auto"/>
              <w:right w:val="none" w:sz="0" w:space="0" w:color="auto"/>
            </w:tcBorders>
            <w:vAlign w:val="center"/>
          </w:tcPr>
          <w:p w:rsidR="003321A8" w:rsidRPr="004E2933" w:rsidRDefault="003321A8" w:rsidP="00E31465">
            <w:pPr>
              <w:jc w:val="center"/>
              <w:rPr>
                <w:rFonts w:cs="Arial"/>
                <w:b w:val="0"/>
              </w:rPr>
            </w:pPr>
            <w:r w:rsidRPr="004E2933">
              <w:rPr>
                <w:rFonts w:cs="Arial"/>
              </w:rPr>
              <w:t>F</w:t>
            </w:r>
            <w:r w:rsidR="00975887">
              <w:rPr>
                <w:rFonts w:cs="Arial"/>
              </w:rPr>
              <w:t>iscal Year</w:t>
            </w:r>
            <w:r w:rsidRPr="004E2933">
              <w:rPr>
                <w:rFonts w:cs="Arial"/>
              </w:rPr>
              <w:t xml:space="preserve"> / Source</w:t>
            </w:r>
          </w:p>
        </w:tc>
        <w:tc>
          <w:tcPr>
            <w:tcW w:w="597" w:type="pct"/>
            <w:tcBorders>
              <w:top w:val="none" w:sz="0" w:space="0" w:color="auto"/>
              <w:left w:val="none" w:sz="0" w:space="0" w:color="auto"/>
              <w:bottom w:val="none" w:sz="0" w:space="0" w:color="auto"/>
              <w:right w:val="none" w:sz="0" w:space="0" w:color="auto"/>
            </w:tcBorders>
            <w:vAlign w:val="center"/>
          </w:tcPr>
          <w:p w:rsidR="003321A8" w:rsidRPr="004E2933" w:rsidRDefault="003321A8"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4E2933">
              <w:rPr>
                <w:rFonts w:cs="Arial"/>
              </w:rPr>
              <w:t>Total Revenues</w:t>
            </w:r>
          </w:p>
        </w:tc>
        <w:tc>
          <w:tcPr>
            <w:tcW w:w="726" w:type="pct"/>
            <w:tcBorders>
              <w:top w:val="none" w:sz="0" w:space="0" w:color="auto"/>
              <w:left w:val="none" w:sz="0" w:space="0" w:color="auto"/>
              <w:bottom w:val="none" w:sz="0" w:space="0" w:color="auto"/>
              <w:right w:val="none" w:sz="0" w:space="0" w:color="auto"/>
            </w:tcBorders>
            <w:vAlign w:val="center"/>
          </w:tcPr>
          <w:p w:rsidR="003321A8" w:rsidRPr="004E2933" w:rsidRDefault="003321A8"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4E2933">
              <w:rPr>
                <w:rFonts w:cs="Arial"/>
              </w:rPr>
              <w:t>Total Expenditures</w:t>
            </w:r>
          </w:p>
        </w:tc>
        <w:tc>
          <w:tcPr>
            <w:tcW w:w="581" w:type="pct"/>
            <w:tcBorders>
              <w:top w:val="none" w:sz="0" w:space="0" w:color="auto"/>
              <w:left w:val="none" w:sz="0" w:space="0" w:color="auto"/>
              <w:bottom w:val="none" w:sz="0" w:space="0" w:color="auto"/>
              <w:right w:val="none" w:sz="0" w:space="0" w:color="auto"/>
            </w:tcBorders>
            <w:vAlign w:val="center"/>
          </w:tcPr>
          <w:p w:rsidR="003321A8" w:rsidRPr="004E2933" w:rsidRDefault="003321A8"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4E2933">
              <w:rPr>
                <w:rFonts w:cs="Arial"/>
              </w:rPr>
              <w:t>Net Operating Surplus (Deficit)</w:t>
            </w:r>
          </w:p>
        </w:tc>
        <w:tc>
          <w:tcPr>
            <w:tcW w:w="505" w:type="pct"/>
            <w:tcBorders>
              <w:top w:val="none" w:sz="0" w:space="0" w:color="auto"/>
              <w:left w:val="none" w:sz="0" w:space="0" w:color="auto"/>
              <w:bottom w:val="none" w:sz="0" w:space="0" w:color="auto"/>
              <w:right w:val="none" w:sz="0" w:space="0" w:color="auto"/>
            </w:tcBorders>
            <w:vAlign w:val="center"/>
          </w:tcPr>
          <w:p w:rsidR="003321A8" w:rsidRPr="004E2933" w:rsidRDefault="003321A8"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4E2933">
              <w:rPr>
                <w:rFonts w:cs="Arial"/>
              </w:rPr>
              <w:t>Working Capital Ratio</w:t>
            </w:r>
          </w:p>
        </w:tc>
        <w:tc>
          <w:tcPr>
            <w:tcW w:w="373" w:type="pct"/>
            <w:tcBorders>
              <w:top w:val="none" w:sz="0" w:space="0" w:color="auto"/>
              <w:left w:val="none" w:sz="0" w:space="0" w:color="auto"/>
              <w:bottom w:val="none" w:sz="0" w:space="0" w:color="auto"/>
              <w:right w:val="none" w:sz="0" w:space="0" w:color="auto"/>
            </w:tcBorders>
            <w:vAlign w:val="center"/>
          </w:tcPr>
          <w:p w:rsidR="003321A8" w:rsidRPr="004E2933" w:rsidRDefault="003321A8"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4E2933">
              <w:rPr>
                <w:rFonts w:cs="Arial"/>
              </w:rPr>
              <w:t>Debt Ratio</w:t>
            </w:r>
          </w:p>
        </w:tc>
        <w:tc>
          <w:tcPr>
            <w:tcW w:w="640" w:type="pct"/>
            <w:tcBorders>
              <w:top w:val="none" w:sz="0" w:space="0" w:color="auto"/>
              <w:left w:val="none" w:sz="0" w:space="0" w:color="auto"/>
              <w:bottom w:val="none" w:sz="0" w:space="0" w:color="auto"/>
              <w:right w:val="none" w:sz="0" w:space="0" w:color="auto"/>
            </w:tcBorders>
            <w:vAlign w:val="center"/>
          </w:tcPr>
          <w:p w:rsidR="003321A8" w:rsidRPr="004E2933" w:rsidRDefault="003321A8"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4E2933">
              <w:rPr>
                <w:rFonts w:cs="Arial"/>
              </w:rPr>
              <w:t>Attendance Ratio</w:t>
            </w:r>
          </w:p>
        </w:tc>
        <w:tc>
          <w:tcPr>
            <w:tcW w:w="581" w:type="pct"/>
            <w:tcBorders>
              <w:top w:val="none" w:sz="0" w:space="0" w:color="auto"/>
              <w:left w:val="none" w:sz="0" w:space="0" w:color="auto"/>
              <w:bottom w:val="none" w:sz="0" w:space="0" w:color="auto"/>
              <w:right w:val="none" w:sz="0" w:space="0" w:color="auto"/>
            </w:tcBorders>
            <w:vAlign w:val="center"/>
          </w:tcPr>
          <w:p w:rsidR="003321A8" w:rsidRPr="004E2933" w:rsidRDefault="003321A8"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4E2933">
              <w:rPr>
                <w:rFonts w:cs="Arial"/>
              </w:rPr>
              <w:t>Ending Fund Balance</w:t>
            </w:r>
          </w:p>
        </w:tc>
        <w:tc>
          <w:tcPr>
            <w:tcW w:w="545" w:type="pct"/>
            <w:tcBorders>
              <w:top w:val="none" w:sz="0" w:space="0" w:color="auto"/>
              <w:left w:val="none" w:sz="0" w:space="0" w:color="auto"/>
              <w:bottom w:val="none" w:sz="0" w:space="0" w:color="auto"/>
              <w:right w:val="none" w:sz="0" w:space="0" w:color="auto"/>
            </w:tcBorders>
            <w:vAlign w:val="center"/>
          </w:tcPr>
          <w:p w:rsidR="003321A8" w:rsidRPr="004E2933" w:rsidRDefault="003321A8"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4E2933">
              <w:rPr>
                <w:rFonts w:cs="Arial"/>
              </w:rPr>
              <w:t>Percent of Reserves</w:t>
            </w:r>
          </w:p>
        </w:tc>
      </w:tr>
      <w:tr w:rsidR="003321A8" w:rsidRPr="004E2933" w:rsidTr="009758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1" w:type="pct"/>
            <w:vAlign w:val="center"/>
          </w:tcPr>
          <w:p w:rsidR="003321A8" w:rsidRPr="004E2933" w:rsidRDefault="00EA4DF4" w:rsidP="00E31465">
            <w:pPr>
              <w:rPr>
                <w:rFonts w:cs="Arial"/>
              </w:rPr>
            </w:pPr>
            <w:r>
              <w:rPr>
                <w:rFonts w:cs="Arial"/>
              </w:rPr>
              <w:t>201</w:t>
            </w:r>
            <w:r w:rsidR="00EA651B">
              <w:rPr>
                <w:rFonts w:cs="Arial"/>
              </w:rPr>
              <w:t>8</w:t>
            </w:r>
            <w:r>
              <w:rPr>
                <w:rFonts w:cs="Arial"/>
              </w:rPr>
              <w:t>–1</w:t>
            </w:r>
            <w:r w:rsidR="00EA651B">
              <w:rPr>
                <w:rFonts w:cs="Arial"/>
              </w:rPr>
              <w:t>9</w:t>
            </w:r>
            <w:r w:rsidR="003321A8" w:rsidRPr="004E2933">
              <w:rPr>
                <w:rFonts w:cs="Arial"/>
              </w:rPr>
              <w:t xml:space="preserve"> Audit</w:t>
            </w:r>
          </w:p>
        </w:tc>
        <w:tc>
          <w:tcPr>
            <w:tcW w:w="597" w:type="pct"/>
            <w:vAlign w:val="center"/>
          </w:tcPr>
          <w:p w:rsidR="003321A8" w:rsidRPr="004E2933" w:rsidRDefault="004E5904"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4E2933">
              <w:rPr>
                <w:rFonts w:cs="Arial"/>
              </w:rPr>
              <w:t>N</w:t>
            </w:r>
            <w:r w:rsidR="00EA651B">
              <w:rPr>
                <w:rFonts w:cs="Arial"/>
              </w:rPr>
              <w:t>A</w:t>
            </w:r>
          </w:p>
        </w:tc>
        <w:tc>
          <w:tcPr>
            <w:tcW w:w="726" w:type="pct"/>
            <w:vAlign w:val="center"/>
          </w:tcPr>
          <w:p w:rsidR="003321A8" w:rsidRPr="004E2933" w:rsidRDefault="00EA4DF4"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N</w:t>
            </w:r>
            <w:r w:rsidR="00EA651B">
              <w:rPr>
                <w:rFonts w:cs="Arial"/>
              </w:rPr>
              <w:t>A</w:t>
            </w:r>
          </w:p>
        </w:tc>
        <w:tc>
          <w:tcPr>
            <w:tcW w:w="581" w:type="pct"/>
            <w:vAlign w:val="center"/>
          </w:tcPr>
          <w:p w:rsidR="003321A8" w:rsidRPr="004E2933" w:rsidRDefault="00EA4DF4"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N</w:t>
            </w:r>
            <w:r w:rsidR="00EA651B">
              <w:rPr>
                <w:rFonts w:cs="Arial"/>
              </w:rPr>
              <w:t>A</w:t>
            </w:r>
          </w:p>
        </w:tc>
        <w:tc>
          <w:tcPr>
            <w:tcW w:w="505" w:type="pct"/>
            <w:vAlign w:val="center"/>
          </w:tcPr>
          <w:p w:rsidR="003321A8" w:rsidRPr="004E2933" w:rsidRDefault="004E5904"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4E2933">
              <w:rPr>
                <w:rFonts w:cs="Arial"/>
              </w:rPr>
              <w:t>N</w:t>
            </w:r>
            <w:r w:rsidR="00EA651B">
              <w:rPr>
                <w:rFonts w:cs="Arial"/>
              </w:rPr>
              <w:t>A</w:t>
            </w:r>
          </w:p>
        </w:tc>
        <w:tc>
          <w:tcPr>
            <w:tcW w:w="373" w:type="pct"/>
            <w:vAlign w:val="center"/>
          </w:tcPr>
          <w:p w:rsidR="003321A8" w:rsidRPr="004E2933" w:rsidRDefault="00EA4DF4"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N</w:t>
            </w:r>
            <w:r w:rsidR="00EA651B">
              <w:rPr>
                <w:rFonts w:cs="Arial"/>
              </w:rPr>
              <w:t>A</w:t>
            </w:r>
          </w:p>
        </w:tc>
        <w:tc>
          <w:tcPr>
            <w:tcW w:w="640" w:type="pct"/>
            <w:vAlign w:val="center"/>
          </w:tcPr>
          <w:p w:rsidR="003321A8" w:rsidRPr="004E2933" w:rsidRDefault="00087FB6"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4E2933">
              <w:rPr>
                <w:rFonts w:cs="Arial"/>
              </w:rPr>
              <w:t>N</w:t>
            </w:r>
            <w:r w:rsidR="00EA651B">
              <w:rPr>
                <w:rFonts w:cs="Arial"/>
              </w:rPr>
              <w:t>A</w:t>
            </w:r>
          </w:p>
        </w:tc>
        <w:tc>
          <w:tcPr>
            <w:tcW w:w="581" w:type="pct"/>
            <w:vAlign w:val="center"/>
          </w:tcPr>
          <w:p w:rsidR="003321A8" w:rsidRPr="004E2933" w:rsidRDefault="00EA4DF4"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N</w:t>
            </w:r>
            <w:r w:rsidR="00EA651B">
              <w:rPr>
                <w:rFonts w:cs="Arial"/>
              </w:rPr>
              <w:t>A</w:t>
            </w:r>
          </w:p>
        </w:tc>
        <w:tc>
          <w:tcPr>
            <w:tcW w:w="545" w:type="pct"/>
            <w:vAlign w:val="center"/>
          </w:tcPr>
          <w:p w:rsidR="003321A8" w:rsidRPr="004E2933" w:rsidRDefault="00EA4DF4"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N</w:t>
            </w:r>
            <w:r w:rsidR="00EA651B">
              <w:rPr>
                <w:rFonts w:cs="Arial"/>
              </w:rPr>
              <w:t>A</w:t>
            </w:r>
          </w:p>
        </w:tc>
      </w:tr>
      <w:tr w:rsidR="003321A8" w:rsidRPr="004E2933" w:rsidTr="00975887">
        <w:trPr>
          <w:cantSplit/>
        </w:trPr>
        <w:tc>
          <w:tcPr>
            <w:cnfStyle w:val="001000000000" w:firstRow="0" w:lastRow="0" w:firstColumn="1" w:lastColumn="0" w:oddVBand="0" w:evenVBand="0" w:oddHBand="0" w:evenHBand="0" w:firstRowFirstColumn="0" w:firstRowLastColumn="0" w:lastRowFirstColumn="0" w:lastRowLastColumn="0"/>
            <w:tcW w:w="451" w:type="pct"/>
            <w:vAlign w:val="center"/>
          </w:tcPr>
          <w:p w:rsidR="003321A8" w:rsidRPr="004E2933" w:rsidRDefault="003321A8" w:rsidP="00E31465">
            <w:pPr>
              <w:rPr>
                <w:rFonts w:cs="Arial"/>
              </w:rPr>
            </w:pPr>
            <w:r w:rsidRPr="004E2933">
              <w:rPr>
                <w:rFonts w:cs="Arial"/>
              </w:rPr>
              <w:t>201</w:t>
            </w:r>
            <w:r w:rsidR="00EA651B">
              <w:rPr>
                <w:rFonts w:cs="Arial"/>
              </w:rPr>
              <w:t>9</w:t>
            </w:r>
            <w:r w:rsidR="00EA4DF4">
              <w:rPr>
                <w:rFonts w:cs="Arial"/>
              </w:rPr>
              <w:t>–</w:t>
            </w:r>
            <w:r w:rsidR="00EA651B">
              <w:rPr>
                <w:rFonts w:cs="Arial"/>
              </w:rPr>
              <w:t>20</w:t>
            </w:r>
            <w:r w:rsidRPr="004E2933">
              <w:rPr>
                <w:rFonts w:cs="Arial"/>
              </w:rPr>
              <w:t xml:space="preserve"> Budget</w:t>
            </w:r>
          </w:p>
        </w:tc>
        <w:tc>
          <w:tcPr>
            <w:tcW w:w="597" w:type="pct"/>
            <w:vAlign w:val="center"/>
          </w:tcPr>
          <w:p w:rsidR="003321A8" w:rsidRPr="004E2933" w:rsidRDefault="00EA4DF4" w:rsidP="00E31465">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r w:rsidR="00990D3E">
              <w:rPr>
                <w:rFonts w:cs="Arial"/>
              </w:rPr>
              <w:t>2,346,850</w:t>
            </w:r>
          </w:p>
        </w:tc>
        <w:tc>
          <w:tcPr>
            <w:tcW w:w="726" w:type="pct"/>
            <w:vAlign w:val="center"/>
          </w:tcPr>
          <w:p w:rsidR="003321A8" w:rsidRPr="004E2933" w:rsidRDefault="00EA4DF4" w:rsidP="00E31465">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r w:rsidR="00990D3E">
              <w:rPr>
                <w:rFonts w:cs="Arial"/>
              </w:rPr>
              <w:t>2,299,913</w:t>
            </w:r>
          </w:p>
        </w:tc>
        <w:tc>
          <w:tcPr>
            <w:tcW w:w="581" w:type="pct"/>
            <w:vAlign w:val="center"/>
          </w:tcPr>
          <w:p w:rsidR="003321A8" w:rsidRPr="004E2933" w:rsidRDefault="00EA4DF4" w:rsidP="00E31465">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r w:rsidR="00990D3E">
              <w:rPr>
                <w:rFonts w:cs="Arial"/>
              </w:rPr>
              <w:t>46,937</w:t>
            </w:r>
          </w:p>
        </w:tc>
        <w:tc>
          <w:tcPr>
            <w:tcW w:w="505" w:type="pct"/>
            <w:vAlign w:val="center"/>
          </w:tcPr>
          <w:p w:rsidR="003321A8" w:rsidRPr="004E2933" w:rsidRDefault="003321A8"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4E2933">
              <w:rPr>
                <w:rFonts w:cs="Arial"/>
              </w:rPr>
              <w:t>NA</w:t>
            </w:r>
          </w:p>
        </w:tc>
        <w:tc>
          <w:tcPr>
            <w:tcW w:w="373" w:type="pct"/>
            <w:vAlign w:val="center"/>
          </w:tcPr>
          <w:p w:rsidR="003321A8" w:rsidRPr="004E2933" w:rsidRDefault="003321A8"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4E2933">
              <w:rPr>
                <w:rFonts w:cs="Arial"/>
              </w:rPr>
              <w:t>NA</w:t>
            </w:r>
          </w:p>
        </w:tc>
        <w:tc>
          <w:tcPr>
            <w:tcW w:w="640" w:type="pct"/>
            <w:vAlign w:val="center"/>
          </w:tcPr>
          <w:p w:rsidR="003321A8" w:rsidRPr="004E2933" w:rsidRDefault="00990D3E"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2D0818">
              <w:rPr>
                <w:rFonts w:cs="Arial"/>
              </w:rPr>
              <w:t>9</w:t>
            </w:r>
            <w:r w:rsidR="002D0818" w:rsidRPr="002D0818">
              <w:rPr>
                <w:rFonts w:cs="Arial"/>
              </w:rPr>
              <w:t>4.59</w:t>
            </w:r>
            <w:r w:rsidRPr="002D0818">
              <w:rPr>
                <w:rFonts w:cs="Arial"/>
              </w:rPr>
              <w:t>%</w:t>
            </w:r>
          </w:p>
        </w:tc>
        <w:tc>
          <w:tcPr>
            <w:tcW w:w="581" w:type="pct"/>
            <w:vAlign w:val="center"/>
          </w:tcPr>
          <w:p w:rsidR="003321A8" w:rsidRPr="004E2933" w:rsidRDefault="00EA4DF4" w:rsidP="00E31465">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r w:rsidR="00990D3E">
              <w:rPr>
                <w:rFonts w:cs="Arial"/>
              </w:rPr>
              <w:t>46,937</w:t>
            </w:r>
          </w:p>
        </w:tc>
        <w:tc>
          <w:tcPr>
            <w:tcW w:w="545" w:type="pct"/>
            <w:vAlign w:val="center"/>
          </w:tcPr>
          <w:p w:rsidR="003321A8" w:rsidRPr="004E2933" w:rsidRDefault="00990D3E" w:rsidP="00E31465">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2.04</w:t>
            </w:r>
            <w:r w:rsidR="00EA4DF4">
              <w:rPr>
                <w:rFonts w:cs="Arial"/>
              </w:rPr>
              <w:t>%</w:t>
            </w:r>
          </w:p>
        </w:tc>
      </w:tr>
      <w:tr w:rsidR="003321A8" w:rsidRPr="004E2933" w:rsidTr="009758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1" w:type="pct"/>
            <w:vAlign w:val="center"/>
          </w:tcPr>
          <w:p w:rsidR="003321A8" w:rsidRPr="004E2933" w:rsidRDefault="00EA4DF4" w:rsidP="00E31465">
            <w:pPr>
              <w:rPr>
                <w:rFonts w:cs="Arial"/>
              </w:rPr>
            </w:pPr>
            <w:r>
              <w:rPr>
                <w:rFonts w:cs="Arial"/>
              </w:rPr>
              <w:t>201</w:t>
            </w:r>
            <w:r w:rsidR="00EA651B">
              <w:rPr>
                <w:rFonts w:cs="Arial"/>
              </w:rPr>
              <w:t>9</w:t>
            </w:r>
            <w:r>
              <w:rPr>
                <w:rFonts w:cs="Arial"/>
              </w:rPr>
              <w:t>–</w:t>
            </w:r>
            <w:r w:rsidR="00EA651B">
              <w:rPr>
                <w:rFonts w:cs="Arial"/>
              </w:rPr>
              <w:t>20</w:t>
            </w:r>
            <w:r w:rsidR="003321A8" w:rsidRPr="004E2933">
              <w:rPr>
                <w:rFonts w:cs="Arial"/>
              </w:rPr>
              <w:t xml:space="preserve"> 2nd Interim</w:t>
            </w:r>
          </w:p>
        </w:tc>
        <w:tc>
          <w:tcPr>
            <w:tcW w:w="597" w:type="pct"/>
            <w:vAlign w:val="center"/>
          </w:tcPr>
          <w:p w:rsidR="003321A8" w:rsidRPr="004E2933" w:rsidRDefault="00990D3E"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$2,389,718</w:t>
            </w:r>
          </w:p>
        </w:tc>
        <w:tc>
          <w:tcPr>
            <w:tcW w:w="726" w:type="pct"/>
            <w:vAlign w:val="center"/>
          </w:tcPr>
          <w:p w:rsidR="003321A8" w:rsidRPr="004E2933" w:rsidRDefault="00990D3E"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$2,518,089</w:t>
            </w:r>
          </w:p>
        </w:tc>
        <w:tc>
          <w:tcPr>
            <w:tcW w:w="581" w:type="pct"/>
            <w:vAlign w:val="center"/>
          </w:tcPr>
          <w:p w:rsidR="003321A8" w:rsidRPr="004E2933" w:rsidRDefault="00990D3E"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($128,371)</w:t>
            </w:r>
          </w:p>
        </w:tc>
        <w:tc>
          <w:tcPr>
            <w:tcW w:w="505" w:type="pct"/>
            <w:vAlign w:val="center"/>
          </w:tcPr>
          <w:p w:rsidR="003321A8" w:rsidRPr="004E2933" w:rsidRDefault="003321A8"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4E2933">
              <w:rPr>
                <w:rFonts w:cs="Arial"/>
              </w:rPr>
              <w:t>NA</w:t>
            </w:r>
          </w:p>
        </w:tc>
        <w:tc>
          <w:tcPr>
            <w:tcW w:w="373" w:type="pct"/>
            <w:vAlign w:val="center"/>
          </w:tcPr>
          <w:p w:rsidR="003321A8" w:rsidRPr="004E2933" w:rsidRDefault="003321A8"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4E2933">
              <w:rPr>
                <w:rFonts w:cs="Arial"/>
              </w:rPr>
              <w:t>NA</w:t>
            </w:r>
          </w:p>
        </w:tc>
        <w:tc>
          <w:tcPr>
            <w:tcW w:w="640" w:type="pct"/>
            <w:vAlign w:val="center"/>
          </w:tcPr>
          <w:p w:rsidR="003321A8" w:rsidRPr="00A34996" w:rsidRDefault="00990D3E"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34996">
              <w:rPr>
                <w:rFonts w:cs="Arial"/>
              </w:rPr>
              <w:t>93</w:t>
            </w:r>
            <w:r w:rsidR="002D0818" w:rsidRPr="00A34996">
              <w:rPr>
                <w:rFonts w:cs="Arial"/>
              </w:rPr>
              <w:t>.12</w:t>
            </w:r>
            <w:r w:rsidRPr="00A34996">
              <w:rPr>
                <w:rFonts w:cs="Arial"/>
              </w:rPr>
              <w:t>%</w:t>
            </w:r>
          </w:p>
        </w:tc>
        <w:tc>
          <w:tcPr>
            <w:tcW w:w="581" w:type="pct"/>
            <w:vAlign w:val="center"/>
          </w:tcPr>
          <w:p w:rsidR="003321A8" w:rsidRPr="00A34996" w:rsidRDefault="00990D3E"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34996">
              <w:rPr>
                <w:rFonts w:cs="Arial"/>
              </w:rPr>
              <w:t>($128,371)</w:t>
            </w:r>
          </w:p>
        </w:tc>
        <w:tc>
          <w:tcPr>
            <w:tcW w:w="545" w:type="pct"/>
            <w:vAlign w:val="center"/>
          </w:tcPr>
          <w:p w:rsidR="003321A8" w:rsidRPr="004E2933" w:rsidRDefault="00990D3E"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0%</w:t>
            </w:r>
          </w:p>
        </w:tc>
      </w:tr>
    </w:tbl>
    <w:p w:rsidR="00087FB6" w:rsidRDefault="00087FB6" w:rsidP="00E31465">
      <w:pPr>
        <w:sectPr w:rsidR="00087FB6" w:rsidSect="00A34996">
          <w:pgSz w:w="15840" w:h="12240" w:orient="landscape"/>
          <w:pgMar w:top="1440" w:right="1440" w:bottom="1440" w:left="1440" w:header="720" w:footer="720" w:gutter="0"/>
          <w:cols w:space="720"/>
          <w:docGrid w:linePitch="326"/>
        </w:sectPr>
      </w:pPr>
    </w:p>
    <w:p w:rsidR="00BE5A48" w:rsidRDefault="00990D3E" w:rsidP="00975887">
      <w:pPr>
        <w:pStyle w:val="Heading3"/>
      </w:pPr>
      <w:r>
        <w:lastRenderedPageBreak/>
        <w:t>Olive Grove</w:t>
      </w:r>
      <w:r w:rsidRPr="00990D3E">
        <w:rPr>
          <w:rFonts w:cs="Arial"/>
        </w:rPr>
        <w:t xml:space="preserve"> </w:t>
      </w:r>
      <w:r>
        <w:rPr>
          <w:rFonts w:cs="Arial"/>
        </w:rPr>
        <w:t>Charter – Lompoc</w:t>
      </w:r>
    </w:p>
    <w:p w:rsidR="00BE5A48" w:rsidRPr="00D270A8" w:rsidRDefault="00BE5A48" w:rsidP="00E31465">
      <w:pPr>
        <w:pStyle w:val="ListParagraph"/>
        <w:numPr>
          <w:ilvl w:val="0"/>
          <w:numId w:val="10"/>
        </w:numPr>
      </w:pPr>
      <w:r w:rsidRPr="00D270A8">
        <w:t>Charter Term Expires: 6/30/202</w:t>
      </w:r>
      <w:r w:rsidR="00990D3E">
        <w:t>3</w:t>
      </w:r>
    </w:p>
    <w:p w:rsidR="00BE5A48" w:rsidRPr="00D270A8" w:rsidRDefault="00BE5A48" w:rsidP="00E31465">
      <w:pPr>
        <w:pStyle w:val="ListParagraph"/>
        <w:numPr>
          <w:ilvl w:val="0"/>
          <w:numId w:val="10"/>
        </w:numPr>
      </w:pPr>
      <w:r w:rsidRPr="00D270A8">
        <w:t xml:space="preserve">Grades Authorized to Serve: </w:t>
      </w:r>
      <w:r w:rsidR="00990D3E">
        <w:t>K</w:t>
      </w:r>
      <w:r w:rsidRPr="00D270A8">
        <w:t>–12</w:t>
      </w:r>
    </w:p>
    <w:p w:rsidR="00BE5A48" w:rsidRPr="00D270A8" w:rsidRDefault="00AF22B1" w:rsidP="00E31465">
      <w:pPr>
        <w:pStyle w:val="ListParagraph"/>
        <w:numPr>
          <w:ilvl w:val="0"/>
          <w:numId w:val="10"/>
        </w:numPr>
      </w:pPr>
      <w:r w:rsidRPr="00D270A8">
        <w:t>201</w:t>
      </w:r>
      <w:r w:rsidR="00990D3E">
        <w:t>8</w:t>
      </w:r>
      <w:r w:rsidR="00EA4DF4">
        <w:t>–1</w:t>
      </w:r>
      <w:r w:rsidR="00990D3E">
        <w:t>9</w:t>
      </w:r>
      <w:r w:rsidRPr="00D270A8">
        <w:t xml:space="preserve"> P-</w:t>
      </w:r>
      <w:r w:rsidR="00BE5A48" w:rsidRPr="00D270A8">
        <w:t xml:space="preserve">2 ADA: </w:t>
      </w:r>
      <w:r w:rsidR="00990D3E">
        <w:t>129.74</w:t>
      </w:r>
    </w:p>
    <w:p w:rsidR="001108ED" w:rsidRPr="00D270A8" w:rsidRDefault="00EA4DF4" w:rsidP="00E31465">
      <w:pPr>
        <w:pStyle w:val="ListParagraph"/>
        <w:numPr>
          <w:ilvl w:val="0"/>
          <w:numId w:val="10"/>
        </w:numPr>
        <w:spacing w:after="100" w:afterAutospacing="1"/>
      </w:pPr>
      <w:r>
        <w:t>201</w:t>
      </w:r>
      <w:r w:rsidR="00990D3E">
        <w:t>9</w:t>
      </w:r>
      <w:r>
        <w:t>–</w:t>
      </w:r>
      <w:r w:rsidR="00990D3E">
        <w:t>20</w:t>
      </w:r>
      <w:r w:rsidR="00AF22B1" w:rsidRPr="00D270A8">
        <w:t xml:space="preserve"> P-</w:t>
      </w:r>
      <w:r w:rsidR="001108ED" w:rsidRPr="00D270A8">
        <w:t xml:space="preserve">2 ADA: </w:t>
      </w:r>
      <w:r w:rsidR="00990D3E" w:rsidRPr="002D0818">
        <w:t>1</w:t>
      </w:r>
      <w:r w:rsidR="002D0818" w:rsidRPr="002D0818">
        <w:t>28.62</w:t>
      </w:r>
    </w:p>
    <w:p w:rsidR="00BE5A48" w:rsidRDefault="00BE5A48" w:rsidP="00E31465">
      <w:pPr>
        <w:pStyle w:val="Heading4"/>
      </w:pPr>
      <w:r>
        <w:t>Fiscal Concerns</w:t>
      </w:r>
    </w:p>
    <w:p w:rsidR="00BE5A48" w:rsidRDefault="009C325C" w:rsidP="00E31465">
      <w:pPr>
        <w:spacing w:after="100" w:afterAutospacing="1"/>
      </w:pPr>
      <w:r>
        <w:t>The CDE found</w:t>
      </w:r>
      <w:r w:rsidR="00975887">
        <w:t xml:space="preserve"> that</w:t>
      </w:r>
      <w:r>
        <w:t xml:space="preserve"> </w:t>
      </w:r>
      <w:r w:rsidR="00990D3E">
        <w:t>OGCL’s</w:t>
      </w:r>
      <w:r w:rsidR="00990D3E" w:rsidRPr="00391D2E">
        <w:t xml:space="preserve"> 201</w:t>
      </w:r>
      <w:r w:rsidR="00990D3E">
        <w:t>9</w:t>
      </w:r>
      <w:r w:rsidR="00990D3E" w:rsidRPr="00391D2E">
        <w:t>–</w:t>
      </w:r>
      <w:r w:rsidR="00990D3E">
        <w:t xml:space="preserve">20 </w:t>
      </w:r>
      <w:r w:rsidR="00990D3E" w:rsidRPr="00391D2E">
        <w:t>second interim r</w:t>
      </w:r>
      <w:r w:rsidR="00990D3E">
        <w:t xml:space="preserve">eport </w:t>
      </w:r>
      <w:r w:rsidR="00975887">
        <w:t>indicates</w:t>
      </w:r>
      <w:r w:rsidR="00990D3E">
        <w:t xml:space="preserve"> that OGCL is projecting a negative ending fund </w:t>
      </w:r>
      <w:r w:rsidR="00990D3E" w:rsidRPr="00391D2E">
        <w:t>balance of $</w:t>
      </w:r>
      <w:r w:rsidR="007D74C0">
        <w:t>17,732</w:t>
      </w:r>
      <w:r w:rsidR="00990D3E">
        <w:t xml:space="preserve"> with zero</w:t>
      </w:r>
      <w:r w:rsidR="00990D3E" w:rsidRPr="00391D2E">
        <w:t xml:space="preserve"> percent </w:t>
      </w:r>
      <w:r w:rsidR="00975887">
        <w:t xml:space="preserve">in </w:t>
      </w:r>
      <w:r w:rsidR="00990D3E" w:rsidRPr="00391D2E">
        <w:t>reserve</w:t>
      </w:r>
      <w:r w:rsidR="00990D3E">
        <w:t>s</w:t>
      </w:r>
      <w:r w:rsidR="00990D3E" w:rsidRPr="00391D2E">
        <w:t xml:space="preserve"> for FY 201</w:t>
      </w:r>
      <w:r w:rsidR="00990D3E">
        <w:t>9</w:t>
      </w:r>
      <w:r w:rsidR="00990D3E" w:rsidRPr="00391D2E">
        <w:t>–</w:t>
      </w:r>
      <w:r w:rsidR="00990D3E">
        <w:t xml:space="preserve">20, which is below the recommended five percent in reserves outlined in the MOU between </w:t>
      </w:r>
      <w:r w:rsidR="009019BE">
        <w:t>OGCL</w:t>
      </w:r>
      <w:r w:rsidR="00990D3E">
        <w:t xml:space="preserve"> and the SBE.</w:t>
      </w:r>
    </w:p>
    <w:p w:rsidR="00975887" w:rsidRDefault="00975887" w:rsidP="00975887">
      <w:pPr>
        <w:sectPr w:rsidR="00975887" w:rsidSect="00A34996">
          <w:pgSz w:w="12240" w:h="15840"/>
          <w:pgMar w:top="720" w:right="1440" w:bottom="1440" w:left="1440" w:header="720" w:footer="720" w:gutter="0"/>
          <w:cols w:space="720"/>
        </w:sectPr>
      </w:pPr>
    </w:p>
    <w:p w:rsidR="005E23FB" w:rsidRDefault="009019BE" w:rsidP="00A34996">
      <w:pPr>
        <w:spacing w:after="100" w:afterAutospacing="1"/>
        <w:rPr>
          <w:b/>
        </w:rPr>
      </w:pPr>
      <w:r>
        <w:rPr>
          <w:b/>
        </w:rPr>
        <w:lastRenderedPageBreak/>
        <w:t>Olive Grove</w:t>
      </w:r>
      <w:r w:rsidR="00975887">
        <w:rPr>
          <w:b/>
        </w:rPr>
        <w:t xml:space="preserve"> Char</w:t>
      </w:r>
      <w:r w:rsidR="00975887" w:rsidRPr="00975887">
        <w:rPr>
          <w:b/>
        </w:rPr>
        <w:t>ter</w:t>
      </w:r>
      <w:r w:rsidR="005E23FB" w:rsidRPr="00975887">
        <w:rPr>
          <w:b/>
        </w:rPr>
        <w:t xml:space="preserve"> </w:t>
      </w:r>
      <w:r w:rsidRPr="00975887">
        <w:rPr>
          <w:rFonts w:cs="Arial"/>
          <w:b/>
        </w:rPr>
        <w:t xml:space="preserve">– </w:t>
      </w:r>
      <w:r w:rsidRPr="00975887">
        <w:rPr>
          <w:b/>
        </w:rPr>
        <w:t>Lompoc</w:t>
      </w:r>
      <w:r w:rsidRPr="00975887">
        <w:rPr>
          <w:rFonts w:cs="Arial"/>
          <w:b/>
        </w:rPr>
        <w:t xml:space="preserve"> </w:t>
      </w:r>
      <w:r w:rsidR="00BE5A48" w:rsidRPr="00A75084">
        <w:rPr>
          <w:b/>
        </w:rPr>
        <w:t>Financial Highlights</w:t>
      </w:r>
    </w:p>
    <w:p w:rsidR="00975887" w:rsidRPr="00975887" w:rsidRDefault="00975887" w:rsidP="00975887">
      <w:r w:rsidRPr="00975887">
        <w:t>NA: Not Applicable</w:t>
      </w:r>
    </w:p>
    <w:tbl>
      <w:tblPr>
        <w:tblStyle w:val="GridTable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nancial Highlights"/>
        <w:tblDescription w:val="Financial Highlights Olive Grove - Lompoc"/>
      </w:tblPr>
      <w:tblGrid>
        <w:gridCol w:w="1169"/>
        <w:gridCol w:w="1547"/>
        <w:gridCol w:w="1880"/>
        <w:gridCol w:w="1505"/>
        <w:gridCol w:w="1308"/>
        <w:gridCol w:w="966"/>
        <w:gridCol w:w="1658"/>
        <w:gridCol w:w="1505"/>
        <w:gridCol w:w="1412"/>
      </w:tblGrid>
      <w:tr w:rsidR="00BE5A48" w:rsidRPr="00A75084" w:rsidTr="0097588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51" w:type="pct"/>
            <w:tcBorders>
              <w:top w:val="none" w:sz="0" w:space="0" w:color="auto"/>
              <w:left w:val="none" w:sz="0" w:space="0" w:color="auto"/>
              <w:bottom w:val="none" w:sz="0" w:space="0" w:color="auto"/>
              <w:right w:val="none" w:sz="0" w:space="0" w:color="auto"/>
            </w:tcBorders>
            <w:vAlign w:val="center"/>
          </w:tcPr>
          <w:p w:rsidR="00BE5A48" w:rsidRPr="00A75084" w:rsidRDefault="00BE5A48" w:rsidP="00E31465">
            <w:pPr>
              <w:jc w:val="center"/>
              <w:rPr>
                <w:rFonts w:cs="Arial"/>
                <w:b w:val="0"/>
              </w:rPr>
            </w:pPr>
            <w:r w:rsidRPr="00A75084">
              <w:rPr>
                <w:rFonts w:cs="Arial"/>
              </w:rPr>
              <w:t>F</w:t>
            </w:r>
            <w:r w:rsidR="00975887">
              <w:rPr>
                <w:rFonts w:cs="Arial"/>
              </w:rPr>
              <w:t>iscal Year</w:t>
            </w:r>
            <w:r w:rsidRPr="00A75084">
              <w:rPr>
                <w:rFonts w:cs="Arial"/>
              </w:rPr>
              <w:t xml:space="preserve"> / Source</w:t>
            </w:r>
          </w:p>
        </w:tc>
        <w:tc>
          <w:tcPr>
            <w:tcW w:w="597" w:type="pct"/>
            <w:tcBorders>
              <w:top w:val="none" w:sz="0" w:space="0" w:color="auto"/>
              <w:left w:val="none" w:sz="0" w:space="0" w:color="auto"/>
              <w:bottom w:val="none" w:sz="0" w:space="0" w:color="auto"/>
              <w:right w:val="none" w:sz="0" w:space="0" w:color="auto"/>
            </w:tcBorders>
            <w:vAlign w:val="center"/>
          </w:tcPr>
          <w:p w:rsidR="00BE5A48" w:rsidRPr="00A75084" w:rsidRDefault="00BE5A48"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75084">
              <w:rPr>
                <w:rFonts w:cs="Arial"/>
              </w:rPr>
              <w:t>Total Revenues</w:t>
            </w:r>
          </w:p>
        </w:tc>
        <w:tc>
          <w:tcPr>
            <w:tcW w:w="726" w:type="pct"/>
            <w:tcBorders>
              <w:top w:val="none" w:sz="0" w:space="0" w:color="auto"/>
              <w:left w:val="none" w:sz="0" w:space="0" w:color="auto"/>
              <w:bottom w:val="none" w:sz="0" w:space="0" w:color="auto"/>
              <w:right w:val="none" w:sz="0" w:space="0" w:color="auto"/>
            </w:tcBorders>
            <w:vAlign w:val="center"/>
          </w:tcPr>
          <w:p w:rsidR="00BE5A48" w:rsidRPr="00A75084" w:rsidRDefault="00BE5A48"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75084">
              <w:rPr>
                <w:rFonts w:cs="Arial"/>
              </w:rPr>
              <w:t>Total Expenditures</w:t>
            </w:r>
          </w:p>
        </w:tc>
        <w:tc>
          <w:tcPr>
            <w:tcW w:w="581" w:type="pct"/>
            <w:tcBorders>
              <w:top w:val="none" w:sz="0" w:space="0" w:color="auto"/>
              <w:left w:val="none" w:sz="0" w:space="0" w:color="auto"/>
              <w:bottom w:val="none" w:sz="0" w:space="0" w:color="auto"/>
              <w:right w:val="none" w:sz="0" w:space="0" w:color="auto"/>
            </w:tcBorders>
            <w:vAlign w:val="center"/>
          </w:tcPr>
          <w:p w:rsidR="00BE5A48" w:rsidRPr="00A75084" w:rsidRDefault="00BE5A48"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75084">
              <w:rPr>
                <w:rFonts w:cs="Arial"/>
              </w:rPr>
              <w:t>Net Operating Surplus (Deficit)</w:t>
            </w:r>
          </w:p>
        </w:tc>
        <w:tc>
          <w:tcPr>
            <w:tcW w:w="505" w:type="pct"/>
            <w:tcBorders>
              <w:top w:val="none" w:sz="0" w:space="0" w:color="auto"/>
              <w:left w:val="none" w:sz="0" w:space="0" w:color="auto"/>
              <w:bottom w:val="none" w:sz="0" w:space="0" w:color="auto"/>
              <w:right w:val="none" w:sz="0" w:space="0" w:color="auto"/>
            </w:tcBorders>
            <w:vAlign w:val="center"/>
          </w:tcPr>
          <w:p w:rsidR="00BE5A48" w:rsidRPr="00A75084" w:rsidRDefault="00BE5A48"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75084">
              <w:rPr>
                <w:rFonts w:cs="Arial"/>
              </w:rPr>
              <w:t>Working Capital Ratio</w:t>
            </w:r>
          </w:p>
        </w:tc>
        <w:tc>
          <w:tcPr>
            <w:tcW w:w="373" w:type="pct"/>
            <w:tcBorders>
              <w:top w:val="none" w:sz="0" w:space="0" w:color="auto"/>
              <w:left w:val="none" w:sz="0" w:space="0" w:color="auto"/>
              <w:bottom w:val="none" w:sz="0" w:space="0" w:color="auto"/>
              <w:right w:val="none" w:sz="0" w:space="0" w:color="auto"/>
            </w:tcBorders>
            <w:vAlign w:val="center"/>
          </w:tcPr>
          <w:p w:rsidR="00BE5A48" w:rsidRPr="00A75084" w:rsidRDefault="00BE5A48"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75084">
              <w:rPr>
                <w:rFonts w:cs="Arial"/>
              </w:rPr>
              <w:t>Debt Ratio</w:t>
            </w:r>
          </w:p>
        </w:tc>
        <w:tc>
          <w:tcPr>
            <w:tcW w:w="640" w:type="pct"/>
            <w:tcBorders>
              <w:top w:val="none" w:sz="0" w:space="0" w:color="auto"/>
              <w:left w:val="none" w:sz="0" w:space="0" w:color="auto"/>
              <w:bottom w:val="none" w:sz="0" w:space="0" w:color="auto"/>
              <w:right w:val="none" w:sz="0" w:space="0" w:color="auto"/>
            </w:tcBorders>
            <w:vAlign w:val="center"/>
          </w:tcPr>
          <w:p w:rsidR="00BE5A48" w:rsidRPr="00A75084" w:rsidRDefault="00BE5A48"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75084">
              <w:rPr>
                <w:rFonts w:cs="Arial"/>
              </w:rPr>
              <w:t>Attendance Ratio</w:t>
            </w:r>
          </w:p>
        </w:tc>
        <w:tc>
          <w:tcPr>
            <w:tcW w:w="581" w:type="pct"/>
            <w:tcBorders>
              <w:top w:val="none" w:sz="0" w:space="0" w:color="auto"/>
              <w:left w:val="none" w:sz="0" w:space="0" w:color="auto"/>
              <w:bottom w:val="none" w:sz="0" w:space="0" w:color="auto"/>
              <w:right w:val="none" w:sz="0" w:space="0" w:color="auto"/>
            </w:tcBorders>
            <w:vAlign w:val="center"/>
          </w:tcPr>
          <w:p w:rsidR="00BE5A48" w:rsidRPr="00A75084" w:rsidRDefault="00BE5A48"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75084">
              <w:rPr>
                <w:rFonts w:cs="Arial"/>
              </w:rPr>
              <w:t>Ending Fund Balance</w:t>
            </w:r>
          </w:p>
        </w:tc>
        <w:tc>
          <w:tcPr>
            <w:tcW w:w="545" w:type="pct"/>
            <w:tcBorders>
              <w:top w:val="none" w:sz="0" w:space="0" w:color="auto"/>
              <w:left w:val="none" w:sz="0" w:space="0" w:color="auto"/>
              <w:bottom w:val="none" w:sz="0" w:space="0" w:color="auto"/>
              <w:right w:val="none" w:sz="0" w:space="0" w:color="auto"/>
            </w:tcBorders>
            <w:vAlign w:val="center"/>
          </w:tcPr>
          <w:p w:rsidR="00BE5A48" w:rsidRPr="00A75084" w:rsidRDefault="00BE5A48"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75084">
              <w:rPr>
                <w:rFonts w:cs="Arial"/>
              </w:rPr>
              <w:t>Percent of Reserves</w:t>
            </w:r>
          </w:p>
        </w:tc>
      </w:tr>
      <w:tr w:rsidR="00BE5A48" w:rsidRPr="00A75084" w:rsidTr="009758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1" w:type="pct"/>
            <w:vAlign w:val="center"/>
          </w:tcPr>
          <w:p w:rsidR="00BE5A48" w:rsidRPr="00A75084" w:rsidRDefault="00465951" w:rsidP="00E31465">
            <w:pPr>
              <w:rPr>
                <w:rFonts w:cs="Arial"/>
              </w:rPr>
            </w:pPr>
            <w:r>
              <w:rPr>
                <w:rFonts w:cs="Arial"/>
              </w:rPr>
              <w:t>201</w:t>
            </w:r>
            <w:r w:rsidR="00DE7B37">
              <w:rPr>
                <w:rFonts w:cs="Arial"/>
              </w:rPr>
              <w:t>8</w:t>
            </w:r>
            <w:r>
              <w:rPr>
                <w:rFonts w:cs="Arial"/>
              </w:rPr>
              <w:t>–1</w:t>
            </w:r>
            <w:r w:rsidR="00DE7B37">
              <w:rPr>
                <w:rFonts w:cs="Arial"/>
              </w:rPr>
              <w:t>9</w:t>
            </w:r>
            <w:r w:rsidR="00BE5A48" w:rsidRPr="00A75084">
              <w:rPr>
                <w:rFonts w:cs="Arial"/>
              </w:rPr>
              <w:t xml:space="preserve"> Audit</w:t>
            </w:r>
          </w:p>
        </w:tc>
        <w:tc>
          <w:tcPr>
            <w:tcW w:w="597" w:type="pct"/>
            <w:vAlign w:val="center"/>
          </w:tcPr>
          <w:p w:rsidR="00BE5A48" w:rsidRPr="00A75084" w:rsidRDefault="00C5666F"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75084">
              <w:rPr>
                <w:rFonts w:cs="Arial"/>
              </w:rPr>
              <w:t>$</w:t>
            </w:r>
            <w:r w:rsidR="00DE7B37">
              <w:rPr>
                <w:rFonts w:cs="Arial"/>
              </w:rPr>
              <w:t>1</w:t>
            </w:r>
            <w:r w:rsidR="00465951">
              <w:rPr>
                <w:rFonts w:cs="Arial"/>
              </w:rPr>
              <w:t>,</w:t>
            </w:r>
            <w:r w:rsidR="00DE7B37">
              <w:rPr>
                <w:rFonts w:cs="Arial"/>
              </w:rPr>
              <w:t>922,585</w:t>
            </w:r>
          </w:p>
        </w:tc>
        <w:tc>
          <w:tcPr>
            <w:tcW w:w="726" w:type="pct"/>
            <w:vAlign w:val="center"/>
          </w:tcPr>
          <w:p w:rsidR="00BE5A48" w:rsidRPr="00A75084" w:rsidRDefault="00C5666F"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75084">
              <w:rPr>
                <w:rFonts w:cs="Arial"/>
              </w:rPr>
              <w:t>$</w:t>
            </w:r>
            <w:r w:rsidR="00DE7B37">
              <w:rPr>
                <w:rFonts w:cs="Arial"/>
              </w:rPr>
              <w:t>1,848,605</w:t>
            </w:r>
          </w:p>
        </w:tc>
        <w:tc>
          <w:tcPr>
            <w:tcW w:w="581" w:type="pct"/>
            <w:vAlign w:val="center"/>
          </w:tcPr>
          <w:p w:rsidR="00BE5A48" w:rsidRPr="00A75084" w:rsidRDefault="00C5666F"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75084">
              <w:rPr>
                <w:rFonts w:cs="Arial"/>
              </w:rPr>
              <w:t>$</w:t>
            </w:r>
            <w:r w:rsidR="00DE7B37">
              <w:rPr>
                <w:rFonts w:cs="Arial"/>
              </w:rPr>
              <w:t>73,980</w:t>
            </w:r>
          </w:p>
        </w:tc>
        <w:tc>
          <w:tcPr>
            <w:tcW w:w="505" w:type="pct"/>
            <w:vAlign w:val="center"/>
          </w:tcPr>
          <w:p w:rsidR="00BE5A48" w:rsidRPr="00A75084" w:rsidRDefault="00465951"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0.</w:t>
            </w:r>
            <w:r w:rsidR="00DE7B37">
              <w:rPr>
                <w:rFonts w:cs="Arial"/>
              </w:rPr>
              <w:t>94</w:t>
            </w:r>
          </w:p>
        </w:tc>
        <w:tc>
          <w:tcPr>
            <w:tcW w:w="373" w:type="pct"/>
            <w:vAlign w:val="center"/>
          </w:tcPr>
          <w:p w:rsidR="00BE5A48" w:rsidRPr="00A75084" w:rsidRDefault="00DE7B37"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0.88</w:t>
            </w:r>
          </w:p>
        </w:tc>
        <w:tc>
          <w:tcPr>
            <w:tcW w:w="640" w:type="pct"/>
            <w:vAlign w:val="center"/>
          </w:tcPr>
          <w:p w:rsidR="00BE5A48" w:rsidRPr="00A75084" w:rsidRDefault="00DE7B37"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1B52EE">
              <w:rPr>
                <w:rFonts w:cs="Arial"/>
              </w:rPr>
              <w:t>110.89%</w:t>
            </w:r>
          </w:p>
        </w:tc>
        <w:tc>
          <w:tcPr>
            <w:tcW w:w="581" w:type="pct"/>
            <w:vAlign w:val="center"/>
          </w:tcPr>
          <w:p w:rsidR="00BE5A48" w:rsidRPr="00A75084" w:rsidRDefault="00DE7B37"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$73,980</w:t>
            </w:r>
          </w:p>
        </w:tc>
        <w:tc>
          <w:tcPr>
            <w:tcW w:w="545" w:type="pct"/>
            <w:vAlign w:val="center"/>
          </w:tcPr>
          <w:p w:rsidR="00BE5A48" w:rsidRPr="00A75084" w:rsidRDefault="00DE7B37"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4</w:t>
            </w:r>
            <w:r w:rsidR="00C5666F" w:rsidRPr="00A75084">
              <w:rPr>
                <w:rFonts w:cs="Arial"/>
              </w:rPr>
              <w:t>%</w:t>
            </w:r>
          </w:p>
        </w:tc>
      </w:tr>
      <w:tr w:rsidR="00BE5A48" w:rsidRPr="00A75084" w:rsidTr="00975887">
        <w:trPr>
          <w:cantSplit/>
        </w:trPr>
        <w:tc>
          <w:tcPr>
            <w:cnfStyle w:val="001000000000" w:firstRow="0" w:lastRow="0" w:firstColumn="1" w:lastColumn="0" w:oddVBand="0" w:evenVBand="0" w:oddHBand="0" w:evenHBand="0" w:firstRowFirstColumn="0" w:firstRowLastColumn="0" w:lastRowFirstColumn="0" w:lastRowLastColumn="0"/>
            <w:tcW w:w="451" w:type="pct"/>
            <w:vAlign w:val="center"/>
          </w:tcPr>
          <w:p w:rsidR="00BE5A48" w:rsidRPr="00A75084" w:rsidRDefault="00BE5A48" w:rsidP="00E31465">
            <w:pPr>
              <w:rPr>
                <w:rFonts w:cs="Arial"/>
              </w:rPr>
            </w:pPr>
            <w:r w:rsidRPr="00A75084">
              <w:rPr>
                <w:rFonts w:cs="Arial"/>
              </w:rPr>
              <w:t>20</w:t>
            </w:r>
            <w:r w:rsidR="00465951">
              <w:rPr>
                <w:rFonts w:cs="Arial"/>
              </w:rPr>
              <w:t>1</w:t>
            </w:r>
            <w:r w:rsidR="00DE7B37">
              <w:rPr>
                <w:rFonts w:cs="Arial"/>
              </w:rPr>
              <w:t>9</w:t>
            </w:r>
            <w:r w:rsidR="00465951">
              <w:rPr>
                <w:rFonts w:cs="Arial"/>
              </w:rPr>
              <w:t>–</w:t>
            </w:r>
            <w:r w:rsidR="00DE7B37">
              <w:rPr>
                <w:rFonts w:cs="Arial"/>
              </w:rPr>
              <w:t>20</w:t>
            </w:r>
            <w:r w:rsidRPr="00A75084">
              <w:rPr>
                <w:rFonts w:cs="Arial"/>
              </w:rPr>
              <w:t xml:space="preserve"> Budget</w:t>
            </w:r>
          </w:p>
        </w:tc>
        <w:tc>
          <w:tcPr>
            <w:tcW w:w="597" w:type="pct"/>
            <w:vAlign w:val="center"/>
          </w:tcPr>
          <w:p w:rsidR="00BE5A48" w:rsidRPr="00A75084" w:rsidRDefault="00BE5A48"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A75084">
              <w:rPr>
                <w:rFonts w:cs="Arial"/>
              </w:rPr>
              <w:t>$</w:t>
            </w:r>
            <w:r w:rsidR="00DE7B37">
              <w:rPr>
                <w:rFonts w:cs="Arial"/>
              </w:rPr>
              <w:t>2,013,236</w:t>
            </w:r>
          </w:p>
        </w:tc>
        <w:tc>
          <w:tcPr>
            <w:tcW w:w="726" w:type="pct"/>
            <w:vAlign w:val="center"/>
          </w:tcPr>
          <w:p w:rsidR="00BE5A48" w:rsidRPr="00A75084" w:rsidRDefault="00BE5A48"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A75084">
              <w:rPr>
                <w:rFonts w:cs="Arial"/>
              </w:rPr>
              <w:t>$</w:t>
            </w:r>
            <w:r w:rsidR="00DE7B37">
              <w:rPr>
                <w:rFonts w:cs="Arial"/>
              </w:rPr>
              <w:t>1,940,206</w:t>
            </w:r>
          </w:p>
        </w:tc>
        <w:tc>
          <w:tcPr>
            <w:tcW w:w="581" w:type="pct"/>
            <w:vAlign w:val="center"/>
          </w:tcPr>
          <w:p w:rsidR="00BE5A48" w:rsidRPr="00A75084" w:rsidRDefault="00BE5A48"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A75084">
              <w:rPr>
                <w:rFonts w:cs="Arial"/>
              </w:rPr>
              <w:t>$</w:t>
            </w:r>
            <w:r w:rsidR="00DE7B37">
              <w:rPr>
                <w:rFonts w:cs="Arial"/>
              </w:rPr>
              <w:t>73,030</w:t>
            </w:r>
          </w:p>
        </w:tc>
        <w:tc>
          <w:tcPr>
            <w:tcW w:w="505" w:type="pct"/>
            <w:vAlign w:val="center"/>
          </w:tcPr>
          <w:p w:rsidR="00BE5A48" w:rsidRPr="00A75084" w:rsidRDefault="00BE5A48"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A75084">
              <w:rPr>
                <w:rFonts w:cs="Arial"/>
              </w:rPr>
              <w:t>NA</w:t>
            </w:r>
          </w:p>
        </w:tc>
        <w:tc>
          <w:tcPr>
            <w:tcW w:w="373" w:type="pct"/>
            <w:vAlign w:val="center"/>
          </w:tcPr>
          <w:p w:rsidR="00BE5A48" w:rsidRPr="00A75084" w:rsidRDefault="00BE5A48"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A75084">
              <w:rPr>
                <w:rFonts w:cs="Arial"/>
              </w:rPr>
              <w:t>NA</w:t>
            </w:r>
          </w:p>
        </w:tc>
        <w:tc>
          <w:tcPr>
            <w:tcW w:w="640" w:type="pct"/>
            <w:vAlign w:val="center"/>
          </w:tcPr>
          <w:p w:rsidR="00BE5A48" w:rsidRPr="00A75084" w:rsidRDefault="00C5666F"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A75084">
              <w:rPr>
                <w:rFonts w:cs="Arial"/>
              </w:rPr>
              <w:t>9</w:t>
            </w:r>
            <w:r w:rsidR="00DE7B37">
              <w:rPr>
                <w:rFonts w:cs="Arial"/>
              </w:rPr>
              <w:t>7</w:t>
            </w:r>
            <w:r w:rsidR="00BE5A48" w:rsidRPr="00A75084">
              <w:rPr>
                <w:rFonts w:cs="Arial"/>
              </w:rPr>
              <w:t>%</w:t>
            </w:r>
          </w:p>
        </w:tc>
        <w:tc>
          <w:tcPr>
            <w:tcW w:w="581" w:type="pct"/>
            <w:vAlign w:val="center"/>
          </w:tcPr>
          <w:p w:rsidR="00BE5A48" w:rsidRPr="00A75084" w:rsidRDefault="00BE5A48"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A75084">
              <w:rPr>
                <w:rFonts w:cs="Arial"/>
              </w:rPr>
              <w:t>$</w:t>
            </w:r>
            <w:r w:rsidR="00DE7B37">
              <w:rPr>
                <w:rFonts w:cs="Arial"/>
              </w:rPr>
              <w:t>147,010</w:t>
            </w:r>
          </w:p>
        </w:tc>
        <w:tc>
          <w:tcPr>
            <w:tcW w:w="545" w:type="pct"/>
            <w:vAlign w:val="center"/>
          </w:tcPr>
          <w:p w:rsidR="00BE5A48" w:rsidRPr="00A75084" w:rsidRDefault="00DE7B37" w:rsidP="00E31465">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7.58</w:t>
            </w:r>
            <w:r w:rsidR="00BE5A48" w:rsidRPr="00A75084">
              <w:rPr>
                <w:rFonts w:cs="Arial"/>
              </w:rPr>
              <w:t>%</w:t>
            </w:r>
          </w:p>
        </w:tc>
      </w:tr>
      <w:tr w:rsidR="00BE5A48" w:rsidRPr="00A75084" w:rsidTr="009758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1" w:type="pct"/>
            <w:vAlign w:val="center"/>
          </w:tcPr>
          <w:p w:rsidR="00BE5A48" w:rsidRPr="00A75084" w:rsidRDefault="00465951" w:rsidP="00E31465">
            <w:pPr>
              <w:rPr>
                <w:rFonts w:cs="Arial"/>
              </w:rPr>
            </w:pPr>
            <w:r>
              <w:rPr>
                <w:rFonts w:cs="Arial"/>
              </w:rPr>
              <w:t>201</w:t>
            </w:r>
            <w:r w:rsidR="00DE7B37">
              <w:rPr>
                <w:rFonts w:cs="Arial"/>
              </w:rPr>
              <w:t>9</w:t>
            </w:r>
            <w:r>
              <w:rPr>
                <w:rFonts w:cs="Arial"/>
              </w:rPr>
              <w:t>–</w:t>
            </w:r>
            <w:r w:rsidR="00DE7B37">
              <w:rPr>
                <w:rFonts w:cs="Arial"/>
              </w:rPr>
              <w:t>20</w:t>
            </w:r>
            <w:r w:rsidR="00BE5A48" w:rsidRPr="00A75084">
              <w:rPr>
                <w:rFonts w:cs="Arial"/>
              </w:rPr>
              <w:t xml:space="preserve"> 2nd Interim</w:t>
            </w:r>
          </w:p>
        </w:tc>
        <w:tc>
          <w:tcPr>
            <w:tcW w:w="597" w:type="pct"/>
            <w:vAlign w:val="center"/>
          </w:tcPr>
          <w:p w:rsidR="00BE5A48" w:rsidRPr="00A75084" w:rsidRDefault="00BE5A48"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75084">
              <w:rPr>
                <w:rFonts w:cs="Arial"/>
              </w:rPr>
              <w:t>$</w:t>
            </w:r>
            <w:r w:rsidR="00DE7B37">
              <w:rPr>
                <w:rFonts w:cs="Arial"/>
              </w:rPr>
              <w:t>1,986,962</w:t>
            </w:r>
          </w:p>
        </w:tc>
        <w:tc>
          <w:tcPr>
            <w:tcW w:w="726" w:type="pct"/>
            <w:vAlign w:val="center"/>
          </w:tcPr>
          <w:p w:rsidR="00BE5A48" w:rsidRPr="00A75084" w:rsidRDefault="00BE5A48"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75084">
              <w:rPr>
                <w:rFonts w:cs="Arial"/>
              </w:rPr>
              <w:t>$</w:t>
            </w:r>
            <w:r w:rsidR="00DE7B37">
              <w:rPr>
                <w:rFonts w:cs="Arial"/>
              </w:rPr>
              <w:t>2,078,674</w:t>
            </w:r>
          </w:p>
        </w:tc>
        <w:tc>
          <w:tcPr>
            <w:tcW w:w="581" w:type="pct"/>
            <w:vAlign w:val="center"/>
          </w:tcPr>
          <w:p w:rsidR="00BE5A48" w:rsidRPr="00A75084" w:rsidRDefault="00DE7B37"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w:t>
            </w:r>
            <w:r w:rsidR="00BE5A48" w:rsidRPr="00A75084">
              <w:rPr>
                <w:rFonts w:cs="Arial"/>
              </w:rPr>
              <w:t>$</w:t>
            </w:r>
            <w:r>
              <w:rPr>
                <w:rFonts w:cs="Arial"/>
              </w:rPr>
              <w:t>91,712)</w:t>
            </w:r>
          </w:p>
        </w:tc>
        <w:tc>
          <w:tcPr>
            <w:tcW w:w="505" w:type="pct"/>
            <w:vAlign w:val="center"/>
          </w:tcPr>
          <w:p w:rsidR="00BE5A48" w:rsidRPr="00A75084" w:rsidRDefault="00BE5A48"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75084">
              <w:rPr>
                <w:rFonts w:cs="Arial"/>
              </w:rPr>
              <w:t>NA</w:t>
            </w:r>
          </w:p>
        </w:tc>
        <w:tc>
          <w:tcPr>
            <w:tcW w:w="373" w:type="pct"/>
            <w:vAlign w:val="center"/>
          </w:tcPr>
          <w:p w:rsidR="00BE5A48" w:rsidRPr="00A75084" w:rsidRDefault="00BE5A48"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75084">
              <w:rPr>
                <w:rFonts w:cs="Arial"/>
              </w:rPr>
              <w:t>NA</w:t>
            </w:r>
          </w:p>
        </w:tc>
        <w:tc>
          <w:tcPr>
            <w:tcW w:w="640" w:type="pct"/>
            <w:vAlign w:val="center"/>
          </w:tcPr>
          <w:p w:rsidR="00BE5A48" w:rsidRPr="00975887" w:rsidRDefault="0016783C"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975887">
              <w:rPr>
                <w:rFonts w:cs="Arial"/>
              </w:rPr>
              <w:t>9</w:t>
            </w:r>
            <w:r w:rsidR="002D0818" w:rsidRPr="00975887">
              <w:rPr>
                <w:rFonts w:cs="Arial"/>
              </w:rPr>
              <w:t>3.20</w:t>
            </w:r>
            <w:r w:rsidR="00044BA8" w:rsidRPr="00975887">
              <w:rPr>
                <w:rFonts w:cs="Arial"/>
              </w:rPr>
              <w:t>%</w:t>
            </w:r>
          </w:p>
        </w:tc>
        <w:tc>
          <w:tcPr>
            <w:tcW w:w="581" w:type="pct"/>
            <w:vAlign w:val="center"/>
          </w:tcPr>
          <w:p w:rsidR="00BE5A48" w:rsidRPr="00975887" w:rsidRDefault="00C5666F"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975887">
              <w:rPr>
                <w:rFonts w:cs="Arial"/>
              </w:rPr>
              <w:t>($</w:t>
            </w:r>
            <w:r w:rsidR="00DE7B37" w:rsidRPr="00975887">
              <w:rPr>
                <w:rFonts w:cs="Arial"/>
              </w:rPr>
              <w:t>17,732)</w:t>
            </w:r>
          </w:p>
        </w:tc>
        <w:tc>
          <w:tcPr>
            <w:tcW w:w="545" w:type="pct"/>
            <w:vAlign w:val="center"/>
          </w:tcPr>
          <w:p w:rsidR="00BE5A48" w:rsidRPr="00975887" w:rsidRDefault="00BE5A48"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975887">
              <w:rPr>
                <w:rFonts w:cs="Arial"/>
              </w:rPr>
              <w:t>0%</w:t>
            </w:r>
          </w:p>
        </w:tc>
      </w:tr>
    </w:tbl>
    <w:p w:rsidR="00D22B8F" w:rsidRPr="00A34996" w:rsidRDefault="00D22B8F" w:rsidP="00E31465">
      <w:pPr>
        <w:spacing w:before="240"/>
        <w:sectPr w:rsidR="00D22B8F" w:rsidRPr="00A34996" w:rsidSect="00A34996">
          <w:pgSz w:w="15840" w:h="12240" w:orient="landscape"/>
          <w:pgMar w:top="1440" w:right="1440" w:bottom="1440" w:left="1440" w:header="720" w:footer="720" w:gutter="0"/>
          <w:cols w:space="720"/>
          <w:docGrid w:linePitch="326"/>
        </w:sectPr>
      </w:pPr>
    </w:p>
    <w:p w:rsidR="007310DB" w:rsidRDefault="0028003E" w:rsidP="00975887">
      <w:pPr>
        <w:pStyle w:val="Heading3"/>
      </w:pPr>
      <w:r>
        <w:lastRenderedPageBreak/>
        <w:t>Olive Grove</w:t>
      </w:r>
      <w:r w:rsidRPr="00990D3E">
        <w:rPr>
          <w:rFonts w:cs="Arial"/>
        </w:rPr>
        <w:t xml:space="preserve"> </w:t>
      </w:r>
      <w:r>
        <w:rPr>
          <w:rFonts w:cs="Arial"/>
        </w:rPr>
        <w:t>Charter – Santa Barbara</w:t>
      </w:r>
    </w:p>
    <w:p w:rsidR="007310DB" w:rsidRPr="00D270A8" w:rsidRDefault="007310DB" w:rsidP="00E31465">
      <w:pPr>
        <w:pStyle w:val="ListParagraph"/>
        <w:numPr>
          <w:ilvl w:val="0"/>
          <w:numId w:val="10"/>
        </w:numPr>
      </w:pPr>
      <w:r w:rsidRPr="00D270A8">
        <w:t>Charter Term Expires: 6/30/202</w:t>
      </w:r>
      <w:r w:rsidR="0028003E">
        <w:t>3</w:t>
      </w:r>
    </w:p>
    <w:p w:rsidR="007310DB" w:rsidRPr="00D270A8" w:rsidRDefault="007310DB" w:rsidP="00E31465">
      <w:pPr>
        <w:pStyle w:val="ListParagraph"/>
        <w:numPr>
          <w:ilvl w:val="0"/>
          <w:numId w:val="10"/>
        </w:numPr>
      </w:pPr>
      <w:r w:rsidRPr="00D270A8">
        <w:t xml:space="preserve">Grades Authorized to Serve: </w:t>
      </w:r>
      <w:r w:rsidR="0028003E">
        <w:t>K</w:t>
      </w:r>
      <w:r w:rsidRPr="00D270A8">
        <w:t>–12</w:t>
      </w:r>
    </w:p>
    <w:p w:rsidR="007310DB" w:rsidRPr="00D270A8" w:rsidRDefault="007310DB" w:rsidP="00E31465">
      <w:pPr>
        <w:pStyle w:val="ListParagraph"/>
        <w:numPr>
          <w:ilvl w:val="0"/>
          <w:numId w:val="10"/>
        </w:numPr>
      </w:pPr>
      <w:r w:rsidRPr="00D270A8">
        <w:t>201</w:t>
      </w:r>
      <w:r w:rsidR="0028003E">
        <w:t>8</w:t>
      </w:r>
      <w:r>
        <w:t>–1</w:t>
      </w:r>
      <w:r w:rsidR="0028003E">
        <w:t>9</w:t>
      </w:r>
      <w:r w:rsidRPr="00D270A8">
        <w:t xml:space="preserve"> P-2 ADA: </w:t>
      </w:r>
      <w:r w:rsidR="0028003E">
        <w:t>213.21</w:t>
      </w:r>
    </w:p>
    <w:p w:rsidR="007310DB" w:rsidRPr="00D270A8" w:rsidRDefault="007310DB" w:rsidP="00E31465">
      <w:pPr>
        <w:pStyle w:val="ListParagraph"/>
        <w:numPr>
          <w:ilvl w:val="0"/>
          <w:numId w:val="10"/>
        </w:numPr>
        <w:spacing w:after="100" w:afterAutospacing="1"/>
      </w:pPr>
      <w:r>
        <w:t>201</w:t>
      </w:r>
      <w:r w:rsidR="0028003E">
        <w:t>9</w:t>
      </w:r>
      <w:r>
        <w:t>–</w:t>
      </w:r>
      <w:r w:rsidR="0028003E">
        <w:t>20</w:t>
      </w:r>
      <w:r w:rsidRPr="00D270A8">
        <w:t xml:space="preserve"> P-2 ADA: </w:t>
      </w:r>
      <w:r w:rsidR="002D0818" w:rsidRPr="002D0818">
        <w:t>158.5</w:t>
      </w:r>
    </w:p>
    <w:p w:rsidR="007310DB" w:rsidRDefault="007310DB" w:rsidP="00E31465">
      <w:pPr>
        <w:pStyle w:val="Heading4"/>
      </w:pPr>
      <w:r>
        <w:t>Fiscal Concerns</w:t>
      </w:r>
    </w:p>
    <w:p w:rsidR="007310DB" w:rsidRDefault="0028003E" w:rsidP="00E31465">
      <w:pPr>
        <w:spacing w:after="100" w:afterAutospacing="1"/>
      </w:pPr>
      <w:r>
        <w:t>The CDE found that OGCSB’s</w:t>
      </w:r>
      <w:r w:rsidRPr="00391D2E">
        <w:t xml:space="preserve"> 201</w:t>
      </w:r>
      <w:r>
        <w:t>9</w:t>
      </w:r>
      <w:r w:rsidRPr="00391D2E">
        <w:t>–</w:t>
      </w:r>
      <w:r>
        <w:t xml:space="preserve">20 </w:t>
      </w:r>
      <w:r w:rsidRPr="00391D2E">
        <w:t>second interim r</w:t>
      </w:r>
      <w:r>
        <w:t xml:space="preserve">eport indicates that OGCSB is projecting a negative ending fund </w:t>
      </w:r>
      <w:r w:rsidRPr="00391D2E">
        <w:t>balance of $</w:t>
      </w:r>
      <w:r w:rsidR="00B1746C">
        <w:t>2</w:t>
      </w:r>
      <w:r w:rsidR="001B52EE">
        <w:t>9</w:t>
      </w:r>
      <w:r w:rsidR="00B1746C">
        <w:t>4,090</w:t>
      </w:r>
      <w:r>
        <w:t xml:space="preserve"> with zero</w:t>
      </w:r>
      <w:r w:rsidRPr="00391D2E">
        <w:t xml:space="preserve"> percent </w:t>
      </w:r>
      <w:r w:rsidR="00975887">
        <w:t xml:space="preserve">in </w:t>
      </w:r>
      <w:r w:rsidRPr="00391D2E">
        <w:t>reserve</w:t>
      </w:r>
      <w:r>
        <w:t>s</w:t>
      </w:r>
      <w:r w:rsidRPr="00391D2E">
        <w:t xml:space="preserve"> for FY 201</w:t>
      </w:r>
      <w:r>
        <w:t>9</w:t>
      </w:r>
      <w:r w:rsidRPr="00391D2E">
        <w:t>–</w:t>
      </w:r>
      <w:r>
        <w:t>20, which is below the recommended five percent in reserves outlined in the MOU between OGC</w:t>
      </w:r>
      <w:r w:rsidR="00B1746C">
        <w:t>SB</w:t>
      </w:r>
      <w:r>
        <w:t xml:space="preserve"> and the SBE</w:t>
      </w:r>
      <w:r w:rsidR="00ED07A0">
        <w:t>.</w:t>
      </w:r>
    </w:p>
    <w:p w:rsidR="007310DB" w:rsidRDefault="007310DB" w:rsidP="00E31465">
      <w:pPr>
        <w:sectPr w:rsidR="007310DB" w:rsidSect="007310DB">
          <w:pgSz w:w="12240" w:h="15840"/>
          <w:pgMar w:top="720" w:right="1440" w:bottom="1440" w:left="1440" w:header="720" w:footer="720" w:gutter="0"/>
          <w:cols w:space="720"/>
        </w:sectPr>
      </w:pPr>
    </w:p>
    <w:p w:rsidR="007310DB" w:rsidRDefault="00427F8E" w:rsidP="00A34996">
      <w:pPr>
        <w:spacing w:after="100" w:afterAutospacing="1"/>
        <w:rPr>
          <w:b/>
        </w:rPr>
      </w:pPr>
      <w:r>
        <w:rPr>
          <w:b/>
        </w:rPr>
        <w:lastRenderedPageBreak/>
        <w:t xml:space="preserve">Olive Grove </w:t>
      </w:r>
      <w:r w:rsidR="00975887" w:rsidRPr="00975887">
        <w:rPr>
          <w:b/>
        </w:rPr>
        <w:t xml:space="preserve">Charter </w:t>
      </w:r>
      <w:r w:rsidRPr="00975887">
        <w:rPr>
          <w:rFonts w:cs="Arial"/>
          <w:b/>
        </w:rPr>
        <w:t xml:space="preserve">– </w:t>
      </w:r>
      <w:r w:rsidRPr="00975887">
        <w:rPr>
          <w:b/>
        </w:rPr>
        <w:t>Santa Ba</w:t>
      </w:r>
      <w:r>
        <w:rPr>
          <w:b/>
        </w:rPr>
        <w:t>rbara</w:t>
      </w:r>
      <w:r>
        <w:rPr>
          <w:rFonts w:cs="Arial"/>
        </w:rPr>
        <w:t xml:space="preserve"> </w:t>
      </w:r>
      <w:r w:rsidR="007310DB" w:rsidRPr="00A75084">
        <w:rPr>
          <w:b/>
        </w:rPr>
        <w:t>Financial Highlights</w:t>
      </w:r>
    </w:p>
    <w:p w:rsidR="00975887" w:rsidRPr="00975887" w:rsidRDefault="00975887" w:rsidP="00975887">
      <w:r w:rsidRPr="00975887">
        <w:t>NA: Not Applicable</w:t>
      </w:r>
    </w:p>
    <w:tbl>
      <w:tblPr>
        <w:tblStyle w:val="GridTable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nancial Highlights"/>
        <w:tblDescription w:val="Financial Highlights Olive Grove - Santa Barbara"/>
      </w:tblPr>
      <w:tblGrid>
        <w:gridCol w:w="1169"/>
        <w:gridCol w:w="1547"/>
        <w:gridCol w:w="1880"/>
        <w:gridCol w:w="1505"/>
        <w:gridCol w:w="1308"/>
        <w:gridCol w:w="966"/>
        <w:gridCol w:w="1658"/>
        <w:gridCol w:w="1505"/>
        <w:gridCol w:w="1412"/>
      </w:tblGrid>
      <w:tr w:rsidR="007310DB" w:rsidRPr="00A75084" w:rsidTr="0097588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51" w:type="pct"/>
            <w:tcBorders>
              <w:top w:val="none" w:sz="0" w:space="0" w:color="auto"/>
              <w:left w:val="none" w:sz="0" w:space="0" w:color="auto"/>
              <w:bottom w:val="none" w:sz="0" w:space="0" w:color="auto"/>
              <w:right w:val="none" w:sz="0" w:space="0" w:color="auto"/>
            </w:tcBorders>
            <w:vAlign w:val="center"/>
          </w:tcPr>
          <w:p w:rsidR="007310DB" w:rsidRPr="00A75084" w:rsidRDefault="00975887" w:rsidP="00E31465">
            <w:pPr>
              <w:jc w:val="center"/>
              <w:rPr>
                <w:rFonts w:cs="Arial"/>
                <w:b w:val="0"/>
              </w:rPr>
            </w:pPr>
            <w:r>
              <w:rPr>
                <w:rFonts w:cs="Arial"/>
              </w:rPr>
              <w:t>Fiscal Year</w:t>
            </w:r>
            <w:r w:rsidR="007310DB" w:rsidRPr="00A75084">
              <w:rPr>
                <w:rFonts w:cs="Arial"/>
              </w:rPr>
              <w:t xml:space="preserve"> / Source</w:t>
            </w:r>
          </w:p>
        </w:tc>
        <w:tc>
          <w:tcPr>
            <w:tcW w:w="597" w:type="pct"/>
            <w:tcBorders>
              <w:top w:val="none" w:sz="0" w:space="0" w:color="auto"/>
              <w:left w:val="none" w:sz="0" w:space="0" w:color="auto"/>
              <w:bottom w:val="none" w:sz="0" w:space="0" w:color="auto"/>
              <w:right w:val="none" w:sz="0" w:space="0" w:color="auto"/>
            </w:tcBorders>
            <w:vAlign w:val="center"/>
          </w:tcPr>
          <w:p w:rsidR="007310DB" w:rsidRPr="00A75084"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75084">
              <w:rPr>
                <w:rFonts w:cs="Arial"/>
              </w:rPr>
              <w:t>Total Revenues</w:t>
            </w:r>
          </w:p>
        </w:tc>
        <w:tc>
          <w:tcPr>
            <w:tcW w:w="726" w:type="pct"/>
            <w:tcBorders>
              <w:top w:val="none" w:sz="0" w:space="0" w:color="auto"/>
              <w:left w:val="none" w:sz="0" w:space="0" w:color="auto"/>
              <w:bottom w:val="none" w:sz="0" w:space="0" w:color="auto"/>
              <w:right w:val="none" w:sz="0" w:space="0" w:color="auto"/>
            </w:tcBorders>
            <w:vAlign w:val="center"/>
          </w:tcPr>
          <w:p w:rsidR="007310DB" w:rsidRPr="00A75084"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75084">
              <w:rPr>
                <w:rFonts w:cs="Arial"/>
              </w:rPr>
              <w:t>Total Expenditures</w:t>
            </w:r>
          </w:p>
        </w:tc>
        <w:tc>
          <w:tcPr>
            <w:tcW w:w="581" w:type="pct"/>
            <w:tcBorders>
              <w:top w:val="none" w:sz="0" w:space="0" w:color="auto"/>
              <w:left w:val="none" w:sz="0" w:space="0" w:color="auto"/>
              <w:bottom w:val="none" w:sz="0" w:space="0" w:color="auto"/>
              <w:right w:val="none" w:sz="0" w:space="0" w:color="auto"/>
            </w:tcBorders>
            <w:vAlign w:val="center"/>
          </w:tcPr>
          <w:p w:rsidR="007310DB" w:rsidRPr="00A75084"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75084">
              <w:rPr>
                <w:rFonts w:cs="Arial"/>
              </w:rPr>
              <w:t>Net Operating Surplus (Deficit)</w:t>
            </w:r>
          </w:p>
        </w:tc>
        <w:tc>
          <w:tcPr>
            <w:tcW w:w="505" w:type="pct"/>
            <w:tcBorders>
              <w:top w:val="none" w:sz="0" w:space="0" w:color="auto"/>
              <w:left w:val="none" w:sz="0" w:space="0" w:color="auto"/>
              <w:bottom w:val="none" w:sz="0" w:space="0" w:color="auto"/>
              <w:right w:val="none" w:sz="0" w:space="0" w:color="auto"/>
            </w:tcBorders>
            <w:vAlign w:val="center"/>
          </w:tcPr>
          <w:p w:rsidR="007310DB" w:rsidRPr="00A75084"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75084">
              <w:rPr>
                <w:rFonts w:cs="Arial"/>
              </w:rPr>
              <w:t>Working Capital Ratio</w:t>
            </w:r>
          </w:p>
        </w:tc>
        <w:tc>
          <w:tcPr>
            <w:tcW w:w="373" w:type="pct"/>
            <w:tcBorders>
              <w:top w:val="none" w:sz="0" w:space="0" w:color="auto"/>
              <w:left w:val="none" w:sz="0" w:space="0" w:color="auto"/>
              <w:bottom w:val="none" w:sz="0" w:space="0" w:color="auto"/>
              <w:right w:val="none" w:sz="0" w:space="0" w:color="auto"/>
            </w:tcBorders>
            <w:vAlign w:val="center"/>
          </w:tcPr>
          <w:p w:rsidR="007310DB" w:rsidRPr="00A75084"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75084">
              <w:rPr>
                <w:rFonts w:cs="Arial"/>
              </w:rPr>
              <w:t>Debt Ratio</w:t>
            </w:r>
          </w:p>
        </w:tc>
        <w:tc>
          <w:tcPr>
            <w:tcW w:w="640" w:type="pct"/>
            <w:tcBorders>
              <w:top w:val="none" w:sz="0" w:space="0" w:color="auto"/>
              <w:left w:val="none" w:sz="0" w:space="0" w:color="auto"/>
              <w:bottom w:val="none" w:sz="0" w:space="0" w:color="auto"/>
              <w:right w:val="none" w:sz="0" w:space="0" w:color="auto"/>
            </w:tcBorders>
            <w:vAlign w:val="center"/>
          </w:tcPr>
          <w:p w:rsidR="007310DB" w:rsidRPr="00A75084"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75084">
              <w:rPr>
                <w:rFonts w:cs="Arial"/>
              </w:rPr>
              <w:t>Attendance Ratio</w:t>
            </w:r>
          </w:p>
        </w:tc>
        <w:tc>
          <w:tcPr>
            <w:tcW w:w="581" w:type="pct"/>
            <w:tcBorders>
              <w:top w:val="none" w:sz="0" w:space="0" w:color="auto"/>
              <w:left w:val="none" w:sz="0" w:space="0" w:color="auto"/>
              <w:bottom w:val="none" w:sz="0" w:space="0" w:color="auto"/>
              <w:right w:val="none" w:sz="0" w:space="0" w:color="auto"/>
            </w:tcBorders>
            <w:vAlign w:val="center"/>
          </w:tcPr>
          <w:p w:rsidR="007310DB" w:rsidRPr="00A75084"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75084">
              <w:rPr>
                <w:rFonts w:cs="Arial"/>
              </w:rPr>
              <w:t>Ending Fund Balance</w:t>
            </w:r>
          </w:p>
        </w:tc>
        <w:tc>
          <w:tcPr>
            <w:tcW w:w="545" w:type="pct"/>
            <w:tcBorders>
              <w:top w:val="none" w:sz="0" w:space="0" w:color="auto"/>
              <w:left w:val="none" w:sz="0" w:space="0" w:color="auto"/>
              <w:bottom w:val="none" w:sz="0" w:space="0" w:color="auto"/>
              <w:right w:val="none" w:sz="0" w:space="0" w:color="auto"/>
            </w:tcBorders>
            <w:vAlign w:val="center"/>
          </w:tcPr>
          <w:p w:rsidR="007310DB" w:rsidRPr="00A75084"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75084">
              <w:rPr>
                <w:rFonts w:cs="Arial"/>
              </w:rPr>
              <w:t>Percent of Reserves</w:t>
            </w:r>
          </w:p>
        </w:tc>
      </w:tr>
      <w:tr w:rsidR="007310DB" w:rsidRPr="00A75084" w:rsidTr="009758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1" w:type="pct"/>
            <w:vAlign w:val="center"/>
          </w:tcPr>
          <w:p w:rsidR="007310DB" w:rsidRPr="00A75084" w:rsidRDefault="007310DB" w:rsidP="00E31465">
            <w:pPr>
              <w:rPr>
                <w:rFonts w:cs="Arial"/>
              </w:rPr>
            </w:pPr>
            <w:r>
              <w:rPr>
                <w:rFonts w:cs="Arial"/>
              </w:rPr>
              <w:t>201</w:t>
            </w:r>
            <w:r w:rsidR="00427F8E">
              <w:rPr>
                <w:rFonts w:cs="Arial"/>
              </w:rPr>
              <w:t>8</w:t>
            </w:r>
            <w:r>
              <w:rPr>
                <w:rFonts w:cs="Arial"/>
              </w:rPr>
              <w:t>–1</w:t>
            </w:r>
            <w:r w:rsidR="00427F8E">
              <w:rPr>
                <w:rFonts w:cs="Arial"/>
              </w:rPr>
              <w:t>9</w:t>
            </w:r>
            <w:r w:rsidRPr="00A75084">
              <w:rPr>
                <w:rFonts w:cs="Arial"/>
              </w:rPr>
              <w:t xml:space="preserve"> Audit</w:t>
            </w:r>
          </w:p>
        </w:tc>
        <w:tc>
          <w:tcPr>
            <w:tcW w:w="597" w:type="pct"/>
            <w:vAlign w:val="center"/>
          </w:tcPr>
          <w:p w:rsidR="007310DB" w:rsidRPr="00A75084"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75084">
              <w:rPr>
                <w:rFonts w:cs="Arial"/>
              </w:rPr>
              <w:t>$</w:t>
            </w:r>
            <w:r w:rsidR="00427F8E">
              <w:rPr>
                <w:rFonts w:cs="Arial"/>
              </w:rPr>
              <w:t>2,772,817</w:t>
            </w:r>
          </w:p>
        </w:tc>
        <w:tc>
          <w:tcPr>
            <w:tcW w:w="726" w:type="pct"/>
            <w:vAlign w:val="center"/>
          </w:tcPr>
          <w:p w:rsidR="007310DB" w:rsidRPr="00A75084"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75084">
              <w:rPr>
                <w:rFonts w:cs="Arial"/>
              </w:rPr>
              <w:t>$</w:t>
            </w:r>
            <w:r w:rsidR="00427F8E">
              <w:rPr>
                <w:rFonts w:cs="Arial"/>
              </w:rPr>
              <w:t>2,667,402</w:t>
            </w:r>
          </w:p>
        </w:tc>
        <w:tc>
          <w:tcPr>
            <w:tcW w:w="581" w:type="pct"/>
            <w:vAlign w:val="center"/>
          </w:tcPr>
          <w:p w:rsidR="007310DB" w:rsidRPr="00A75084"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75084">
              <w:rPr>
                <w:rFonts w:cs="Arial"/>
              </w:rPr>
              <w:t>$</w:t>
            </w:r>
            <w:r w:rsidR="00427F8E">
              <w:rPr>
                <w:rFonts w:cs="Arial"/>
              </w:rPr>
              <w:t>105,415</w:t>
            </w:r>
          </w:p>
        </w:tc>
        <w:tc>
          <w:tcPr>
            <w:tcW w:w="505" w:type="pct"/>
            <w:vAlign w:val="center"/>
          </w:tcPr>
          <w:p w:rsidR="007310DB" w:rsidRPr="00A75084" w:rsidRDefault="00427F8E"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1.00</w:t>
            </w:r>
          </w:p>
        </w:tc>
        <w:tc>
          <w:tcPr>
            <w:tcW w:w="373" w:type="pct"/>
            <w:vAlign w:val="center"/>
          </w:tcPr>
          <w:p w:rsidR="007310DB" w:rsidRPr="00A75084" w:rsidRDefault="00427F8E"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0.93</w:t>
            </w:r>
          </w:p>
        </w:tc>
        <w:tc>
          <w:tcPr>
            <w:tcW w:w="640" w:type="pct"/>
            <w:vAlign w:val="center"/>
          </w:tcPr>
          <w:p w:rsidR="007310DB" w:rsidRPr="00A75084" w:rsidRDefault="00427F8E"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118.45%</w:t>
            </w:r>
          </w:p>
        </w:tc>
        <w:tc>
          <w:tcPr>
            <w:tcW w:w="581" w:type="pct"/>
            <w:vAlign w:val="center"/>
          </w:tcPr>
          <w:p w:rsidR="007310DB" w:rsidRPr="00A75084"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75084">
              <w:rPr>
                <w:rFonts w:cs="Arial"/>
              </w:rPr>
              <w:t>$</w:t>
            </w:r>
            <w:r w:rsidR="00427F8E">
              <w:rPr>
                <w:rFonts w:cs="Arial"/>
              </w:rPr>
              <w:t>105,415</w:t>
            </w:r>
          </w:p>
        </w:tc>
        <w:tc>
          <w:tcPr>
            <w:tcW w:w="545" w:type="pct"/>
            <w:vAlign w:val="center"/>
          </w:tcPr>
          <w:p w:rsidR="007310DB" w:rsidRPr="00A75084" w:rsidRDefault="006A1E09"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3.95</w:t>
            </w:r>
            <w:r w:rsidR="007310DB" w:rsidRPr="00A75084">
              <w:rPr>
                <w:rFonts w:cs="Arial"/>
              </w:rPr>
              <w:t>%</w:t>
            </w:r>
          </w:p>
        </w:tc>
      </w:tr>
      <w:tr w:rsidR="007310DB" w:rsidRPr="00A75084" w:rsidTr="00975887">
        <w:trPr>
          <w:cantSplit/>
        </w:trPr>
        <w:tc>
          <w:tcPr>
            <w:cnfStyle w:val="001000000000" w:firstRow="0" w:lastRow="0" w:firstColumn="1" w:lastColumn="0" w:oddVBand="0" w:evenVBand="0" w:oddHBand="0" w:evenHBand="0" w:firstRowFirstColumn="0" w:firstRowLastColumn="0" w:lastRowFirstColumn="0" w:lastRowLastColumn="0"/>
            <w:tcW w:w="451" w:type="pct"/>
            <w:vAlign w:val="center"/>
          </w:tcPr>
          <w:p w:rsidR="007310DB" w:rsidRPr="00A75084" w:rsidRDefault="007310DB" w:rsidP="00E31465">
            <w:pPr>
              <w:rPr>
                <w:rFonts w:cs="Arial"/>
              </w:rPr>
            </w:pPr>
            <w:r w:rsidRPr="00A75084">
              <w:rPr>
                <w:rFonts w:cs="Arial"/>
              </w:rPr>
              <w:t>20</w:t>
            </w:r>
            <w:r>
              <w:rPr>
                <w:rFonts w:cs="Arial"/>
              </w:rPr>
              <w:t>1</w:t>
            </w:r>
            <w:r w:rsidR="00427F8E">
              <w:rPr>
                <w:rFonts w:cs="Arial"/>
              </w:rPr>
              <w:t>9</w:t>
            </w:r>
            <w:r>
              <w:rPr>
                <w:rFonts w:cs="Arial"/>
              </w:rPr>
              <w:t>–</w:t>
            </w:r>
            <w:r w:rsidR="00427F8E">
              <w:rPr>
                <w:rFonts w:cs="Arial"/>
              </w:rPr>
              <w:t>20</w:t>
            </w:r>
            <w:r w:rsidRPr="00A75084">
              <w:rPr>
                <w:rFonts w:cs="Arial"/>
              </w:rPr>
              <w:t xml:space="preserve"> Budget</w:t>
            </w:r>
          </w:p>
        </w:tc>
        <w:tc>
          <w:tcPr>
            <w:tcW w:w="597" w:type="pct"/>
            <w:vAlign w:val="center"/>
          </w:tcPr>
          <w:p w:rsidR="007310DB" w:rsidRPr="00A75084"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A75084">
              <w:rPr>
                <w:rFonts w:cs="Arial"/>
              </w:rPr>
              <w:t>$</w:t>
            </w:r>
            <w:r w:rsidR="00427F8E">
              <w:rPr>
                <w:rFonts w:cs="Arial"/>
              </w:rPr>
              <w:t>2,486,055</w:t>
            </w:r>
          </w:p>
        </w:tc>
        <w:tc>
          <w:tcPr>
            <w:tcW w:w="726" w:type="pct"/>
            <w:vAlign w:val="center"/>
          </w:tcPr>
          <w:p w:rsidR="007310DB" w:rsidRPr="00A75084"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A75084">
              <w:rPr>
                <w:rFonts w:cs="Arial"/>
              </w:rPr>
              <w:t>$</w:t>
            </w:r>
            <w:r w:rsidR="00427F8E">
              <w:rPr>
                <w:rFonts w:cs="Arial"/>
              </w:rPr>
              <w:t>2,434,809</w:t>
            </w:r>
          </w:p>
        </w:tc>
        <w:tc>
          <w:tcPr>
            <w:tcW w:w="581" w:type="pct"/>
            <w:vAlign w:val="center"/>
          </w:tcPr>
          <w:p w:rsidR="007310DB" w:rsidRPr="00A75084"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A75084">
              <w:rPr>
                <w:rFonts w:cs="Arial"/>
              </w:rPr>
              <w:t>$</w:t>
            </w:r>
            <w:r w:rsidR="00427F8E">
              <w:rPr>
                <w:rFonts w:cs="Arial"/>
              </w:rPr>
              <w:t>51,246</w:t>
            </w:r>
          </w:p>
        </w:tc>
        <w:tc>
          <w:tcPr>
            <w:tcW w:w="505" w:type="pct"/>
            <w:vAlign w:val="center"/>
          </w:tcPr>
          <w:p w:rsidR="007310DB" w:rsidRPr="00A75084"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A75084">
              <w:rPr>
                <w:rFonts w:cs="Arial"/>
              </w:rPr>
              <w:t>NA</w:t>
            </w:r>
          </w:p>
        </w:tc>
        <w:tc>
          <w:tcPr>
            <w:tcW w:w="373" w:type="pct"/>
            <w:vAlign w:val="center"/>
          </w:tcPr>
          <w:p w:rsidR="007310DB" w:rsidRPr="00A75084"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A75084">
              <w:rPr>
                <w:rFonts w:cs="Arial"/>
              </w:rPr>
              <w:t>NA</w:t>
            </w:r>
          </w:p>
        </w:tc>
        <w:tc>
          <w:tcPr>
            <w:tcW w:w="640" w:type="pct"/>
            <w:vAlign w:val="center"/>
          </w:tcPr>
          <w:p w:rsidR="007310DB" w:rsidRPr="00A75084"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A75084">
              <w:rPr>
                <w:rFonts w:cs="Arial"/>
              </w:rPr>
              <w:t>9</w:t>
            </w:r>
            <w:r w:rsidR="00427F8E">
              <w:rPr>
                <w:rFonts w:cs="Arial"/>
              </w:rPr>
              <w:t>7</w:t>
            </w:r>
            <w:r w:rsidRPr="00A75084">
              <w:rPr>
                <w:rFonts w:cs="Arial"/>
              </w:rPr>
              <w:t>%</w:t>
            </w:r>
          </w:p>
        </w:tc>
        <w:tc>
          <w:tcPr>
            <w:tcW w:w="581" w:type="pct"/>
            <w:vAlign w:val="center"/>
          </w:tcPr>
          <w:p w:rsidR="007310DB" w:rsidRPr="00A75084"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A75084">
              <w:rPr>
                <w:rFonts w:cs="Arial"/>
              </w:rPr>
              <w:t>$</w:t>
            </w:r>
            <w:r w:rsidR="00427F8E">
              <w:rPr>
                <w:rFonts w:cs="Arial"/>
              </w:rPr>
              <w:t>156,661</w:t>
            </w:r>
          </w:p>
        </w:tc>
        <w:tc>
          <w:tcPr>
            <w:tcW w:w="545" w:type="pct"/>
            <w:vAlign w:val="center"/>
          </w:tcPr>
          <w:p w:rsidR="007310DB" w:rsidRPr="00A75084" w:rsidRDefault="00427F8E" w:rsidP="00E31465">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6.43</w:t>
            </w:r>
            <w:r w:rsidR="007310DB" w:rsidRPr="00A75084">
              <w:rPr>
                <w:rFonts w:cs="Arial"/>
              </w:rPr>
              <w:t>%</w:t>
            </w:r>
          </w:p>
        </w:tc>
      </w:tr>
      <w:tr w:rsidR="007310DB" w:rsidRPr="00A75084" w:rsidTr="009758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1" w:type="pct"/>
            <w:vAlign w:val="center"/>
          </w:tcPr>
          <w:p w:rsidR="007310DB" w:rsidRPr="00A75084" w:rsidRDefault="007310DB" w:rsidP="00E31465">
            <w:pPr>
              <w:rPr>
                <w:rFonts w:cs="Arial"/>
              </w:rPr>
            </w:pPr>
            <w:r>
              <w:rPr>
                <w:rFonts w:cs="Arial"/>
              </w:rPr>
              <w:t>201</w:t>
            </w:r>
            <w:r w:rsidR="00427F8E">
              <w:rPr>
                <w:rFonts w:cs="Arial"/>
              </w:rPr>
              <w:t>9</w:t>
            </w:r>
            <w:r>
              <w:rPr>
                <w:rFonts w:cs="Arial"/>
              </w:rPr>
              <w:t>–</w:t>
            </w:r>
            <w:r w:rsidR="00427F8E">
              <w:rPr>
                <w:rFonts w:cs="Arial"/>
              </w:rPr>
              <w:t>20</w:t>
            </w:r>
            <w:r w:rsidRPr="00A75084">
              <w:rPr>
                <w:rFonts w:cs="Arial"/>
              </w:rPr>
              <w:t xml:space="preserve"> 2nd Interim</w:t>
            </w:r>
          </w:p>
        </w:tc>
        <w:tc>
          <w:tcPr>
            <w:tcW w:w="597" w:type="pct"/>
            <w:vAlign w:val="center"/>
          </w:tcPr>
          <w:p w:rsidR="007310DB" w:rsidRPr="00A75084"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75084">
              <w:rPr>
                <w:rFonts w:cs="Arial"/>
              </w:rPr>
              <w:t>$</w:t>
            </w:r>
            <w:r w:rsidR="00427F8E">
              <w:rPr>
                <w:rFonts w:cs="Arial"/>
              </w:rPr>
              <w:t>2,023,145</w:t>
            </w:r>
          </w:p>
        </w:tc>
        <w:tc>
          <w:tcPr>
            <w:tcW w:w="726" w:type="pct"/>
            <w:vAlign w:val="center"/>
          </w:tcPr>
          <w:p w:rsidR="007310DB" w:rsidRPr="00A75084"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75084">
              <w:rPr>
                <w:rFonts w:cs="Arial"/>
              </w:rPr>
              <w:t>$</w:t>
            </w:r>
            <w:r w:rsidR="00427F8E">
              <w:rPr>
                <w:rFonts w:cs="Arial"/>
              </w:rPr>
              <w:t>2,422,650</w:t>
            </w:r>
          </w:p>
        </w:tc>
        <w:tc>
          <w:tcPr>
            <w:tcW w:w="581" w:type="pct"/>
            <w:vAlign w:val="center"/>
          </w:tcPr>
          <w:p w:rsidR="007310DB" w:rsidRPr="00A75084" w:rsidRDefault="00427F8E" w:rsidP="00E314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w:t>
            </w:r>
            <w:r w:rsidR="007310DB" w:rsidRPr="00A75084">
              <w:rPr>
                <w:rFonts w:cs="Arial"/>
              </w:rPr>
              <w:t>$</w:t>
            </w:r>
            <w:r>
              <w:rPr>
                <w:rFonts w:cs="Arial"/>
              </w:rPr>
              <w:t>399,505)</w:t>
            </w:r>
          </w:p>
        </w:tc>
        <w:tc>
          <w:tcPr>
            <w:tcW w:w="505" w:type="pct"/>
            <w:vAlign w:val="center"/>
          </w:tcPr>
          <w:p w:rsidR="007310DB" w:rsidRPr="00A75084"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75084">
              <w:rPr>
                <w:rFonts w:cs="Arial"/>
              </w:rPr>
              <w:t>NA</w:t>
            </w:r>
          </w:p>
        </w:tc>
        <w:tc>
          <w:tcPr>
            <w:tcW w:w="373" w:type="pct"/>
            <w:vAlign w:val="center"/>
          </w:tcPr>
          <w:p w:rsidR="007310DB" w:rsidRPr="00975887"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975887">
              <w:rPr>
                <w:rFonts w:cs="Arial"/>
              </w:rPr>
              <w:t>NA</w:t>
            </w:r>
          </w:p>
        </w:tc>
        <w:tc>
          <w:tcPr>
            <w:tcW w:w="640" w:type="pct"/>
            <w:vAlign w:val="center"/>
          </w:tcPr>
          <w:p w:rsidR="007310DB" w:rsidRPr="00975887"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975887">
              <w:rPr>
                <w:rFonts w:cs="Arial"/>
              </w:rPr>
              <w:t>9</w:t>
            </w:r>
            <w:r w:rsidR="009A3FBD" w:rsidRPr="00975887">
              <w:rPr>
                <w:rFonts w:cs="Arial"/>
              </w:rPr>
              <w:t>3.24</w:t>
            </w:r>
            <w:r w:rsidRPr="00975887">
              <w:rPr>
                <w:rFonts w:cs="Arial"/>
              </w:rPr>
              <w:t>%</w:t>
            </w:r>
          </w:p>
        </w:tc>
        <w:tc>
          <w:tcPr>
            <w:tcW w:w="581" w:type="pct"/>
            <w:vAlign w:val="center"/>
          </w:tcPr>
          <w:p w:rsidR="007310DB" w:rsidRPr="00975887"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975887">
              <w:rPr>
                <w:rFonts w:cs="Arial"/>
              </w:rPr>
              <w:t>($</w:t>
            </w:r>
            <w:r w:rsidR="00427F8E" w:rsidRPr="00975887">
              <w:rPr>
                <w:rFonts w:cs="Arial"/>
              </w:rPr>
              <w:t>294,090</w:t>
            </w:r>
            <w:r w:rsidRPr="00975887">
              <w:rPr>
                <w:rFonts w:cs="Arial"/>
              </w:rPr>
              <w:t>)</w:t>
            </w:r>
          </w:p>
        </w:tc>
        <w:tc>
          <w:tcPr>
            <w:tcW w:w="545" w:type="pct"/>
            <w:vAlign w:val="center"/>
          </w:tcPr>
          <w:p w:rsidR="007310DB" w:rsidRPr="00975887"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975887">
              <w:rPr>
                <w:rFonts w:cs="Arial"/>
              </w:rPr>
              <w:t>0%</w:t>
            </w:r>
          </w:p>
        </w:tc>
      </w:tr>
    </w:tbl>
    <w:p w:rsidR="00D22B8F" w:rsidRDefault="00D22B8F" w:rsidP="00E31465">
      <w:pPr>
        <w:spacing w:before="240"/>
        <w:rPr>
          <w:i/>
        </w:rPr>
        <w:sectPr w:rsidR="00D22B8F" w:rsidSect="00A34996">
          <w:pgSz w:w="15840" w:h="12240" w:orient="landscape"/>
          <w:pgMar w:top="1440" w:right="1440" w:bottom="1440" w:left="1440" w:header="720" w:footer="720" w:gutter="0"/>
          <w:cols w:space="720"/>
          <w:docGrid w:linePitch="326"/>
        </w:sectPr>
      </w:pPr>
    </w:p>
    <w:p w:rsidR="007310DB" w:rsidRDefault="00427F8E" w:rsidP="00E31465">
      <w:pPr>
        <w:pStyle w:val="Heading3"/>
      </w:pPr>
      <w:r>
        <w:lastRenderedPageBreak/>
        <w:t>Olive Grove</w:t>
      </w:r>
      <w:r w:rsidRPr="00990D3E">
        <w:rPr>
          <w:rFonts w:cs="Arial"/>
        </w:rPr>
        <w:t xml:space="preserve"> </w:t>
      </w:r>
      <w:r>
        <w:rPr>
          <w:rFonts w:cs="Arial"/>
        </w:rPr>
        <w:t>Charter – Or</w:t>
      </w:r>
      <w:r w:rsidR="00E31465">
        <w:rPr>
          <w:rFonts w:cs="Arial"/>
        </w:rPr>
        <w:t>c</w:t>
      </w:r>
      <w:r>
        <w:rPr>
          <w:rFonts w:cs="Arial"/>
        </w:rPr>
        <w:t>utt/Santa Maria</w:t>
      </w:r>
    </w:p>
    <w:p w:rsidR="007310DB" w:rsidRPr="00D270A8" w:rsidRDefault="007310DB" w:rsidP="00E31465">
      <w:pPr>
        <w:pStyle w:val="ListParagraph"/>
        <w:numPr>
          <w:ilvl w:val="0"/>
          <w:numId w:val="10"/>
        </w:numPr>
      </w:pPr>
      <w:r w:rsidRPr="00D270A8">
        <w:t>Charter Term Expires: 6/30/202</w:t>
      </w:r>
      <w:r w:rsidR="00427F8E">
        <w:t>3</w:t>
      </w:r>
    </w:p>
    <w:p w:rsidR="007310DB" w:rsidRPr="00D270A8" w:rsidRDefault="007310DB" w:rsidP="00E31465">
      <w:pPr>
        <w:pStyle w:val="ListParagraph"/>
        <w:numPr>
          <w:ilvl w:val="0"/>
          <w:numId w:val="10"/>
        </w:numPr>
      </w:pPr>
      <w:r w:rsidRPr="00D270A8">
        <w:t xml:space="preserve">Grades Authorized to Serve: </w:t>
      </w:r>
      <w:r w:rsidR="00427F8E">
        <w:t>K</w:t>
      </w:r>
      <w:r w:rsidRPr="00D270A8">
        <w:t>–12</w:t>
      </w:r>
    </w:p>
    <w:p w:rsidR="007310DB" w:rsidRPr="00D270A8" w:rsidRDefault="007310DB" w:rsidP="00E31465">
      <w:pPr>
        <w:pStyle w:val="ListParagraph"/>
        <w:numPr>
          <w:ilvl w:val="0"/>
          <w:numId w:val="10"/>
        </w:numPr>
      </w:pPr>
      <w:r w:rsidRPr="00D270A8">
        <w:t>201</w:t>
      </w:r>
      <w:r w:rsidR="00427F8E">
        <w:t>8</w:t>
      </w:r>
      <w:r>
        <w:t>–1</w:t>
      </w:r>
      <w:r w:rsidR="00427F8E">
        <w:t>9</w:t>
      </w:r>
      <w:r w:rsidRPr="00D270A8">
        <w:t xml:space="preserve"> P-2 ADA: </w:t>
      </w:r>
      <w:r>
        <w:t>2</w:t>
      </w:r>
      <w:r w:rsidR="00427F8E">
        <w:t>13.72</w:t>
      </w:r>
    </w:p>
    <w:p w:rsidR="007310DB" w:rsidRPr="00D270A8" w:rsidRDefault="007310DB" w:rsidP="00E31465">
      <w:pPr>
        <w:pStyle w:val="ListParagraph"/>
        <w:numPr>
          <w:ilvl w:val="0"/>
          <w:numId w:val="10"/>
        </w:numPr>
        <w:spacing w:after="100" w:afterAutospacing="1"/>
      </w:pPr>
      <w:r>
        <w:t>201</w:t>
      </w:r>
      <w:r w:rsidR="00427F8E">
        <w:t>9</w:t>
      </w:r>
      <w:r>
        <w:t>–</w:t>
      </w:r>
      <w:r w:rsidR="00427F8E">
        <w:t>20</w:t>
      </w:r>
      <w:r w:rsidRPr="00D270A8">
        <w:t xml:space="preserve"> P-2 ADA: </w:t>
      </w:r>
      <w:r w:rsidRPr="003A161B">
        <w:t>2</w:t>
      </w:r>
      <w:r w:rsidR="003A161B" w:rsidRPr="003A161B">
        <w:t>44.51</w:t>
      </w:r>
    </w:p>
    <w:p w:rsidR="007310DB" w:rsidRDefault="007310DB" w:rsidP="00E31465">
      <w:pPr>
        <w:pStyle w:val="Heading4"/>
      </w:pPr>
      <w:r>
        <w:t>Fiscal Concerns</w:t>
      </w:r>
    </w:p>
    <w:p w:rsidR="007310DB" w:rsidRDefault="00427F8E" w:rsidP="00E31465">
      <w:pPr>
        <w:spacing w:after="100" w:afterAutospacing="1"/>
      </w:pPr>
      <w:r>
        <w:t>The CDE found that OGCOSM’s</w:t>
      </w:r>
      <w:r w:rsidRPr="00391D2E">
        <w:t xml:space="preserve"> 201</w:t>
      </w:r>
      <w:r>
        <w:t>9</w:t>
      </w:r>
      <w:r w:rsidRPr="00391D2E">
        <w:t>–</w:t>
      </w:r>
      <w:r>
        <w:t xml:space="preserve">20 </w:t>
      </w:r>
      <w:r w:rsidRPr="00391D2E">
        <w:t>second interim r</w:t>
      </w:r>
      <w:r>
        <w:t xml:space="preserve">eport indicates that OGCOSM is projecting a negative ending fund </w:t>
      </w:r>
      <w:r w:rsidRPr="00391D2E">
        <w:t>balance of $</w:t>
      </w:r>
      <w:r>
        <w:t>225,635 with zero</w:t>
      </w:r>
      <w:r w:rsidRPr="00391D2E">
        <w:t xml:space="preserve"> percent</w:t>
      </w:r>
      <w:r w:rsidR="00975887">
        <w:t xml:space="preserve"> in</w:t>
      </w:r>
      <w:r w:rsidRPr="00391D2E">
        <w:t xml:space="preserve"> reserve</w:t>
      </w:r>
      <w:r>
        <w:t>s</w:t>
      </w:r>
      <w:r w:rsidRPr="00391D2E">
        <w:t xml:space="preserve"> for FY 201</w:t>
      </w:r>
      <w:r>
        <w:t>9</w:t>
      </w:r>
      <w:r w:rsidRPr="00391D2E">
        <w:t>–</w:t>
      </w:r>
      <w:r>
        <w:t>20, which is below the recommended five percent in reserves outlined in the MOU between OGC</w:t>
      </w:r>
      <w:r w:rsidR="00B652A6">
        <w:t>OSM</w:t>
      </w:r>
      <w:r>
        <w:t xml:space="preserve"> and the SBE.</w:t>
      </w:r>
    </w:p>
    <w:p w:rsidR="007310DB" w:rsidRDefault="007310DB" w:rsidP="00975887">
      <w:pPr>
        <w:sectPr w:rsidR="007310DB" w:rsidSect="007310DB">
          <w:pgSz w:w="12240" w:h="15840"/>
          <w:pgMar w:top="720" w:right="1440" w:bottom="1440" w:left="1440" w:header="720" w:footer="720" w:gutter="0"/>
          <w:cols w:space="720"/>
        </w:sectPr>
      </w:pPr>
    </w:p>
    <w:p w:rsidR="007310DB" w:rsidRDefault="00B652A6" w:rsidP="00A34996">
      <w:pPr>
        <w:spacing w:after="100" w:afterAutospacing="1"/>
        <w:rPr>
          <w:b/>
        </w:rPr>
      </w:pPr>
      <w:r>
        <w:rPr>
          <w:b/>
        </w:rPr>
        <w:lastRenderedPageBreak/>
        <w:t>Olive Grove</w:t>
      </w:r>
      <w:r w:rsidR="00975887">
        <w:rPr>
          <w:b/>
        </w:rPr>
        <w:t xml:space="preserve"> Charte</w:t>
      </w:r>
      <w:r w:rsidR="00975887" w:rsidRPr="00975887">
        <w:rPr>
          <w:b/>
        </w:rPr>
        <w:t>r</w:t>
      </w:r>
      <w:r w:rsidRPr="00975887">
        <w:rPr>
          <w:b/>
        </w:rPr>
        <w:t xml:space="preserve"> </w:t>
      </w:r>
      <w:r w:rsidRPr="00975887">
        <w:rPr>
          <w:rFonts w:cs="Arial"/>
          <w:b/>
        </w:rPr>
        <w:t xml:space="preserve">– </w:t>
      </w:r>
      <w:r w:rsidRPr="00975887">
        <w:rPr>
          <w:b/>
        </w:rPr>
        <w:t>Orcutt/</w:t>
      </w:r>
      <w:r>
        <w:rPr>
          <w:b/>
        </w:rPr>
        <w:t>Santa Maria</w:t>
      </w:r>
      <w:r>
        <w:rPr>
          <w:rFonts w:cs="Arial"/>
        </w:rPr>
        <w:t xml:space="preserve"> </w:t>
      </w:r>
      <w:r w:rsidR="007310DB" w:rsidRPr="00A75084">
        <w:rPr>
          <w:b/>
        </w:rPr>
        <w:t>Financial Highlights</w:t>
      </w:r>
    </w:p>
    <w:p w:rsidR="00975887" w:rsidRPr="00975887" w:rsidRDefault="00975887" w:rsidP="00975887">
      <w:r w:rsidRPr="00975887">
        <w:t>NA: Not Applicable</w:t>
      </w:r>
    </w:p>
    <w:tbl>
      <w:tblPr>
        <w:tblStyle w:val="GridTable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nancial Highlights"/>
        <w:tblDescription w:val="Financial Highlights Olive Grove - Orcutt/Santa Maria"/>
      </w:tblPr>
      <w:tblGrid>
        <w:gridCol w:w="1169"/>
        <w:gridCol w:w="1547"/>
        <w:gridCol w:w="1880"/>
        <w:gridCol w:w="1505"/>
        <w:gridCol w:w="1308"/>
        <w:gridCol w:w="966"/>
        <w:gridCol w:w="1658"/>
        <w:gridCol w:w="1505"/>
        <w:gridCol w:w="1412"/>
      </w:tblGrid>
      <w:tr w:rsidR="00975887" w:rsidRPr="00975887" w:rsidTr="0097588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51" w:type="pct"/>
            <w:tcBorders>
              <w:top w:val="none" w:sz="0" w:space="0" w:color="auto"/>
              <w:left w:val="none" w:sz="0" w:space="0" w:color="auto"/>
              <w:bottom w:val="none" w:sz="0" w:space="0" w:color="auto"/>
              <w:right w:val="none" w:sz="0" w:space="0" w:color="auto"/>
            </w:tcBorders>
            <w:vAlign w:val="center"/>
          </w:tcPr>
          <w:p w:rsidR="007310DB" w:rsidRPr="00975887" w:rsidRDefault="00975887" w:rsidP="00E31465">
            <w:pPr>
              <w:jc w:val="center"/>
              <w:rPr>
                <w:rFonts w:cs="Arial"/>
                <w:b w:val="0"/>
                <w:color w:val="auto"/>
              </w:rPr>
            </w:pPr>
            <w:r w:rsidRPr="00975887">
              <w:rPr>
                <w:rFonts w:cs="Arial"/>
                <w:color w:val="auto"/>
              </w:rPr>
              <w:t>Fiscal Year</w:t>
            </w:r>
            <w:r w:rsidR="007310DB" w:rsidRPr="00975887">
              <w:rPr>
                <w:rFonts w:cs="Arial"/>
                <w:color w:val="auto"/>
              </w:rPr>
              <w:t xml:space="preserve"> / Source</w:t>
            </w:r>
          </w:p>
        </w:tc>
        <w:tc>
          <w:tcPr>
            <w:tcW w:w="597" w:type="pct"/>
            <w:tcBorders>
              <w:top w:val="none" w:sz="0" w:space="0" w:color="auto"/>
              <w:left w:val="none" w:sz="0" w:space="0" w:color="auto"/>
              <w:bottom w:val="none" w:sz="0" w:space="0" w:color="auto"/>
              <w:right w:val="none" w:sz="0" w:space="0" w:color="auto"/>
            </w:tcBorders>
            <w:vAlign w:val="center"/>
          </w:tcPr>
          <w:p w:rsidR="007310DB" w:rsidRPr="00975887"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975887">
              <w:rPr>
                <w:rFonts w:cs="Arial"/>
                <w:color w:val="auto"/>
              </w:rPr>
              <w:t>Total Revenues</w:t>
            </w:r>
          </w:p>
        </w:tc>
        <w:tc>
          <w:tcPr>
            <w:tcW w:w="726" w:type="pct"/>
            <w:tcBorders>
              <w:top w:val="none" w:sz="0" w:space="0" w:color="auto"/>
              <w:left w:val="none" w:sz="0" w:space="0" w:color="auto"/>
              <w:bottom w:val="none" w:sz="0" w:space="0" w:color="auto"/>
              <w:right w:val="none" w:sz="0" w:space="0" w:color="auto"/>
            </w:tcBorders>
            <w:vAlign w:val="center"/>
          </w:tcPr>
          <w:p w:rsidR="007310DB" w:rsidRPr="00975887"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975887">
              <w:rPr>
                <w:rFonts w:cs="Arial"/>
                <w:color w:val="auto"/>
              </w:rPr>
              <w:t>Total Expenditures</w:t>
            </w:r>
          </w:p>
        </w:tc>
        <w:tc>
          <w:tcPr>
            <w:tcW w:w="581" w:type="pct"/>
            <w:tcBorders>
              <w:top w:val="none" w:sz="0" w:space="0" w:color="auto"/>
              <w:left w:val="none" w:sz="0" w:space="0" w:color="auto"/>
              <w:bottom w:val="none" w:sz="0" w:space="0" w:color="auto"/>
              <w:right w:val="none" w:sz="0" w:space="0" w:color="auto"/>
            </w:tcBorders>
            <w:vAlign w:val="center"/>
          </w:tcPr>
          <w:p w:rsidR="007310DB" w:rsidRPr="00975887"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975887">
              <w:rPr>
                <w:rFonts w:cs="Arial"/>
                <w:color w:val="auto"/>
              </w:rPr>
              <w:t>Net Operating Surplus (Deficit)</w:t>
            </w:r>
          </w:p>
        </w:tc>
        <w:tc>
          <w:tcPr>
            <w:tcW w:w="505" w:type="pct"/>
            <w:tcBorders>
              <w:top w:val="none" w:sz="0" w:space="0" w:color="auto"/>
              <w:left w:val="none" w:sz="0" w:space="0" w:color="auto"/>
              <w:bottom w:val="none" w:sz="0" w:space="0" w:color="auto"/>
              <w:right w:val="none" w:sz="0" w:space="0" w:color="auto"/>
            </w:tcBorders>
            <w:vAlign w:val="center"/>
          </w:tcPr>
          <w:p w:rsidR="007310DB" w:rsidRPr="00975887"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975887">
              <w:rPr>
                <w:rFonts w:cs="Arial"/>
                <w:color w:val="auto"/>
              </w:rPr>
              <w:t>Working Capital Ratio</w:t>
            </w:r>
          </w:p>
        </w:tc>
        <w:tc>
          <w:tcPr>
            <w:tcW w:w="373" w:type="pct"/>
            <w:tcBorders>
              <w:top w:val="none" w:sz="0" w:space="0" w:color="auto"/>
              <w:left w:val="none" w:sz="0" w:space="0" w:color="auto"/>
              <w:bottom w:val="none" w:sz="0" w:space="0" w:color="auto"/>
              <w:right w:val="none" w:sz="0" w:space="0" w:color="auto"/>
            </w:tcBorders>
            <w:vAlign w:val="center"/>
          </w:tcPr>
          <w:p w:rsidR="007310DB" w:rsidRPr="00975887"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975887">
              <w:rPr>
                <w:rFonts w:cs="Arial"/>
                <w:color w:val="auto"/>
              </w:rPr>
              <w:t>Debt Ratio</w:t>
            </w:r>
          </w:p>
        </w:tc>
        <w:tc>
          <w:tcPr>
            <w:tcW w:w="640" w:type="pct"/>
            <w:tcBorders>
              <w:top w:val="none" w:sz="0" w:space="0" w:color="auto"/>
              <w:left w:val="none" w:sz="0" w:space="0" w:color="auto"/>
              <w:bottom w:val="none" w:sz="0" w:space="0" w:color="auto"/>
              <w:right w:val="none" w:sz="0" w:space="0" w:color="auto"/>
            </w:tcBorders>
            <w:vAlign w:val="center"/>
          </w:tcPr>
          <w:p w:rsidR="007310DB" w:rsidRPr="00975887"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975887">
              <w:rPr>
                <w:rFonts w:cs="Arial"/>
                <w:color w:val="auto"/>
              </w:rPr>
              <w:t>Attendance Ratio</w:t>
            </w:r>
          </w:p>
        </w:tc>
        <w:tc>
          <w:tcPr>
            <w:tcW w:w="581" w:type="pct"/>
            <w:tcBorders>
              <w:top w:val="none" w:sz="0" w:space="0" w:color="auto"/>
              <w:left w:val="none" w:sz="0" w:space="0" w:color="auto"/>
              <w:bottom w:val="none" w:sz="0" w:space="0" w:color="auto"/>
              <w:right w:val="none" w:sz="0" w:space="0" w:color="auto"/>
            </w:tcBorders>
            <w:vAlign w:val="center"/>
          </w:tcPr>
          <w:p w:rsidR="007310DB" w:rsidRPr="00975887"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975887">
              <w:rPr>
                <w:rFonts w:cs="Arial"/>
                <w:color w:val="auto"/>
              </w:rPr>
              <w:t>Ending Fund Balance</w:t>
            </w:r>
          </w:p>
        </w:tc>
        <w:tc>
          <w:tcPr>
            <w:tcW w:w="545" w:type="pct"/>
            <w:tcBorders>
              <w:top w:val="none" w:sz="0" w:space="0" w:color="auto"/>
              <w:left w:val="none" w:sz="0" w:space="0" w:color="auto"/>
              <w:bottom w:val="none" w:sz="0" w:space="0" w:color="auto"/>
              <w:right w:val="none" w:sz="0" w:space="0" w:color="auto"/>
            </w:tcBorders>
            <w:vAlign w:val="center"/>
          </w:tcPr>
          <w:p w:rsidR="007310DB" w:rsidRPr="00975887"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975887">
              <w:rPr>
                <w:rFonts w:cs="Arial"/>
                <w:color w:val="auto"/>
              </w:rPr>
              <w:t>Percent of Reserves</w:t>
            </w:r>
          </w:p>
        </w:tc>
      </w:tr>
      <w:tr w:rsidR="00975887" w:rsidRPr="00975887" w:rsidTr="009758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1" w:type="pct"/>
            <w:vAlign w:val="center"/>
          </w:tcPr>
          <w:p w:rsidR="007310DB" w:rsidRPr="00975887" w:rsidRDefault="007310DB" w:rsidP="00E31465">
            <w:pPr>
              <w:rPr>
                <w:rFonts w:cs="Arial"/>
              </w:rPr>
            </w:pPr>
            <w:r w:rsidRPr="00975887">
              <w:rPr>
                <w:rFonts w:cs="Arial"/>
              </w:rPr>
              <w:t>201</w:t>
            </w:r>
            <w:r w:rsidR="00B652A6" w:rsidRPr="00975887">
              <w:rPr>
                <w:rFonts w:cs="Arial"/>
              </w:rPr>
              <w:t>8</w:t>
            </w:r>
            <w:r w:rsidRPr="00975887">
              <w:rPr>
                <w:rFonts w:cs="Arial"/>
              </w:rPr>
              <w:t>–1</w:t>
            </w:r>
            <w:r w:rsidR="00B652A6" w:rsidRPr="00975887">
              <w:rPr>
                <w:rFonts w:cs="Arial"/>
              </w:rPr>
              <w:t>9</w:t>
            </w:r>
            <w:r w:rsidRPr="00975887">
              <w:rPr>
                <w:rFonts w:cs="Arial"/>
              </w:rPr>
              <w:t xml:space="preserve"> Audit</w:t>
            </w:r>
          </w:p>
        </w:tc>
        <w:tc>
          <w:tcPr>
            <w:tcW w:w="597" w:type="pct"/>
            <w:vAlign w:val="center"/>
          </w:tcPr>
          <w:p w:rsidR="007310DB" w:rsidRPr="00975887"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975887">
              <w:rPr>
                <w:rFonts w:cs="Arial"/>
              </w:rPr>
              <w:t>$</w:t>
            </w:r>
            <w:r w:rsidR="006A1E09" w:rsidRPr="00975887">
              <w:rPr>
                <w:rFonts w:cs="Arial"/>
              </w:rPr>
              <w:t>3,004,079</w:t>
            </w:r>
          </w:p>
        </w:tc>
        <w:tc>
          <w:tcPr>
            <w:tcW w:w="726" w:type="pct"/>
            <w:vAlign w:val="center"/>
          </w:tcPr>
          <w:p w:rsidR="007310DB" w:rsidRPr="00975887"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975887">
              <w:rPr>
                <w:rFonts w:cs="Arial"/>
              </w:rPr>
              <w:t>$</w:t>
            </w:r>
            <w:r w:rsidR="006A1E09" w:rsidRPr="00975887">
              <w:rPr>
                <w:rFonts w:cs="Arial"/>
              </w:rPr>
              <w:t>2,887,135</w:t>
            </w:r>
          </w:p>
        </w:tc>
        <w:tc>
          <w:tcPr>
            <w:tcW w:w="581" w:type="pct"/>
            <w:vAlign w:val="center"/>
          </w:tcPr>
          <w:p w:rsidR="007310DB" w:rsidRPr="00975887"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975887">
              <w:rPr>
                <w:rFonts w:cs="Arial"/>
              </w:rPr>
              <w:t>$</w:t>
            </w:r>
            <w:r w:rsidR="006A1E09" w:rsidRPr="00975887">
              <w:rPr>
                <w:rFonts w:cs="Arial"/>
              </w:rPr>
              <w:t>116,944</w:t>
            </w:r>
          </w:p>
        </w:tc>
        <w:tc>
          <w:tcPr>
            <w:tcW w:w="505" w:type="pct"/>
            <w:vAlign w:val="center"/>
          </w:tcPr>
          <w:p w:rsidR="007310DB" w:rsidRPr="00975887"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975887">
              <w:rPr>
                <w:rFonts w:cs="Arial"/>
              </w:rPr>
              <w:t>0.</w:t>
            </w:r>
            <w:r w:rsidR="006A1E09" w:rsidRPr="00975887">
              <w:rPr>
                <w:rFonts w:cs="Arial"/>
              </w:rPr>
              <w:t>99</w:t>
            </w:r>
          </w:p>
        </w:tc>
        <w:tc>
          <w:tcPr>
            <w:tcW w:w="373" w:type="pct"/>
            <w:vAlign w:val="center"/>
          </w:tcPr>
          <w:p w:rsidR="007310DB" w:rsidRPr="00975887" w:rsidRDefault="006A1E09"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975887">
              <w:rPr>
                <w:rFonts w:cs="Arial"/>
              </w:rPr>
              <w:t>0.85</w:t>
            </w:r>
          </w:p>
        </w:tc>
        <w:tc>
          <w:tcPr>
            <w:tcW w:w="640" w:type="pct"/>
            <w:vAlign w:val="center"/>
          </w:tcPr>
          <w:p w:rsidR="007310DB" w:rsidRPr="00975887" w:rsidRDefault="006A1E09"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975887">
              <w:rPr>
                <w:rFonts w:cs="Arial"/>
              </w:rPr>
              <w:t>104.76%</w:t>
            </w:r>
          </w:p>
        </w:tc>
        <w:tc>
          <w:tcPr>
            <w:tcW w:w="581" w:type="pct"/>
            <w:vAlign w:val="center"/>
          </w:tcPr>
          <w:p w:rsidR="007310DB" w:rsidRPr="00975887"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975887">
              <w:rPr>
                <w:rFonts w:cs="Arial"/>
              </w:rPr>
              <w:t>$</w:t>
            </w:r>
            <w:r w:rsidR="006A1E09" w:rsidRPr="00975887">
              <w:rPr>
                <w:rFonts w:cs="Arial"/>
              </w:rPr>
              <w:t>116,944</w:t>
            </w:r>
          </w:p>
        </w:tc>
        <w:tc>
          <w:tcPr>
            <w:tcW w:w="545" w:type="pct"/>
            <w:vAlign w:val="center"/>
          </w:tcPr>
          <w:p w:rsidR="007310DB" w:rsidRPr="00975887" w:rsidRDefault="006A1E09"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975887">
              <w:rPr>
                <w:rFonts w:cs="Arial"/>
              </w:rPr>
              <w:t>4.05</w:t>
            </w:r>
            <w:r w:rsidR="007310DB" w:rsidRPr="00975887">
              <w:rPr>
                <w:rFonts w:cs="Arial"/>
              </w:rPr>
              <w:t>%</w:t>
            </w:r>
          </w:p>
        </w:tc>
      </w:tr>
      <w:tr w:rsidR="00975887" w:rsidRPr="00975887" w:rsidTr="00975887">
        <w:trPr>
          <w:cantSplit/>
        </w:trPr>
        <w:tc>
          <w:tcPr>
            <w:cnfStyle w:val="001000000000" w:firstRow="0" w:lastRow="0" w:firstColumn="1" w:lastColumn="0" w:oddVBand="0" w:evenVBand="0" w:oddHBand="0" w:evenHBand="0" w:firstRowFirstColumn="0" w:firstRowLastColumn="0" w:lastRowFirstColumn="0" w:lastRowLastColumn="0"/>
            <w:tcW w:w="451" w:type="pct"/>
            <w:vAlign w:val="center"/>
          </w:tcPr>
          <w:p w:rsidR="007310DB" w:rsidRPr="00975887" w:rsidRDefault="007310DB" w:rsidP="00E31465">
            <w:pPr>
              <w:rPr>
                <w:rFonts w:cs="Arial"/>
              </w:rPr>
            </w:pPr>
            <w:r w:rsidRPr="00975887">
              <w:rPr>
                <w:rFonts w:cs="Arial"/>
              </w:rPr>
              <w:t>201</w:t>
            </w:r>
            <w:r w:rsidR="00B652A6" w:rsidRPr="00975887">
              <w:rPr>
                <w:rFonts w:cs="Arial"/>
              </w:rPr>
              <w:t>9</w:t>
            </w:r>
            <w:r w:rsidRPr="00975887">
              <w:rPr>
                <w:rFonts w:cs="Arial"/>
              </w:rPr>
              <w:t>–</w:t>
            </w:r>
            <w:r w:rsidR="00B652A6" w:rsidRPr="00975887">
              <w:rPr>
                <w:rFonts w:cs="Arial"/>
              </w:rPr>
              <w:t>20</w:t>
            </w:r>
            <w:r w:rsidRPr="00975887">
              <w:rPr>
                <w:rFonts w:cs="Arial"/>
              </w:rPr>
              <w:t xml:space="preserve"> Budget</w:t>
            </w:r>
          </w:p>
        </w:tc>
        <w:tc>
          <w:tcPr>
            <w:tcW w:w="597" w:type="pct"/>
            <w:vAlign w:val="center"/>
          </w:tcPr>
          <w:p w:rsidR="007310DB" w:rsidRPr="00975887"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975887">
              <w:rPr>
                <w:rFonts w:cs="Arial"/>
              </w:rPr>
              <w:t>$</w:t>
            </w:r>
            <w:r w:rsidR="006A1E09" w:rsidRPr="00975887">
              <w:rPr>
                <w:rFonts w:cs="Arial"/>
              </w:rPr>
              <w:t>4,273,747</w:t>
            </w:r>
          </w:p>
        </w:tc>
        <w:tc>
          <w:tcPr>
            <w:tcW w:w="726" w:type="pct"/>
            <w:vAlign w:val="center"/>
          </w:tcPr>
          <w:p w:rsidR="007310DB" w:rsidRPr="00975887"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975887">
              <w:rPr>
                <w:rFonts w:cs="Arial"/>
              </w:rPr>
              <w:t>$4,1</w:t>
            </w:r>
            <w:r w:rsidR="006A1E09" w:rsidRPr="00975887">
              <w:rPr>
                <w:rFonts w:cs="Arial"/>
              </w:rPr>
              <w:t>00,677</w:t>
            </w:r>
          </w:p>
        </w:tc>
        <w:tc>
          <w:tcPr>
            <w:tcW w:w="581" w:type="pct"/>
            <w:vAlign w:val="center"/>
          </w:tcPr>
          <w:p w:rsidR="007310DB" w:rsidRPr="00975887"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975887">
              <w:rPr>
                <w:rFonts w:cs="Arial"/>
              </w:rPr>
              <w:t>$</w:t>
            </w:r>
            <w:r w:rsidR="006A1E09" w:rsidRPr="00975887">
              <w:rPr>
                <w:rFonts w:cs="Arial"/>
              </w:rPr>
              <w:t>173,070</w:t>
            </w:r>
          </w:p>
        </w:tc>
        <w:tc>
          <w:tcPr>
            <w:tcW w:w="505" w:type="pct"/>
            <w:vAlign w:val="center"/>
          </w:tcPr>
          <w:p w:rsidR="007310DB" w:rsidRPr="00975887"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975887">
              <w:rPr>
                <w:rFonts w:cs="Arial"/>
              </w:rPr>
              <w:t>NA</w:t>
            </w:r>
          </w:p>
        </w:tc>
        <w:tc>
          <w:tcPr>
            <w:tcW w:w="373" w:type="pct"/>
            <w:vAlign w:val="center"/>
          </w:tcPr>
          <w:p w:rsidR="007310DB" w:rsidRPr="00975887"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975887">
              <w:rPr>
                <w:rFonts w:cs="Arial"/>
              </w:rPr>
              <w:t>NA</w:t>
            </w:r>
          </w:p>
        </w:tc>
        <w:tc>
          <w:tcPr>
            <w:tcW w:w="640" w:type="pct"/>
            <w:vAlign w:val="center"/>
          </w:tcPr>
          <w:p w:rsidR="007310DB" w:rsidRPr="00975887"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975887">
              <w:rPr>
                <w:rFonts w:cs="Arial"/>
              </w:rPr>
              <w:t>9</w:t>
            </w:r>
            <w:r w:rsidR="006A1E09" w:rsidRPr="00975887">
              <w:rPr>
                <w:rFonts w:cs="Arial"/>
              </w:rPr>
              <w:t>7</w:t>
            </w:r>
            <w:r w:rsidRPr="00975887">
              <w:rPr>
                <w:rFonts w:cs="Arial"/>
              </w:rPr>
              <w:t>%</w:t>
            </w:r>
          </w:p>
        </w:tc>
        <w:tc>
          <w:tcPr>
            <w:tcW w:w="581" w:type="pct"/>
            <w:vAlign w:val="center"/>
          </w:tcPr>
          <w:p w:rsidR="007310DB" w:rsidRPr="00975887"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975887">
              <w:rPr>
                <w:rFonts w:cs="Arial"/>
              </w:rPr>
              <w:t>$</w:t>
            </w:r>
            <w:r w:rsidR="006A1E09" w:rsidRPr="00975887">
              <w:rPr>
                <w:rFonts w:cs="Arial"/>
              </w:rPr>
              <w:t>290,014</w:t>
            </w:r>
          </w:p>
        </w:tc>
        <w:tc>
          <w:tcPr>
            <w:tcW w:w="545" w:type="pct"/>
            <w:vAlign w:val="center"/>
          </w:tcPr>
          <w:p w:rsidR="007310DB" w:rsidRPr="00975887" w:rsidRDefault="006A1E09"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975887">
              <w:rPr>
                <w:rFonts w:cs="Arial"/>
              </w:rPr>
              <w:t>7.07</w:t>
            </w:r>
            <w:r w:rsidR="007310DB" w:rsidRPr="00975887">
              <w:rPr>
                <w:rFonts w:cs="Arial"/>
              </w:rPr>
              <w:t>%</w:t>
            </w:r>
          </w:p>
        </w:tc>
      </w:tr>
      <w:tr w:rsidR="00975887" w:rsidRPr="00975887" w:rsidTr="009758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1" w:type="pct"/>
            <w:vAlign w:val="center"/>
          </w:tcPr>
          <w:p w:rsidR="007310DB" w:rsidRPr="00975887" w:rsidRDefault="007310DB" w:rsidP="00E31465">
            <w:pPr>
              <w:rPr>
                <w:rFonts w:cs="Arial"/>
              </w:rPr>
            </w:pPr>
            <w:r w:rsidRPr="00975887">
              <w:rPr>
                <w:rFonts w:cs="Arial"/>
              </w:rPr>
              <w:t>201</w:t>
            </w:r>
            <w:r w:rsidR="006A1E09" w:rsidRPr="00975887">
              <w:rPr>
                <w:rFonts w:cs="Arial"/>
              </w:rPr>
              <w:t>9</w:t>
            </w:r>
            <w:r w:rsidRPr="00975887">
              <w:rPr>
                <w:rFonts w:cs="Arial"/>
              </w:rPr>
              <w:t>–</w:t>
            </w:r>
            <w:r w:rsidR="006A1E09" w:rsidRPr="00975887">
              <w:rPr>
                <w:rFonts w:cs="Arial"/>
              </w:rPr>
              <w:t>20</w:t>
            </w:r>
            <w:r w:rsidRPr="00975887">
              <w:rPr>
                <w:rFonts w:cs="Arial"/>
              </w:rPr>
              <w:t xml:space="preserve"> 2nd Interim</w:t>
            </w:r>
          </w:p>
        </w:tc>
        <w:tc>
          <w:tcPr>
            <w:tcW w:w="597" w:type="pct"/>
            <w:vAlign w:val="center"/>
          </w:tcPr>
          <w:p w:rsidR="007310DB" w:rsidRPr="00975887"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975887">
              <w:rPr>
                <w:rFonts w:cs="Arial"/>
              </w:rPr>
              <w:t>$</w:t>
            </w:r>
            <w:r w:rsidR="006A1E09" w:rsidRPr="00975887">
              <w:rPr>
                <w:rFonts w:cs="Arial"/>
              </w:rPr>
              <w:t>3,374,536</w:t>
            </w:r>
          </w:p>
        </w:tc>
        <w:tc>
          <w:tcPr>
            <w:tcW w:w="726" w:type="pct"/>
            <w:vAlign w:val="center"/>
          </w:tcPr>
          <w:p w:rsidR="007310DB" w:rsidRPr="00975887"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975887">
              <w:rPr>
                <w:rFonts w:cs="Arial"/>
              </w:rPr>
              <w:t>$3</w:t>
            </w:r>
            <w:r w:rsidR="006A1E09" w:rsidRPr="00975887">
              <w:rPr>
                <w:rFonts w:cs="Arial"/>
              </w:rPr>
              <w:t>,717,115</w:t>
            </w:r>
          </w:p>
        </w:tc>
        <w:tc>
          <w:tcPr>
            <w:tcW w:w="581" w:type="pct"/>
            <w:vAlign w:val="center"/>
          </w:tcPr>
          <w:p w:rsidR="007310DB" w:rsidRPr="00975887" w:rsidRDefault="006A1E09"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975887">
              <w:rPr>
                <w:rFonts w:cs="Arial"/>
              </w:rPr>
              <w:t>(</w:t>
            </w:r>
            <w:r w:rsidR="007310DB" w:rsidRPr="00975887">
              <w:rPr>
                <w:rFonts w:cs="Arial"/>
              </w:rPr>
              <w:t>$</w:t>
            </w:r>
            <w:r w:rsidRPr="00975887">
              <w:rPr>
                <w:rFonts w:cs="Arial"/>
              </w:rPr>
              <w:t>342,579)</w:t>
            </w:r>
          </w:p>
        </w:tc>
        <w:tc>
          <w:tcPr>
            <w:tcW w:w="505" w:type="pct"/>
            <w:vAlign w:val="center"/>
          </w:tcPr>
          <w:p w:rsidR="007310DB" w:rsidRPr="00975887"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975887">
              <w:rPr>
                <w:rFonts w:cs="Arial"/>
              </w:rPr>
              <w:t>NA</w:t>
            </w:r>
          </w:p>
        </w:tc>
        <w:tc>
          <w:tcPr>
            <w:tcW w:w="373" w:type="pct"/>
            <w:vAlign w:val="center"/>
          </w:tcPr>
          <w:p w:rsidR="007310DB" w:rsidRPr="00975887"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975887">
              <w:rPr>
                <w:rFonts w:cs="Arial"/>
              </w:rPr>
              <w:t>NA</w:t>
            </w:r>
          </w:p>
        </w:tc>
        <w:tc>
          <w:tcPr>
            <w:tcW w:w="640" w:type="pct"/>
            <w:vAlign w:val="center"/>
          </w:tcPr>
          <w:p w:rsidR="007310DB" w:rsidRPr="00975887"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975887">
              <w:rPr>
                <w:rFonts w:cs="Arial"/>
              </w:rPr>
              <w:t>9</w:t>
            </w:r>
            <w:r w:rsidR="003A161B" w:rsidRPr="00975887">
              <w:rPr>
                <w:rFonts w:cs="Arial"/>
              </w:rPr>
              <w:t>3.32</w:t>
            </w:r>
            <w:r w:rsidRPr="00975887">
              <w:rPr>
                <w:rFonts w:cs="Arial"/>
              </w:rPr>
              <w:t>%</w:t>
            </w:r>
          </w:p>
        </w:tc>
        <w:tc>
          <w:tcPr>
            <w:tcW w:w="581" w:type="pct"/>
            <w:vAlign w:val="center"/>
          </w:tcPr>
          <w:p w:rsidR="007310DB" w:rsidRPr="00975887" w:rsidRDefault="006A1E09"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975887">
              <w:rPr>
                <w:rFonts w:cs="Arial"/>
              </w:rPr>
              <w:t>(</w:t>
            </w:r>
            <w:r w:rsidR="007310DB" w:rsidRPr="00975887">
              <w:rPr>
                <w:rFonts w:cs="Arial"/>
              </w:rPr>
              <w:t>$2</w:t>
            </w:r>
            <w:r w:rsidRPr="00975887">
              <w:rPr>
                <w:rFonts w:cs="Arial"/>
              </w:rPr>
              <w:t>25,635)</w:t>
            </w:r>
          </w:p>
        </w:tc>
        <w:tc>
          <w:tcPr>
            <w:tcW w:w="545" w:type="pct"/>
            <w:vAlign w:val="center"/>
          </w:tcPr>
          <w:p w:rsidR="007310DB" w:rsidRPr="00975887"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975887">
              <w:rPr>
                <w:rFonts w:cs="Arial"/>
              </w:rPr>
              <w:t>0%</w:t>
            </w:r>
          </w:p>
        </w:tc>
      </w:tr>
    </w:tbl>
    <w:p w:rsidR="00D22B8F" w:rsidRDefault="00D22B8F" w:rsidP="00E31465">
      <w:pPr>
        <w:spacing w:before="240"/>
        <w:rPr>
          <w:i/>
        </w:rPr>
        <w:sectPr w:rsidR="00D22B8F" w:rsidSect="00A34996">
          <w:pgSz w:w="15840" w:h="12240" w:orient="landscape"/>
          <w:pgMar w:top="1440" w:right="1440" w:bottom="1440" w:left="1440" w:header="720" w:footer="720" w:gutter="0"/>
          <w:cols w:space="720"/>
          <w:docGrid w:linePitch="326"/>
        </w:sectPr>
      </w:pPr>
    </w:p>
    <w:p w:rsidR="007310DB" w:rsidRDefault="007310DB" w:rsidP="00E31465">
      <w:pPr>
        <w:pStyle w:val="Heading3"/>
      </w:pPr>
      <w:proofErr w:type="spellStart"/>
      <w:r>
        <w:lastRenderedPageBreak/>
        <w:t>Prepa</w:t>
      </w:r>
      <w:proofErr w:type="spellEnd"/>
      <w:r>
        <w:t xml:space="preserve"> Tec Los Angeles High</w:t>
      </w:r>
    </w:p>
    <w:p w:rsidR="007310DB" w:rsidRPr="00D270A8" w:rsidRDefault="007310DB" w:rsidP="00E31465">
      <w:pPr>
        <w:pStyle w:val="ListParagraph"/>
        <w:numPr>
          <w:ilvl w:val="0"/>
          <w:numId w:val="10"/>
        </w:numPr>
      </w:pPr>
      <w:r w:rsidRPr="00D270A8">
        <w:t>Charter Term Expires: 6/30/2021</w:t>
      </w:r>
    </w:p>
    <w:p w:rsidR="007310DB" w:rsidRPr="00D270A8" w:rsidRDefault="007310DB" w:rsidP="00E31465">
      <w:pPr>
        <w:pStyle w:val="ListParagraph"/>
        <w:numPr>
          <w:ilvl w:val="0"/>
          <w:numId w:val="10"/>
        </w:numPr>
      </w:pPr>
      <w:r w:rsidRPr="00D270A8">
        <w:t>Grades Authorized to Serve: 9–12</w:t>
      </w:r>
    </w:p>
    <w:p w:rsidR="007310DB" w:rsidRPr="00D270A8" w:rsidRDefault="007310DB" w:rsidP="00E31465">
      <w:pPr>
        <w:pStyle w:val="ListParagraph"/>
        <w:numPr>
          <w:ilvl w:val="0"/>
          <w:numId w:val="10"/>
        </w:numPr>
      </w:pPr>
      <w:r w:rsidRPr="00D270A8">
        <w:t>201</w:t>
      </w:r>
      <w:r w:rsidR="006A1E09">
        <w:t>8</w:t>
      </w:r>
      <w:r>
        <w:t>–1</w:t>
      </w:r>
      <w:r w:rsidR="006A1E09">
        <w:t>9</w:t>
      </w:r>
      <w:r w:rsidRPr="00D270A8">
        <w:t xml:space="preserve"> P-2 ADA: </w:t>
      </w:r>
      <w:r>
        <w:t>2</w:t>
      </w:r>
      <w:r w:rsidR="006A1E09">
        <w:t>65.59</w:t>
      </w:r>
    </w:p>
    <w:p w:rsidR="007310DB" w:rsidRPr="00D270A8" w:rsidRDefault="007310DB" w:rsidP="00E31465">
      <w:pPr>
        <w:pStyle w:val="ListParagraph"/>
        <w:numPr>
          <w:ilvl w:val="0"/>
          <w:numId w:val="10"/>
        </w:numPr>
        <w:spacing w:after="100" w:afterAutospacing="1"/>
      </w:pPr>
      <w:r>
        <w:t>201</w:t>
      </w:r>
      <w:r w:rsidR="006A1E09">
        <w:t>9</w:t>
      </w:r>
      <w:r>
        <w:t>–</w:t>
      </w:r>
      <w:r w:rsidR="006A1E09">
        <w:t>20</w:t>
      </w:r>
      <w:r w:rsidRPr="00D270A8">
        <w:t xml:space="preserve"> P-2 ADA: </w:t>
      </w:r>
      <w:r w:rsidR="003A161B" w:rsidRPr="003A161B">
        <w:t>317.30</w:t>
      </w:r>
    </w:p>
    <w:p w:rsidR="007310DB" w:rsidRDefault="007310DB" w:rsidP="00E31465">
      <w:pPr>
        <w:pStyle w:val="Heading4"/>
      </w:pPr>
      <w:r>
        <w:t>Fiscal Concerns</w:t>
      </w:r>
    </w:p>
    <w:p w:rsidR="007310DB" w:rsidRPr="00C0133C" w:rsidRDefault="007310DB" w:rsidP="00E31465">
      <w:pPr>
        <w:spacing w:after="100" w:afterAutospacing="1"/>
        <w:rPr>
          <w:color w:val="000000" w:themeColor="text1"/>
        </w:rPr>
      </w:pPr>
      <w:r w:rsidRPr="00814B6C">
        <w:t>The CDE found that PTLAH’s 201</w:t>
      </w:r>
      <w:r w:rsidR="002050C8" w:rsidRPr="00814B6C">
        <w:t>9</w:t>
      </w:r>
      <w:r w:rsidRPr="00814B6C">
        <w:t>–</w:t>
      </w:r>
      <w:r w:rsidR="002050C8" w:rsidRPr="00814B6C">
        <w:t>20</w:t>
      </w:r>
      <w:r w:rsidRPr="00814B6C">
        <w:t xml:space="preserve"> second interim report </w:t>
      </w:r>
      <w:r w:rsidR="00975887">
        <w:t>indicates that PTLAH is projecting</w:t>
      </w:r>
      <w:r w:rsidRPr="00814B6C">
        <w:t xml:space="preserve"> a negative ending fund balance of $2</w:t>
      </w:r>
      <w:r w:rsidR="00814B6C" w:rsidRPr="00814B6C">
        <w:t>90,224</w:t>
      </w:r>
      <w:r w:rsidRPr="00814B6C">
        <w:t xml:space="preserve"> with zero percent </w:t>
      </w:r>
      <w:r w:rsidR="00975887">
        <w:t xml:space="preserve">in </w:t>
      </w:r>
      <w:r w:rsidRPr="00814B6C">
        <w:t>reserve</w:t>
      </w:r>
      <w:r w:rsidR="00975887">
        <w:t>s</w:t>
      </w:r>
      <w:r w:rsidRPr="00814B6C">
        <w:t xml:space="preserve"> for FY 201</w:t>
      </w:r>
      <w:r w:rsidR="00814B6C" w:rsidRPr="00814B6C">
        <w:t>9</w:t>
      </w:r>
      <w:r w:rsidRPr="00814B6C">
        <w:t>–</w:t>
      </w:r>
      <w:r w:rsidR="00814B6C" w:rsidRPr="00814B6C">
        <w:t>20</w:t>
      </w:r>
      <w:r w:rsidRPr="00814B6C">
        <w:t xml:space="preserve">, which is below the recommended five percent in reserves outlined in the MOU between PTLAH and the SBE. PTLAH </w:t>
      </w:r>
      <w:r w:rsidR="00975887">
        <w:t>has been</w:t>
      </w:r>
      <w:r w:rsidRPr="00814B6C">
        <w:t xml:space="preserve"> considered to be in poor financial condition since its inception in FY 2016–17. The CDE also notes that as of </w:t>
      </w:r>
      <w:r w:rsidR="00814B6C" w:rsidRPr="00814B6C">
        <w:t>January</w:t>
      </w:r>
      <w:r w:rsidRPr="00814B6C">
        <w:t xml:space="preserve"> 15, 201</w:t>
      </w:r>
      <w:r w:rsidR="00814B6C" w:rsidRPr="00814B6C">
        <w:t>9</w:t>
      </w:r>
      <w:r w:rsidRPr="00814B6C">
        <w:t>, PTLAH owes $</w:t>
      </w:r>
      <w:r w:rsidR="00814B6C" w:rsidRPr="00814B6C">
        <w:t>207,423</w:t>
      </w:r>
      <w:r w:rsidRPr="00814B6C">
        <w:t xml:space="preserve"> in outstanding vendor bills, of which $</w:t>
      </w:r>
      <w:r w:rsidR="00814B6C" w:rsidRPr="00814B6C">
        <w:t>145,429</w:t>
      </w:r>
      <w:r w:rsidRPr="00814B6C">
        <w:t xml:space="preserve"> are overdue more than 90 days. In addition, the CDE notes that PTLAH’s net assets were negative $</w:t>
      </w:r>
      <w:r w:rsidR="00814B6C">
        <w:t>455,575</w:t>
      </w:r>
      <w:r w:rsidRPr="00814B6C">
        <w:t xml:space="preserve"> as of January 31, 201</w:t>
      </w:r>
      <w:r w:rsidR="00814B6C">
        <w:t>9</w:t>
      </w:r>
      <w:r w:rsidR="00282DC5">
        <w:t>.</w:t>
      </w:r>
    </w:p>
    <w:p w:rsidR="007310DB" w:rsidRDefault="007310DB" w:rsidP="003A161B">
      <w:pPr>
        <w:sectPr w:rsidR="007310DB" w:rsidSect="007310DB">
          <w:pgSz w:w="12240" w:h="15840"/>
          <w:pgMar w:top="720" w:right="1440" w:bottom="1440" w:left="1440" w:header="720" w:footer="720" w:gutter="0"/>
          <w:cols w:space="720"/>
        </w:sectPr>
      </w:pPr>
    </w:p>
    <w:p w:rsidR="007310DB" w:rsidRDefault="007310DB" w:rsidP="00E31465">
      <w:pPr>
        <w:spacing w:after="100" w:afterAutospacing="1"/>
        <w:rPr>
          <w:b/>
        </w:rPr>
      </w:pPr>
      <w:proofErr w:type="spellStart"/>
      <w:r w:rsidRPr="00A75084">
        <w:rPr>
          <w:b/>
        </w:rPr>
        <w:lastRenderedPageBreak/>
        <w:t>P</w:t>
      </w:r>
      <w:r>
        <w:rPr>
          <w:b/>
        </w:rPr>
        <w:t>repa</w:t>
      </w:r>
      <w:proofErr w:type="spellEnd"/>
      <w:r>
        <w:rPr>
          <w:b/>
        </w:rPr>
        <w:t xml:space="preserve"> </w:t>
      </w:r>
      <w:r w:rsidRPr="00A75084">
        <w:rPr>
          <w:b/>
        </w:rPr>
        <w:t>T</w:t>
      </w:r>
      <w:r>
        <w:rPr>
          <w:b/>
        </w:rPr>
        <w:t xml:space="preserve">ec </w:t>
      </w:r>
      <w:r w:rsidRPr="00A75084">
        <w:rPr>
          <w:b/>
        </w:rPr>
        <w:t>L</w:t>
      </w:r>
      <w:r>
        <w:rPr>
          <w:b/>
        </w:rPr>
        <w:t xml:space="preserve">os </w:t>
      </w:r>
      <w:r w:rsidRPr="00A75084">
        <w:rPr>
          <w:b/>
        </w:rPr>
        <w:t>A</w:t>
      </w:r>
      <w:r>
        <w:rPr>
          <w:b/>
        </w:rPr>
        <w:t xml:space="preserve">ngeles </w:t>
      </w:r>
      <w:r w:rsidRPr="00A75084">
        <w:rPr>
          <w:b/>
        </w:rPr>
        <w:t>H</w:t>
      </w:r>
      <w:r>
        <w:rPr>
          <w:b/>
        </w:rPr>
        <w:t>igh</w:t>
      </w:r>
      <w:r w:rsidRPr="00A75084">
        <w:rPr>
          <w:b/>
        </w:rPr>
        <w:t xml:space="preserve"> Financial Highlights</w:t>
      </w:r>
    </w:p>
    <w:p w:rsidR="00A34996" w:rsidRPr="00A34996" w:rsidRDefault="00A34996" w:rsidP="00A34996">
      <w:r w:rsidRPr="00A34996">
        <w:t>NA: Not Applicable</w:t>
      </w:r>
    </w:p>
    <w:tbl>
      <w:tblPr>
        <w:tblStyle w:val="GridTable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nancial Highlights"/>
        <w:tblDescription w:val="Financial Highlights Prepa Tec Los Angeles High"/>
      </w:tblPr>
      <w:tblGrid>
        <w:gridCol w:w="1169"/>
        <w:gridCol w:w="1547"/>
        <w:gridCol w:w="1880"/>
        <w:gridCol w:w="1505"/>
        <w:gridCol w:w="1308"/>
        <w:gridCol w:w="966"/>
        <w:gridCol w:w="1658"/>
        <w:gridCol w:w="1505"/>
        <w:gridCol w:w="1412"/>
      </w:tblGrid>
      <w:tr w:rsidR="00A34996" w:rsidRPr="00A34996" w:rsidTr="00A3499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51" w:type="pct"/>
            <w:tcBorders>
              <w:top w:val="none" w:sz="0" w:space="0" w:color="auto"/>
              <w:left w:val="none" w:sz="0" w:space="0" w:color="auto"/>
              <w:bottom w:val="none" w:sz="0" w:space="0" w:color="auto"/>
              <w:right w:val="none" w:sz="0" w:space="0" w:color="auto"/>
            </w:tcBorders>
            <w:vAlign w:val="center"/>
          </w:tcPr>
          <w:p w:rsidR="007310DB" w:rsidRPr="00A34996" w:rsidRDefault="007310DB" w:rsidP="00E31465">
            <w:pPr>
              <w:jc w:val="center"/>
              <w:rPr>
                <w:rFonts w:cs="Arial"/>
                <w:b w:val="0"/>
                <w:color w:val="auto"/>
              </w:rPr>
            </w:pPr>
            <w:r w:rsidRPr="00A34996">
              <w:rPr>
                <w:rFonts w:cs="Arial"/>
                <w:color w:val="auto"/>
              </w:rPr>
              <w:t>F</w:t>
            </w:r>
            <w:r w:rsidR="00A34996" w:rsidRPr="00A34996">
              <w:rPr>
                <w:rFonts w:cs="Arial"/>
                <w:color w:val="auto"/>
              </w:rPr>
              <w:t>iscal Year</w:t>
            </w:r>
            <w:r w:rsidRPr="00A34996">
              <w:rPr>
                <w:rFonts w:cs="Arial"/>
                <w:color w:val="auto"/>
              </w:rPr>
              <w:t xml:space="preserve"> / Source</w:t>
            </w:r>
          </w:p>
        </w:tc>
        <w:tc>
          <w:tcPr>
            <w:tcW w:w="597" w:type="pct"/>
            <w:tcBorders>
              <w:top w:val="none" w:sz="0" w:space="0" w:color="auto"/>
              <w:left w:val="none" w:sz="0" w:space="0" w:color="auto"/>
              <w:bottom w:val="none" w:sz="0" w:space="0" w:color="auto"/>
              <w:right w:val="none" w:sz="0" w:space="0" w:color="auto"/>
            </w:tcBorders>
            <w:vAlign w:val="center"/>
          </w:tcPr>
          <w:p w:rsidR="007310DB" w:rsidRPr="00A34996"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A34996">
              <w:rPr>
                <w:rFonts w:cs="Arial"/>
                <w:color w:val="auto"/>
              </w:rPr>
              <w:t>Total Revenues</w:t>
            </w:r>
          </w:p>
        </w:tc>
        <w:tc>
          <w:tcPr>
            <w:tcW w:w="726" w:type="pct"/>
            <w:tcBorders>
              <w:top w:val="none" w:sz="0" w:space="0" w:color="auto"/>
              <w:left w:val="none" w:sz="0" w:space="0" w:color="auto"/>
              <w:bottom w:val="none" w:sz="0" w:space="0" w:color="auto"/>
              <w:right w:val="none" w:sz="0" w:space="0" w:color="auto"/>
            </w:tcBorders>
            <w:vAlign w:val="center"/>
          </w:tcPr>
          <w:p w:rsidR="007310DB" w:rsidRPr="00A34996"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A34996">
              <w:rPr>
                <w:rFonts w:cs="Arial"/>
                <w:color w:val="auto"/>
              </w:rPr>
              <w:t>Total Expenditures</w:t>
            </w:r>
          </w:p>
        </w:tc>
        <w:tc>
          <w:tcPr>
            <w:tcW w:w="581" w:type="pct"/>
            <w:tcBorders>
              <w:top w:val="none" w:sz="0" w:space="0" w:color="auto"/>
              <w:left w:val="none" w:sz="0" w:space="0" w:color="auto"/>
              <w:bottom w:val="none" w:sz="0" w:space="0" w:color="auto"/>
              <w:right w:val="none" w:sz="0" w:space="0" w:color="auto"/>
            </w:tcBorders>
            <w:vAlign w:val="center"/>
          </w:tcPr>
          <w:p w:rsidR="007310DB" w:rsidRPr="00A34996"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A34996">
              <w:rPr>
                <w:rFonts w:cs="Arial"/>
                <w:color w:val="auto"/>
              </w:rPr>
              <w:t>Net Operating Surplus (Deficit)</w:t>
            </w:r>
          </w:p>
        </w:tc>
        <w:tc>
          <w:tcPr>
            <w:tcW w:w="505" w:type="pct"/>
            <w:tcBorders>
              <w:top w:val="none" w:sz="0" w:space="0" w:color="auto"/>
              <w:left w:val="none" w:sz="0" w:space="0" w:color="auto"/>
              <w:bottom w:val="none" w:sz="0" w:space="0" w:color="auto"/>
              <w:right w:val="none" w:sz="0" w:space="0" w:color="auto"/>
            </w:tcBorders>
            <w:vAlign w:val="center"/>
          </w:tcPr>
          <w:p w:rsidR="007310DB" w:rsidRPr="00A34996"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A34996">
              <w:rPr>
                <w:rFonts w:cs="Arial"/>
                <w:color w:val="auto"/>
              </w:rPr>
              <w:t>Working Capital Ratio</w:t>
            </w:r>
          </w:p>
        </w:tc>
        <w:tc>
          <w:tcPr>
            <w:tcW w:w="373" w:type="pct"/>
            <w:tcBorders>
              <w:top w:val="none" w:sz="0" w:space="0" w:color="auto"/>
              <w:left w:val="none" w:sz="0" w:space="0" w:color="auto"/>
              <w:bottom w:val="none" w:sz="0" w:space="0" w:color="auto"/>
              <w:right w:val="none" w:sz="0" w:space="0" w:color="auto"/>
            </w:tcBorders>
            <w:vAlign w:val="center"/>
          </w:tcPr>
          <w:p w:rsidR="007310DB" w:rsidRPr="00A34996"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A34996">
              <w:rPr>
                <w:rFonts w:cs="Arial"/>
                <w:color w:val="auto"/>
              </w:rPr>
              <w:t>Debt Ratio</w:t>
            </w:r>
          </w:p>
        </w:tc>
        <w:tc>
          <w:tcPr>
            <w:tcW w:w="640" w:type="pct"/>
            <w:tcBorders>
              <w:top w:val="none" w:sz="0" w:space="0" w:color="auto"/>
              <w:left w:val="none" w:sz="0" w:space="0" w:color="auto"/>
              <w:bottom w:val="none" w:sz="0" w:space="0" w:color="auto"/>
              <w:right w:val="none" w:sz="0" w:space="0" w:color="auto"/>
            </w:tcBorders>
            <w:vAlign w:val="center"/>
          </w:tcPr>
          <w:p w:rsidR="007310DB" w:rsidRPr="00A34996"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A34996">
              <w:rPr>
                <w:rFonts w:cs="Arial"/>
                <w:color w:val="auto"/>
              </w:rPr>
              <w:t>Attendance Ratio</w:t>
            </w:r>
          </w:p>
        </w:tc>
        <w:tc>
          <w:tcPr>
            <w:tcW w:w="581" w:type="pct"/>
            <w:tcBorders>
              <w:top w:val="none" w:sz="0" w:space="0" w:color="auto"/>
              <w:left w:val="none" w:sz="0" w:space="0" w:color="auto"/>
              <w:bottom w:val="none" w:sz="0" w:space="0" w:color="auto"/>
              <w:right w:val="none" w:sz="0" w:space="0" w:color="auto"/>
            </w:tcBorders>
            <w:vAlign w:val="center"/>
          </w:tcPr>
          <w:p w:rsidR="007310DB" w:rsidRPr="00A34996"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A34996">
              <w:rPr>
                <w:rFonts w:cs="Arial"/>
                <w:color w:val="auto"/>
              </w:rPr>
              <w:t>Ending Fund Balance</w:t>
            </w:r>
          </w:p>
        </w:tc>
        <w:tc>
          <w:tcPr>
            <w:tcW w:w="545" w:type="pct"/>
            <w:tcBorders>
              <w:top w:val="none" w:sz="0" w:space="0" w:color="auto"/>
              <w:left w:val="none" w:sz="0" w:space="0" w:color="auto"/>
              <w:bottom w:val="none" w:sz="0" w:space="0" w:color="auto"/>
              <w:right w:val="none" w:sz="0" w:space="0" w:color="auto"/>
            </w:tcBorders>
            <w:vAlign w:val="center"/>
          </w:tcPr>
          <w:p w:rsidR="007310DB" w:rsidRPr="00A34996" w:rsidRDefault="007310DB" w:rsidP="00E31465">
            <w:pPr>
              <w:jc w:val="center"/>
              <w:cnfStyle w:val="100000000000" w:firstRow="1" w:lastRow="0" w:firstColumn="0" w:lastColumn="0" w:oddVBand="0" w:evenVBand="0" w:oddHBand="0" w:evenHBand="0" w:firstRowFirstColumn="0" w:firstRowLastColumn="0" w:lastRowFirstColumn="0" w:lastRowLastColumn="0"/>
              <w:rPr>
                <w:rFonts w:cs="Arial"/>
                <w:b w:val="0"/>
                <w:color w:val="auto"/>
              </w:rPr>
            </w:pPr>
            <w:r w:rsidRPr="00A34996">
              <w:rPr>
                <w:rFonts w:cs="Arial"/>
                <w:color w:val="auto"/>
              </w:rPr>
              <w:t>Percent of Reserves</w:t>
            </w:r>
          </w:p>
        </w:tc>
      </w:tr>
      <w:tr w:rsidR="00A34996" w:rsidRPr="00A34996" w:rsidTr="00A349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1" w:type="pct"/>
            <w:vAlign w:val="center"/>
          </w:tcPr>
          <w:p w:rsidR="007310DB" w:rsidRPr="00A34996" w:rsidRDefault="007310DB" w:rsidP="00E31465">
            <w:pPr>
              <w:rPr>
                <w:rFonts w:cs="Arial"/>
              </w:rPr>
            </w:pPr>
            <w:r w:rsidRPr="00A34996">
              <w:rPr>
                <w:rFonts w:cs="Arial"/>
              </w:rPr>
              <w:t>201</w:t>
            </w:r>
            <w:r w:rsidR="009962DE" w:rsidRPr="00A34996">
              <w:rPr>
                <w:rFonts w:cs="Arial"/>
              </w:rPr>
              <w:t>8</w:t>
            </w:r>
            <w:r w:rsidRPr="00A34996">
              <w:rPr>
                <w:rFonts w:cs="Arial"/>
              </w:rPr>
              <w:t>–1</w:t>
            </w:r>
            <w:r w:rsidR="009962DE" w:rsidRPr="00A34996">
              <w:rPr>
                <w:rFonts w:cs="Arial"/>
              </w:rPr>
              <w:t>9</w:t>
            </w:r>
            <w:r w:rsidRPr="00A34996">
              <w:rPr>
                <w:rFonts w:cs="Arial"/>
              </w:rPr>
              <w:t xml:space="preserve"> Audit</w:t>
            </w:r>
          </w:p>
        </w:tc>
        <w:tc>
          <w:tcPr>
            <w:tcW w:w="597" w:type="pct"/>
            <w:vAlign w:val="center"/>
          </w:tcPr>
          <w:p w:rsidR="007310DB" w:rsidRPr="00A34996"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34996">
              <w:rPr>
                <w:rFonts w:cs="Arial"/>
              </w:rPr>
              <w:t>$</w:t>
            </w:r>
            <w:r w:rsidR="009962DE" w:rsidRPr="00A34996">
              <w:rPr>
                <w:rFonts w:cs="Arial"/>
              </w:rPr>
              <w:t>4,313,128</w:t>
            </w:r>
          </w:p>
        </w:tc>
        <w:tc>
          <w:tcPr>
            <w:tcW w:w="726" w:type="pct"/>
            <w:vAlign w:val="center"/>
          </w:tcPr>
          <w:p w:rsidR="007310DB" w:rsidRPr="00A34996"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34996">
              <w:rPr>
                <w:rFonts w:cs="Arial"/>
              </w:rPr>
              <w:t>$3,</w:t>
            </w:r>
            <w:r w:rsidR="009962DE" w:rsidRPr="00A34996">
              <w:rPr>
                <w:rFonts w:cs="Arial"/>
              </w:rPr>
              <w:t>923,205</w:t>
            </w:r>
          </w:p>
        </w:tc>
        <w:tc>
          <w:tcPr>
            <w:tcW w:w="581" w:type="pct"/>
            <w:vAlign w:val="center"/>
          </w:tcPr>
          <w:p w:rsidR="007310DB" w:rsidRPr="00A34996"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34996">
              <w:rPr>
                <w:rFonts w:cs="Arial"/>
              </w:rPr>
              <w:t>$</w:t>
            </w:r>
            <w:r w:rsidR="009962DE" w:rsidRPr="00A34996">
              <w:rPr>
                <w:rFonts w:cs="Arial"/>
              </w:rPr>
              <w:t>389,923</w:t>
            </w:r>
          </w:p>
        </w:tc>
        <w:tc>
          <w:tcPr>
            <w:tcW w:w="505" w:type="pct"/>
            <w:vAlign w:val="center"/>
          </w:tcPr>
          <w:p w:rsidR="007310DB" w:rsidRPr="00A34996"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34996">
              <w:rPr>
                <w:rFonts w:cs="Arial"/>
              </w:rPr>
              <w:t>0.</w:t>
            </w:r>
            <w:r w:rsidR="009962DE" w:rsidRPr="00A34996">
              <w:rPr>
                <w:rFonts w:cs="Arial"/>
              </w:rPr>
              <w:t>28</w:t>
            </w:r>
          </w:p>
        </w:tc>
        <w:tc>
          <w:tcPr>
            <w:tcW w:w="373" w:type="pct"/>
            <w:vAlign w:val="center"/>
          </w:tcPr>
          <w:p w:rsidR="007310DB" w:rsidRPr="00A34996"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34996">
              <w:rPr>
                <w:rFonts w:cs="Arial"/>
              </w:rPr>
              <w:t>1.</w:t>
            </w:r>
            <w:r w:rsidR="009962DE" w:rsidRPr="00A34996">
              <w:rPr>
                <w:rFonts w:cs="Arial"/>
              </w:rPr>
              <w:t>3</w:t>
            </w:r>
            <w:r w:rsidRPr="00A34996">
              <w:rPr>
                <w:rFonts w:cs="Arial"/>
              </w:rPr>
              <w:t>3</w:t>
            </w:r>
          </w:p>
        </w:tc>
        <w:tc>
          <w:tcPr>
            <w:tcW w:w="640" w:type="pct"/>
            <w:vAlign w:val="center"/>
          </w:tcPr>
          <w:p w:rsidR="007310DB" w:rsidRPr="00A34996"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34996">
              <w:rPr>
                <w:rFonts w:cs="Arial"/>
              </w:rPr>
              <w:t>92.</w:t>
            </w:r>
            <w:r w:rsidR="009962DE" w:rsidRPr="00A34996">
              <w:rPr>
                <w:rFonts w:cs="Arial"/>
              </w:rPr>
              <w:t>2</w:t>
            </w:r>
          </w:p>
        </w:tc>
        <w:tc>
          <w:tcPr>
            <w:tcW w:w="581" w:type="pct"/>
            <w:vAlign w:val="center"/>
          </w:tcPr>
          <w:p w:rsidR="007310DB" w:rsidRPr="00A34996" w:rsidRDefault="009962DE"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34996">
              <w:rPr>
                <w:rFonts w:cs="Arial"/>
              </w:rPr>
              <w:t>(</w:t>
            </w:r>
            <w:r w:rsidR="007310DB" w:rsidRPr="00A34996">
              <w:rPr>
                <w:rFonts w:cs="Arial"/>
              </w:rPr>
              <w:t>$</w:t>
            </w:r>
            <w:r w:rsidRPr="00A34996">
              <w:rPr>
                <w:rFonts w:cs="Arial"/>
              </w:rPr>
              <w:t>489,792)</w:t>
            </w:r>
          </w:p>
        </w:tc>
        <w:tc>
          <w:tcPr>
            <w:tcW w:w="545" w:type="pct"/>
            <w:vAlign w:val="center"/>
          </w:tcPr>
          <w:p w:rsidR="007310DB" w:rsidRPr="00A34996"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34996">
              <w:rPr>
                <w:rFonts w:cs="Arial"/>
              </w:rPr>
              <w:t>0%</w:t>
            </w:r>
          </w:p>
        </w:tc>
      </w:tr>
      <w:tr w:rsidR="00A34996" w:rsidRPr="00A34996" w:rsidTr="00A34996">
        <w:trPr>
          <w:cantSplit/>
        </w:trPr>
        <w:tc>
          <w:tcPr>
            <w:cnfStyle w:val="001000000000" w:firstRow="0" w:lastRow="0" w:firstColumn="1" w:lastColumn="0" w:oddVBand="0" w:evenVBand="0" w:oddHBand="0" w:evenHBand="0" w:firstRowFirstColumn="0" w:firstRowLastColumn="0" w:lastRowFirstColumn="0" w:lastRowLastColumn="0"/>
            <w:tcW w:w="451" w:type="pct"/>
            <w:vAlign w:val="center"/>
          </w:tcPr>
          <w:p w:rsidR="007310DB" w:rsidRPr="00A34996" w:rsidRDefault="007310DB" w:rsidP="00E31465">
            <w:pPr>
              <w:rPr>
                <w:rFonts w:cs="Arial"/>
              </w:rPr>
            </w:pPr>
            <w:r w:rsidRPr="00A34996">
              <w:rPr>
                <w:rFonts w:cs="Arial"/>
              </w:rPr>
              <w:t>201</w:t>
            </w:r>
            <w:r w:rsidR="009962DE" w:rsidRPr="00A34996">
              <w:rPr>
                <w:rFonts w:cs="Arial"/>
              </w:rPr>
              <w:t>9</w:t>
            </w:r>
            <w:r w:rsidRPr="00A34996">
              <w:rPr>
                <w:rFonts w:cs="Arial"/>
              </w:rPr>
              <w:t>–</w:t>
            </w:r>
            <w:r w:rsidR="009962DE" w:rsidRPr="00A34996">
              <w:rPr>
                <w:rFonts w:cs="Arial"/>
              </w:rPr>
              <w:t>20</w:t>
            </w:r>
            <w:r w:rsidRPr="00A34996">
              <w:rPr>
                <w:rFonts w:cs="Arial"/>
              </w:rPr>
              <w:t xml:space="preserve"> Budget</w:t>
            </w:r>
          </w:p>
        </w:tc>
        <w:tc>
          <w:tcPr>
            <w:tcW w:w="597" w:type="pct"/>
            <w:vAlign w:val="center"/>
          </w:tcPr>
          <w:p w:rsidR="007310DB" w:rsidRPr="00A34996"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A34996">
              <w:rPr>
                <w:rFonts w:cs="Arial"/>
              </w:rPr>
              <w:t>$</w:t>
            </w:r>
            <w:r w:rsidR="009962DE" w:rsidRPr="00A34996">
              <w:rPr>
                <w:rFonts w:cs="Arial"/>
              </w:rPr>
              <w:t>5,444,043</w:t>
            </w:r>
          </w:p>
        </w:tc>
        <w:tc>
          <w:tcPr>
            <w:tcW w:w="726" w:type="pct"/>
            <w:vAlign w:val="center"/>
          </w:tcPr>
          <w:p w:rsidR="007310DB" w:rsidRPr="00A34996"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A34996">
              <w:rPr>
                <w:rFonts w:cs="Arial"/>
              </w:rPr>
              <w:t>$</w:t>
            </w:r>
            <w:r w:rsidR="009962DE" w:rsidRPr="00A34996">
              <w:rPr>
                <w:rFonts w:cs="Arial"/>
              </w:rPr>
              <w:t>5,139,02</w:t>
            </w:r>
            <w:r w:rsidRPr="00A34996">
              <w:rPr>
                <w:rFonts w:cs="Arial"/>
              </w:rPr>
              <w:t>6</w:t>
            </w:r>
          </w:p>
        </w:tc>
        <w:tc>
          <w:tcPr>
            <w:tcW w:w="581" w:type="pct"/>
            <w:vAlign w:val="center"/>
          </w:tcPr>
          <w:p w:rsidR="007310DB" w:rsidRPr="00A34996"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A34996">
              <w:rPr>
                <w:rFonts w:cs="Arial"/>
              </w:rPr>
              <w:t>$</w:t>
            </w:r>
            <w:r w:rsidR="009962DE" w:rsidRPr="00A34996">
              <w:rPr>
                <w:rFonts w:cs="Arial"/>
              </w:rPr>
              <w:t>305,017</w:t>
            </w:r>
          </w:p>
        </w:tc>
        <w:tc>
          <w:tcPr>
            <w:tcW w:w="505" w:type="pct"/>
            <w:vAlign w:val="center"/>
          </w:tcPr>
          <w:p w:rsidR="007310DB" w:rsidRPr="00A34996"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A34996">
              <w:rPr>
                <w:rFonts w:cs="Arial"/>
              </w:rPr>
              <w:t>NA</w:t>
            </w:r>
          </w:p>
        </w:tc>
        <w:tc>
          <w:tcPr>
            <w:tcW w:w="373" w:type="pct"/>
            <w:vAlign w:val="center"/>
          </w:tcPr>
          <w:p w:rsidR="007310DB" w:rsidRPr="00A34996"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A34996">
              <w:rPr>
                <w:rFonts w:cs="Arial"/>
              </w:rPr>
              <w:t>NA</w:t>
            </w:r>
          </w:p>
        </w:tc>
        <w:tc>
          <w:tcPr>
            <w:tcW w:w="640" w:type="pct"/>
            <w:vAlign w:val="center"/>
          </w:tcPr>
          <w:p w:rsidR="007310DB" w:rsidRPr="00A34996"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A34996">
              <w:rPr>
                <w:rFonts w:cs="Arial"/>
              </w:rPr>
              <w:t>9</w:t>
            </w:r>
            <w:r w:rsidR="009962DE" w:rsidRPr="00A34996">
              <w:rPr>
                <w:rFonts w:cs="Arial"/>
              </w:rPr>
              <w:t>4</w:t>
            </w:r>
            <w:r w:rsidRPr="00A34996">
              <w:rPr>
                <w:rFonts w:cs="Arial"/>
              </w:rPr>
              <w:t>%</w:t>
            </w:r>
          </w:p>
        </w:tc>
        <w:tc>
          <w:tcPr>
            <w:tcW w:w="581" w:type="pct"/>
            <w:vAlign w:val="center"/>
          </w:tcPr>
          <w:p w:rsidR="007310DB" w:rsidRPr="00A34996" w:rsidRDefault="007310DB"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A34996">
              <w:rPr>
                <w:rFonts w:cs="Arial"/>
              </w:rPr>
              <w:t>$</w:t>
            </w:r>
            <w:r w:rsidR="009962DE" w:rsidRPr="00A34996">
              <w:rPr>
                <w:rFonts w:cs="Arial"/>
              </w:rPr>
              <w:t>108,793</w:t>
            </w:r>
          </w:p>
        </w:tc>
        <w:tc>
          <w:tcPr>
            <w:tcW w:w="545" w:type="pct"/>
            <w:vAlign w:val="center"/>
          </w:tcPr>
          <w:p w:rsidR="007310DB" w:rsidRPr="00A34996" w:rsidRDefault="009962DE" w:rsidP="00E31465">
            <w:pPr>
              <w:jc w:val="center"/>
              <w:cnfStyle w:val="000000000000" w:firstRow="0" w:lastRow="0" w:firstColumn="0" w:lastColumn="0" w:oddVBand="0" w:evenVBand="0" w:oddHBand="0" w:evenHBand="0" w:firstRowFirstColumn="0" w:firstRowLastColumn="0" w:lastRowFirstColumn="0" w:lastRowLastColumn="0"/>
              <w:rPr>
                <w:rFonts w:cs="Arial"/>
              </w:rPr>
            </w:pPr>
            <w:r w:rsidRPr="00A34996">
              <w:rPr>
                <w:rFonts w:cs="Arial"/>
              </w:rPr>
              <w:t>2.12</w:t>
            </w:r>
            <w:r w:rsidR="007310DB" w:rsidRPr="00A34996">
              <w:rPr>
                <w:rFonts w:cs="Arial"/>
              </w:rPr>
              <w:t>%</w:t>
            </w:r>
          </w:p>
        </w:tc>
      </w:tr>
      <w:tr w:rsidR="00A34996" w:rsidRPr="00A34996" w:rsidTr="00A349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51" w:type="pct"/>
            <w:vAlign w:val="center"/>
          </w:tcPr>
          <w:p w:rsidR="007310DB" w:rsidRPr="00A34996" w:rsidRDefault="007310DB" w:rsidP="00E31465">
            <w:pPr>
              <w:rPr>
                <w:rFonts w:cs="Arial"/>
              </w:rPr>
            </w:pPr>
            <w:r w:rsidRPr="00A34996">
              <w:rPr>
                <w:rFonts w:cs="Arial"/>
              </w:rPr>
              <w:t>201</w:t>
            </w:r>
            <w:r w:rsidR="009962DE" w:rsidRPr="00A34996">
              <w:rPr>
                <w:rFonts w:cs="Arial"/>
              </w:rPr>
              <w:t>9</w:t>
            </w:r>
            <w:r w:rsidRPr="00A34996">
              <w:rPr>
                <w:rFonts w:cs="Arial"/>
              </w:rPr>
              <w:t>–</w:t>
            </w:r>
            <w:r w:rsidR="009962DE" w:rsidRPr="00A34996">
              <w:rPr>
                <w:rFonts w:cs="Arial"/>
              </w:rPr>
              <w:t>20</w:t>
            </w:r>
            <w:r w:rsidRPr="00A34996">
              <w:rPr>
                <w:rFonts w:cs="Arial"/>
              </w:rPr>
              <w:t xml:space="preserve"> 2nd Interim</w:t>
            </w:r>
          </w:p>
        </w:tc>
        <w:tc>
          <w:tcPr>
            <w:tcW w:w="597" w:type="pct"/>
            <w:vAlign w:val="center"/>
          </w:tcPr>
          <w:p w:rsidR="007310DB" w:rsidRPr="00A34996"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34996">
              <w:rPr>
                <w:rFonts w:cs="Arial"/>
              </w:rPr>
              <w:t>$</w:t>
            </w:r>
            <w:r w:rsidR="009962DE" w:rsidRPr="00A34996">
              <w:rPr>
                <w:rFonts w:cs="Arial"/>
              </w:rPr>
              <w:t>5,133,904</w:t>
            </w:r>
          </w:p>
        </w:tc>
        <w:tc>
          <w:tcPr>
            <w:tcW w:w="726" w:type="pct"/>
            <w:vAlign w:val="center"/>
          </w:tcPr>
          <w:p w:rsidR="007310DB" w:rsidRPr="00A34996"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34996">
              <w:rPr>
                <w:rFonts w:cs="Arial"/>
              </w:rPr>
              <w:t>$</w:t>
            </w:r>
            <w:r w:rsidR="009962DE" w:rsidRPr="00A34996">
              <w:rPr>
                <w:rFonts w:cs="Arial"/>
              </w:rPr>
              <w:t>4,934,336</w:t>
            </w:r>
          </w:p>
        </w:tc>
        <w:tc>
          <w:tcPr>
            <w:tcW w:w="581" w:type="pct"/>
            <w:vAlign w:val="center"/>
          </w:tcPr>
          <w:p w:rsidR="007310DB" w:rsidRPr="00A34996"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34996">
              <w:rPr>
                <w:rFonts w:cs="Arial"/>
              </w:rPr>
              <w:t>$</w:t>
            </w:r>
            <w:r w:rsidR="009962DE" w:rsidRPr="00A34996">
              <w:rPr>
                <w:rFonts w:cs="Arial"/>
              </w:rPr>
              <w:t>199,568</w:t>
            </w:r>
          </w:p>
        </w:tc>
        <w:tc>
          <w:tcPr>
            <w:tcW w:w="505" w:type="pct"/>
            <w:vAlign w:val="center"/>
          </w:tcPr>
          <w:p w:rsidR="007310DB" w:rsidRPr="00A34996"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34996">
              <w:rPr>
                <w:rFonts w:cs="Arial"/>
              </w:rPr>
              <w:t>NA</w:t>
            </w:r>
          </w:p>
        </w:tc>
        <w:tc>
          <w:tcPr>
            <w:tcW w:w="373" w:type="pct"/>
            <w:vAlign w:val="center"/>
          </w:tcPr>
          <w:p w:rsidR="007310DB" w:rsidRPr="00A34996"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34996">
              <w:rPr>
                <w:rFonts w:cs="Arial"/>
              </w:rPr>
              <w:t>NA</w:t>
            </w:r>
          </w:p>
        </w:tc>
        <w:tc>
          <w:tcPr>
            <w:tcW w:w="640" w:type="pct"/>
            <w:vAlign w:val="center"/>
          </w:tcPr>
          <w:p w:rsidR="007310DB" w:rsidRPr="00A34996"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34996">
              <w:rPr>
                <w:rFonts w:cs="Arial"/>
              </w:rPr>
              <w:t>9</w:t>
            </w:r>
            <w:r w:rsidR="003A161B" w:rsidRPr="00A34996">
              <w:rPr>
                <w:rFonts w:cs="Arial"/>
              </w:rPr>
              <w:t>3.32</w:t>
            </w:r>
            <w:r w:rsidRPr="00A34996">
              <w:rPr>
                <w:rFonts w:cs="Arial"/>
              </w:rPr>
              <w:t>%</w:t>
            </w:r>
          </w:p>
        </w:tc>
        <w:tc>
          <w:tcPr>
            <w:tcW w:w="581" w:type="pct"/>
            <w:vAlign w:val="center"/>
          </w:tcPr>
          <w:p w:rsidR="007310DB" w:rsidRPr="00A34996"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34996">
              <w:rPr>
                <w:rFonts w:cs="Arial"/>
              </w:rPr>
              <w:t>($2</w:t>
            </w:r>
            <w:r w:rsidR="009962DE" w:rsidRPr="00A34996">
              <w:rPr>
                <w:rFonts w:cs="Arial"/>
              </w:rPr>
              <w:t>90,224</w:t>
            </w:r>
            <w:r w:rsidRPr="00A34996">
              <w:rPr>
                <w:rFonts w:cs="Arial"/>
              </w:rPr>
              <w:t>)</w:t>
            </w:r>
          </w:p>
        </w:tc>
        <w:tc>
          <w:tcPr>
            <w:tcW w:w="545" w:type="pct"/>
            <w:vAlign w:val="center"/>
          </w:tcPr>
          <w:p w:rsidR="007310DB" w:rsidRPr="00A34996" w:rsidRDefault="007310DB" w:rsidP="00E31465">
            <w:pPr>
              <w:jc w:val="center"/>
              <w:cnfStyle w:val="000000100000" w:firstRow="0" w:lastRow="0" w:firstColumn="0" w:lastColumn="0" w:oddVBand="0" w:evenVBand="0" w:oddHBand="1" w:evenHBand="0" w:firstRowFirstColumn="0" w:firstRowLastColumn="0" w:lastRowFirstColumn="0" w:lastRowLastColumn="0"/>
              <w:rPr>
                <w:rFonts w:cs="Arial"/>
              </w:rPr>
            </w:pPr>
            <w:r w:rsidRPr="00A34996">
              <w:rPr>
                <w:rFonts w:cs="Arial"/>
              </w:rPr>
              <w:t>0%</w:t>
            </w:r>
          </w:p>
        </w:tc>
      </w:tr>
    </w:tbl>
    <w:p w:rsidR="00EB00F8" w:rsidRPr="00A34996" w:rsidRDefault="007310DB" w:rsidP="00E31465">
      <w:pPr>
        <w:spacing w:before="240"/>
      </w:pPr>
      <w:r w:rsidRPr="00A34996">
        <w:t xml:space="preserve">California Department of Education, </w:t>
      </w:r>
      <w:r w:rsidR="00A34996" w:rsidRPr="00A34996">
        <w:t xml:space="preserve">Charter Schools Division, </w:t>
      </w:r>
      <w:r w:rsidRPr="00A34996">
        <w:t>August 20</w:t>
      </w:r>
      <w:r w:rsidR="009962DE" w:rsidRPr="00A34996">
        <w:t>20</w:t>
      </w:r>
    </w:p>
    <w:sectPr w:rsidR="00EB00F8" w:rsidRPr="00A34996" w:rsidSect="00A34996">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61B" w:rsidRDefault="003A161B" w:rsidP="00F84197">
      <w:r>
        <w:separator/>
      </w:r>
    </w:p>
  </w:endnote>
  <w:endnote w:type="continuationSeparator" w:id="0">
    <w:p w:rsidR="003A161B" w:rsidRDefault="003A161B" w:rsidP="00F8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61B" w:rsidRDefault="003A161B" w:rsidP="00F84197">
      <w:r>
        <w:separator/>
      </w:r>
    </w:p>
  </w:footnote>
  <w:footnote w:type="continuationSeparator" w:id="0">
    <w:p w:rsidR="003A161B" w:rsidRDefault="003A161B" w:rsidP="00F84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61B" w:rsidRDefault="003A161B" w:rsidP="00F61978">
    <w:pPr>
      <w:pStyle w:val="Header"/>
      <w:jc w:val="right"/>
    </w:pPr>
    <w:r w:rsidRPr="00F61978">
      <w:t>memo-</w:t>
    </w:r>
    <w:r>
      <w:t>oab</w:t>
    </w:r>
    <w:r w:rsidRPr="00F61978">
      <w:t>-csd-aug</w:t>
    </w:r>
    <w:r>
      <w:t>20</w:t>
    </w:r>
    <w:r w:rsidRPr="00F61978">
      <w:t>item0</w:t>
    </w:r>
    <w:r>
      <w:t>4</w:t>
    </w:r>
  </w:p>
  <w:p w:rsidR="003A161B" w:rsidRPr="00F61978" w:rsidRDefault="003A161B" w:rsidP="00F61978">
    <w:pPr>
      <w:pStyle w:val="Header"/>
      <w:jc w:val="right"/>
    </w:pPr>
    <w:r>
      <w:t>Attachment 1</w:t>
    </w:r>
  </w:p>
  <w:p w:rsidR="003A161B" w:rsidRPr="00F61978" w:rsidRDefault="003A161B" w:rsidP="00F61978">
    <w:pPr>
      <w:tabs>
        <w:tab w:val="center" w:pos="4680"/>
        <w:tab w:val="right" w:pos="9360"/>
      </w:tabs>
      <w:spacing w:after="100" w:afterAutospacing="1"/>
      <w:jc w:val="right"/>
    </w:pPr>
    <w:r w:rsidRPr="00F61978">
      <w:t xml:space="preserve">Page </w:t>
    </w:r>
    <w:r w:rsidRPr="00F61978">
      <w:fldChar w:fldCharType="begin"/>
    </w:r>
    <w:r w:rsidRPr="00F61978">
      <w:instrText xml:space="preserve"> PAGE   \* MERGEFORMAT </w:instrText>
    </w:r>
    <w:r w:rsidRPr="00F61978">
      <w:fldChar w:fldCharType="separate"/>
    </w:r>
    <w:r>
      <w:rPr>
        <w:noProof/>
      </w:rPr>
      <w:t>10</w:t>
    </w:r>
    <w:r w:rsidRPr="00F61978">
      <w:fldChar w:fldCharType="end"/>
    </w:r>
    <w:r w:rsidRPr="00F61978">
      <w:t xml:space="preserve"> of </w:t>
    </w:r>
    <w:fldSimple w:instr=" NUMPAGES   \* MERGEFORMAT ">
      <w:r>
        <w:rPr>
          <w:noProof/>
        </w:rPr>
        <w:t>10</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82761"/>
    <w:multiLevelType w:val="hybridMultilevel"/>
    <w:tmpl w:val="E5929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4561F"/>
    <w:multiLevelType w:val="hybridMultilevel"/>
    <w:tmpl w:val="4360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35970"/>
    <w:multiLevelType w:val="hybridMultilevel"/>
    <w:tmpl w:val="DF50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664FB"/>
    <w:multiLevelType w:val="hybridMultilevel"/>
    <w:tmpl w:val="8730D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C3B3078"/>
    <w:multiLevelType w:val="hybridMultilevel"/>
    <w:tmpl w:val="3CA4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AE5227"/>
    <w:multiLevelType w:val="hybridMultilevel"/>
    <w:tmpl w:val="B9AA3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3A77AE"/>
    <w:multiLevelType w:val="hybridMultilevel"/>
    <w:tmpl w:val="316A1358"/>
    <w:lvl w:ilvl="0" w:tplc="8FA67D8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4F33895"/>
    <w:multiLevelType w:val="hybridMultilevel"/>
    <w:tmpl w:val="B352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9300D1"/>
    <w:multiLevelType w:val="hybridMultilevel"/>
    <w:tmpl w:val="FD4C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665E02"/>
    <w:multiLevelType w:val="hybridMultilevel"/>
    <w:tmpl w:val="F4DE9D3C"/>
    <w:lvl w:ilvl="0" w:tplc="97869F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1F37E5"/>
    <w:multiLevelType w:val="hybridMultilevel"/>
    <w:tmpl w:val="F4C02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6D1EA6"/>
    <w:multiLevelType w:val="hybridMultilevel"/>
    <w:tmpl w:val="EE1E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8"/>
  </w:num>
  <w:num w:numId="6">
    <w:abstractNumId w:val="2"/>
  </w:num>
  <w:num w:numId="7">
    <w:abstractNumId w:val="4"/>
  </w:num>
  <w:num w:numId="8">
    <w:abstractNumId w:val="7"/>
  </w:num>
  <w:num w:numId="9">
    <w:abstractNumId w:val="11"/>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40"/>
    <w:rsid w:val="0000439B"/>
    <w:rsid w:val="0001738B"/>
    <w:rsid w:val="00044BA8"/>
    <w:rsid w:val="00053A91"/>
    <w:rsid w:val="00053B2A"/>
    <w:rsid w:val="00054876"/>
    <w:rsid w:val="00057A96"/>
    <w:rsid w:val="00077927"/>
    <w:rsid w:val="00087FB6"/>
    <w:rsid w:val="0009091C"/>
    <w:rsid w:val="000B491B"/>
    <w:rsid w:val="000B7813"/>
    <w:rsid w:val="000B7D95"/>
    <w:rsid w:val="000C139F"/>
    <w:rsid w:val="000C1869"/>
    <w:rsid w:val="000D281B"/>
    <w:rsid w:val="000E2147"/>
    <w:rsid w:val="000E5069"/>
    <w:rsid w:val="000F6628"/>
    <w:rsid w:val="001108ED"/>
    <w:rsid w:val="00120155"/>
    <w:rsid w:val="0012162F"/>
    <w:rsid w:val="0013141B"/>
    <w:rsid w:val="0013271A"/>
    <w:rsid w:val="00143030"/>
    <w:rsid w:val="0016173B"/>
    <w:rsid w:val="00162FDB"/>
    <w:rsid w:val="001648E9"/>
    <w:rsid w:val="0016783C"/>
    <w:rsid w:val="00184DEF"/>
    <w:rsid w:val="001A6670"/>
    <w:rsid w:val="001B52EE"/>
    <w:rsid w:val="001D0C76"/>
    <w:rsid w:val="001D0D17"/>
    <w:rsid w:val="001D3CFD"/>
    <w:rsid w:val="001D4396"/>
    <w:rsid w:val="001E7E1F"/>
    <w:rsid w:val="001F4207"/>
    <w:rsid w:val="002050C8"/>
    <w:rsid w:val="0021425B"/>
    <w:rsid w:val="002232EF"/>
    <w:rsid w:val="002408E4"/>
    <w:rsid w:val="002521CA"/>
    <w:rsid w:val="00256699"/>
    <w:rsid w:val="002670C7"/>
    <w:rsid w:val="0028003E"/>
    <w:rsid w:val="00282DC5"/>
    <w:rsid w:val="0029286A"/>
    <w:rsid w:val="002A2142"/>
    <w:rsid w:val="002D0818"/>
    <w:rsid w:val="002D0A84"/>
    <w:rsid w:val="002E0854"/>
    <w:rsid w:val="002E6A6A"/>
    <w:rsid w:val="002F5B62"/>
    <w:rsid w:val="003163D0"/>
    <w:rsid w:val="00316E96"/>
    <w:rsid w:val="00321D49"/>
    <w:rsid w:val="00322C00"/>
    <w:rsid w:val="00324140"/>
    <w:rsid w:val="00325EAA"/>
    <w:rsid w:val="003321A8"/>
    <w:rsid w:val="0033616F"/>
    <w:rsid w:val="00364C1F"/>
    <w:rsid w:val="00382423"/>
    <w:rsid w:val="00385AA6"/>
    <w:rsid w:val="00391D2E"/>
    <w:rsid w:val="003A161B"/>
    <w:rsid w:val="003B759F"/>
    <w:rsid w:val="003C2146"/>
    <w:rsid w:val="003D1042"/>
    <w:rsid w:val="003D3054"/>
    <w:rsid w:val="003D35FD"/>
    <w:rsid w:val="003E3B94"/>
    <w:rsid w:val="00407731"/>
    <w:rsid w:val="004206BB"/>
    <w:rsid w:val="0042374A"/>
    <w:rsid w:val="00424433"/>
    <w:rsid w:val="00427F8E"/>
    <w:rsid w:val="004413D7"/>
    <w:rsid w:val="004444BF"/>
    <w:rsid w:val="00447BF6"/>
    <w:rsid w:val="00450DE4"/>
    <w:rsid w:val="0045448A"/>
    <w:rsid w:val="00461A12"/>
    <w:rsid w:val="00465951"/>
    <w:rsid w:val="00474A2F"/>
    <w:rsid w:val="00476B0E"/>
    <w:rsid w:val="00480417"/>
    <w:rsid w:val="004A6B59"/>
    <w:rsid w:val="004B0582"/>
    <w:rsid w:val="004B154E"/>
    <w:rsid w:val="004C6121"/>
    <w:rsid w:val="004C6FEA"/>
    <w:rsid w:val="004E121C"/>
    <w:rsid w:val="004E2933"/>
    <w:rsid w:val="004E4875"/>
    <w:rsid w:val="004E5904"/>
    <w:rsid w:val="004E7793"/>
    <w:rsid w:val="004F37E1"/>
    <w:rsid w:val="00510C33"/>
    <w:rsid w:val="005138B9"/>
    <w:rsid w:val="0051479B"/>
    <w:rsid w:val="0054334A"/>
    <w:rsid w:val="00544351"/>
    <w:rsid w:val="005700FA"/>
    <w:rsid w:val="005716EF"/>
    <w:rsid w:val="00586C01"/>
    <w:rsid w:val="0058760F"/>
    <w:rsid w:val="00587E6B"/>
    <w:rsid w:val="005A727F"/>
    <w:rsid w:val="005B1325"/>
    <w:rsid w:val="005D600A"/>
    <w:rsid w:val="005E23FB"/>
    <w:rsid w:val="005F22CD"/>
    <w:rsid w:val="005F325C"/>
    <w:rsid w:val="006332BB"/>
    <w:rsid w:val="00654F89"/>
    <w:rsid w:val="0066032B"/>
    <w:rsid w:val="006667FE"/>
    <w:rsid w:val="00680588"/>
    <w:rsid w:val="00681207"/>
    <w:rsid w:val="00697EE9"/>
    <w:rsid w:val="006A1E09"/>
    <w:rsid w:val="006D01A6"/>
    <w:rsid w:val="006E4313"/>
    <w:rsid w:val="006F0CDD"/>
    <w:rsid w:val="0070290D"/>
    <w:rsid w:val="00714FE2"/>
    <w:rsid w:val="007270BA"/>
    <w:rsid w:val="007310DB"/>
    <w:rsid w:val="00732DF6"/>
    <w:rsid w:val="0074109F"/>
    <w:rsid w:val="00766997"/>
    <w:rsid w:val="00796F8E"/>
    <w:rsid w:val="007A2653"/>
    <w:rsid w:val="007C012C"/>
    <w:rsid w:val="007C1393"/>
    <w:rsid w:val="007C235A"/>
    <w:rsid w:val="007C3BB7"/>
    <w:rsid w:val="007D0D9B"/>
    <w:rsid w:val="007D1D53"/>
    <w:rsid w:val="007D74C0"/>
    <w:rsid w:val="008106F3"/>
    <w:rsid w:val="00812B57"/>
    <w:rsid w:val="00814B6C"/>
    <w:rsid w:val="00814FFE"/>
    <w:rsid w:val="00815147"/>
    <w:rsid w:val="008213F2"/>
    <w:rsid w:val="00822110"/>
    <w:rsid w:val="008250AC"/>
    <w:rsid w:val="008424F4"/>
    <w:rsid w:val="00861A80"/>
    <w:rsid w:val="00873D17"/>
    <w:rsid w:val="008818CA"/>
    <w:rsid w:val="008B1135"/>
    <w:rsid w:val="008B67AD"/>
    <w:rsid w:val="008C45FE"/>
    <w:rsid w:val="008C5565"/>
    <w:rsid w:val="008D2B05"/>
    <w:rsid w:val="008F4589"/>
    <w:rsid w:val="008F6CA0"/>
    <w:rsid w:val="009019BE"/>
    <w:rsid w:val="00915370"/>
    <w:rsid w:val="00917EB2"/>
    <w:rsid w:val="0093596C"/>
    <w:rsid w:val="00957D56"/>
    <w:rsid w:val="00963290"/>
    <w:rsid w:val="00975887"/>
    <w:rsid w:val="00982A10"/>
    <w:rsid w:val="00986551"/>
    <w:rsid w:val="00986B30"/>
    <w:rsid w:val="00990D3E"/>
    <w:rsid w:val="00995D1D"/>
    <w:rsid w:val="009962DE"/>
    <w:rsid w:val="009A3FBD"/>
    <w:rsid w:val="009C325C"/>
    <w:rsid w:val="009C766A"/>
    <w:rsid w:val="009F22F7"/>
    <w:rsid w:val="00A00F39"/>
    <w:rsid w:val="00A01F6B"/>
    <w:rsid w:val="00A05C28"/>
    <w:rsid w:val="00A11875"/>
    <w:rsid w:val="00A31CA9"/>
    <w:rsid w:val="00A34996"/>
    <w:rsid w:val="00A35C73"/>
    <w:rsid w:val="00A435CF"/>
    <w:rsid w:val="00A75084"/>
    <w:rsid w:val="00AA07F4"/>
    <w:rsid w:val="00AB4C92"/>
    <w:rsid w:val="00AC0904"/>
    <w:rsid w:val="00AD3501"/>
    <w:rsid w:val="00AE1BB0"/>
    <w:rsid w:val="00AE7DCD"/>
    <w:rsid w:val="00AF22B1"/>
    <w:rsid w:val="00B1746C"/>
    <w:rsid w:val="00B21BCA"/>
    <w:rsid w:val="00B652A6"/>
    <w:rsid w:val="00B66519"/>
    <w:rsid w:val="00B843CB"/>
    <w:rsid w:val="00BC3667"/>
    <w:rsid w:val="00BC376B"/>
    <w:rsid w:val="00BC4070"/>
    <w:rsid w:val="00BC5F51"/>
    <w:rsid w:val="00BD7045"/>
    <w:rsid w:val="00BE5A48"/>
    <w:rsid w:val="00BF4286"/>
    <w:rsid w:val="00BF7F32"/>
    <w:rsid w:val="00C0133C"/>
    <w:rsid w:val="00C20634"/>
    <w:rsid w:val="00C21802"/>
    <w:rsid w:val="00C37FAD"/>
    <w:rsid w:val="00C420BB"/>
    <w:rsid w:val="00C46875"/>
    <w:rsid w:val="00C5666F"/>
    <w:rsid w:val="00C61F78"/>
    <w:rsid w:val="00C7045D"/>
    <w:rsid w:val="00CC5474"/>
    <w:rsid w:val="00D042D4"/>
    <w:rsid w:val="00D07EA8"/>
    <w:rsid w:val="00D22B8F"/>
    <w:rsid w:val="00D270A8"/>
    <w:rsid w:val="00D36A69"/>
    <w:rsid w:val="00D43FB8"/>
    <w:rsid w:val="00D46338"/>
    <w:rsid w:val="00D569B3"/>
    <w:rsid w:val="00D6794C"/>
    <w:rsid w:val="00D742AD"/>
    <w:rsid w:val="00D81E7D"/>
    <w:rsid w:val="00D859A5"/>
    <w:rsid w:val="00DC5FAA"/>
    <w:rsid w:val="00DD6097"/>
    <w:rsid w:val="00DE0EB7"/>
    <w:rsid w:val="00DE7B37"/>
    <w:rsid w:val="00E305F7"/>
    <w:rsid w:val="00E31465"/>
    <w:rsid w:val="00E32FDC"/>
    <w:rsid w:val="00E37B32"/>
    <w:rsid w:val="00E4143C"/>
    <w:rsid w:val="00E604DD"/>
    <w:rsid w:val="00E81D09"/>
    <w:rsid w:val="00E832AD"/>
    <w:rsid w:val="00EA3FA7"/>
    <w:rsid w:val="00EA4DF4"/>
    <w:rsid w:val="00EA651B"/>
    <w:rsid w:val="00EB00F8"/>
    <w:rsid w:val="00EC3FF1"/>
    <w:rsid w:val="00ED07A0"/>
    <w:rsid w:val="00ED1BDB"/>
    <w:rsid w:val="00EF3B2C"/>
    <w:rsid w:val="00EF40E4"/>
    <w:rsid w:val="00F04B97"/>
    <w:rsid w:val="00F06887"/>
    <w:rsid w:val="00F147CD"/>
    <w:rsid w:val="00F2229F"/>
    <w:rsid w:val="00F37CA7"/>
    <w:rsid w:val="00F431A0"/>
    <w:rsid w:val="00F508DD"/>
    <w:rsid w:val="00F61978"/>
    <w:rsid w:val="00F70704"/>
    <w:rsid w:val="00F84197"/>
    <w:rsid w:val="00FA342F"/>
    <w:rsid w:val="00FA4B5F"/>
    <w:rsid w:val="00FA6E5C"/>
    <w:rsid w:val="00FD402F"/>
    <w:rsid w:val="00FD40A5"/>
    <w:rsid w:val="00FD76CA"/>
    <w:rsid w:val="00FE1B05"/>
    <w:rsid w:val="00FF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604AE8B"/>
  <w15:chartTrackingRefBased/>
  <w15:docId w15:val="{E38F77F6-2A7D-43EC-ABE7-CD2C4943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uiPriority w:val="9"/>
    <w:qFormat/>
    <w:rsid w:val="00407731"/>
    <w:pPr>
      <w:keepNext/>
      <w:keepLines/>
      <w:spacing w:before="240"/>
      <w:jc w:val="center"/>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053A91"/>
    <w:pPr>
      <w:keepNext/>
      <w:keepLines/>
      <w:spacing w:before="160" w:after="100" w:afterAutospacing="1"/>
      <w:outlineLvl w:val="1"/>
    </w:pPr>
    <w:rPr>
      <w:rFonts w:eastAsiaTheme="majorEastAsia" w:cstheme="majorBidi"/>
      <w:b/>
      <w:noProof/>
      <w:sz w:val="36"/>
      <w:szCs w:val="26"/>
    </w:rPr>
  </w:style>
  <w:style w:type="paragraph" w:styleId="Heading3">
    <w:name w:val="heading 3"/>
    <w:basedOn w:val="Normal"/>
    <w:next w:val="Normal"/>
    <w:link w:val="Heading3Char"/>
    <w:autoRedefine/>
    <w:uiPriority w:val="9"/>
    <w:unhideWhenUsed/>
    <w:qFormat/>
    <w:rsid w:val="000B491B"/>
    <w:pPr>
      <w:keepNext/>
      <w:keepLines/>
      <w:spacing w:before="40" w:after="100" w:afterAutospacing="1"/>
      <w:outlineLvl w:val="2"/>
    </w:pPr>
    <w:rPr>
      <w:rFonts w:eastAsiaTheme="majorEastAsia" w:cstheme="majorBidi"/>
      <w:b/>
      <w:sz w:val="32"/>
    </w:rPr>
  </w:style>
  <w:style w:type="paragraph" w:styleId="Heading4">
    <w:name w:val="heading 4"/>
    <w:basedOn w:val="Normal"/>
    <w:next w:val="Normal"/>
    <w:link w:val="Heading4Char"/>
    <w:autoRedefine/>
    <w:uiPriority w:val="9"/>
    <w:unhideWhenUsed/>
    <w:qFormat/>
    <w:rsid w:val="00E31465"/>
    <w:pPr>
      <w:keepNext/>
      <w:keepLines/>
      <w:spacing w:after="100" w:afterAutospacing="1"/>
      <w:outlineLvl w:val="3"/>
    </w:pPr>
    <w:rPr>
      <w:rFonts w:eastAsiaTheme="majorEastAsia" w:cstheme="majorBidi"/>
      <w:b/>
      <w:iCs/>
      <w:sz w:val="28"/>
    </w:rPr>
  </w:style>
  <w:style w:type="paragraph" w:styleId="Heading5">
    <w:name w:val="heading 5"/>
    <w:basedOn w:val="Normal"/>
    <w:next w:val="Normal"/>
    <w:link w:val="Heading5Char"/>
    <w:autoRedefine/>
    <w:uiPriority w:val="9"/>
    <w:unhideWhenUsed/>
    <w:qFormat/>
    <w:rsid w:val="00E31465"/>
    <w:pPr>
      <w:keepNext/>
      <w:keepLines/>
      <w:spacing w:before="100" w:beforeAutospacing="1" w:after="100" w:afterAutospacing="1"/>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3A91"/>
    <w:rPr>
      <w:rFonts w:ascii="Arial" w:eastAsiaTheme="majorEastAsia" w:hAnsi="Arial" w:cstheme="majorBidi"/>
      <w:b/>
      <w:noProof/>
      <w:sz w:val="3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407731"/>
    <w:rPr>
      <w:rFonts w:ascii="Arial" w:eastAsiaTheme="majorEastAsia" w:hAnsi="Arial" w:cstheme="majorBidi"/>
      <w:b/>
      <w:sz w:val="40"/>
      <w:szCs w:val="32"/>
    </w:rPr>
  </w:style>
  <w:style w:type="paragraph" w:styleId="Header">
    <w:name w:val="header"/>
    <w:basedOn w:val="Normal"/>
    <w:link w:val="HeaderChar"/>
    <w:uiPriority w:val="99"/>
    <w:unhideWhenUsed/>
    <w:rsid w:val="00F84197"/>
    <w:pPr>
      <w:tabs>
        <w:tab w:val="center" w:pos="4680"/>
        <w:tab w:val="right" w:pos="9360"/>
      </w:tabs>
    </w:pPr>
  </w:style>
  <w:style w:type="character" w:customStyle="1" w:styleId="HeaderChar">
    <w:name w:val="Header Char"/>
    <w:basedOn w:val="DefaultParagraphFont"/>
    <w:link w:val="Header"/>
    <w:uiPriority w:val="99"/>
    <w:rsid w:val="00F84197"/>
    <w:rPr>
      <w:rFonts w:ascii="Arial" w:eastAsia="Times New Roman" w:hAnsi="Arial" w:cs="Times New Roman"/>
      <w:sz w:val="24"/>
      <w:szCs w:val="24"/>
    </w:rPr>
  </w:style>
  <w:style w:type="paragraph" w:styleId="Footer">
    <w:name w:val="footer"/>
    <w:basedOn w:val="Normal"/>
    <w:link w:val="FooterChar"/>
    <w:uiPriority w:val="99"/>
    <w:unhideWhenUsed/>
    <w:rsid w:val="00F84197"/>
    <w:pPr>
      <w:tabs>
        <w:tab w:val="center" w:pos="4680"/>
        <w:tab w:val="right" w:pos="9360"/>
      </w:tabs>
    </w:pPr>
  </w:style>
  <w:style w:type="character" w:customStyle="1" w:styleId="FooterChar">
    <w:name w:val="Footer Char"/>
    <w:basedOn w:val="DefaultParagraphFont"/>
    <w:link w:val="Footer"/>
    <w:uiPriority w:val="99"/>
    <w:rsid w:val="00F84197"/>
    <w:rPr>
      <w:rFonts w:ascii="Arial" w:eastAsia="Times New Roman" w:hAnsi="Arial" w:cs="Times New Roman"/>
      <w:sz w:val="24"/>
      <w:szCs w:val="24"/>
    </w:rPr>
  </w:style>
  <w:style w:type="paragraph" w:styleId="ListParagraph">
    <w:name w:val="List Paragraph"/>
    <w:basedOn w:val="Normal"/>
    <w:uiPriority w:val="34"/>
    <w:qFormat/>
    <w:rsid w:val="001A6670"/>
    <w:pPr>
      <w:ind w:left="720"/>
      <w:contextualSpacing/>
    </w:pPr>
  </w:style>
  <w:style w:type="table" w:styleId="TableGrid">
    <w:name w:val="Table Grid"/>
    <w:basedOn w:val="TableNormal"/>
    <w:uiPriority w:val="39"/>
    <w:rsid w:val="000B7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B491B"/>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E31465"/>
    <w:rPr>
      <w:rFonts w:ascii="Arial" w:eastAsiaTheme="majorEastAsia" w:hAnsi="Arial" w:cstheme="majorBidi"/>
      <w:b/>
      <w:iCs/>
      <w:sz w:val="28"/>
      <w:szCs w:val="24"/>
    </w:rPr>
  </w:style>
  <w:style w:type="table" w:styleId="GridTable4">
    <w:name w:val="Grid Table 4"/>
    <w:basedOn w:val="TableNormal"/>
    <w:uiPriority w:val="49"/>
    <w:rsid w:val="00E314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5Char">
    <w:name w:val="Heading 5 Char"/>
    <w:basedOn w:val="DefaultParagraphFont"/>
    <w:link w:val="Heading5"/>
    <w:uiPriority w:val="9"/>
    <w:rsid w:val="00E31465"/>
    <w:rPr>
      <w:rFonts w:ascii="Arial" w:eastAsiaTheme="majorEastAsia" w:hAnsi="Arial"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7119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F5374-E2A0-470F-8E2C-B8E420D2D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TotalTime>
  <Pages>17</Pages>
  <Words>2122</Words>
  <Characters>12102</Characters>
  <DocSecurity>0</DocSecurity>
  <Lines>100</Lines>
  <Paragraphs>28</Paragraphs>
  <ScaleCrop>false</ScaleCrop>
  <HeadingPairs>
    <vt:vector size="2" baseType="variant">
      <vt:variant>
        <vt:lpstr>Title</vt:lpstr>
      </vt:variant>
      <vt:variant>
        <vt:i4>1</vt:i4>
      </vt:variant>
    </vt:vector>
  </HeadingPairs>
  <TitlesOfParts>
    <vt:vector size="1" baseType="lpstr">
      <vt:lpstr>August 2020 Memo OAB CSD Item 04 Attachment 1 - Information Memorandum (CA State Board of Education)</vt:lpstr>
    </vt:vector>
  </TitlesOfParts>
  <Company>California State Board of Education</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2020 Memo OAB CSD Item 04 Attachment 1 - Information Memorandum (CA State Board of Education)</dc:title>
  <dc:subject>State Board of Education-Authorized Charter Schools in Fair or Poor Financial Condition.</dc:subject>
  <dc:creator/>
  <cp:keywords/>
  <dc:description/>
  <cp:lastPrinted>2019-07-31T21:13:00Z</cp:lastPrinted>
  <dcterms:created xsi:type="dcterms:W3CDTF">2020-06-03T18:28:00Z</dcterms:created>
  <dcterms:modified xsi:type="dcterms:W3CDTF">2020-07-24T18:48:00Z</dcterms:modified>
  <cp:category/>
</cp:coreProperties>
</file>