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911230" w14:textId="77777777" w:rsidR="00057A96" w:rsidRDefault="00057A96" w:rsidP="00057A96">
      <w:r>
        <w:t>California Department of Education</w:t>
      </w:r>
    </w:p>
    <w:p w14:paraId="7F738EE7" w14:textId="77777777" w:rsidR="00057A96" w:rsidRDefault="00057A96" w:rsidP="00057A96">
      <w:r>
        <w:t>Executive Office</w:t>
      </w:r>
    </w:p>
    <w:p w14:paraId="0F3E4176" w14:textId="77777777" w:rsidR="00982A10" w:rsidRDefault="00057A96" w:rsidP="00982A10">
      <w:r>
        <w:t>SBE-00</w:t>
      </w:r>
      <w:r w:rsidR="00BC376B">
        <w:t>2</w:t>
      </w:r>
      <w:r>
        <w:t xml:space="preserve"> (REV. 1</w:t>
      </w:r>
      <w:r w:rsidR="000C139F">
        <w:t>1</w:t>
      </w:r>
      <w:r>
        <w:t>/2017)</w:t>
      </w:r>
    </w:p>
    <w:p w14:paraId="626203FD" w14:textId="77777777" w:rsidR="00982A10" w:rsidRDefault="00982A10" w:rsidP="00982A10">
      <w:r>
        <w:br w:type="column"/>
      </w:r>
      <w:r w:rsidR="002F5660" w:rsidRPr="002F5660">
        <w:t>memo-imb-adad-jun20item01</w:t>
      </w:r>
    </w:p>
    <w:p w14:paraId="653FDC9F" w14:textId="77777777" w:rsidR="00982A10" w:rsidRDefault="00982A10" w:rsidP="0033616F">
      <w:pPr>
        <w:pStyle w:val="Heading1"/>
        <w:spacing w:line="360" w:lineRule="auto"/>
        <w:rPr>
          <w:rFonts w:ascii="Arial" w:hAnsi="Arial" w:cs="Arial"/>
          <w:b/>
          <w:color w:val="auto"/>
          <w:sz w:val="40"/>
          <w:szCs w:val="52"/>
        </w:rPr>
        <w:sectPr w:rsidR="00982A10" w:rsidSect="00982A10">
          <w:type w:val="continuous"/>
          <w:pgSz w:w="12240" w:h="15840"/>
          <w:pgMar w:top="720" w:right="1440" w:bottom="1440" w:left="1440" w:header="720" w:footer="720" w:gutter="0"/>
          <w:cols w:num="2" w:space="144" w:equalWidth="0">
            <w:col w:w="5760" w:space="144"/>
            <w:col w:w="3456"/>
          </w:cols>
        </w:sectPr>
      </w:pPr>
    </w:p>
    <w:p w14:paraId="5DFFA630" w14:textId="77777777" w:rsidR="00057A96" w:rsidRPr="008B1135" w:rsidRDefault="00BC376B" w:rsidP="0033616F">
      <w:pPr>
        <w:pStyle w:val="Heading1"/>
        <w:spacing w:line="360" w:lineRule="auto"/>
        <w:rPr>
          <w:rFonts w:ascii="Arial" w:hAnsi="Arial" w:cs="Arial"/>
          <w:b/>
          <w:color w:val="auto"/>
          <w:sz w:val="40"/>
          <w:szCs w:val="52"/>
        </w:rPr>
      </w:pPr>
      <w:r w:rsidRPr="008B1135">
        <w:rPr>
          <w:rFonts w:ascii="Arial" w:hAnsi="Arial" w:cs="Arial"/>
          <w:b/>
          <w:color w:val="auto"/>
          <w:sz w:val="40"/>
          <w:szCs w:val="52"/>
        </w:rPr>
        <w:t>MEMORANDUM</w:t>
      </w:r>
    </w:p>
    <w:p w14:paraId="339764E4" w14:textId="5A58A754" w:rsidR="00057A96" w:rsidRPr="00695C54" w:rsidRDefault="008F6CA0" w:rsidP="008B1135">
      <w:pPr>
        <w:spacing w:after="360"/>
      </w:pPr>
      <w:r w:rsidRPr="662870F4">
        <w:rPr>
          <w:b/>
          <w:bCs/>
        </w:rPr>
        <w:t>DATE:</w:t>
      </w:r>
      <w:r>
        <w:tab/>
      </w:r>
      <w:r w:rsidR="18E8666A" w:rsidRPr="00695C54">
        <w:t xml:space="preserve">June </w:t>
      </w:r>
      <w:r w:rsidR="00695C54">
        <w:t>12</w:t>
      </w:r>
      <w:r w:rsidR="002F5660" w:rsidRPr="00695C54">
        <w:t>, 2020</w:t>
      </w:r>
      <w:r w:rsidR="00057A96" w:rsidRPr="00695C54">
        <w:t xml:space="preserve"> </w:t>
      </w:r>
    </w:p>
    <w:p w14:paraId="5206566B" w14:textId="77777777" w:rsidR="00057A96" w:rsidRPr="00695C54" w:rsidRDefault="00057A96" w:rsidP="00C61F78">
      <w:pPr>
        <w:spacing w:after="360"/>
        <w:ind w:left="1440" w:hanging="1440"/>
      </w:pPr>
      <w:r w:rsidRPr="00695C54">
        <w:rPr>
          <w:b/>
        </w:rPr>
        <w:t>TO:</w:t>
      </w:r>
      <w:r w:rsidRPr="00695C54">
        <w:rPr>
          <w:b/>
        </w:rPr>
        <w:tab/>
      </w:r>
      <w:r w:rsidRPr="00695C54">
        <w:t>MEMBERS, State Board of Education</w:t>
      </w:r>
      <w:r w:rsidRPr="00695C54">
        <w:tab/>
      </w:r>
    </w:p>
    <w:p w14:paraId="582E2DAC" w14:textId="77777777" w:rsidR="00057A96" w:rsidRPr="00695C54" w:rsidRDefault="00057A96" w:rsidP="00C61F78">
      <w:pPr>
        <w:spacing w:after="360"/>
        <w:ind w:left="1440" w:hanging="1440"/>
      </w:pPr>
      <w:r w:rsidRPr="00695C54">
        <w:rPr>
          <w:b/>
        </w:rPr>
        <w:t>FROM:</w:t>
      </w:r>
      <w:r w:rsidR="00C61F78" w:rsidRPr="00695C54">
        <w:tab/>
      </w:r>
      <w:r w:rsidR="00EB5DD7" w:rsidRPr="00695C54">
        <w:t>TONY THURMOND</w:t>
      </w:r>
      <w:r w:rsidR="00C61F78" w:rsidRPr="00695C54">
        <w:t xml:space="preserve">, </w:t>
      </w:r>
      <w:r w:rsidRPr="00695C54">
        <w:t>State Superintendent of Public Instruction</w:t>
      </w:r>
    </w:p>
    <w:p w14:paraId="7E9B016A" w14:textId="2C08E915" w:rsidR="00057A96" w:rsidRPr="00695C54" w:rsidRDefault="00057A96" w:rsidP="00C61F78">
      <w:pPr>
        <w:spacing w:after="360"/>
        <w:ind w:left="1440" w:hanging="1440"/>
      </w:pPr>
      <w:r w:rsidRPr="00695C54">
        <w:rPr>
          <w:b/>
          <w:bCs/>
        </w:rPr>
        <w:t>SUBJECT:</w:t>
      </w:r>
      <w:r w:rsidRPr="00695C54">
        <w:rPr>
          <w:b/>
        </w:rPr>
        <w:tab/>
      </w:r>
      <w:r w:rsidR="002F5660" w:rsidRPr="00695C54">
        <w:t>20</w:t>
      </w:r>
      <w:r w:rsidR="28E984AF" w:rsidRPr="00695C54">
        <w:t>18</w:t>
      </w:r>
      <w:r w:rsidR="002F5660" w:rsidRPr="00695C54">
        <w:t>–19 California Assessment of Student Performance and Progress English Language Arts/Literacy: Update on Grade Six Scoring and Reporting.</w:t>
      </w:r>
    </w:p>
    <w:p w14:paraId="1B9228DC" w14:textId="77777777" w:rsidR="00057A96" w:rsidRPr="00695C54" w:rsidRDefault="00474A2F" w:rsidP="008B1135">
      <w:pPr>
        <w:pStyle w:val="Heading2"/>
        <w:spacing w:before="240" w:after="0" w:line="360" w:lineRule="auto"/>
        <w:rPr>
          <w:sz w:val="36"/>
        </w:rPr>
      </w:pPr>
      <w:r w:rsidRPr="00695C54">
        <w:rPr>
          <w:sz w:val="36"/>
        </w:rPr>
        <w:t>Summary o</w:t>
      </w:r>
      <w:r w:rsidR="00057A96" w:rsidRPr="00695C54">
        <w:rPr>
          <w:sz w:val="36"/>
        </w:rPr>
        <w:t>f Key Issues</w:t>
      </w:r>
    </w:p>
    <w:p w14:paraId="51364262" w14:textId="198F3B25" w:rsidR="002F5660" w:rsidRPr="00695C54" w:rsidRDefault="002F5660" w:rsidP="002F5660">
      <w:pPr>
        <w:pStyle w:val="Heading2"/>
        <w:spacing w:before="240" w:after="240"/>
        <w:rPr>
          <w:rFonts w:eastAsia="Arial" w:cs="Arial"/>
          <w:b w:val="0"/>
          <w:color w:val="000000" w:themeColor="text1"/>
          <w:sz w:val="24"/>
          <w:szCs w:val="24"/>
        </w:rPr>
      </w:pPr>
      <w:r w:rsidRPr="00695C54">
        <w:rPr>
          <w:rFonts w:eastAsia="Arial" w:cs="Arial"/>
          <w:b w:val="0"/>
          <w:color w:val="000000" w:themeColor="text1"/>
          <w:sz w:val="24"/>
          <w:szCs w:val="24"/>
        </w:rPr>
        <w:t xml:space="preserve">This Information Memorandum provides an update on the revised scores for some of the grade six writing extended response (WER) </w:t>
      </w:r>
      <w:r w:rsidR="550920E5" w:rsidRPr="00695C54">
        <w:rPr>
          <w:rFonts w:eastAsia="Arial" w:cs="Arial"/>
          <w:b w:val="0"/>
          <w:color w:val="000000" w:themeColor="text1"/>
          <w:sz w:val="24"/>
          <w:szCs w:val="24"/>
        </w:rPr>
        <w:t xml:space="preserve">items </w:t>
      </w:r>
      <w:r w:rsidRPr="00695C54">
        <w:rPr>
          <w:rFonts w:eastAsia="Arial" w:cs="Arial"/>
          <w:b w:val="0"/>
          <w:color w:val="000000" w:themeColor="text1"/>
          <w:sz w:val="24"/>
          <w:szCs w:val="24"/>
        </w:rPr>
        <w:t xml:space="preserve">for the 2018–19 California Assessment of Student Performance and Progress (CAASPP) Smarter Balanced English language arts/literacy (ELA) test and the subsequent changes to the California </w:t>
      </w:r>
      <w:r w:rsidR="43AC13E1" w:rsidRPr="00695C54">
        <w:rPr>
          <w:rFonts w:eastAsia="Arial" w:cs="Arial"/>
          <w:b w:val="0"/>
          <w:color w:val="000000" w:themeColor="text1"/>
          <w:sz w:val="24"/>
          <w:szCs w:val="24"/>
        </w:rPr>
        <w:t xml:space="preserve">School </w:t>
      </w:r>
      <w:r w:rsidRPr="00695C54">
        <w:rPr>
          <w:rFonts w:eastAsia="Arial" w:cs="Arial"/>
          <w:b w:val="0"/>
          <w:color w:val="000000" w:themeColor="text1"/>
          <w:sz w:val="24"/>
          <w:szCs w:val="24"/>
        </w:rPr>
        <w:t>Dashboard.</w:t>
      </w:r>
    </w:p>
    <w:p w14:paraId="299D87DD" w14:textId="77777777" w:rsidR="002F5660" w:rsidRPr="00695C54" w:rsidRDefault="002F5660" w:rsidP="002F5660">
      <w:pPr>
        <w:spacing w:before="240" w:after="240"/>
        <w:rPr>
          <w:rFonts w:eastAsia="Arial" w:cs="Arial"/>
          <w:b/>
          <w:bCs/>
          <w:color w:val="000000" w:themeColor="text1"/>
          <w:sz w:val="36"/>
          <w:szCs w:val="36"/>
        </w:rPr>
      </w:pPr>
      <w:r w:rsidRPr="00695C54">
        <w:rPr>
          <w:rFonts w:eastAsia="Arial" w:cs="Arial"/>
          <w:b/>
          <w:bCs/>
          <w:color w:val="000000" w:themeColor="text1"/>
          <w:sz w:val="36"/>
          <w:szCs w:val="36"/>
        </w:rPr>
        <w:t>Issue Description</w:t>
      </w:r>
    </w:p>
    <w:p w14:paraId="1B71F018" w14:textId="4ADBFAD3" w:rsidR="002F5660" w:rsidRPr="00695C54" w:rsidRDefault="002F5660" w:rsidP="002F5660">
      <w:pPr>
        <w:spacing w:before="240"/>
        <w:rPr>
          <w:rFonts w:eastAsia="Arial" w:cs="Arial"/>
          <w:color w:val="000000" w:themeColor="text1"/>
        </w:rPr>
      </w:pPr>
      <w:r w:rsidRPr="00695C54">
        <w:rPr>
          <w:rFonts w:eastAsia="Arial" w:cs="Arial"/>
          <w:color w:val="000000" w:themeColor="text1"/>
        </w:rPr>
        <w:t xml:space="preserve">In early December 2019, </w:t>
      </w:r>
      <w:r w:rsidR="1EF6E795" w:rsidRPr="00695C54">
        <w:rPr>
          <w:rFonts w:eastAsia="Arial" w:cs="Arial"/>
          <w:color w:val="000000" w:themeColor="text1"/>
        </w:rPr>
        <w:t xml:space="preserve">testing contractor </w:t>
      </w:r>
      <w:r w:rsidRPr="00695C54">
        <w:rPr>
          <w:rFonts w:eastAsia="Arial" w:cs="Arial"/>
          <w:color w:val="000000" w:themeColor="text1"/>
        </w:rPr>
        <w:t xml:space="preserve">Educational Testing Service (ETS) </w:t>
      </w:r>
      <w:r w:rsidR="002C6877" w:rsidRPr="00695C54">
        <w:rPr>
          <w:rFonts w:eastAsia="Arial" w:cs="Arial"/>
          <w:color w:val="000000" w:themeColor="text1"/>
        </w:rPr>
        <w:t xml:space="preserve">found </w:t>
      </w:r>
      <w:r w:rsidRPr="00695C54">
        <w:rPr>
          <w:rFonts w:eastAsia="Arial" w:cs="Arial"/>
          <w:color w:val="000000" w:themeColor="text1"/>
        </w:rPr>
        <w:t xml:space="preserve">that, within the pool of grade six WER items, six automated-scored WER prompts had low inter-rater reliability estimates for the Conventions dimension scores. </w:t>
      </w:r>
      <w:r w:rsidR="002C6877" w:rsidRPr="00695C54">
        <w:rPr>
          <w:rFonts w:eastAsia="Arial" w:cs="Arial"/>
          <w:color w:val="000000" w:themeColor="text1"/>
        </w:rPr>
        <w:t>Through</w:t>
      </w:r>
      <w:r w:rsidRPr="00695C54">
        <w:rPr>
          <w:rFonts w:eastAsia="Arial" w:cs="Arial"/>
          <w:color w:val="000000" w:themeColor="text1"/>
        </w:rPr>
        <w:t xml:space="preserve"> ETS’s review and analysis of all data transfer and scoring systems, a configuration issue was uncovered in the data transfer system related to </w:t>
      </w:r>
      <w:proofErr w:type="gramStart"/>
      <w:r w:rsidRPr="00695C54">
        <w:rPr>
          <w:rFonts w:eastAsia="Arial" w:cs="Arial"/>
          <w:color w:val="000000" w:themeColor="text1"/>
        </w:rPr>
        <w:t>those grade</w:t>
      </w:r>
      <w:proofErr w:type="gramEnd"/>
      <w:r w:rsidRPr="00695C54">
        <w:rPr>
          <w:rFonts w:eastAsia="Arial" w:cs="Arial"/>
          <w:color w:val="000000" w:themeColor="text1"/>
        </w:rPr>
        <w:t xml:space="preserve"> six WER prompts. The configuration error was resolved, and the items were rescored. A detailed account of the configuration error, as well as the number of student scores and score reporting systems affected by this configuration error, was provided in an Information Memorandum to the California State Board of Education in February 2020</w:t>
      </w:r>
      <w:r w:rsidR="002C6877" w:rsidRPr="00695C54">
        <w:rPr>
          <w:rFonts w:eastAsia="Arial" w:cs="Arial"/>
          <w:color w:val="000000" w:themeColor="text1"/>
        </w:rPr>
        <w:t>, which can be located at</w:t>
      </w:r>
      <w:r w:rsidRPr="00695C54">
        <w:rPr>
          <w:rFonts w:eastAsia="Arial" w:cs="Arial"/>
          <w:color w:val="000000" w:themeColor="text1"/>
        </w:rPr>
        <w:t xml:space="preserve"> </w:t>
      </w:r>
      <w:hyperlink r:id="rId11" w:tooltip="This link opens the February 2020 SBE Information Memorandum.">
        <w:r w:rsidRPr="00695C54">
          <w:rPr>
            <w:rStyle w:val="Hyperlink"/>
            <w:rFonts w:eastAsia="Arial" w:cs="Arial"/>
          </w:rPr>
          <w:t>https://www.cde.ca.gov/be/pn/im/documents/feb20memoadad03.docx</w:t>
        </w:r>
      </w:hyperlink>
      <w:r w:rsidRPr="00695C54">
        <w:rPr>
          <w:rFonts w:eastAsia="Arial" w:cs="Arial"/>
          <w:color w:val="000000" w:themeColor="text1"/>
        </w:rPr>
        <w:t>.</w:t>
      </w:r>
    </w:p>
    <w:p w14:paraId="7D149524" w14:textId="77777777" w:rsidR="002F5660" w:rsidRPr="00695C54" w:rsidRDefault="002F5660" w:rsidP="002F5660">
      <w:pPr>
        <w:spacing w:before="240"/>
        <w:rPr>
          <w:rFonts w:eastAsia="Arial" w:cs="Arial"/>
          <w:color w:val="000000" w:themeColor="text1"/>
        </w:rPr>
      </w:pPr>
      <w:r w:rsidRPr="00695C54">
        <w:rPr>
          <w:rFonts w:eastAsia="Arial" w:cs="Arial"/>
          <w:color w:val="000000" w:themeColor="text1"/>
        </w:rPr>
        <w:t xml:space="preserve">In February 2020, revised Smarter Balanced ELA scores were reported for all students whose scale score increased because of rescoring. Consistent with past practice, students whose scale score decreased or remained the same were not re-reported. </w:t>
      </w:r>
    </w:p>
    <w:p w14:paraId="19AA90C6" w14:textId="77777777" w:rsidR="002F5660" w:rsidRPr="00695C54" w:rsidRDefault="002F5660" w:rsidP="002F5660">
      <w:pPr>
        <w:spacing w:before="240"/>
        <w:rPr>
          <w:rFonts w:eastAsia="Arial" w:cs="Arial"/>
          <w:color w:val="000000" w:themeColor="text1"/>
        </w:rPr>
      </w:pPr>
      <w:r w:rsidRPr="00695C54">
        <w:rPr>
          <w:rFonts w:eastAsia="Arial" w:cs="Arial"/>
          <w:color w:val="000000" w:themeColor="text1"/>
        </w:rPr>
        <w:t xml:space="preserve">Revised data files were provided to the Analysis, Measurement, and Accountability Reporting Division (AMARD) for further analysis in order to determine the impact on the accountability and continuous improvement system. AMARD determined that the </w:t>
      </w:r>
      <w:r w:rsidRPr="00695C54">
        <w:rPr>
          <w:rFonts w:eastAsia="Arial" w:cs="Arial"/>
          <w:color w:val="000000" w:themeColor="text1"/>
        </w:rPr>
        <w:lastRenderedPageBreak/>
        <w:t xml:space="preserve">revised grade six ELA scores resulted in a change to the ELA performance level color of 200 schools and 40 local educational agencies (LEAs). </w:t>
      </w:r>
    </w:p>
    <w:p w14:paraId="3F80B7CC" w14:textId="100FF5D0" w:rsidR="002F5660" w:rsidRPr="00695C54" w:rsidRDefault="002F5660" w:rsidP="662870F4">
      <w:pPr>
        <w:spacing w:before="240"/>
        <w:rPr>
          <w:rFonts w:eastAsia="Arial" w:cs="Arial"/>
          <w:color w:val="000000" w:themeColor="text1"/>
        </w:rPr>
      </w:pPr>
      <w:r w:rsidRPr="00695C54">
        <w:rPr>
          <w:rFonts w:eastAsia="Arial" w:cs="Arial"/>
          <w:color w:val="000000" w:themeColor="text1"/>
        </w:rPr>
        <w:t xml:space="preserve">The California </w:t>
      </w:r>
      <w:r w:rsidR="002C6877" w:rsidRPr="00695C54">
        <w:rPr>
          <w:rFonts w:eastAsia="Arial" w:cs="Arial"/>
          <w:color w:val="000000" w:themeColor="text1"/>
        </w:rPr>
        <w:t xml:space="preserve">School </w:t>
      </w:r>
      <w:r w:rsidRPr="00695C54">
        <w:rPr>
          <w:rFonts w:eastAsia="Arial" w:cs="Arial"/>
          <w:color w:val="000000" w:themeColor="text1"/>
        </w:rPr>
        <w:t xml:space="preserve">Dashboard was updated on April 6, 2020, to reflect the revised ELA academic performance level for each impacted school and LEA. Consistent with the Student Score Reports, no schools or LEAs experienced a change that negatively affected their ELA academic performance level. Only the LEAs </w:t>
      </w:r>
      <w:r w:rsidR="00EE4CE7" w:rsidRPr="00695C54">
        <w:rPr>
          <w:rFonts w:eastAsia="Arial" w:cs="Arial"/>
          <w:color w:val="000000" w:themeColor="text1"/>
        </w:rPr>
        <w:t>that</w:t>
      </w:r>
      <w:r w:rsidRPr="00695C54">
        <w:rPr>
          <w:rFonts w:eastAsia="Arial" w:cs="Arial"/>
          <w:color w:val="000000" w:themeColor="text1"/>
        </w:rPr>
        <w:t xml:space="preserve"> experienced a change in their performance level were notified</w:t>
      </w:r>
      <w:r w:rsidR="49EA8110" w:rsidRPr="00695C54">
        <w:rPr>
          <w:rFonts w:eastAsia="Arial" w:cs="Arial"/>
          <w:color w:val="000000" w:themeColor="text1"/>
        </w:rPr>
        <w:t>, by email,</w:t>
      </w:r>
      <w:r w:rsidRPr="00695C54">
        <w:rPr>
          <w:rFonts w:eastAsia="Arial" w:cs="Arial"/>
          <w:color w:val="000000" w:themeColor="text1"/>
        </w:rPr>
        <w:t xml:space="preserve"> of this change. An overview of all academic performance level changes can be found in </w:t>
      </w:r>
      <w:r w:rsidR="002C6877" w:rsidRPr="00695C54">
        <w:rPr>
          <w:rFonts w:eastAsia="Arial" w:cs="Arial"/>
          <w:color w:val="000000" w:themeColor="text1"/>
        </w:rPr>
        <w:t>T</w:t>
      </w:r>
      <w:r w:rsidRPr="00695C54">
        <w:rPr>
          <w:rFonts w:eastAsia="Arial" w:cs="Arial"/>
          <w:color w:val="000000" w:themeColor="text1"/>
        </w:rPr>
        <w:t xml:space="preserve">able 1. </w:t>
      </w:r>
      <w:r w:rsidR="0CE3F1A4" w:rsidRPr="00695C54">
        <w:rPr>
          <w:rFonts w:eastAsia="Arial" w:cs="Arial"/>
          <w:color w:val="000000" w:themeColor="text1"/>
        </w:rPr>
        <w:t>While this update resulted in no change regarding Differentiated Assistance for LEAs, six schools were exited from Comprehensive Support and Improvement as a result of this change.</w:t>
      </w:r>
    </w:p>
    <w:p w14:paraId="4817EBF8" w14:textId="58AE0919" w:rsidR="00C20D96" w:rsidRPr="00695C54" w:rsidRDefault="002F5660" w:rsidP="00C20D96">
      <w:pPr>
        <w:spacing w:before="240"/>
        <w:rPr>
          <w:rFonts w:eastAsia="Arial" w:cs="Arial"/>
          <w:color w:val="212121"/>
        </w:rPr>
      </w:pPr>
      <w:r w:rsidRPr="00695C54">
        <w:rPr>
          <w:rFonts w:eastAsia="Arial" w:cs="Arial"/>
          <w:color w:val="212121"/>
        </w:rPr>
        <w:t>To prevent a similar issue from occurring in the future, ETS</w:t>
      </w:r>
      <w:r w:rsidR="516B3B17" w:rsidRPr="00695C54">
        <w:rPr>
          <w:rFonts w:eastAsia="Arial" w:cs="Arial"/>
          <w:color w:val="212121"/>
        </w:rPr>
        <w:t>’s</w:t>
      </w:r>
      <w:r w:rsidRPr="00695C54">
        <w:rPr>
          <w:rFonts w:eastAsia="Arial" w:cs="Arial"/>
          <w:color w:val="212121"/>
        </w:rPr>
        <w:t xml:space="preserve"> corrective action review </w:t>
      </w:r>
      <w:r w:rsidR="75E72418" w:rsidRPr="00695C54">
        <w:rPr>
          <w:rFonts w:eastAsia="Arial" w:cs="Arial"/>
          <w:color w:val="212121"/>
        </w:rPr>
        <w:t xml:space="preserve">has </w:t>
      </w:r>
      <w:r w:rsidRPr="00695C54">
        <w:rPr>
          <w:rFonts w:eastAsia="Arial" w:cs="Arial"/>
          <w:color w:val="212121"/>
        </w:rPr>
        <w:t>identified the following process</w:t>
      </w:r>
      <w:r w:rsidR="00EE4CE7" w:rsidRPr="00695C54">
        <w:rPr>
          <w:rFonts w:eastAsia="Arial" w:cs="Arial"/>
          <w:color w:val="212121"/>
        </w:rPr>
        <w:t>-</w:t>
      </w:r>
      <w:r w:rsidRPr="00695C54">
        <w:rPr>
          <w:rFonts w:eastAsia="Arial" w:cs="Arial"/>
          <w:color w:val="212121"/>
        </w:rPr>
        <w:t>improvement opportunities</w:t>
      </w:r>
      <w:r w:rsidR="4BB6C7BE" w:rsidRPr="00695C54">
        <w:rPr>
          <w:rFonts w:eastAsia="Arial" w:cs="Arial"/>
          <w:color w:val="212121"/>
        </w:rPr>
        <w:t>, which are</w:t>
      </w:r>
      <w:r w:rsidRPr="00695C54">
        <w:rPr>
          <w:rFonts w:eastAsia="Arial" w:cs="Arial"/>
          <w:color w:val="212121"/>
        </w:rPr>
        <w:t xml:space="preserve"> to be implemented moving forward:</w:t>
      </w:r>
    </w:p>
    <w:p w14:paraId="58C46148" w14:textId="799D4AC2" w:rsidR="00C20D96" w:rsidRPr="00695C54" w:rsidRDefault="002F5660" w:rsidP="00C20D96">
      <w:pPr>
        <w:pStyle w:val="ListParagraph"/>
        <w:numPr>
          <w:ilvl w:val="0"/>
          <w:numId w:val="1"/>
        </w:numPr>
        <w:spacing w:before="240" w:after="240"/>
        <w:contextualSpacing w:val="0"/>
        <w:rPr>
          <w:rFonts w:eastAsia="Arial" w:cs="Arial"/>
          <w:color w:val="212121"/>
        </w:rPr>
      </w:pPr>
      <w:r w:rsidRPr="00695C54">
        <w:rPr>
          <w:rFonts w:eastAsia="Arial" w:cs="Arial"/>
          <w:color w:val="212121"/>
        </w:rPr>
        <w:t>Update quality</w:t>
      </w:r>
      <w:r w:rsidR="00EE4CE7" w:rsidRPr="00695C54">
        <w:rPr>
          <w:rFonts w:eastAsia="Arial" w:cs="Arial"/>
          <w:color w:val="212121"/>
        </w:rPr>
        <w:t>-</w:t>
      </w:r>
      <w:r w:rsidRPr="00695C54">
        <w:rPr>
          <w:rFonts w:eastAsia="Arial" w:cs="Arial"/>
          <w:color w:val="212121"/>
        </w:rPr>
        <w:t xml:space="preserve">control processes, including </w:t>
      </w:r>
      <w:r w:rsidR="00AE158A" w:rsidRPr="00695C54">
        <w:rPr>
          <w:rFonts w:eastAsia="Arial" w:cs="Arial"/>
          <w:color w:val="212121"/>
        </w:rPr>
        <w:t xml:space="preserve">the </w:t>
      </w:r>
      <w:r w:rsidRPr="00695C54">
        <w:rPr>
          <w:rFonts w:eastAsia="Arial" w:cs="Arial"/>
          <w:color w:val="212121"/>
        </w:rPr>
        <w:t>increas</w:t>
      </w:r>
      <w:r w:rsidR="00AE158A" w:rsidRPr="00695C54">
        <w:rPr>
          <w:rFonts w:eastAsia="Arial" w:cs="Arial"/>
          <w:color w:val="212121"/>
        </w:rPr>
        <w:t>ed</w:t>
      </w:r>
      <w:r w:rsidRPr="00695C54">
        <w:rPr>
          <w:rFonts w:eastAsia="Arial" w:cs="Arial"/>
          <w:color w:val="212121"/>
        </w:rPr>
        <w:t xml:space="preserve"> </w:t>
      </w:r>
      <w:r w:rsidR="4DD40F1E" w:rsidRPr="00695C54">
        <w:rPr>
          <w:rFonts w:eastAsia="Arial" w:cs="Arial"/>
          <w:color w:val="212121"/>
        </w:rPr>
        <w:t>sampling of</w:t>
      </w:r>
      <w:r w:rsidRPr="00695C54">
        <w:rPr>
          <w:rFonts w:eastAsia="Arial" w:cs="Arial"/>
          <w:color w:val="212121"/>
        </w:rPr>
        <w:t xml:space="preserve"> test data, and </w:t>
      </w:r>
      <w:r w:rsidR="39ADCC25" w:rsidRPr="00695C54">
        <w:rPr>
          <w:rFonts w:eastAsia="Arial" w:cs="Arial"/>
          <w:color w:val="212121"/>
        </w:rPr>
        <w:t xml:space="preserve">the enhancement of </w:t>
      </w:r>
      <w:r w:rsidRPr="00695C54">
        <w:rPr>
          <w:rFonts w:eastAsia="Arial" w:cs="Arial"/>
          <w:color w:val="212121"/>
        </w:rPr>
        <w:t>end-to-end data flow testing and rating validations, in an effort to detect and address issues before scoring commences</w:t>
      </w:r>
      <w:r w:rsidR="00EE4CE7" w:rsidRPr="00695C54">
        <w:rPr>
          <w:rFonts w:eastAsia="Arial" w:cs="Arial"/>
          <w:color w:val="212121"/>
        </w:rPr>
        <w:t>.</w:t>
      </w:r>
    </w:p>
    <w:p w14:paraId="00D4FF58" w14:textId="7F5582FC" w:rsidR="002F5660" w:rsidRPr="00695C54" w:rsidRDefault="002F5660" w:rsidP="002F5660">
      <w:pPr>
        <w:pStyle w:val="ListParagraph"/>
        <w:numPr>
          <w:ilvl w:val="0"/>
          <w:numId w:val="1"/>
        </w:numPr>
        <w:spacing w:after="240"/>
        <w:rPr>
          <w:rFonts w:eastAsia="Arial" w:cs="Arial"/>
          <w:color w:val="212121"/>
        </w:rPr>
      </w:pPr>
      <w:r w:rsidRPr="00695C54">
        <w:rPr>
          <w:rFonts w:eastAsia="Arial" w:cs="Arial"/>
          <w:color w:val="212121"/>
        </w:rPr>
        <w:t xml:space="preserve">Enhance the </w:t>
      </w:r>
      <w:r w:rsidR="3838D87A" w:rsidRPr="00695C54">
        <w:rPr>
          <w:rFonts w:eastAsia="Arial" w:cs="Arial"/>
          <w:color w:val="212121"/>
        </w:rPr>
        <w:t>p</w:t>
      </w:r>
      <w:r w:rsidRPr="00695C54">
        <w:rPr>
          <w:rFonts w:eastAsia="Arial" w:cs="Arial"/>
          <w:color w:val="212121"/>
        </w:rPr>
        <w:t xml:space="preserve">reliminary </w:t>
      </w:r>
      <w:r w:rsidR="50C1FC68" w:rsidRPr="00695C54">
        <w:rPr>
          <w:rFonts w:eastAsia="Arial" w:cs="Arial"/>
          <w:color w:val="212121"/>
        </w:rPr>
        <w:t>i</w:t>
      </w:r>
      <w:r w:rsidRPr="00695C54">
        <w:rPr>
          <w:rFonts w:eastAsia="Arial" w:cs="Arial"/>
          <w:color w:val="212121"/>
        </w:rPr>
        <w:t xml:space="preserve">tem </w:t>
      </w:r>
      <w:r w:rsidR="204E8732" w:rsidRPr="00695C54">
        <w:rPr>
          <w:rFonts w:eastAsia="Arial" w:cs="Arial"/>
          <w:color w:val="212121"/>
        </w:rPr>
        <w:t>a</w:t>
      </w:r>
      <w:r w:rsidRPr="00695C54">
        <w:rPr>
          <w:rFonts w:eastAsia="Arial" w:cs="Arial"/>
          <w:color w:val="212121"/>
        </w:rPr>
        <w:t>nalysis</w:t>
      </w:r>
      <w:r w:rsidR="5102F19A" w:rsidRPr="00695C54">
        <w:rPr>
          <w:rFonts w:eastAsia="Arial" w:cs="Arial"/>
          <w:color w:val="212121"/>
        </w:rPr>
        <w:t xml:space="preserve"> process</w:t>
      </w:r>
      <w:r w:rsidRPr="00695C54">
        <w:rPr>
          <w:rFonts w:eastAsia="Arial" w:cs="Arial"/>
          <w:color w:val="212121"/>
        </w:rPr>
        <w:t xml:space="preserve"> </w:t>
      </w:r>
      <w:r w:rsidR="25B3F6E0" w:rsidRPr="00695C54">
        <w:rPr>
          <w:rFonts w:eastAsia="Arial" w:cs="Arial"/>
          <w:color w:val="212121"/>
        </w:rPr>
        <w:t xml:space="preserve">for all tests with centralized hand scoring (the Smarter Balanced Assessments for ELA and mathematics, </w:t>
      </w:r>
      <w:r w:rsidR="1BDD92BC" w:rsidRPr="00695C54">
        <w:rPr>
          <w:rFonts w:eastAsia="Arial" w:cs="Arial"/>
          <w:color w:val="212121"/>
        </w:rPr>
        <w:t xml:space="preserve">the California Science Test, and </w:t>
      </w:r>
      <w:r w:rsidR="25B3F6E0" w:rsidRPr="00695C54">
        <w:rPr>
          <w:rFonts w:eastAsia="Arial" w:cs="Arial"/>
          <w:color w:val="212121"/>
        </w:rPr>
        <w:t xml:space="preserve">the Summative </w:t>
      </w:r>
      <w:r w:rsidR="23652B90" w:rsidRPr="00695C54">
        <w:rPr>
          <w:rFonts w:eastAsia="Arial" w:cs="Arial"/>
          <w:color w:val="212121"/>
        </w:rPr>
        <w:t>English Language Proficiency Assessments for California</w:t>
      </w:r>
      <w:r w:rsidR="25B3F6E0" w:rsidRPr="00695C54">
        <w:rPr>
          <w:rFonts w:eastAsia="Arial" w:cs="Arial"/>
          <w:color w:val="212121"/>
        </w:rPr>
        <w:t xml:space="preserve">) </w:t>
      </w:r>
      <w:r w:rsidRPr="00695C54">
        <w:rPr>
          <w:rFonts w:eastAsia="Arial" w:cs="Arial"/>
          <w:color w:val="212121"/>
        </w:rPr>
        <w:t xml:space="preserve">to ensure </w:t>
      </w:r>
      <w:r w:rsidR="00EE4CE7" w:rsidRPr="00695C54">
        <w:rPr>
          <w:rFonts w:eastAsia="Arial" w:cs="Arial"/>
          <w:color w:val="212121"/>
        </w:rPr>
        <w:t xml:space="preserve">that </w:t>
      </w:r>
      <w:r w:rsidRPr="00695C54">
        <w:rPr>
          <w:rFonts w:eastAsia="Arial" w:cs="Arial"/>
          <w:color w:val="212121"/>
        </w:rPr>
        <w:t>any potential issues are flagged earlier in the process, prior to the release of score reports.</w:t>
      </w:r>
    </w:p>
    <w:p w14:paraId="065493EF" w14:textId="4E5BE63D" w:rsidR="002F5660" w:rsidRPr="00695C54" w:rsidRDefault="002F5660" w:rsidP="002F5660">
      <w:pPr>
        <w:spacing w:after="240"/>
        <w:rPr>
          <w:rFonts w:cs="Arial"/>
          <w:b/>
          <w:bCs/>
        </w:rPr>
      </w:pPr>
      <w:r w:rsidRPr="00695C54">
        <w:rPr>
          <w:rFonts w:cs="Arial"/>
          <w:b/>
          <w:bCs/>
        </w:rPr>
        <w:t>Table 1. Changes to ELA Academic Performance Level</w:t>
      </w:r>
      <w:r w:rsidR="3C9C6570" w:rsidRPr="00695C54">
        <w:rPr>
          <w:rFonts w:cs="Arial"/>
          <w:b/>
          <w:bCs/>
        </w:rPr>
        <w:t>s</w:t>
      </w:r>
      <w:r w:rsidRPr="00695C54">
        <w:rPr>
          <w:rFonts w:cs="Arial"/>
          <w:b/>
          <w:bCs/>
        </w:rPr>
        <w:t xml:space="preserve"> on the 2018</w:t>
      </w:r>
      <w:r w:rsidRPr="00695C54">
        <w:rPr>
          <w:rFonts w:eastAsia="Arial" w:cs="Arial"/>
          <w:b/>
          <w:bCs/>
          <w:color w:val="3B3E4D"/>
        </w:rPr>
        <w:t>–</w:t>
      </w:r>
      <w:r w:rsidRPr="00695C54">
        <w:rPr>
          <w:rFonts w:cs="Arial"/>
          <w:b/>
          <w:bCs/>
        </w:rPr>
        <w:t xml:space="preserve">19 California </w:t>
      </w:r>
      <w:r w:rsidR="7ADCDAA3" w:rsidRPr="00695C54">
        <w:rPr>
          <w:rFonts w:cs="Arial"/>
          <w:b/>
          <w:bCs/>
        </w:rPr>
        <w:t xml:space="preserve">School </w:t>
      </w:r>
      <w:r w:rsidRPr="00695C54">
        <w:rPr>
          <w:rFonts w:cs="Arial"/>
          <w:b/>
          <w:bCs/>
        </w:rPr>
        <w:t>Dashboard Due to Rescoring of Grade Six WER Items</w:t>
      </w:r>
    </w:p>
    <w:tbl>
      <w:tblPr>
        <w:tblStyle w:val="TableGrid"/>
        <w:tblW w:w="0" w:type="auto"/>
        <w:tblLook w:val="06A0" w:firstRow="1" w:lastRow="0" w:firstColumn="1" w:lastColumn="0" w:noHBand="1" w:noVBand="1"/>
        <w:tblDescription w:val="Table 1. Changes to the ELA Academic Performance Level on the 2018–2019 California Accountability Dashboard Due to Rescoring of Grade Six WER Items"/>
      </w:tblPr>
      <w:tblGrid>
        <w:gridCol w:w="3117"/>
        <w:gridCol w:w="3117"/>
        <w:gridCol w:w="3116"/>
      </w:tblGrid>
      <w:tr w:rsidR="002F5660" w:rsidRPr="00695C54" w14:paraId="461D3B9E" w14:textId="77777777" w:rsidTr="00DA0DF7">
        <w:trPr>
          <w:cantSplit/>
          <w:tblHeader/>
        </w:trPr>
        <w:tc>
          <w:tcPr>
            <w:tcW w:w="3120" w:type="dxa"/>
          </w:tcPr>
          <w:p w14:paraId="75BBFDCE" w14:textId="77777777" w:rsidR="002F5660" w:rsidRPr="00695C54" w:rsidRDefault="002F5660" w:rsidP="002F5660">
            <w:pPr>
              <w:spacing w:before="120" w:after="120"/>
              <w:jc w:val="center"/>
              <w:rPr>
                <w:rFonts w:eastAsia="Arial" w:cs="Arial"/>
                <w:b/>
                <w:bCs/>
                <w:color w:val="212121"/>
              </w:rPr>
            </w:pPr>
            <w:r w:rsidRPr="00695C54">
              <w:rPr>
                <w:rFonts w:eastAsia="Arial" w:cs="Arial"/>
                <w:b/>
                <w:bCs/>
                <w:color w:val="212121"/>
              </w:rPr>
              <w:t>ELA Academic Performance Level Change for the Student Group “A</w:t>
            </w:r>
            <w:bookmarkStart w:id="0" w:name="_GoBack"/>
            <w:bookmarkEnd w:id="0"/>
            <w:r w:rsidRPr="00695C54">
              <w:rPr>
                <w:rFonts w:eastAsia="Arial" w:cs="Arial"/>
                <w:b/>
                <w:bCs/>
                <w:color w:val="212121"/>
              </w:rPr>
              <w:t xml:space="preserve">ll </w:t>
            </w:r>
            <w:proofErr w:type="gramStart"/>
            <w:r w:rsidRPr="00695C54">
              <w:rPr>
                <w:rFonts w:eastAsia="Arial" w:cs="Arial"/>
                <w:b/>
                <w:bCs/>
                <w:color w:val="212121"/>
              </w:rPr>
              <w:t>Students”*</w:t>
            </w:r>
            <w:proofErr w:type="gramEnd"/>
          </w:p>
        </w:tc>
        <w:tc>
          <w:tcPr>
            <w:tcW w:w="3120" w:type="dxa"/>
            <w:vAlign w:val="center"/>
          </w:tcPr>
          <w:p w14:paraId="4804C633" w14:textId="77777777" w:rsidR="002F5660" w:rsidRPr="00695C54" w:rsidRDefault="002F5660" w:rsidP="002F5660">
            <w:pPr>
              <w:spacing w:before="120" w:after="120"/>
              <w:jc w:val="center"/>
              <w:rPr>
                <w:rFonts w:eastAsia="Arial" w:cs="Arial"/>
                <w:b/>
                <w:bCs/>
                <w:color w:val="212121"/>
              </w:rPr>
            </w:pPr>
            <w:r w:rsidRPr="00695C54">
              <w:rPr>
                <w:rFonts w:eastAsia="Arial" w:cs="Arial"/>
                <w:b/>
                <w:bCs/>
                <w:color w:val="212121"/>
              </w:rPr>
              <w:t>Schools</w:t>
            </w:r>
          </w:p>
        </w:tc>
        <w:tc>
          <w:tcPr>
            <w:tcW w:w="3120" w:type="dxa"/>
            <w:vAlign w:val="center"/>
          </w:tcPr>
          <w:p w14:paraId="7A345E94" w14:textId="77777777" w:rsidR="002F5660" w:rsidRPr="00695C54" w:rsidRDefault="002F5660" w:rsidP="002F5660">
            <w:pPr>
              <w:spacing w:before="120" w:after="120"/>
              <w:jc w:val="center"/>
              <w:rPr>
                <w:rFonts w:eastAsia="Arial" w:cs="Arial"/>
                <w:b/>
                <w:bCs/>
                <w:color w:val="212121"/>
              </w:rPr>
            </w:pPr>
            <w:r w:rsidRPr="00695C54">
              <w:rPr>
                <w:rFonts w:eastAsia="Arial" w:cs="Arial"/>
                <w:b/>
                <w:bCs/>
                <w:color w:val="212121"/>
              </w:rPr>
              <w:t>LEAs</w:t>
            </w:r>
          </w:p>
        </w:tc>
      </w:tr>
      <w:tr w:rsidR="002F5660" w:rsidRPr="00695C54" w14:paraId="0275D9A7" w14:textId="77777777" w:rsidTr="00DA0DF7">
        <w:trPr>
          <w:cantSplit/>
        </w:trPr>
        <w:tc>
          <w:tcPr>
            <w:tcW w:w="3120" w:type="dxa"/>
          </w:tcPr>
          <w:p w14:paraId="6A84ECF2" w14:textId="77777777" w:rsidR="002F5660" w:rsidRPr="00695C54" w:rsidRDefault="002F5660" w:rsidP="00F633E3">
            <w:pPr>
              <w:spacing w:before="120" w:after="120"/>
              <w:jc w:val="center"/>
              <w:rPr>
                <w:rFonts w:eastAsia="Arial" w:cs="Arial"/>
                <w:color w:val="212121"/>
              </w:rPr>
            </w:pPr>
            <w:r w:rsidRPr="00695C54">
              <w:rPr>
                <w:rFonts w:eastAsia="Arial" w:cs="Arial"/>
                <w:color w:val="212121"/>
              </w:rPr>
              <w:t xml:space="preserve">Red to </w:t>
            </w:r>
            <w:r w:rsidR="00F633E3" w:rsidRPr="00695C54">
              <w:rPr>
                <w:rFonts w:eastAsia="Arial" w:cs="Arial"/>
                <w:color w:val="212121"/>
              </w:rPr>
              <w:t>Orange</w:t>
            </w:r>
          </w:p>
        </w:tc>
        <w:tc>
          <w:tcPr>
            <w:tcW w:w="3120" w:type="dxa"/>
          </w:tcPr>
          <w:p w14:paraId="0882E3DF" w14:textId="77777777" w:rsidR="002F5660" w:rsidRPr="00695C54" w:rsidRDefault="002F5660" w:rsidP="002F5660">
            <w:pPr>
              <w:spacing w:before="120" w:after="120"/>
              <w:jc w:val="center"/>
              <w:rPr>
                <w:rFonts w:eastAsia="Arial" w:cs="Arial"/>
                <w:color w:val="212121"/>
              </w:rPr>
            </w:pPr>
            <w:r w:rsidRPr="00695C54">
              <w:rPr>
                <w:rFonts w:eastAsia="Arial" w:cs="Arial"/>
                <w:color w:val="212121"/>
              </w:rPr>
              <w:t>6</w:t>
            </w:r>
          </w:p>
        </w:tc>
        <w:tc>
          <w:tcPr>
            <w:tcW w:w="3120" w:type="dxa"/>
          </w:tcPr>
          <w:p w14:paraId="206CA154" w14:textId="77777777" w:rsidR="002F5660" w:rsidRPr="00695C54" w:rsidRDefault="002F5660" w:rsidP="002F5660">
            <w:pPr>
              <w:spacing w:before="120" w:after="120"/>
              <w:jc w:val="center"/>
              <w:rPr>
                <w:rFonts w:eastAsia="Arial" w:cs="Arial"/>
                <w:color w:val="212121"/>
              </w:rPr>
            </w:pPr>
            <w:r w:rsidRPr="00695C54">
              <w:rPr>
                <w:rFonts w:eastAsia="Arial" w:cs="Arial"/>
                <w:color w:val="212121"/>
              </w:rPr>
              <w:t>0</w:t>
            </w:r>
          </w:p>
        </w:tc>
      </w:tr>
      <w:tr w:rsidR="002F5660" w:rsidRPr="00695C54" w14:paraId="2A32C91D" w14:textId="77777777" w:rsidTr="00DA0DF7">
        <w:trPr>
          <w:cantSplit/>
        </w:trPr>
        <w:tc>
          <w:tcPr>
            <w:tcW w:w="3120" w:type="dxa"/>
          </w:tcPr>
          <w:p w14:paraId="7E2B8FBD" w14:textId="77777777" w:rsidR="002F5660" w:rsidRPr="00695C54" w:rsidRDefault="002F5660" w:rsidP="002F5660">
            <w:pPr>
              <w:spacing w:before="120" w:after="120"/>
              <w:jc w:val="center"/>
              <w:rPr>
                <w:rFonts w:eastAsia="Arial" w:cs="Arial"/>
                <w:color w:val="212121"/>
              </w:rPr>
            </w:pPr>
            <w:r w:rsidRPr="00695C54">
              <w:rPr>
                <w:rFonts w:eastAsia="Arial" w:cs="Arial"/>
                <w:color w:val="212121"/>
              </w:rPr>
              <w:t xml:space="preserve">Orange to </w:t>
            </w:r>
            <w:r w:rsidR="00F633E3" w:rsidRPr="00695C54">
              <w:rPr>
                <w:rFonts w:eastAsia="Arial" w:cs="Arial"/>
                <w:color w:val="212121"/>
              </w:rPr>
              <w:t>Y</w:t>
            </w:r>
            <w:r w:rsidRPr="00695C54">
              <w:rPr>
                <w:rFonts w:eastAsia="Arial" w:cs="Arial"/>
                <w:color w:val="212121"/>
              </w:rPr>
              <w:t>ellow</w:t>
            </w:r>
          </w:p>
        </w:tc>
        <w:tc>
          <w:tcPr>
            <w:tcW w:w="3120" w:type="dxa"/>
          </w:tcPr>
          <w:p w14:paraId="68364F14" w14:textId="77777777" w:rsidR="002F5660" w:rsidRPr="00695C54" w:rsidRDefault="002F5660" w:rsidP="002F5660">
            <w:pPr>
              <w:spacing w:before="120" w:after="120"/>
              <w:jc w:val="center"/>
              <w:rPr>
                <w:rFonts w:eastAsia="Arial" w:cs="Arial"/>
                <w:color w:val="212121"/>
              </w:rPr>
            </w:pPr>
            <w:r w:rsidRPr="00695C54">
              <w:rPr>
                <w:rFonts w:eastAsia="Arial" w:cs="Arial"/>
                <w:color w:val="212121"/>
              </w:rPr>
              <w:t>93</w:t>
            </w:r>
          </w:p>
        </w:tc>
        <w:tc>
          <w:tcPr>
            <w:tcW w:w="3120" w:type="dxa"/>
          </w:tcPr>
          <w:p w14:paraId="0684A822" w14:textId="77777777" w:rsidR="002F5660" w:rsidRPr="00695C54" w:rsidRDefault="002F5660" w:rsidP="002F5660">
            <w:pPr>
              <w:spacing w:before="120" w:after="120"/>
              <w:jc w:val="center"/>
              <w:rPr>
                <w:rFonts w:eastAsia="Arial" w:cs="Arial"/>
                <w:color w:val="212121"/>
              </w:rPr>
            </w:pPr>
            <w:r w:rsidRPr="00695C54">
              <w:rPr>
                <w:rFonts w:eastAsia="Arial" w:cs="Arial"/>
                <w:color w:val="212121"/>
              </w:rPr>
              <w:t>19</w:t>
            </w:r>
          </w:p>
        </w:tc>
      </w:tr>
      <w:tr w:rsidR="002F5660" w:rsidRPr="00695C54" w14:paraId="17BAFCC1" w14:textId="77777777" w:rsidTr="00DA0DF7">
        <w:trPr>
          <w:cantSplit/>
        </w:trPr>
        <w:tc>
          <w:tcPr>
            <w:tcW w:w="3120" w:type="dxa"/>
          </w:tcPr>
          <w:p w14:paraId="795A302E" w14:textId="77777777" w:rsidR="002F5660" w:rsidRPr="00695C54" w:rsidRDefault="002F5660" w:rsidP="002F5660">
            <w:pPr>
              <w:spacing w:before="120" w:after="120"/>
              <w:jc w:val="center"/>
              <w:rPr>
                <w:rFonts w:eastAsia="Arial" w:cs="Arial"/>
                <w:color w:val="212121"/>
              </w:rPr>
            </w:pPr>
            <w:r w:rsidRPr="00695C54">
              <w:rPr>
                <w:rFonts w:eastAsia="Arial" w:cs="Arial"/>
                <w:color w:val="212121"/>
              </w:rPr>
              <w:t xml:space="preserve">Yellow to </w:t>
            </w:r>
            <w:r w:rsidR="00F633E3" w:rsidRPr="00695C54">
              <w:rPr>
                <w:rFonts w:eastAsia="Arial" w:cs="Arial"/>
                <w:color w:val="212121"/>
              </w:rPr>
              <w:t>G</w:t>
            </w:r>
            <w:r w:rsidRPr="00695C54">
              <w:rPr>
                <w:rFonts w:eastAsia="Arial" w:cs="Arial"/>
                <w:color w:val="212121"/>
              </w:rPr>
              <w:t>reen</w:t>
            </w:r>
          </w:p>
        </w:tc>
        <w:tc>
          <w:tcPr>
            <w:tcW w:w="3120" w:type="dxa"/>
          </w:tcPr>
          <w:p w14:paraId="13F73BF7" w14:textId="77777777" w:rsidR="002F5660" w:rsidRPr="00695C54" w:rsidRDefault="002F5660" w:rsidP="002F5660">
            <w:pPr>
              <w:spacing w:before="120" w:after="120"/>
              <w:jc w:val="center"/>
              <w:rPr>
                <w:rFonts w:eastAsia="Arial" w:cs="Arial"/>
                <w:color w:val="212121"/>
              </w:rPr>
            </w:pPr>
            <w:r w:rsidRPr="00695C54">
              <w:rPr>
                <w:rFonts w:eastAsia="Arial" w:cs="Arial"/>
                <w:color w:val="212121"/>
              </w:rPr>
              <w:t>44</w:t>
            </w:r>
          </w:p>
        </w:tc>
        <w:tc>
          <w:tcPr>
            <w:tcW w:w="3120" w:type="dxa"/>
          </w:tcPr>
          <w:p w14:paraId="0EC431E6" w14:textId="77777777" w:rsidR="002F5660" w:rsidRPr="00695C54" w:rsidRDefault="002F5660" w:rsidP="002F5660">
            <w:pPr>
              <w:spacing w:before="120" w:after="120"/>
              <w:jc w:val="center"/>
              <w:rPr>
                <w:rFonts w:eastAsia="Arial" w:cs="Arial"/>
                <w:color w:val="212121"/>
              </w:rPr>
            </w:pPr>
            <w:r w:rsidRPr="00695C54">
              <w:rPr>
                <w:rFonts w:eastAsia="Arial" w:cs="Arial"/>
                <w:color w:val="212121"/>
              </w:rPr>
              <w:t>12</w:t>
            </w:r>
          </w:p>
        </w:tc>
      </w:tr>
      <w:tr w:rsidR="002F5660" w:rsidRPr="00695C54" w14:paraId="2059057A" w14:textId="77777777" w:rsidTr="00DA0DF7">
        <w:trPr>
          <w:cantSplit/>
        </w:trPr>
        <w:tc>
          <w:tcPr>
            <w:tcW w:w="3120" w:type="dxa"/>
          </w:tcPr>
          <w:p w14:paraId="7B7F346D" w14:textId="77777777" w:rsidR="002F5660" w:rsidRPr="00695C54" w:rsidRDefault="002F5660" w:rsidP="002F5660">
            <w:pPr>
              <w:spacing w:before="120" w:after="120"/>
              <w:jc w:val="center"/>
              <w:rPr>
                <w:rFonts w:eastAsia="Arial" w:cs="Arial"/>
                <w:color w:val="212121"/>
              </w:rPr>
            </w:pPr>
            <w:r w:rsidRPr="00695C54">
              <w:rPr>
                <w:rFonts w:eastAsia="Arial" w:cs="Arial"/>
                <w:color w:val="212121"/>
              </w:rPr>
              <w:t xml:space="preserve">Green to </w:t>
            </w:r>
            <w:r w:rsidR="00F633E3" w:rsidRPr="00695C54">
              <w:rPr>
                <w:rFonts w:eastAsia="Arial" w:cs="Arial"/>
                <w:color w:val="212121"/>
              </w:rPr>
              <w:t>B</w:t>
            </w:r>
            <w:r w:rsidRPr="00695C54">
              <w:rPr>
                <w:rFonts w:eastAsia="Arial" w:cs="Arial"/>
                <w:color w:val="212121"/>
              </w:rPr>
              <w:t>lue</w:t>
            </w:r>
          </w:p>
        </w:tc>
        <w:tc>
          <w:tcPr>
            <w:tcW w:w="3120" w:type="dxa"/>
          </w:tcPr>
          <w:p w14:paraId="5A0B4244" w14:textId="77777777" w:rsidR="002F5660" w:rsidRPr="00695C54" w:rsidRDefault="002F5660" w:rsidP="002F5660">
            <w:pPr>
              <w:spacing w:before="120" w:after="120"/>
              <w:jc w:val="center"/>
              <w:rPr>
                <w:rFonts w:eastAsia="Arial" w:cs="Arial"/>
                <w:color w:val="212121"/>
              </w:rPr>
            </w:pPr>
            <w:r w:rsidRPr="00695C54">
              <w:rPr>
                <w:rFonts w:eastAsia="Arial" w:cs="Arial"/>
                <w:color w:val="212121"/>
              </w:rPr>
              <w:t>57</w:t>
            </w:r>
          </w:p>
        </w:tc>
        <w:tc>
          <w:tcPr>
            <w:tcW w:w="3120" w:type="dxa"/>
          </w:tcPr>
          <w:p w14:paraId="7CFA1087" w14:textId="77777777" w:rsidR="002F5660" w:rsidRPr="00695C54" w:rsidRDefault="002F5660" w:rsidP="002F5660">
            <w:pPr>
              <w:spacing w:before="120" w:after="120"/>
              <w:jc w:val="center"/>
              <w:rPr>
                <w:rFonts w:eastAsia="Arial" w:cs="Arial"/>
                <w:color w:val="212121"/>
              </w:rPr>
            </w:pPr>
            <w:r w:rsidRPr="00695C54">
              <w:rPr>
                <w:rFonts w:eastAsia="Arial" w:cs="Arial"/>
                <w:color w:val="212121"/>
              </w:rPr>
              <w:t>9</w:t>
            </w:r>
          </w:p>
        </w:tc>
      </w:tr>
      <w:tr w:rsidR="002F5660" w:rsidRPr="00695C54" w14:paraId="5424AF33" w14:textId="77777777" w:rsidTr="00DA0DF7">
        <w:trPr>
          <w:cantSplit/>
        </w:trPr>
        <w:tc>
          <w:tcPr>
            <w:tcW w:w="3120" w:type="dxa"/>
          </w:tcPr>
          <w:p w14:paraId="1233EBAB" w14:textId="77777777" w:rsidR="002F5660" w:rsidRPr="00695C54" w:rsidRDefault="002F5660" w:rsidP="002F5660">
            <w:pPr>
              <w:spacing w:before="120" w:after="120"/>
              <w:jc w:val="center"/>
              <w:rPr>
                <w:rFonts w:eastAsia="Arial" w:cs="Arial"/>
                <w:b/>
                <w:bCs/>
                <w:color w:val="212121"/>
              </w:rPr>
            </w:pPr>
            <w:r w:rsidRPr="00695C54">
              <w:rPr>
                <w:rFonts w:eastAsia="Arial" w:cs="Arial"/>
                <w:b/>
                <w:bCs/>
                <w:color w:val="212121"/>
              </w:rPr>
              <w:t>TOTAL</w:t>
            </w:r>
          </w:p>
        </w:tc>
        <w:tc>
          <w:tcPr>
            <w:tcW w:w="3120" w:type="dxa"/>
          </w:tcPr>
          <w:p w14:paraId="6CE4CA7F" w14:textId="77777777" w:rsidR="002F5660" w:rsidRPr="00695C54" w:rsidRDefault="002F5660" w:rsidP="002F5660">
            <w:pPr>
              <w:spacing w:before="120" w:after="120"/>
              <w:jc w:val="center"/>
              <w:rPr>
                <w:rFonts w:eastAsia="Arial" w:cs="Arial"/>
                <w:b/>
                <w:bCs/>
                <w:color w:val="212121"/>
              </w:rPr>
            </w:pPr>
            <w:r w:rsidRPr="00695C54">
              <w:rPr>
                <w:rFonts w:eastAsia="Arial" w:cs="Arial"/>
                <w:b/>
                <w:bCs/>
                <w:color w:val="212121"/>
              </w:rPr>
              <w:t>200</w:t>
            </w:r>
          </w:p>
        </w:tc>
        <w:tc>
          <w:tcPr>
            <w:tcW w:w="3120" w:type="dxa"/>
          </w:tcPr>
          <w:p w14:paraId="20396000" w14:textId="77777777" w:rsidR="002F5660" w:rsidRPr="00695C54" w:rsidRDefault="002F5660" w:rsidP="002F5660">
            <w:pPr>
              <w:spacing w:before="120" w:after="120"/>
              <w:jc w:val="center"/>
              <w:rPr>
                <w:rFonts w:eastAsia="Arial" w:cs="Arial"/>
                <w:b/>
                <w:bCs/>
                <w:color w:val="212121"/>
              </w:rPr>
            </w:pPr>
            <w:r w:rsidRPr="00695C54">
              <w:rPr>
                <w:rFonts w:eastAsia="Arial" w:cs="Arial"/>
                <w:b/>
                <w:bCs/>
                <w:color w:val="212121"/>
              </w:rPr>
              <w:t>40</w:t>
            </w:r>
          </w:p>
        </w:tc>
      </w:tr>
    </w:tbl>
    <w:p w14:paraId="1E621125" w14:textId="77777777" w:rsidR="002F5660" w:rsidRPr="00695C54" w:rsidRDefault="002F5660" w:rsidP="00E61814">
      <w:pPr>
        <w:spacing w:before="240"/>
        <w:rPr>
          <w:rFonts w:eastAsia="Arial"/>
        </w:rPr>
      </w:pPr>
      <w:r w:rsidRPr="00695C54">
        <w:rPr>
          <w:rFonts w:eastAsia="Arial" w:cs="Arial"/>
        </w:rPr>
        <w:t xml:space="preserve">*LEAs and schools receive one of five color-coded performance levels on the state indicators. From highest to lowest, the five performance levels are: blue, green, yellow, </w:t>
      </w:r>
      <w:r w:rsidRPr="00695C54">
        <w:rPr>
          <w:rFonts w:eastAsia="Arial" w:cs="Arial"/>
        </w:rPr>
        <w:lastRenderedPageBreak/>
        <w:t>orange, and red. Performance levels are calculated based on how current-year data compares to prior-year data.</w:t>
      </w:r>
    </w:p>
    <w:p w14:paraId="33387536" w14:textId="77777777" w:rsidR="00057A96" w:rsidRPr="00695C54" w:rsidRDefault="00057A96" w:rsidP="008B1135">
      <w:pPr>
        <w:pStyle w:val="Heading2"/>
        <w:spacing w:before="240" w:after="0" w:line="360" w:lineRule="auto"/>
        <w:rPr>
          <w:sz w:val="36"/>
        </w:rPr>
      </w:pPr>
      <w:r w:rsidRPr="00695C54">
        <w:rPr>
          <w:sz w:val="36"/>
        </w:rPr>
        <w:t>Attachment(s)</w:t>
      </w:r>
    </w:p>
    <w:p w14:paraId="17F55802" w14:textId="77777777" w:rsidR="00057A96" w:rsidRPr="002F5660" w:rsidRDefault="002F5660" w:rsidP="008B1135">
      <w:pPr>
        <w:spacing w:after="480"/>
      </w:pPr>
      <w:r w:rsidRPr="00695C54">
        <w:t>None.</w:t>
      </w:r>
    </w:p>
    <w:sectPr w:rsidR="00057A96" w:rsidRPr="002F5660" w:rsidSect="00057A96">
      <w:headerReference w:type="default" r:id="rId12"/>
      <w:type w:val="continuous"/>
      <w:pgSz w:w="12240" w:h="15840"/>
      <w:pgMar w:top="720" w:right="1440" w:bottom="1440" w:left="1440" w:header="720" w:footer="720" w:gutter="0"/>
      <w:cols w:space="72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FD4900E" w16cex:dateUtc="2020-06-03T20:02:21.649Z"/>
  <w16cex:commentExtensible w16cex:durableId="62A7CB9C" w16cex:dateUtc="2020-06-03T20:02:32.464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10F922" w14:textId="77777777" w:rsidR="00F767E5" w:rsidRDefault="00F767E5" w:rsidP="00E61814">
      <w:r>
        <w:separator/>
      </w:r>
    </w:p>
  </w:endnote>
  <w:endnote w:type="continuationSeparator" w:id="0">
    <w:p w14:paraId="474E3636" w14:textId="77777777" w:rsidR="00F767E5" w:rsidRDefault="00F767E5" w:rsidP="00E61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2A7388" w14:textId="77777777" w:rsidR="00F767E5" w:rsidRDefault="00F767E5" w:rsidP="00E61814">
      <w:r>
        <w:separator/>
      </w:r>
    </w:p>
  </w:footnote>
  <w:footnote w:type="continuationSeparator" w:id="0">
    <w:p w14:paraId="5BF26A65" w14:textId="77777777" w:rsidR="00F767E5" w:rsidRDefault="00F767E5" w:rsidP="00E618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381352"/>
      <w:docPartObj>
        <w:docPartGallery w:val="Page Numbers (Top of Page)"/>
        <w:docPartUnique/>
      </w:docPartObj>
    </w:sdtPr>
    <w:sdtEndPr/>
    <w:sdtContent>
      <w:p w14:paraId="314B68C8" w14:textId="77777777" w:rsidR="00E61814" w:rsidRDefault="00E61814" w:rsidP="00E61814">
        <w:pPr>
          <w:pStyle w:val="Header"/>
          <w:jc w:val="right"/>
        </w:pPr>
        <w:r>
          <w:t>memo-imb-adad-jun20item01</w:t>
        </w:r>
      </w:p>
      <w:p w14:paraId="34FFA117" w14:textId="77777777" w:rsidR="00E61814" w:rsidRDefault="00E61814" w:rsidP="00E61814">
        <w:pPr>
          <w:pStyle w:val="Header"/>
          <w:spacing w:after="360"/>
          <w:jc w:val="right"/>
        </w:pPr>
        <w:r w:rsidRPr="00E61814">
          <w:t xml:space="preserve">Page </w:t>
        </w:r>
        <w:r w:rsidRPr="00E61814">
          <w:rPr>
            <w:bCs/>
          </w:rPr>
          <w:fldChar w:fldCharType="begin"/>
        </w:r>
        <w:r w:rsidRPr="00E61814">
          <w:rPr>
            <w:bCs/>
          </w:rPr>
          <w:instrText xml:space="preserve"> PAGE </w:instrText>
        </w:r>
        <w:r w:rsidRPr="00E61814">
          <w:rPr>
            <w:bCs/>
          </w:rPr>
          <w:fldChar w:fldCharType="separate"/>
        </w:r>
        <w:r w:rsidR="002C6877">
          <w:rPr>
            <w:bCs/>
            <w:noProof/>
          </w:rPr>
          <w:t>2</w:t>
        </w:r>
        <w:r w:rsidRPr="00E61814">
          <w:rPr>
            <w:bCs/>
          </w:rPr>
          <w:fldChar w:fldCharType="end"/>
        </w:r>
        <w:r w:rsidRPr="00E61814">
          <w:t xml:space="preserve"> of </w:t>
        </w:r>
        <w:r w:rsidRPr="00E61814">
          <w:rPr>
            <w:bCs/>
          </w:rPr>
          <w:fldChar w:fldCharType="begin"/>
        </w:r>
        <w:r w:rsidRPr="00E61814">
          <w:rPr>
            <w:bCs/>
          </w:rPr>
          <w:instrText xml:space="preserve"> NUMPAGES  </w:instrText>
        </w:r>
        <w:r w:rsidRPr="00E61814">
          <w:rPr>
            <w:bCs/>
          </w:rPr>
          <w:fldChar w:fldCharType="separate"/>
        </w:r>
        <w:r w:rsidR="002C6877">
          <w:rPr>
            <w:bCs/>
            <w:noProof/>
          </w:rPr>
          <w:t>3</w:t>
        </w:r>
        <w:r w:rsidRPr="00E61814">
          <w:rPr>
            <w:bCs/>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C93718"/>
    <w:multiLevelType w:val="hybridMultilevel"/>
    <w:tmpl w:val="8DBE34E4"/>
    <w:lvl w:ilvl="0" w:tplc="6AE41CC4">
      <w:start w:val="1"/>
      <w:numFmt w:val="bullet"/>
      <w:lvlText w:val=""/>
      <w:lvlJc w:val="left"/>
      <w:pPr>
        <w:ind w:left="720" w:hanging="360"/>
      </w:pPr>
      <w:rPr>
        <w:rFonts w:ascii="Symbol" w:hAnsi="Symbol" w:hint="default"/>
      </w:rPr>
    </w:lvl>
    <w:lvl w:ilvl="1" w:tplc="E3DC24EC">
      <w:start w:val="1"/>
      <w:numFmt w:val="bullet"/>
      <w:lvlText w:val="o"/>
      <w:lvlJc w:val="left"/>
      <w:pPr>
        <w:ind w:left="1440" w:hanging="360"/>
      </w:pPr>
      <w:rPr>
        <w:rFonts w:ascii="Courier New" w:hAnsi="Courier New" w:hint="default"/>
      </w:rPr>
    </w:lvl>
    <w:lvl w:ilvl="2" w:tplc="B3FC5C62">
      <w:start w:val="1"/>
      <w:numFmt w:val="bullet"/>
      <w:lvlText w:val=""/>
      <w:lvlJc w:val="left"/>
      <w:pPr>
        <w:ind w:left="2160" w:hanging="360"/>
      </w:pPr>
      <w:rPr>
        <w:rFonts w:ascii="Wingdings" w:hAnsi="Wingdings" w:hint="default"/>
      </w:rPr>
    </w:lvl>
    <w:lvl w:ilvl="3" w:tplc="81C49A2A">
      <w:start w:val="1"/>
      <w:numFmt w:val="bullet"/>
      <w:lvlText w:val=""/>
      <w:lvlJc w:val="left"/>
      <w:pPr>
        <w:ind w:left="2880" w:hanging="360"/>
      </w:pPr>
      <w:rPr>
        <w:rFonts w:ascii="Symbol" w:hAnsi="Symbol" w:hint="default"/>
      </w:rPr>
    </w:lvl>
    <w:lvl w:ilvl="4" w:tplc="CB0AC078">
      <w:start w:val="1"/>
      <w:numFmt w:val="bullet"/>
      <w:lvlText w:val="o"/>
      <w:lvlJc w:val="left"/>
      <w:pPr>
        <w:ind w:left="3600" w:hanging="360"/>
      </w:pPr>
      <w:rPr>
        <w:rFonts w:ascii="Courier New" w:hAnsi="Courier New" w:hint="default"/>
      </w:rPr>
    </w:lvl>
    <w:lvl w:ilvl="5" w:tplc="69A69A98">
      <w:start w:val="1"/>
      <w:numFmt w:val="bullet"/>
      <w:lvlText w:val=""/>
      <w:lvlJc w:val="left"/>
      <w:pPr>
        <w:ind w:left="4320" w:hanging="360"/>
      </w:pPr>
      <w:rPr>
        <w:rFonts w:ascii="Wingdings" w:hAnsi="Wingdings" w:hint="default"/>
      </w:rPr>
    </w:lvl>
    <w:lvl w:ilvl="6" w:tplc="2BE2E11C">
      <w:start w:val="1"/>
      <w:numFmt w:val="bullet"/>
      <w:lvlText w:val=""/>
      <w:lvlJc w:val="left"/>
      <w:pPr>
        <w:ind w:left="5040" w:hanging="360"/>
      </w:pPr>
      <w:rPr>
        <w:rFonts w:ascii="Symbol" w:hAnsi="Symbol" w:hint="default"/>
      </w:rPr>
    </w:lvl>
    <w:lvl w:ilvl="7" w:tplc="A4F4C774">
      <w:start w:val="1"/>
      <w:numFmt w:val="bullet"/>
      <w:lvlText w:val="o"/>
      <w:lvlJc w:val="left"/>
      <w:pPr>
        <w:ind w:left="5760" w:hanging="360"/>
      </w:pPr>
      <w:rPr>
        <w:rFonts w:ascii="Courier New" w:hAnsi="Courier New" w:hint="default"/>
      </w:rPr>
    </w:lvl>
    <w:lvl w:ilvl="8" w:tplc="2E2000E0">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EzNTI3NbEwNzU3MDNX0lEKTi0uzszPAykwqgUADpPEgSwAAAA="/>
  </w:docVars>
  <w:rsids>
    <w:rsidRoot w:val="00057A96"/>
    <w:rsid w:val="00013AB4"/>
    <w:rsid w:val="00053B2A"/>
    <w:rsid w:val="00057A96"/>
    <w:rsid w:val="00077927"/>
    <w:rsid w:val="000869C7"/>
    <w:rsid w:val="000C139F"/>
    <w:rsid w:val="0016173B"/>
    <w:rsid w:val="001648E9"/>
    <w:rsid w:val="00184DEF"/>
    <w:rsid w:val="002408E4"/>
    <w:rsid w:val="0029286A"/>
    <w:rsid w:val="002C6877"/>
    <w:rsid w:val="002E3791"/>
    <w:rsid w:val="002F5660"/>
    <w:rsid w:val="00321D49"/>
    <w:rsid w:val="00322C00"/>
    <w:rsid w:val="00325EAA"/>
    <w:rsid w:val="0033616F"/>
    <w:rsid w:val="0035798D"/>
    <w:rsid w:val="00364C1F"/>
    <w:rsid w:val="003E3B94"/>
    <w:rsid w:val="00474A2F"/>
    <w:rsid w:val="004E121C"/>
    <w:rsid w:val="0051479B"/>
    <w:rsid w:val="00523798"/>
    <w:rsid w:val="0054334A"/>
    <w:rsid w:val="00557F44"/>
    <w:rsid w:val="005825FD"/>
    <w:rsid w:val="005B1325"/>
    <w:rsid w:val="005D600A"/>
    <w:rsid w:val="006332BB"/>
    <w:rsid w:val="00681207"/>
    <w:rsid w:val="00695C54"/>
    <w:rsid w:val="00724A76"/>
    <w:rsid w:val="007A2653"/>
    <w:rsid w:val="007C1F8B"/>
    <w:rsid w:val="008213F2"/>
    <w:rsid w:val="008B1135"/>
    <w:rsid w:val="008D2B05"/>
    <w:rsid w:val="008F6CA0"/>
    <w:rsid w:val="00941E48"/>
    <w:rsid w:val="00963290"/>
    <w:rsid w:val="00982A10"/>
    <w:rsid w:val="009E5F2E"/>
    <w:rsid w:val="009E618E"/>
    <w:rsid w:val="00A11875"/>
    <w:rsid w:val="00A35C73"/>
    <w:rsid w:val="00AB4C92"/>
    <w:rsid w:val="00AE158A"/>
    <w:rsid w:val="00BC3667"/>
    <w:rsid w:val="00BC376B"/>
    <w:rsid w:val="00BF7F32"/>
    <w:rsid w:val="00C20D96"/>
    <w:rsid w:val="00C420BB"/>
    <w:rsid w:val="00C61F78"/>
    <w:rsid w:val="00C74521"/>
    <w:rsid w:val="00CB2EBD"/>
    <w:rsid w:val="00CC5474"/>
    <w:rsid w:val="00D569B3"/>
    <w:rsid w:val="00D81E7D"/>
    <w:rsid w:val="00DA0DF7"/>
    <w:rsid w:val="00DC5E36"/>
    <w:rsid w:val="00DC5FAA"/>
    <w:rsid w:val="00E32FDC"/>
    <w:rsid w:val="00E61814"/>
    <w:rsid w:val="00E814E6"/>
    <w:rsid w:val="00EB5DD7"/>
    <w:rsid w:val="00EC3FF1"/>
    <w:rsid w:val="00EE4CE7"/>
    <w:rsid w:val="00F06887"/>
    <w:rsid w:val="00F37CA7"/>
    <w:rsid w:val="00F633E3"/>
    <w:rsid w:val="00F767E5"/>
    <w:rsid w:val="05E0C939"/>
    <w:rsid w:val="0CC9A722"/>
    <w:rsid w:val="0CE3F1A4"/>
    <w:rsid w:val="0DE4BA82"/>
    <w:rsid w:val="0E0CBB76"/>
    <w:rsid w:val="1043189B"/>
    <w:rsid w:val="11F8F152"/>
    <w:rsid w:val="126885A4"/>
    <w:rsid w:val="18299CF1"/>
    <w:rsid w:val="18E8666A"/>
    <w:rsid w:val="1BDD92BC"/>
    <w:rsid w:val="1DD31CE6"/>
    <w:rsid w:val="1EF6E795"/>
    <w:rsid w:val="204E8732"/>
    <w:rsid w:val="23652B90"/>
    <w:rsid w:val="2403AF52"/>
    <w:rsid w:val="25B3F6E0"/>
    <w:rsid w:val="2648C8F0"/>
    <w:rsid w:val="28E984AF"/>
    <w:rsid w:val="29F249BD"/>
    <w:rsid w:val="2B1C9D2B"/>
    <w:rsid w:val="2C5B0FDA"/>
    <w:rsid w:val="2D939BC0"/>
    <w:rsid w:val="2DDAE65F"/>
    <w:rsid w:val="2EE44799"/>
    <w:rsid w:val="309FF992"/>
    <w:rsid w:val="3282BADF"/>
    <w:rsid w:val="32F48A70"/>
    <w:rsid w:val="3838D87A"/>
    <w:rsid w:val="38563C79"/>
    <w:rsid w:val="39ADCC25"/>
    <w:rsid w:val="3AFD06D4"/>
    <w:rsid w:val="3C6F68F5"/>
    <w:rsid w:val="3C9C6570"/>
    <w:rsid w:val="3E69C6A5"/>
    <w:rsid w:val="43AC13E1"/>
    <w:rsid w:val="45564288"/>
    <w:rsid w:val="46D6C3B3"/>
    <w:rsid w:val="474BDF95"/>
    <w:rsid w:val="49EA8110"/>
    <w:rsid w:val="49F78376"/>
    <w:rsid w:val="4BB6C7BE"/>
    <w:rsid w:val="4DD40F1E"/>
    <w:rsid w:val="50C1FC68"/>
    <w:rsid w:val="5102F19A"/>
    <w:rsid w:val="516B3B17"/>
    <w:rsid w:val="537075A7"/>
    <w:rsid w:val="54DD821E"/>
    <w:rsid w:val="550920E5"/>
    <w:rsid w:val="5730667B"/>
    <w:rsid w:val="5D53070B"/>
    <w:rsid w:val="61FCD44F"/>
    <w:rsid w:val="629577D0"/>
    <w:rsid w:val="662870F4"/>
    <w:rsid w:val="689EC678"/>
    <w:rsid w:val="6DEB6479"/>
    <w:rsid w:val="6F0E7520"/>
    <w:rsid w:val="70875D97"/>
    <w:rsid w:val="73986336"/>
    <w:rsid w:val="759EC30F"/>
    <w:rsid w:val="75E72418"/>
    <w:rsid w:val="7924ECF0"/>
    <w:rsid w:val="7960A06E"/>
    <w:rsid w:val="7ADCDA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D491DA"/>
  <w15:docId w15:val="{C21460DA-96E4-4946-B546-6CC0C9BCB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7A96"/>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33616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57A96"/>
    <w:pPr>
      <w:keepNext/>
      <w:keepLines/>
      <w:spacing w:before="160" w:after="120"/>
      <w:outlineLvl w:val="1"/>
    </w:pPr>
    <w:rPr>
      <w:rFonts w:eastAsiaTheme="majorEastAsia"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F7F32"/>
    <w:pPr>
      <w:framePr w:w="7920" w:h="1980" w:hRule="exact" w:hSpace="180" w:wrap="auto" w:hAnchor="page" w:xAlign="center" w:yAlign="bottom"/>
      <w:ind w:left="2880"/>
    </w:pPr>
    <w:rPr>
      <w:rFonts w:eastAsiaTheme="majorEastAsia" w:cstheme="majorBidi"/>
      <w:kern w:val="24"/>
    </w:rPr>
  </w:style>
  <w:style w:type="character" w:customStyle="1" w:styleId="Heading2Char">
    <w:name w:val="Heading 2 Char"/>
    <w:basedOn w:val="DefaultParagraphFont"/>
    <w:link w:val="Heading2"/>
    <w:uiPriority w:val="9"/>
    <w:rsid w:val="00057A96"/>
    <w:rPr>
      <w:rFonts w:ascii="Arial" w:eastAsiaTheme="majorEastAsia" w:hAnsi="Arial" w:cstheme="majorBidi"/>
      <w:b/>
      <w:sz w:val="26"/>
      <w:szCs w:val="26"/>
    </w:rPr>
  </w:style>
  <w:style w:type="paragraph" w:styleId="BalloonText">
    <w:name w:val="Balloon Text"/>
    <w:basedOn w:val="Normal"/>
    <w:link w:val="BalloonTextChar"/>
    <w:uiPriority w:val="99"/>
    <w:semiHidden/>
    <w:unhideWhenUsed/>
    <w:rsid w:val="00D569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9B3"/>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33616F"/>
    <w:rPr>
      <w:rFonts w:asciiTheme="majorHAnsi" w:eastAsiaTheme="majorEastAsia" w:hAnsiTheme="majorHAnsi" w:cstheme="majorBidi"/>
      <w:color w:val="2E74B5" w:themeColor="accent1" w:themeShade="BF"/>
      <w:sz w:val="32"/>
      <w:szCs w:val="32"/>
    </w:rPr>
  </w:style>
  <w:style w:type="paragraph" w:styleId="ListParagraph">
    <w:name w:val="List Paragraph"/>
    <w:aliases w:val="Indented Paragraph,list,List1"/>
    <w:basedOn w:val="Normal"/>
    <w:link w:val="ListParagraphChar"/>
    <w:uiPriority w:val="34"/>
    <w:qFormat/>
    <w:rsid w:val="002F5660"/>
    <w:pPr>
      <w:ind w:left="720"/>
      <w:contextualSpacing/>
    </w:pPr>
  </w:style>
  <w:style w:type="character" w:customStyle="1" w:styleId="ListParagraphChar">
    <w:name w:val="List Paragraph Char"/>
    <w:aliases w:val="Indented Paragraph Char,list Char,List1 Char"/>
    <w:link w:val="ListParagraph"/>
    <w:uiPriority w:val="34"/>
    <w:rsid w:val="002F5660"/>
    <w:rPr>
      <w:rFonts w:ascii="Arial" w:eastAsia="Times New Roman" w:hAnsi="Arial" w:cs="Times New Roman"/>
      <w:sz w:val="24"/>
      <w:szCs w:val="24"/>
    </w:rPr>
  </w:style>
  <w:style w:type="character" w:styleId="Hyperlink">
    <w:name w:val="Hyperlink"/>
    <w:basedOn w:val="DefaultParagraphFont"/>
    <w:uiPriority w:val="99"/>
    <w:unhideWhenUsed/>
    <w:rsid w:val="002F5660"/>
    <w:rPr>
      <w:color w:val="0563C1" w:themeColor="hyperlink"/>
      <w:u w:val="single"/>
    </w:rPr>
  </w:style>
  <w:style w:type="table" w:styleId="TableGrid">
    <w:name w:val="Table Grid"/>
    <w:basedOn w:val="TableNormal"/>
    <w:uiPriority w:val="59"/>
    <w:rsid w:val="002F566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E61814"/>
    <w:pPr>
      <w:tabs>
        <w:tab w:val="center" w:pos="4680"/>
        <w:tab w:val="right" w:pos="9360"/>
      </w:tabs>
    </w:pPr>
  </w:style>
  <w:style w:type="character" w:customStyle="1" w:styleId="HeaderChar">
    <w:name w:val="Header Char"/>
    <w:basedOn w:val="DefaultParagraphFont"/>
    <w:link w:val="Header"/>
    <w:uiPriority w:val="99"/>
    <w:rsid w:val="00E61814"/>
    <w:rPr>
      <w:rFonts w:ascii="Arial" w:eastAsia="Times New Roman" w:hAnsi="Arial" w:cs="Times New Roman"/>
      <w:sz w:val="24"/>
      <w:szCs w:val="24"/>
    </w:rPr>
  </w:style>
  <w:style w:type="paragraph" w:styleId="Footer">
    <w:name w:val="footer"/>
    <w:basedOn w:val="Normal"/>
    <w:link w:val="FooterChar"/>
    <w:uiPriority w:val="99"/>
    <w:unhideWhenUsed/>
    <w:rsid w:val="00E61814"/>
    <w:pPr>
      <w:tabs>
        <w:tab w:val="center" w:pos="4680"/>
        <w:tab w:val="right" w:pos="9360"/>
      </w:tabs>
    </w:pPr>
  </w:style>
  <w:style w:type="character" w:customStyle="1" w:styleId="FooterChar">
    <w:name w:val="Footer Char"/>
    <w:basedOn w:val="DefaultParagraphFont"/>
    <w:link w:val="Footer"/>
    <w:uiPriority w:val="99"/>
    <w:rsid w:val="00E61814"/>
    <w:rPr>
      <w:rFonts w:ascii="Arial" w:eastAsia="Times New Roman" w:hAnsi="Arial" w:cs="Times New Roman"/>
      <w:sz w:val="24"/>
      <w:szCs w:val="24"/>
    </w:rPr>
  </w:style>
  <w:style w:type="character" w:styleId="CommentReference">
    <w:name w:val="annotation reference"/>
    <w:basedOn w:val="DefaultParagraphFont"/>
    <w:uiPriority w:val="99"/>
    <w:semiHidden/>
    <w:unhideWhenUsed/>
    <w:rsid w:val="00EE4CE7"/>
    <w:rPr>
      <w:sz w:val="16"/>
      <w:szCs w:val="16"/>
    </w:rPr>
  </w:style>
  <w:style w:type="paragraph" w:styleId="CommentText">
    <w:name w:val="annotation text"/>
    <w:basedOn w:val="Normal"/>
    <w:link w:val="CommentTextChar"/>
    <w:uiPriority w:val="99"/>
    <w:semiHidden/>
    <w:unhideWhenUsed/>
    <w:rsid w:val="00EE4CE7"/>
    <w:rPr>
      <w:sz w:val="20"/>
      <w:szCs w:val="20"/>
    </w:rPr>
  </w:style>
  <w:style w:type="character" w:customStyle="1" w:styleId="CommentTextChar">
    <w:name w:val="Comment Text Char"/>
    <w:basedOn w:val="DefaultParagraphFont"/>
    <w:link w:val="CommentText"/>
    <w:uiPriority w:val="99"/>
    <w:semiHidden/>
    <w:rsid w:val="00EE4CE7"/>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EE4CE7"/>
    <w:rPr>
      <w:b/>
      <w:bCs/>
    </w:rPr>
  </w:style>
  <w:style w:type="character" w:customStyle="1" w:styleId="CommentSubjectChar">
    <w:name w:val="Comment Subject Char"/>
    <w:basedOn w:val="CommentTextChar"/>
    <w:link w:val="CommentSubject"/>
    <w:uiPriority w:val="99"/>
    <w:semiHidden/>
    <w:rsid w:val="00EE4CE7"/>
    <w:rPr>
      <w:rFonts w:ascii="Arial" w:eastAsia="Times New Roman" w:hAnsi="Arial" w:cs="Times New Roman"/>
      <w:b/>
      <w:bCs/>
      <w:sz w:val="20"/>
      <w:szCs w:val="20"/>
    </w:rPr>
  </w:style>
  <w:style w:type="character" w:styleId="FollowedHyperlink">
    <w:name w:val="FollowedHyperlink"/>
    <w:basedOn w:val="DefaultParagraphFont"/>
    <w:uiPriority w:val="99"/>
    <w:semiHidden/>
    <w:unhideWhenUsed/>
    <w:rsid w:val="005237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73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e.ca.gov/be/pn/im/documents/feb20memoadad03.docx" TargetMode="External"/><Relationship Id="rId5" Type="http://schemas.openxmlformats.org/officeDocument/2006/relationships/numbering" Target="numbering.xml"/><Relationship Id="rId10" Type="http://schemas.openxmlformats.org/officeDocument/2006/relationships/endnotes" Target="endnotes.xml"/><Relationship Id="Rf446df1afc214577"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34ED83EA0B5E468033F72E96A6CA4D" ma:contentTypeVersion="12" ma:contentTypeDescription="Create a new document." ma:contentTypeScope="" ma:versionID="21298aee450e05a11fa4a702e6c1f46f">
  <xsd:schema xmlns:xsd="http://www.w3.org/2001/XMLSchema" xmlns:xs="http://www.w3.org/2001/XMLSchema" xmlns:p="http://schemas.microsoft.com/office/2006/metadata/properties" xmlns:ns2="f89dec18-d0c2-45d2-8a15-31051f2519f8" xmlns:ns3="1aae30ff-d7bc-47e3-882e-cd3423d00d62" targetNamespace="http://schemas.microsoft.com/office/2006/metadata/properties" ma:root="true" ma:fieldsID="27b27b7a4fe3f7a5709fe257c7a21363" ns2:_="" ns3:_="">
    <xsd:import namespace="f89dec18-d0c2-45d2-8a15-31051f2519f8"/>
    <xsd:import namespace="1aae30ff-d7bc-47e3-882e-cd3423d00d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TU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dec18-d0c2-45d2-8a15-31051f2519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TUS" ma:index="12" nillable="true" ma:displayName="STATUS" ma:format="Dropdown" ma:internalName="STATUS">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ae30ff-d7bc-47e3-882e-cd3423d00d6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f89dec18-d0c2-45d2-8a15-31051f2519f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4ACF6A-8B15-4035-B3A9-5FBE3483A9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dec18-d0c2-45d2-8a15-31051f2519f8"/>
    <ds:schemaRef ds:uri="1aae30ff-d7bc-47e3-882e-cd3423d00d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868D8E-E985-4EFF-BEE8-09C7E6F21C40}">
  <ds:schemaRefs>
    <ds:schemaRef ds:uri="http://schemas.microsoft.com/office/2006/metadata/properties"/>
    <ds:schemaRef ds:uri="http://schemas.microsoft.com/office/infopath/2007/PartnerControls"/>
    <ds:schemaRef ds:uri="f89dec18-d0c2-45d2-8a15-31051f2519f8"/>
  </ds:schemaRefs>
</ds:datastoreItem>
</file>

<file path=customXml/itemProps3.xml><?xml version="1.0" encoding="utf-8"?>
<ds:datastoreItem xmlns:ds="http://schemas.openxmlformats.org/officeDocument/2006/customXml" ds:itemID="{496A8632-C256-428A-AB70-ED55D7D4A5E0}">
  <ds:schemaRefs>
    <ds:schemaRef ds:uri="http://schemas.microsoft.com/sharepoint/v3/contenttype/forms"/>
  </ds:schemaRefs>
</ds:datastoreItem>
</file>

<file path=customXml/itemProps4.xml><?xml version="1.0" encoding="utf-8"?>
<ds:datastoreItem xmlns:ds="http://schemas.openxmlformats.org/officeDocument/2006/customXml" ds:itemID="{0E56D05F-3AEF-49C2-B0DA-E796B1820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665</Words>
  <Characters>3796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June 2020 Memorandum Item X - Meeting Agendas (CA Dept of Education)</vt:lpstr>
    </vt:vector>
  </TitlesOfParts>
  <Company>CA Department of Education</Company>
  <LinksUpToDate>false</LinksUpToDate>
  <CharactersWithSpaces>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2020 Memorandum Item 1 - Meeting Agendas (CA Dept of Education)</dc:title>
  <dc:subject>2018–2019 California Assessment of Student Performance and Progress English Language Arts/Literacy: Update on Grade Six Scoring and Reporting.</dc:subject>
  <dc:creator>Patricia de Cos</dc:creator>
  <cp:keywords/>
  <dc:description/>
  <cp:lastModifiedBy>Shannon Reel</cp:lastModifiedBy>
  <cp:revision>5</cp:revision>
  <cp:lastPrinted>2020-05-15T22:34:00Z</cp:lastPrinted>
  <dcterms:created xsi:type="dcterms:W3CDTF">2020-06-09T20:12:00Z</dcterms:created>
  <dcterms:modified xsi:type="dcterms:W3CDTF">2020-06-12T18:25:00Z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0x0101003534ED83EA0B5E468033F72E96A6CA4D</vt:lpwstr>
  </property>
</Properties>
</file>