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BF9ED" w14:textId="2629C79C" w:rsidR="00057A96" w:rsidRPr="007378F8" w:rsidRDefault="00057A96" w:rsidP="00057A96">
      <w:r w:rsidRPr="007378F8">
        <w:t>California Department of Education</w:t>
      </w:r>
    </w:p>
    <w:p w14:paraId="318FB976" w14:textId="77777777" w:rsidR="00057A96" w:rsidRPr="007378F8" w:rsidRDefault="00057A96" w:rsidP="00057A96">
      <w:r w:rsidRPr="007378F8">
        <w:t>Executive Office</w:t>
      </w:r>
    </w:p>
    <w:p w14:paraId="71CABED4" w14:textId="77777777" w:rsidR="00982A10" w:rsidRPr="007378F8" w:rsidRDefault="00057A96" w:rsidP="00982A10">
      <w:r w:rsidRPr="007378F8">
        <w:t>SBE-00</w:t>
      </w:r>
      <w:r w:rsidR="00BC376B" w:rsidRPr="007378F8">
        <w:t>2</w:t>
      </w:r>
      <w:r w:rsidRPr="007378F8">
        <w:t xml:space="preserve"> (REV. 1</w:t>
      </w:r>
      <w:r w:rsidR="000C139F" w:rsidRPr="007378F8">
        <w:t>1</w:t>
      </w:r>
      <w:r w:rsidRPr="007378F8">
        <w:t>/2017)</w:t>
      </w:r>
    </w:p>
    <w:p w14:paraId="0A07B87D" w14:textId="3585AF45" w:rsidR="007A025B" w:rsidRPr="007378F8" w:rsidRDefault="00982A10" w:rsidP="007A025B">
      <w:pPr>
        <w:jc w:val="right"/>
        <w:rPr>
          <w:rFonts w:cs="Arial"/>
        </w:rPr>
      </w:pPr>
      <w:r w:rsidRPr="007378F8">
        <w:br w:type="column"/>
      </w:r>
      <w:r w:rsidR="00394D19" w:rsidRPr="007378F8">
        <w:rPr>
          <w:rFonts w:cs="Arial"/>
        </w:rPr>
        <w:t>memo-pptb-adad-</w:t>
      </w:r>
      <w:r w:rsidR="00820166">
        <w:rPr>
          <w:rFonts w:cs="Arial"/>
        </w:rPr>
        <w:t>feb</w:t>
      </w:r>
      <w:r w:rsidR="006C7912" w:rsidRPr="007378F8">
        <w:rPr>
          <w:rFonts w:cs="Arial"/>
        </w:rPr>
        <w:t>1</w:t>
      </w:r>
      <w:r w:rsidR="000D321D">
        <w:rPr>
          <w:rFonts w:cs="Arial"/>
        </w:rPr>
        <w:t>9</w:t>
      </w:r>
      <w:r w:rsidR="006C7912" w:rsidRPr="007378F8">
        <w:rPr>
          <w:rFonts w:cs="Arial"/>
        </w:rPr>
        <w:t>item0</w:t>
      </w:r>
      <w:r w:rsidR="00597B49" w:rsidRPr="007378F8">
        <w:rPr>
          <w:rFonts w:cs="Arial"/>
        </w:rPr>
        <w:t>2</w:t>
      </w:r>
    </w:p>
    <w:p w14:paraId="653D556C" w14:textId="77777777" w:rsidR="00982A10" w:rsidRPr="007378F8" w:rsidRDefault="00982A10" w:rsidP="00982A10"/>
    <w:p w14:paraId="7D02EB0B" w14:textId="77777777" w:rsidR="00982A10" w:rsidRPr="007378F8" w:rsidRDefault="00982A10" w:rsidP="0033616F">
      <w:pPr>
        <w:pStyle w:val="Heading1"/>
        <w:spacing w:line="360" w:lineRule="auto"/>
        <w:rPr>
          <w:rFonts w:ascii="Arial" w:hAnsi="Arial" w:cs="Arial"/>
          <w:b/>
          <w:color w:val="auto"/>
          <w:sz w:val="40"/>
          <w:szCs w:val="52"/>
        </w:rPr>
        <w:sectPr w:rsidR="00982A10" w:rsidRPr="007378F8" w:rsidSect="00982A10">
          <w:type w:val="continuous"/>
          <w:pgSz w:w="12240" w:h="15840"/>
          <w:pgMar w:top="720" w:right="1440" w:bottom="1440" w:left="1440" w:header="720" w:footer="720" w:gutter="0"/>
          <w:cols w:num="2" w:space="144" w:equalWidth="0">
            <w:col w:w="5760" w:space="144"/>
            <w:col w:w="3456"/>
          </w:cols>
        </w:sectPr>
      </w:pPr>
    </w:p>
    <w:p w14:paraId="74000AE4" w14:textId="77777777" w:rsidR="00057A96" w:rsidRPr="007378F8" w:rsidRDefault="00BC376B" w:rsidP="008D4D4F">
      <w:pPr>
        <w:pStyle w:val="Heading1"/>
        <w:spacing w:after="240"/>
        <w:rPr>
          <w:rFonts w:ascii="Arial" w:hAnsi="Arial" w:cs="Arial"/>
          <w:b/>
          <w:color w:val="auto"/>
          <w:sz w:val="40"/>
          <w:szCs w:val="52"/>
        </w:rPr>
      </w:pPr>
      <w:r w:rsidRPr="007378F8">
        <w:rPr>
          <w:rFonts w:ascii="Arial" w:hAnsi="Arial" w:cs="Arial"/>
          <w:b/>
          <w:color w:val="auto"/>
          <w:sz w:val="40"/>
          <w:szCs w:val="52"/>
        </w:rPr>
        <w:t>MEMORANDUM</w:t>
      </w:r>
    </w:p>
    <w:p w14:paraId="40AEBD72" w14:textId="4A030215" w:rsidR="00057A96" w:rsidRPr="007378F8" w:rsidRDefault="008F6CA0" w:rsidP="00913B13">
      <w:pPr>
        <w:pStyle w:val="MessageHeader"/>
      </w:pPr>
      <w:r w:rsidRPr="007378F8">
        <w:rPr>
          <w:b/>
        </w:rPr>
        <w:t>DATE:</w:t>
      </w:r>
      <w:r w:rsidRPr="007378F8">
        <w:tab/>
      </w:r>
      <w:r w:rsidR="00E243EB">
        <w:t>February 15</w:t>
      </w:r>
      <w:bookmarkStart w:id="0" w:name="_GoBack"/>
      <w:bookmarkEnd w:id="0"/>
      <w:r w:rsidR="00E635D9">
        <w:t>, 2019</w:t>
      </w:r>
    </w:p>
    <w:p w14:paraId="0AA6988E" w14:textId="77777777" w:rsidR="00057A96" w:rsidRPr="007378F8" w:rsidRDefault="00057A96" w:rsidP="00913B13">
      <w:pPr>
        <w:pStyle w:val="MessageHeader"/>
      </w:pPr>
      <w:r w:rsidRPr="007378F8">
        <w:rPr>
          <w:b/>
        </w:rPr>
        <w:t>TO:</w:t>
      </w:r>
      <w:r w:rsidRPr="007378F8">
        <w:rPr>
          <w:b/>
        </w:rPr>
        <w:tab/>
      </w:r>
      <w:r w:rsidRPr="007378F8">
        <w:t>MEMBERS, State Board of Education</w:t>
      </w:r>
      <w:r w:rsidRPr="007378F8">
        <w:tab/>
      </w:r>
    </w:p>
    <w:p w14:paraId="343746C5" w14:textId="683F7102" w:rsidR="00057A96" w:rsidRPr="007378F8" w:rsidRDefault="00057A96" w:rsidP="00913B13">
      <w:pPr>
        <w:pStyle w:val="MessageHeader"/>
      </w:pPr>
      <w:r w:rsidRPr="007378F8">
        <w:rPr>
          <w:b/>
        </w:rPr>
        <w:t>FROM:</w:t>
      </w:r>
      <w:r w:rsidR="00C61F78" w:rsidRPr="007378F8">
        <w:tab/>
      </w:r>
      <w:r w:rsidR="00D3596D">
        <w:t>TONY THURMOND</w:t>
      </w:r>
      <w:r w:rsidR="00C61F78" w:rsidRPr="007378F8">
        <w:t xml:space="preserve">, </w:t>
      </w:r>
      <w:r w:rsidRPr="007378F8">
        <w:t>State Superintendent of Public Instruction</w:t>
      </w:r>
    </w:p>
    <w:p w14:paraId="47A2BC79" w14:textId="0CD942BF" w:rsidR="00057A96" w:rsidRPr="007378F8" w:rsidRDefault="00057A96" w:rsidP="00913B13">
      <w:pPr>
        <w:pStyle w:val="MessageHeader"/>
      </w:pPr>
      <w:r w:rsidRPr="007378F8">
        <w:rPr>
          <w:b/>
        </w:rPr>
        <w:t>SUBJECT:</w:t>
      </w:r>
      <w:r w:rsidRPr="007378F8">
        <w:rPr>
          <w:b/>
        </w:rPr>
        <w:tab/>
      </w:r>
      <w:r w:rsidR="00DD1674" w:rsidRPr="00DD1674">
        <w:t>Annual Report by the Independent Evaluator of the California Assessment of Student Performance and Progress</w:t>
      </w:r>
      <w:r w:rsidR="00B06F8D" w:rsidRPr="00B06F8D">
        <w:t>.</w:t>
      </w:r>
    </w:p>
    <w:p w14:paraId="49253DAE" w14:textId="77777777" w:rsidR="00057A96" w:rsidRPr="007378F8" w:rsidRDefault="00474A2F" w:rsidP="00991E47">
      <w:pPr>
        <w:pStyle w:val="Heading2"/>
        <w:spacing w:before="240" w:after="240"/>
        <w:rPr>
          <w:sz w:val="36"/>
        </w:rPr>
      </w:pPr>
      <w:r w:rsidRPr="007378F8">
        <w:rPr>
          <w:sz w:val="36"/>
        </w:rPr>
        <w:t>Summary o</w:t>
      </w:r>
      <w:r w:rsidR="00057A96" w:rsidRPr="007378F8">
        <w:rPr>
          <w:sz w:val="36"/>
        </w:rPr>
        <w:t>f Key Issues</w:t>
      </w:r>
    </w:p>
    <w:p w14:paraId="4DD4DE84" w14:textId="676D39BA" w:rsidR="00E635D9" w:rsidRDefault="00E635D9" w:rsidP="00ED0EE1">
      <w:pPr>
        <w:spacing w:after="240"/>
        <w:rPr>
          <w:rFonts w:cs="Arial"/>
        </w:rPr>
      </w:pPr>
      <w:r>
        <w:rPr>
          <w:rFonts w:cs="Arial"/>
        </w:rPr>
        <w:t>As part of the continuous improvement efforts of the California Assessment of Student Performance and Progress (CAASPP) System, the California Department of Education</w:t>
      </w:r>
      <w:r w:rsidR="003B4FA5">
        <w:rPr>
          <w:rFonts w:cs="Arial"/>
        </w:rPr>
        <w:t xml:space="preserve"> (CDE)</w:t>
      </w:r>
      <w:r>
        <w:rPr>
          <w:rFonts w:cs="Arial"/>
        </w:rPr>
        <w:t xml:space="preserve"> contracts with an independent evaluator to provide ongoing review and feedback on aspects of the system. In July 2018, the Human Resources Research Organization (HumRRO) was awarded this contract. Their </w:t>
      </w:r>
      <w:r w:rsidR="00D029E4">
        <w:rPr>
          <w:rFonts w:cs="Arial"/>
        </w:rPr>
        <w:t xml:space="preserve">three-year </w:t>
      </w:r>
      <w:r>
        <w:rPr>
          <w:rFonts w:cs="Arial"/>
        </w:rPr>
        <w:t>plan for evaluation activities, the</w:t>
      </w:r>
      <w:r>
        <w:t xml:space="preserve"> </w:t>
      </w:r>
      <w:r>
        <w:rPr>
          <w:i/>
        </w:rPr>
        <w:t>CAASPP 2018</w:t>
      </w:r>
      <w:r>
        <w:rPr>
          <w:rFonts w:cs="Arial"/>
          <w:i/>
        </w:rPr>
        <w:t xml:space="preserve"> Independent</w:t>
      </w:r>
      <w:r>
        <w:rPr>
          <w:i/>
        </w:rPr>
        <w:t xml:space="preserve"> Evaluation Report</w:t>
      </w:r>
      <w:r>
        <w:t>, is now complete, and an overview of the report is attached.</w:t>
      </w:r>
      <w:r>
        <w:rPr>
          <w:rFonts w:cs="Arial"/>
        </w:rPr>
        <w:t xml:space="preserve"> </w:t>
      </w:r>
    </w:p>
    <w:p w14:paraId="302DB0CF" w14:textId="77777777" w:rsidR="0004743E" w:rsidRPr="007378F8" w:rsidRDefault="00EF4DC8" w:rsidP="00AE4C58">
      <w:pPr>
        <w:pStyle w:val="Heading3"/>
      </w:pPr>
      <w:r w:rsidRPr="007378F8">
        <w:t>Purpose of the Studies</w:t>
      </w:r>
    </w:p>
    <w:p w14:paraId="6CC13068" w14:textId="236BF0E4" w:rsidR="003E5951" w:rsidRDefault="00F84338" w:rsidP="00C60979">
      <w:pPr>
        <w:spacing w:after="240"/>
        <w:rPr>
          <w:rFonts w:cs="Arial"/>
        </w:rPr>
      </w:pPr>
      <w:r w:rsidRPr="008921D1">
        <w:rPr>
          <w:rFonts w:cs="Arial"/>
        </w:rPr>
        <w:t>The law establishing the CAASPP Syst</w:t>
      </w:r>
      <w:r w:rsidR="00221251">
        <w:rPr>
          <w:rFonts w:cs="Arial"/>
        </w:rPr>
        <w:t>em include</w:t>
      </w:r>
      <w:r w:rsidR="00730881">
        <w:rPr>
          <w:rFonts w:cs="Arial"/>
        </w:rPr>
        <w:t>s</w:t>
      </w:r>
      <w:r w:rsidR="00221251">
        <w:rPr>
          <w:rFonts w:cs="Arial"/>
        </w:rPr>
        <w:t xml:space="preserve"> a requirement for an</w:t>
      </w:r>
      <w:r w:rsidRPr="008921D1">
        <w:rPr>
          <w:rFonts w:cs="Arial"/>
        </w:rPr>
        <w:t xml:space="preserve"> </w:t>
      </w:r>
      <w:r w:rsidR="00D029E4">
        <w:rPr>
          <w:rFonts w:cs="Arial"/>
        </w:rPr>
        <w:t>independent evaluation</w:t>
      </w:r>
      <w:r w:rsidRPr="00BF4B8A">
        <w:rPr>
          <w:rFonts w:cs="Arial"/>
        </w:rPr>
        <w:t xml:space="preserve"> </w:t>
      </w:r>
      <w:r w:rsidR="00D029E4">
        <w:rPr>
          <w:rFonts w:cs="Arial"/>
        </w:rPr>
        <w:t>(</w:t>
      </w:r>
      <w:r w:rsidR="00D029E4" w:rsidRPr="00D029E4">
        <w:rPr>
          <w:rFonts w:cs="Arial"/>
          <w:i/>
        </w:rPr>
        <w:t>Education Code</w:t>
      </w:r>
      <w:r w:rsidR="00D029E4">
        <w:rPr>
          <w:rFonts w:cs="Arial"/>
        </w:rPr>
        <w:t xml:space="preserve"> [</w:t>
      </w:r>
      <w:r w:rsidR="00D029E4" w:rsidRPr="00D029E4">
        <w:rPr>
          <w:rFonts w:cs="Arial"/>
          <w:i/>
        </w:rPr>
        <w:t>EC</w:t>
      </w:r>
      <w:r w:rsidR="00D029E4">
        <w:rPr>
          <w:rFonts w:cs="Arial"/>
        </w:rPr>
        <w:t xml:space="preserve">] Section 60649). </w:t>
      </w:r>
      <w:r w:rsidRPr="00BF4B8A">
        <w:rPr>
          <w:rFonts w:cs="Arial"/>
        </w:rPr>
        <w:t>The</w:t>
      </w:r>
      <w:r w:rsidRPr="00BF4B8A">
        <w:rPr>
          <w:rFonts w:cs="Arial"/>
          <w:spacing w:val="2"/>
        </w:rPr>
        <w:t xml:space="preserve"> </w:t>
      </w:r>
      <w:r w:rsidRPr="00BF4B8A">
        <w:rPr>
          <w:rFonts w:cs="Arial"/>
        </w:rPr>
        <w:t xml:space="preserve">purpose of the </w:t>
      </w:r>
      <w:r w:rsidR="00BF4B8A">
        <w:rPr>
          <w:rFonts w:cs="Arial"/>
        </w:rPr>
        <w:t>evaluation</w:t>
      </w:r>
      <w:r w:rsidRPr="008921D1">
        <w:rPr>
          <w:rFonts w:cs="Arial"/>
        </w:rPr>
        <w:t xml:space="preserve"> is to support the </w:t>
      </w:r>
      <w:r w:rsidRPr="00BF4B8A">
        <w:rPr>
          <w:rFonts w:cs="Arial"/>
        </w:rPr>
        <w:t>continuous</w:t>
      </w:r>
      <w:r w:rsidRPr="008921D1">
        <w:rPr>
          <w:rFonts w:cs="Arial"/>
        </w:rPr>
        <w:t xml:space="preserve"> impr</w:t>
      </w:r>
      <w:r w:rsidRPr="008921D1">
        <w:rPr>
          <w:rFonts w:cs="Arial"/>
          <w:spacing w:val="-4"/>
        </w:rPr>
        <w:t>ov</w:t>
      </w:r>
      <w:r w:rsidRPr="008921D1">
        <w:rPr>
          <w:rFonts w:cs="Arial"/>
        </w:rPr>
        <w:t>ement of the assessments d</w:t>
      </w:r>
      <w:r w:rsidRPr="008921D1">
        <w:rPr>
          <w:rFonts w:cs="Arial"/>
          <w:spacing w:val="-6"/>
        </w:rPr>
        <w:t>e</w:t>
      </w:r>
      <w:r w:rsidRPr="008921D1">
        <w:rPr>
          <w:rFonts w:cs="Arial"/>
          <w:spacing w:val="-4"/>
        </w:rPr>
        <w:t>v</w:t>
      </w:r>
      <w:r w:rsidRPr="008921D1">
        <w:rPr>
          <w:rFonts w:cs="Arial"/>
        </w:rPr>
        <w:t>eloped and administered</w:t>
      </w:r>
      <w:r w:rsidRPr="008921D1">
        <w:rPr>
          <w:rFonts w:cs="Arial"/>
          <w:spacing w:val="2"/>
        </w:rPr>
        <w:t xml:space="preserve"> </w:t>
      </w:r>
      <w:r w:rsidRPr="008921D1">
        <w:rPr>
          <w:rFonts w:cs="Arial"/>
        </w:rPr>
        <w:t>pursuant</w:t>
      </w:r>
      <w:r w:rsidRPr="008921D1">
        <w:rPr>
          <w:rFonts w:cs="Arial"/>
          <w:spacing w:val="2"/>
        </w:rPr>
        <w:t xml:space="preserve"> </w:t>
      </w:r>
      <w:r w:rsidRPr="008921D1">
        <w:rPr>
          <w:rFonts w:cs="Arial"/>
        </w:rPr>
        <w:t>to</w:t>
      </w:r>
      <w:r w:rsidRPr="008921D1">
        <w:rPr>
          <w:rFonts w:cs="Arial"/>
          <w:spacing w:val="2"/>
        </w:rPr>
        <w:t xml:space="preserve"> </w:t>
      </w:r>
      <w:r w:rsidRPr="008921D1">
        <w:rPr>
          <w:rFonts w:cs="Arial"/>
          <w:i/>
          <w:spacing w:val="2"/>
        </w:rPr>
        <w:t>EC</w:t>
      </w:r>
      <w:r w:rsidRPr="008921D1">
        <w:rPr>
          <w:rFonts w:cs="Arial"/>
          <w:spacing w:val="2"/>
        </w:rPr>
        <w:t xml:space="preserve"> </w:t>
      </w:r>
      <w:r w:rsidRPr="008921D1">
        <w:rPr>
          <w:rFonts w:cs="Arial"/>
        </w:rPr>
        <w:t>Section</w:t>
      </w:r>
      <w:r w:rsidRPr="008921D1">
        <w:rPr>
          <w:rFonts w:cs="Arial"/>
          <w:spacing w:val="2"/>
        </w:rPr>
        <w:t xml:space="preserve"> </w:t>
      </w:r>
      <w:r>
        <w:rPr>
          <w:rFonts w:cs="Arial"/>
        </w:rPr>
        <w:t xml:space="preserve">60640, </w:t>
      </w:r>
      <w:r w:rsidRPr="008921D1">
        <w:rPr>
          <w:rFonts w:cs="Arial"/>
        </w:rPr>
        <w:t>recommending the inclusion of “a variety of internal and external studies such as validity studies, alignment studies, and studies evaluating test fairness, testing accommodations, testing policies, and reporting procedures, and consequential validity studies specific to pupil populations such as English learners and pupils with disabilities.”</w:t>
      </w:r>
      <w:r w:rsidR="00A83044">
        <w:rPr>
          <w:rFonts w:cs="Arial"/>
        </w:rPr>
        <w:t xml:space="preserve"> The evaluation also provides critical evidence in support of California’s submission for federal peer review.</w:t>
      </w:r>
    </w:p>
    <w:p w14:paraId="28D2B284" w14:textId="3B4589EB" w:rsidR="00F84338" w:rsidRPr="0038523B" w:rsidRDefault="00F84338" w:rsidP="00130D23">
      <w:pPr>
        <w:spacing w:after="480"/>
        <w:rPr>
          <w:rFonts w:cs="Arial"/>
        </w:rPr>
      </w:pPr>
      <w:r w:rsidRPr="008921D1">
        <w:rPr>
          <w:rFonts w:cs="Arial"/>
        </w:rPr>
        <w:t xml:space="preserve">The </w:t>
      </w:r>
      <w:r w:rsidR="003B4FA5">
        <w:rPr>
          <w:rFonts w:cs="Arial"/>
        </w:rPr>
        <w:t>CDE</w:t>
      </w:r>
      <w:r w:rsidRPr="008921D1">
        <w:rPr>
          <w:rFonts w:cs="Arial"/>
        </w:rPr>
        <w:t xml:space="preserve"> </w:t>
      </w:r>
      <w:r w:rsidR="00535D91">
        <w:rPr>
          <w:rFonts w:cs="Arial"/>
        </w:rPr>
        <w:t xml:space="preserve">contracted with HumRRO in July 2018 to conduct an independent </w:t>
      </w:r>
      <w:r w:rsidR="003B4FA5">
        <w:rPr>
          <w:rFonts w:cs="Arial"/>
        </w:rPr>
        <w:t xml:space="preserve">three-year </w:t>
      </w:r>
      <w:r w:rsidR="00535D91">
        <w:rPr>
          <w:rFonts w:cs="Arial"/>
        </w:rPr>
        <w:t>evaluation of the CAASPP</w:t>
      </w:r>
      <w:r w:rsidR="003B4FA5">
        <w:rPr>
          <w:rFonts w:cs="Arial"/>
        </w:rPr>
        <w:t>, the second such contract since the implementation of the CAASPP System</w:t>
      </w:r>
      <w:r w:rsidR="00937A7E">
        <w:rPr>
          <w:rFonts w:cs="Arial"/>
        </w:rPr>
        <w:t xml:space="preserve">. </w:t>
      </w:r>
      <w:r w:rsidRPr="00BA77E2">
        <w:t xml:space="preserve">The </w:t>
      </w:r>
      <w:r>
        <w:t xml:space="preserve">scope </w:t>
      </w:r>
      <w:r w:rsidRPr="00BA77E2">
        <w:t xml:space="preserve">of the </w:t>
      </w:r>
      <w:r>
        <w:t xml:space="preserve">current </w:t>
      </w:r>
      <w:r w:rsidRPr="00BA77E2">
        <w:t xml:space="preserve">independent evaluation is to </w:t>
      </w:r>
      <w:r>
        <w:t xml:space="preserve">conduct three research studies through December 2020 and </w:t>
      </w:r>
      <w:r w:rsidRPr="00BA77E2">
        <w:t xml:space="preserve">provide objective technical advice and consultation on activities related to the implementation of </w:t>
      </w:r>
      <w:r>
        <w:t xml:space="preserve">specific </w:t>
      </w:r>
      <w:r w:rsidRPr="00BA77E2">
        <w:t xml:space="preserve">components </w:t>
      </w:r>
      <w:r>
        <w:t xml:space="preserve">of the CAASPP System. HumRRO will produce </w:t>
      </w:r>
      <w:r w:rsidRPr="00BA77E2">
        <w:t xml:space="preserve">annual evaluation reports </w:t>
      </w:r>
      <w:r>
        <w:t>that</w:t>
      </w:r>
      <w:r w:rsidRPr="00BA77E2">
        <w:t xml:space="preserve"> summarize all work completed during the previous year, </w:t>
      </w:r>
      <w:r>
        <w:t>stand-alone</w:t>
      </w:r>
      <w:r w:rsidRPr="00BA77E2">
        <w:t xml:space="preserve"> reports for individual research studies</w:t>
      </w:r>
      <w:r>
        <w:t>, and a comprehensive final report</w:t>
      </w:r>
      <w:r w:rsidRPr="00BA77E2">
        <w:t xml:space="preserve">. </w:t>
      </w:r>
      <w:r>
        <w:t xml:space="preserve">The first report in this series, the </w:t>
      </w:r>
      <w:r w:rsidR="00D029E4">
        <w:rPr>
          <w:i/>
        </w:rPr>
        <w:t>CAASPP 2018</w:t>
      </w:r>
      <w:r w:rsidR="00D029E4">
        <w:rPr>
          <w:rFonts w:cs="Arial"/>
          <w:i/>
        </w:rPr>
        <w:t xml:space="preserve"> Independent</w:t>
      </w:r>
      <w:r w:rsidR="00D029E4">
        <w:rPr>
          <w:i/>
        </w:rPr>
        <w:t xml:space="preserve"> Evaluation Report</w:t>
      </w:r>
      <w:r>
        <w:t xml:space="preserve">, is now posted on the </w:t>
      </w:r>
      <w:r>
        <w:rPr>
          <w:lang w:val="en"/>
        </w:rPr>
        <w:t xml:space="preserve">CAASPP Technical Reports </w:t>
      </w:r>
      <w:r>
        <w:rPr>
          <w:lang w:val="en"/>
        </w:rPr>
        <w:lastRenderedPageBreak/>
        <w:t xml:space="preserve">and Studies web page at </w:t>
      </w:r>
      <w:hyperlink r:id="rId8" w:tooltip="This link opens the CAASPP Technical Reports and Studies" w:history="1">
        <w:r w:rsidR="003D421C" w:rsidRPr="004B5C1B">
          <w:rPr>
            <w:rStyle w:val="Hyperlink"/>
          </w:rPr>
          <w:t>https://www.cde.ca.gov/ta/tg/ca/caaspprptstudies.asp</w:t>
        </w:r>
      </w:hyperlink>
      <w:r w:rsidR="003D421C">
        <w:t>.</w:t>
      </w:r>
      <w:r>
        <w:t xml:space="preserve"> An</w:t>
      </w:r>
      <w:r w:rsidR="00F56D71">
        <w:t xml:space="preserve"> excerpt from the report (</w:t>
      </w:r>
      <w:r w:rsidR="00221251">
        <w:t>“</w:t>
      </w:r>
      <w:r w:rsidR="00F56D71">
        <w:t>Chapter 1</w:t>
      </w:r>
      <w:r w:rsidR="005926CA">
        <w:t>,</w:t>
      </w:r>
      <w:r w:rsidR="00F56D71">
        <w:t xml:space="preserve"> Overview of the 2018–20 Evaluation Plan</w:t>
      </w:r>
      <w:r w:rsidR="00221251">
        <w:t>”</w:t>
      </w:r>
      <w:r w:rsidR="00F56D71">
        <w:t>)</w:t>
      </w:r>
      <w:r>
        <w:t xml:space="preserve"> is provided </w:t>
      </w:r>
      <w:r w:rsidRPr="0038523B">
        <w:t xml:space="preserve">as Attachment 1. Future reports will be provided to the State Board of Education </w:t>
      </w:r>
      <w:r w:rsidR="00A83044">
        <w:t>as they become available</w:t>
      </w:r>
      <w:r w:rsidRPr="0038523B">
        <w:t>.</w:t>
      </w:r>
    </w:p>
    <w:p w14:paraId="79CEAF1A" w14:textId="77777777" w:rsidR="00057A96" w:rsidRPr="0038523B" w:rsidRDefault="00057A96" w:rsidP="00130D23">
      <w:pPr>
        <w:pStyle w:val="Heading2"/>
        <w:spacing w:before="240" w:after="240"/>
        <w:rPr>
          <w:sz w:val="36"/>
        </w:rPr>
      </w:pPr>
      <w:r w:rsidRPr="0038523B">
        <w:rPr>
          <w:sz w:val="36"/>
        </w:rPr>
        <w:t>Attachment(s)</w:t>
      </w:r>
    </w:p>
    <w:p w14:paraId="3CB5F627" w14:textId="1061E2E3" w:rsidR="003166BE" w:rsidRDefault="00AB6FAA" w:rsidP="00472CF6">
      <w:pPr>
        <w:pStyle w:val="ListParagraph"/>
        <w:numPr>
          <w:ilvl w:val="0"/>
          <w:numId w:val="28"/>
        </w:numPr>
        <w:spacing w:after="240"/>
      </w:pPr>
      <w:r w:rsidRPr="0038523B">
        <w:rPr>
          <w:rFonts w:cs="Arial"/>
        </w:rPr>
        <w:t xml:space="preserve">Attachment 1: </w:t>
      </w:r>
      <w:r w:rsidR="00472CF6" w:rsidRPr="00472CF6">
        <w:rPr>
          <w:rFonts w:cs="Arial"/>
        </w:rPr>
        <w:t xml:space="preserve">Document Excerpt from the </w:t>
      </w:r>
      <w:r w:rsidR="00472CF6" w:rsidRPr="00472CF6">
        <w:rPr>
          <w:rFonts w:cs="Arial"/>
          <w:i/>
        </w:rPr>
        <w:t>California Assessment of Student Performance and Progress 2018 Independent Evaluation Report</w:t>
      </w:r>
      <w:r w:rsidR="00472CF6" w:rsidRPr="00472CF6">
        <w:rPr>
          <w:rFonts w:cs="Arial"/>
        </w:rPr>
        <w:t>: Chapter 1, Overview of the 2018–20 Evaluation Plan (6 pages)</w:t>
      </w:r>
    </w:p>
    <w:p w14:paraId="5A7A13D2" w14:textId="77777777" w:rsidR="00472CF6" w:rsidRPr="0038523B" w:rsidRDefault="00472CF6" w:rsidP="00472CF6">
      <w:pPr>
        <w:spacing w:after="240"/>
        <w:sectPr w:rsidR="00472CF6" w:rsidRPr="0038523B" w:rsidSect="00123566">
          <w:headerReference w:type="default" r:id="rId9"/>
          <w:type w:val="continuous"/>
          <w:pgSz w:w="12240" w:h="15840"/>
          <w:pgMar w:top="720" w:right="1440" w:bottom="1440" w:left="1440" w:header="720" w:footer="720" w:gutter="0"/>
          <w:cols w:space="720"/>
          <w:docGrid w:linePitch="326"/>
        </w:sectPr>
      </w:pPr>
    </w:p>
    <w:p w14:paraId="24B51987" w14:textId="7D1B4FF0" w:rsidR="00FA3669" w:rsidRPr="00F02F8E" w:rsidRDefault="00F02F8E" w:rsidP="00D86986">
      <w:pPr>
        <w:pStyle w:val="Heading1"/>
        <w:spacing w:after="240"/>
        <w:jc w:val="center"/>
        <w:rPr>
          <w:rFonts w:ascii="Arial" w:hAnsi="Arial" w:cs="Arial"/>
          <w:b/>
          <w:color w:val="auto"/>
          <w:sz w:val="40"/>
          <w:szCs w:val="40"/>
        </w:rPr>
      </w:pPr>
      <w:bookmarkStart w:id="1" w:name="_Toc511902745"/>
      <w:bookmarkStart w:id="2" w:name="_Toc529204350"/>
      <w:r w:rsidRPr="00F02F8E">
        <w:rPr>
          <w:rFonts w:ascii="Arial" w:hAnsi="Arial" w:cs="Arial"/>
          <w:b/>
          <w:color w:val="auto"/>
          <w:sz w:val="40"/>
          <w:szCs w:val="40"/>
        </w:rPr>
        <w:lastRenderedPageBreak/>
        <w:t xml:space="preserve">Document Excerpt from the </w:t>
      </w:r>
      <w:r w:rsidR="00FA3669" w:rsidRPr="00F02F8E">
        <w:rPr>
          <w:rFonts w:ascii="Arial" w:hAnsi="Arial" w:cs="Arial"/>
          <w:b/>
          <w:i/>
          <w:color w:val="auto"/>
          <w:sz w:val="40"/>
          <w:szCs w:val="40"/>
        </w:rPr>
        <w:t>California Assessment of Student Performance and Progress 2018 Independent Evaluation Report</w:t>
      </w:r>
      <w:r>
        <w:rPr>
          <w:rFonts w:ascii="Arial" w:hAnsi="Arial" w:cs="Arial"/>
          <w:b/>
          <w:color w:val="auto"/>
          <w:sz w:val="40"/>
          <w:szCs w:val="40"/>
        </w:rPr>
        <w:t>:</w:t>
      </w:r>
    </w:p>
    <w:p w14:paraId="2B803BE2" w14:textId="15E3499D" w:rsidR="00FE0771" w:rsidRPr="00FE0771" w:rsidRDefault="00F02F8E" w:rsidP="00D86986">
      <w:pPr>
        <w:pStyle w:val="Heading2"/>
        <w:spacing w:before="240" w:after="240"/>
        <w:jc w:val="center"/>
        <w:rPr>
          <w:sz w:val="36"/>
          <w:szCs w:val="36"/>
        </w:rPr>
      </w:pPr>
      <w:r>
        <w:rPr>
          <w:sz w:val="36"/>
          <w:szCs w:val="36"/>
        </w:rPr>
        <w:t>Chapter 1,</w:t>
      </w:r>
      <w:r w:rsidR="00FE0771" w:rsidRPr="00FE0771">
        <w:rPr>
          <w:sz w:val="36"/>
          <w:szCs w:val="36"/>
        </w:rPr>
        <w:t xml:space="preserve"> </w:t>
      </w:r>
      <w:bookmarkEnd w:id="1"/>
      <w:r w:rsidR="00FE0771" w:rsidRPr="00FE0771">
        <w:rPr>
          <w:sz w:val="36"/>
          <w:szCs w:val="36"/>
        </w:rPr>
        <w:t>Overview of the 2018–20 Evaluation Plan</w:t>
      </w:r>
      <w:bookmarkEnd w:id="2"/>
    </w:p>
    <w:p w14:paraId="272039DE" w14:textId="77777777" w:rsidR="00975790" w:rsidRDefault="00975790" w:rsidP="00975790">
      <w:pPr>
        <w:pStyle w:val="Heading3"/>
        <w:rPr>
          <w:szCs w:val="28"/>
        </w:rPr>
      </w:pPr>
      <w:bookmarkStart w:id="3" w:name="_Toc532829858"/>
      <w:r>
        <w:t>Background</w:t>
      </w:r>
      <w:bookmarkEnd w:id="3"/>
    </w:p>
    <w:p w14:paraId="1A58C135" w14:textId="64657A06" w:rsidR="00975790" w:rsidRDefault="00975790" w:rsidP="00285330">
      <w:pPr>
        <w:spacing w:before="240" w:after="240"/>
        <w:rPr>
          <w:b/>
        </w:rPr>
      </w:pPr>
      <w:r>
        <w:t xml:space="preserve">The California Assessment of Student Performance and Progress (CAASPP) System continues to be an ambitious and important effort by the state of California to provide feedback on individual student achievement and monitor progress in implementing </w:t>
      </w:r>
      <w:r w:rsidR="00951043">
        <w:t>effective instruction aligned with</w:t>
      </w:r>
      <w:r>
        <w:t xml:space="preserve"> the Common Core State Standards (CCSS) for English language arts</w:t>
      </w:r>
      <w:r w:rsidR="00951043">
        <w:t>/literacy</w:t>
      </w:r>
      <w:r>
        <w:t xml:space="preserve"> (ELA) and mathematics and the California Next Generation Science Standards (CA NGSS). This system of assessments provides the compass to guide individual student learning through implementation and improvement of curricula. The CAASPP System represents a substantial financial investment by the state as well as a significant investment of educator and student time to participate in the various assessments.</w:t>
      </w:r>
    </w:p>
    <w:p w14:paraId="59F8D3A3" w14:textId="77777777" w:rsidR="00975790" w:rsidRDefault="00975790" w:rsidP="00285330">
      <w:pPr>
        <w:spacing w:before="240" w:after="240"/>
        <w:rPr>
          <w:b/>
        </w:rPr>
      </w:pPr>
      <w:r>
        <w:t xml:space="preserve">California </w:t>
      </w:r>
      <w:r>
        <w:rPr>
          <w:i/>
        </w:rPr>
        <w:t>Education Code</w:t>
      </w:r>
      <w:r>
        <w:t xml:space="preserve"> (</w:t>
      </w:r>
      <w:r>
        <w:rPr>
          <w:i/>
        </w:rPr>
        <w:t>EC</w:t>
      </w:r>
      <w:r>
        <w:t>) Section 60649 requires the independent evaluation of the CAASPP System, stating that “evaluation activities may include a variety of internal and external studies such as validity studies, alignment studies, and studies evaluating test fairness, testing accommodations, testing policies, and reporting procedures, and consequential validity studies specific to pupil populations such as English learners (ELs) and pupils with disabilities.” The law requires development of a plan to assess independent evaluation activities, and it prohibits duplication of studies conducted as part of a federal peer-review process or by California Department of Education (CDE) assessment contractors. The independent evaluator also provides objective technical advice and consultation on activities to be undertaken in implementing the CAASPP System.</w:t>
      </w:r>
    </w:p>
    <w:p w14:paraId="39DBF5B2" w14:textId="77777777" w:rsidR="00975790" w:rsidRDefault="00975790" w:rsidP="00975790">
      <w:pPr>
        <w:pStyle w:val="HBodyText"/>
      </w:pPr>
      <w:r>
        <w:t>The CDE specified in its Request for Proposals (RFP) that the 2018</w:t>
      </w:r>
      <w:r>
        <w:rPr>
          <w:rFonts w:cs="Arial"/>
        </w:rPr>
        <w:t>–</w:t>
      </w:r>
      <w:r>
        <w:t xml:space="preserve">20 independent evaluation focus on the following CAASPP System components: </w:t>
      </w:r>
    </w:p>
    <w:p w14:paraId="466D9391" w14:textId="77777777" w:rsidR="00975790" w:rsidRDefault="00975790" w:rsidP="00975790">
      <w:pPr>
        <w:pStyle w:val="HBullets"/>
        <w:numPr>
          <w:ilvl w:val="0"/>
          <w:numId w:val="44"/>
        </w:numPr>
      </w:pPr>
      <w:r>
        <w:t>Smarter Balanced Summative Assessments (ELA and mathematics), required for grades three through eight and grade eleven, comprised of a computer-adaptive test (CAT) and a performance task (PT).</w:t>
      </w:r>
    </w:p>
    <w:p w14:paraId="74C2FCB6" w14:textId="77777777" w:rsidR="00975790" w:rsidRDefault="00975790" w:rsidP="00975790">
      <w:pPr>
        <w:pStyle w:val="HBullets"/>
        <w:numPr>
          <w:ilvl w:val="0"/>
          <w:numId w:val="44"/>
        </w:numPr>
      </w:pPr>
      <w:r>
        <w:t>Smarter Balanced Interim Assessments (ELA and mathematics), optional assessments designed for grades three through eight and grade eleven, available for use by educators from kindergarten through grade twelve to monitor student performance throughout the school year.</w:t>
      </w:r>
    </w:p>
    <w:p w14:paraId="7765C68D" w14:textId="77777777" w:rsidR="00975790" w:rsidRDefault="00975790" w:rsidP="00975790">
      <w:pPr>
        <w:pStyle w:val="HBullets"/>
        <w:numPr>
          <w:ilvl w:val="0"/>
          <w:numId w:val="44"/>
        </w:numPr>
      </w:pPr>
      <w:r>
        <w:lastRenderedPageBreak/>
        <w:t>Smarter Balanced formative assessment measurement tools and resources, available in the Smarter Balanced Digital Library.</w:t>
      </w:r>
    </w:p>
    <w:p w14:paraId="167F19EB" w14:textId="77777777" w:rsidR="00975790" w:rsidRDefault="00975790" w:rsidP="00975790">
      <w:pPr>
        <w:pStyle w:val="HBullets"/>
        <w:numPr>
          <w:ilvl w:val="0"/>
          <w:numId w:val="44"/>
        </w:numPr>
      </w:pPr>
      <w:r>
        <w:t xml:space="preserve">California Science Test (CAST), aligned with the </w:t>
      </w:r>
      <w:r w:rsidRPr="004655F5">
        <w:rPr>
          <w:i/>
        </w:rPr>
        <w:t>NGSS for California Public Schools, Kindergarten through Grade Twelve</w:t>
      </w:r>
      <w:r>
        <w:t xml:space="preserve"> (CA NGSS), required for students in grades five, eight and once in high school. The first operational administration of this new assessment will be in the spring of 2019. </w:t>
      </w:r>
    </w:p>
    <w:p w14:paraId="2512083E" w14:textId="77777777" w:rsidR="00975790" w:rsidRDefault="00975790" w:rsidP="00975790">
      <w:pPr>
        <w:pStyle w:val="HBullets"/>
        <w:numPr>
          <w:ilvl w:val="0"/>
          <w:numId w:val="44"/>
        </w:numPr>
        <w:spacing w:after="240"/>
      </w:pPr>
      <w:r>
        <w:t>California Alternate Assessment for Science (CAA for Science), serving students with the most significant cognitive disabilities in grades three through eight and grade eleven. The first operational administration of this new assessment is planned for the 2019</w:t>
      </w:r>
      <w:r>
        <w:rPr>
          <w:rFonts w:cs="Arial"/>
        </w:rPr>
        <w:t>–</w:t>
      </w:r>
      <w:r>
        <w:t>20 school year.</w:t>
      </w:r>
    </w:p>
    <w:p w14:paraId="3FD2EB05" w14:textId="66B38D1A" w:rsidR="00975790" w:rsidRDefault="00975790" w:rsidP="00975790">
      <w:pPr>
        <w:pStyle w:val="HBodyText"/>
        <w:rPr>
          <w:szCs w:val="24"/>
        </w:rPr>
      </w:pPr>
      <w:r>
        <w:rPr>
          <w:szCs w:val="24"/>
        </w:rPr>
        <w:t>The CDE awarded the contract for the 2018</w:t>
      </w:r>
      <w:r>
        <w:rPr>
          <w:rFonts w:cs="Arial"/>
          <w:szCs w:val="24"/>
        </w:rPr>
        <w:t>–</w:t>
      </w:r>
      <w:r>
        <w:rPr>
          <w:szCs w:val="24"/>
        </w:rPr>
        <w:t>20 independent evaluation of the CAASPP System to the Human Resources Research Organization (HumRRO). HumRRO served as the first CAASPP System evaluator from 2015</w:t>
      </w:r>
      <w:r>
        <w:rPr>
          <w:rFonts w:cs="Arial"/>
          <w:szCs w:val="24"/>
        </w:rPr>
        <w:t>–</w:t>
      </w:r>
      <w:r>
        <w:rPr>
          <w:szCs w:val="24"/>
        </w:rPr>
        <w:t>18. Copies of our annual and comprehensive final reports are available on the California Department of Education (CDE) Web page for CAASPP Technical Reports and Studies (</w:t>
      </w:r>
      <w:hyperlink r:id="rId10" w:tooltip="This link opens the CAASPP Technical Reports and Studies" w:history="1">
        <w:r>
          <w:rPr>
            <w:rStyle w:val="Hyperlink"/>
            <w:szCs w:val="24"/>
          </w:rPr>
          <w:t>https://www.cde.ca.gov/ta/tg/ca/caaspprptstudies.asp</w:t>
        </w:r>
      </w:hyperlink>
      <w:r>
        <w:rPr>
          <w:szCs w:val="24"/>
        </w:rPr>
        <w:t xml:space="preserve">). The current contract calls for </w:t>
      </w:r>
      <w:r>
        <w:t xml:space="preserve">annual evaluation reports that summarize all work completed during the previous year, stand-alone reports for individual research studies, and a comprehensive final report. </w:t>
      </w:r>
      <w:r>
        <w:rPr>
          <w:szCs w:val="24"/>
        </w:rPr>
        <w:t xml:space="preserve">The annual reports prepared for this contract will include all data analyses pursuant to </w:t>
      </w:r>
      <w:r>
        <w:rPr>
          <w:i/>
          <w:szCs w:val="24"/>
        </w:rPr>
        <w:t>EC</w:t>
      </w:r>
      <w:r>
        <w:rPr>
          <w:szCs w:val="24"/>
        </w:rPr>
        <w:t xml:space="preserve"> Section 60649.</w:t>
      </w:r>
    </w:p>
    <w:p w14:paraId="198EF702" w14:textId="77777777" w:rsidR="00975790" w:rsidRDefault="00975790" w:rsidP="00975790">
      <w:pPr>
        <w:pStyle w:val="HBodyText"/>
        <w:rPr>
          <w:szCs w:val="24"/>
        </w:rPr>
      </w:pPr>
      <w:r>
        <w:t>Given the compressed timeline for development and submission of the 2018 report, as specified in the evaluation contract, the contents of this report are necessarily limited. This report begins with an overview of the development of the plans for three research studies, which HumRRO carried out in cooperation with CDE staff and the CAASPP Technical Advisory Group (TAG). The remainder of the report presents the final CAASPP 2018</w:t>
      </w:r>
      <w:r>
        <w:rPr>
          <w:rFonts w:cs="Arial"/>
        </w:rPr>
        <w:t>–</w:t>
      </w:r>
      <w:r>
        <w:t>20 Evaluation Plan in its entirety, as well as</w:t>
      </w:r>
      <w:r>
        <w:rPr>
          <w:szCs w:val="24"/>
        </w:rPr>
        <w:t xml:space="preserve"> several draft data collection instruments developed for the first year’s studies</w:t>
      </w:r>
      <w:r>
        <w:t xml:space="preserve">. </w:t>
      </w:r>
    </w:p>
    <w:p w14:paraId="1CA6D98D" w14:textId="77777777" w:rsidR="00975790" w:rsidRDefault="00975790" w:rsidP="00975790">
      <w:pPr>
        <w:pStyle w:val="HBodyText"/>
      </w:pPr>
      <w:r>
        <w:t>An ongoing evaluation is important to ensure that California gets the intended return on its investment in the CAASPP System. The evaluation can provide evidence to demonstrate the validity of intended interpretations of test scores used as measures of student learning relative to targeted content standards, and it can offer recommendations for potentially improving alignment between what an assessment measures and what it’s intended to measure. The evaluation can also provide insight into how CAASPP results are used to improve instruction at the student, classroom, school, local educational agency (LEA), and statewide levels.</w:t>
      </w:r>
    </w:p>
    <w:p w14:paraId="47F4B72F" w14:textId="77777777" w:rsidR="00975790" w:rsidRDefault="00975790" w:rsidP="00975790">
      <w:pPr>
        <w:pStyle w:val="Heading3"/>
      </w:pPr>
      <w:bookmarkStart w:id="4" w:name="_Toc532829859"/>
      <w:r>
        <w:t>Initial Development</w:t>
      </w:r>
      <w:bookmarkEnd w:id="4"/>
    </w:p>
    <w:p w14:paraId="1224726C" w14:textId="77777777" w:rsidR="00975790" w:rsidRDefault="00975790" w:rsidP="00975790">
      <w:pPr>
        <w:pStyle w:val="HBodyText"/>
      </w:pPr>
      <w:r>
        <w:t>In response to the CDE’s RFP, HumRRO developed a draft 2018–20 Evaluation Plan that proposed our approach to each of the three required studies:</w:t>
      </w:r>
    </w:p>
    <w:p w14:paraId="1B4665BD" w14:textId="77777777" w:rsidR="00975790" w:rsidRDefault="00975790" w:rsidP="00975790">
      <w:pPr>
        <w:pStyle w:val="HBullets"/>
        <w:numPr>
          <w:ilvl w:val="0"/>
          <w:numId w:val="44"/>
        </w:numPr>
      </w:pPr>
      <w:r>
        <w:lastRenderedPageBreak/>
        <w:t>California Science Test (CAST) Alignment Study</w:t>
      </w:r>
    </w:p>
    <w:p w14:paraId="76B9C897" w14:textId="77777777" w:rsidR="00975790" w:rsidRDefault="00975790" w:rsidP="00975790">
      <w:pPr>
        <w:pStyle w:val="HBullets"/>
        <w:numPr>
          <w:ilvl w:val="0"/>
          <w:numId w:val="44"/>
        </w:numPr>
      </w:pPr>
      <w:r>
        <w:t>Impact on Instruction and Student Learning Study, a two-year effort</w:t>
      </w:r>
    </w:p>
    <w:p w14:paraId="50514D41" w14:textId="77777777" w:rsidR="00975790" w:rsidRDefault="00975790" w:rsidP="00975790">
      <w:pPr>
        <w:pStyle w:val="HBullets"/>
        <w:numPr>
          <w:ilvl w:val="0"/>
          <w:numId w:val="44"/>
        </w:numPr>
        <w:spacing w:after="240"/>
      </w:pPr>
      <w:r>
        <w:t>California Alternate Assessment (CAA) for Science Alignment Study</w:t>
      </w:r>
    </w:p>
    <w:p w14:paraId="5A0D8EF4" w14:textId="63ED938F" w:rsidR="00975790" w:rsidRDefault="00975790" w:rsidP="00975790">
      <w:pPr>
        <w:pStyle w:val="HBodyText"/>
        <w:rPr>
          <w:szCs w:val="24"/>
        </w:rPr>
      </w:pPr>
      <w:r>
        <w:t>The design of the studies was aligned with the theory of action for the CAASPP System, as articulated by the CDE (</w:t>
      </w:r>
      <w:r w:rsidRPr="0022441B">
        <w:rPr>
          <w:color w:val="auto"/>
        </w:rPr>
        <w:t>see Appendix A</w:t>
      </w:r>
      <w:r w:rsidR="0022441B" w:rsidRPr="0022441B">
        <w:rPr>
          <w:color w:val="auto"/>
        </w:rPr>
        <w:t xml:space="preserve"> of the </w:t>
      </w:r>
      <w:r w:rsidR="0022441B" w:rsidRPr="0022441B">
        <w:rPr>
          <w:i/>
          <w:iCs/>
          <w:color w:val="auto"/>
        </w:rPr>
        <w:t>California Assessment of Student Performance and Progress 2018 Independent Evaluation Report</w:t>
      </w:r>
      <w:r w:rsidRPr="0022441B">
        <w:rPr>
          <w:color w:val="auto"/>
        </w:rPr>
        <w:t>)</w:t>
      </w:r>
      <w:r>
        <w:t>. The theory of action indicates components of the system should work together to accurately assess student achievement relative to grade level curriculum standards and provide information to educators to improve instruction, thereby improving student achievement. For each study, HumRRO’s proposed Evaluation Plan included the rationale for the study, the research questions to be answered, an overview of the methods planned and data to be collected, and proposed data analyses.</w:t>
      </w:r>
      <w:r>
        <w:rPr>
          <w:szCs w:val="24"/>
        </w:rPr>
        <w:t xml:space="preserve"> </w:t>
      </w:r>
    </w:p>
    <w:p w14:paraId="55320666" w14:textId="77777777" w:rsidR="00975790" w:rsidRDefault="00975790" w:rsidP="00975790">
      <w:pPr>
        <w:pStyle w:val="HBodyText"/>
        <w:rPr>
          <w:szCs w:val="24"/>
        </w:rPr>
      </w:pPr>
      <w:r>
        <w:rPr>
          <w:szCs w:val="24"/>
        </w:rPr>
        <w:t>The CAASPP Evaluation project orientation meeting was held in July 2018. During this meeting, as well as during two teleconference calls held prior to the meeting, HumRRO and CDE staff discussed the proposed approaches to the studies. We also discussed possible study variations that, as a whole, could accomplish the goals of the evaluation within the time frames and resources available. The schedule for implementation of each study was considered, both to meet CDE priorities and to coordinate with the timeline for operational administration of the CAST and CAA for Science assessments. Contributing to the discussions were the Director of the Assessment Development and Administration Division and CDE staff representatives from the CAASPP Lead Office; the Psychometrics, Evaluation, and Data Office; the Science Office; the ELA and Mathematics Office; the Interim Assessments, Digital Library, and Systems Office; and the Fiscal Support Office. Educational Testing Service (ETS) staff responsible for the CAASPP components being studied by the evaluation also contributed to discussions at the project orientation meeting.</w:t>
      </w:r>
    </w:p>
    <w:p w14:paraId="7B2C5623" w14:textId="77777777" w:rsidR="00975790" w:rsidRDefault="00975790" w:rsidP="00975790">
      <w:pPr>
        <w:pStyle w:val="HBodyText"/>
      </w:pPr>
      <w:r>
        <w:t xml:space="preserve">Based on outcomes of meetings and discussions with the CDE, HumRRO refined the proposed evaluation plan and submitted the official first draft of the 2018–20 Evaluation Plan to the CDE on August 15, 2018, for formal review and comment. </w:t>
      </w:r>
    </w:p>
    <w:p w14:paraId="6EF169CF" w14:textId="77777777" w:rsidR="00975790" w:rsidRDefault="00975790" w:rsidP="00975790">
      <w:pPr>
        <w:pStyle w:val="Heading3"/>
      </w:pPr>
      <w:bookmarkStart w:id="5" w:name="_Toc532829860"/>
      <w:r>
        <w:t>Technical Advisory Group Review</w:t>
      </w:r>
      <w:bookmarkEnd w:id="5"/>
    </w:p>
    <w:p w14:paraId="3E751605" w14:textId="77777777" w:rsidR="00975790" w:rsidRDefault="00975790" w:rsidP="00975790">
      <w:pPr>
        <w:pStyle w:val="HBodyText"/>
        <w:rPr>
          <w:iCs/>
        </w:rPr>
      </w:pPr>
      <w:r>
        <w:t xml:space="preserve">HumRRO’s 2018–20 Evaluation Plan was included as an agenda item for the September 2018 TAG meeting. Prior to the meeting, TAG members and ETS staff were sent the first draft of the 2018 annual evaluation report, which included the 2018–20 Evaluation Plan. During the meeting, HumRRO presented in detail </w:t>
      </w:r>
      <w:r>
        <w:rPr>
          <w:iCs/>
        </w:rPr>
        <w:t>the research questions, methods, and planned analyses</w:t>
      </w:r>
      <w:r>
        <w:t xml:space="preserve"> for the CAST Alignment Study and the Impact Case Study. TAG members, whose role is to advise California’s testing programs, discussed and critiqued the proposed study designs, pointing out aspects needing clarification and suggesting possible revisions to consider</w:t>
      </w:r>
      <w:r>
        <w:rPr>
          <w:iCs/>
        </w:rPr>
        <w:t xml:space="preserve">. Additionally, for the </w:t>
      </w:r>
      <w:r>
        <w:rPr>
          <w:iCs/>
        </w:rPr>
        <w:lastRenderedPageBreak/>
        <w:t>Impact Case Study, TAG members shared their concerns about the feasibility of HumRRO’s planned approach for collaboration with educators, suggesting additional possible incentives to consider for study participants. HumRRO also presented, in brief, the CAA for Science Alignment Study, which will be developed to a greater level of detail when the assessment is closer to the operational phase. Subsequent to the TAG meeting, several TAG members and ETS provided written feedback on the study designs for HumRRO’s and CDE’s consideration. HumRRO addressed the input received from the TAG and ETS in the final</w:t>
      </w:r>
      <w:r>
        <w:t xml:space="preserve"> draft of the 2018 annual evaluation report.</w:t>
      </w:r>
    </w:p>
    <w:p w14:paraId="2CDAA658" w14:textId="77777777" w:rsidR="00975790" w:rsidRDefault="00975790" w:rsidP="00975790">
      <w:pPr>
        <w:pStyle w:val="Heading3"/>
      </w:pPr>
      <w:bookmarkStart w:id="6" w:name="_Toc532829861"/>
      <w:r>
        <w:t>Overall Goals and Timeline</w:t>
      </w:r>
      <w:bookmarkEnd w:id="6"/>
    </w:p>
    <w:p w14:paraId="5B2C405B" w14:textId="77777777" w:rsidR="00975790" w:rsidRDefault="00975790" w:rsidP="00975790">
      <w:pPr>
        <w:pStyle w:val="HBodyText"/>
        <w:rPr>
          <w:bCs/>
        </w:rPr>
      </w:pPr>
      <w:r>
        <w:rPr>
          <w:rFonts w:eastAsia="Calibri"/>
        </w:rPr>
        <w:t xml:space="preserve">The studies </w:t>
      </w:r>
      <w:r>
        <w:t>included in the 2018–20 Evaluation Plan</w:t>
      </w:r>
      <w:r>
        <w:rPr>
          <w:rFonts w:eastAsia="Calibri"/>
        </w:rPr>
        <w:t xml:space="preserve"> will provide information about how well specific parts of the CAASPP System as delivered are meeting the intended goals of the program as expressed in the theory of action for the CAASPP System. </w:t>
      </w:r>
    </w:p>
    <w:p w14:paraId="4BADBA5A" w14:textId="77777777" w:rsidR="00975790" w:rsidRDefault="00975790" w:rsidP="00975790">
      <w:pPr>
        <w:pStyle w:val="HBodyText"/>
      </w:pPr>
      <w:r>
        <w:t xml:space="preserve">Table 1.1 gives an overview of the goals of each independent evaluation study and indicates the year in which each study will be conducted. </w:t>
      </w:r>
    </w:p>
    <w:p w14:paraId="7B43CD45" w14:textId="77777777" w:rsidR="00B90610" w:rsidRDefault="00B90610" w:rsidP="00B90610">
      <w:pPr>
        <w:pStyle w:val="HTable"/>
      </w:pPr>
      <w:bookmarkStart w:id="7" w:name="_Toc532824569"/>
      <w:r>
        <w:t>Table 1.1 Overall Goals for Each 2018–20 Evaluation Study</w:t>
      </w:r>
      <w:bookmarkEnd w:id="7"/>
    </w:p>
    <w:tbl>
      <w:tblPr>
        <w:tblStyle w:val="TableGridLight"/>
        <w:tblW w:w="5081" w:type="pct"/>
        <w:tblInd w:w="-5" w:type="dxa"/>
        <w:tblLook w:val="01E0" w:firstRow="1" w:lastRow="1" w:firstColumn="1" w:lastColumn="1" w:noHBand="0" w:noVBand="0"/>
        <w:tblDescription w:val="First column lists study by name and year conducted. Second column lists goals of each study."/>
      </w:tblPr>
      <w:tblGrid>
        <w:gridCol w:w="1581"/>
        <w:gridCol w:w="7920"/>
      </w:tblGrid>
      <w:tr w:rsidR="00B90610" w14:paraId="688E585E" w14:textId="77777777" w:rsidTr="00B90610">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8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vAlign w:val="top"/>
            <w:hideMark/>
          </w:tcPr>
          <w:p w14:paraId="7326CD45" w14:textId="77777777" w:rsidR="00B90610" w:rsidRPr="00447835" w:rsidRDefault="00B90610">
            <w:pPr>
              <w:jc w:val="center"/>
              <w:rPr>
                <w:rFonts w:cs="Arial"/>
                <w:b/>
              </w:rPr>
            </w:pPr>
            <w:r w:rsidRPr="00447835">
              <w:rPr>
                <w:b/>
              </w:rPr>
              <w:t>Study Title and Year Conducted</w:t>
            </w:r>
          </w:p>
        </w:tc>
        <w:tc>
          <w:tcPr>
            <w:tcW w:w="41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329DBDFD" w14:textId="77777777" w:rsidR="00B90610" w:rsidRPr="00447835" w:rsidRDefault="00B90610" w:rsidP="00B90610">
            <w:pPr>
              <w:cnfStyle w:val="100000000000" w:firstRow="1" w:lastRow="0" w:firstColumn="0" w:lastColumn="0" w:oddVBand="0" w:evenVBand="0" w:oddHBand="0" w:evenHBand="0" w:firstRowFirstColumn="0" w:firstRowLastColumn="0" w:lastRowFirstColumn="0" w:lastRowLastColumn="0"/>
              <w:rPr>
                <w:rFonts w:cs="Arial"/>
                <w:b/>
              </w:rPr>
            </w:pPr>
            <w:r w:rsidRPr="00447835">
              <w:rPr>
                <w:b/>
              </w:rPr>
              <w:t>Goals</w:t>
            </w:r>
          </w:p>
        </w:tc>
      </w:tr>
      <w:tr w:rsidR="00B90610" w14:paraId="37778315" w14:textId="77777777" w:rsidTr="00B9061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8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vAlign w:val="top"/>
            <w:hideMark/>
          </w:tcPr>
          <w:p w14:paraId="37E0F699" w14:textId="77777777" w:rsidR="00B90610" w:rsidRDefault="00B90610">
            <w:pPr>
              <w:jc w:val="center"/>
              <w:rPr>
                <w:rFonts w:cs="Arial"/>
              </w:rPr>
            </w:pPr>
            <w:r>
              <w:rPr>
                <w:rFonts w:eastAsia="Calibri"/>
                <w:szCs w:val="22"/>
              </w:rPr>
              <w:t xml:space="preserve">CAST Alignment Study, </w:t>
            </w:r>
            <w:r>
              <w:rPr>
                <w:rFonts w:eastAsia="Calibri"/>
                <w:szCs w:val="22"/>
              </w:rPr>
              <w:br/>
              <w:t>2018</w:t>
            </w:r>
            <w:r>
              <w:rPr>
                <w:rFonts w:eastAsia="Calibri" w:cs="Arial"/>
                <w:szCs w:val="22"/>
              </w:rPr>
              <w:t>–</w:t>
            </w:r>
            <w:r>
              <w:rPr>
                <w:rFonts w:eastAsia="Calibri"/>
                <w:szCs w:val="22"/>
              </w:rPr>
              <w:t>19</w:t>
            </w:r>
          </w:p>
        </w:tc>
        <w:tc>
          <w:tcPr>
            <w:tcW w:w="41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vAlign w:val="top"/>
            <w:hideMark/>
          </w:tcPr>
          <w:p w14:paraId="4C612D5D" w14:textId="77777777" w:rsidR="00B90610" w:rsidRDefault="00B90610" w:rsidP="00B90610">
            <w:pPr>
              <w:pStyle w:val="ListParagraph"/>
              <w:numPr>
                <w:ilvl w:val="0"/>
                <w:numId w:val="46"/>
              </w:numPr>
              <w:tabs>
                <w:tab w:val="left" w:pos="720"/>
              </w:tabs>
              <w:spacing w:before="40" w:after="120"/>
              <w:jc w:val="left"/>
              <w:cnfStyle w:val="000000100000" w:firstRow="0" w:lastRow="0" w:firstColumn="0" w:lastColumn="0" w:oddVBand="0" w:evenVBand="0" w:oddHBand="1" w:evenHBand="0" w:firstRowFirstColumn="0" w:firstRowLastColumn="0" w:lastRowFirstColumn="0" w:lastRowLastColumn="0"/>
              <w:rPr>
                <w:rFonts w:eastAsia="Calibri"/>
                <w:color w:val="000000"/>
              </w:rPr>
            </w:pPr>
            <w:r>
              <w:rPr>
                <w:rFonts w:eastAsia="Calibri"/>
              </w:rPr>
              <w:t>Evaluate the degree of alignment between the CAST test items and test forms with the California Next Generation Science Standards (CA NGSS).</w:t>
            </w:r>
            <w:r>
              <w:rPr>
                <w:rFonts w:eastAsia="Calibri"/>
                <w:color w:val="000000"/>
              </w:rPr>
              <w:t xml:space="preserve"> </w:t>
            </w:r>
          </w:p>
          <w:p w14:paraId="47162433" w14:textId="77777777" w:rsidR="00B90610" w:rsidRDefault="00B90610" w:rsidP="00B90610">
            <w:pPr>
              <w:pStyle w:val="ListParagraph"/>
              <w:numPr>
                <w:ilvl w:val="0"/>
                <w:numId w:val="46"/>
              </w:numPr>
              <w:spacing w:before="200"/>
              <w:jc w:val="left"/>
              <w:cnfStyle w:val="000000100000" w:firstRow="0" w:lastRow="0" w:firstColumn="0" w:lastColumn="0" w:oddVBand="0" w:evenVBand="0" w:oddHBand="1" w:evenHBand="0" w:firstRowFirstColumn="0" w:firstRowLastColumn="0" w:lastRowFirstColumn="0" w:lastRowLastColumn="0"/>
              <w:rPr>
                <w:rFonts w:cs="Arial"/>
              </w:rPr>
            </w:pPr>
            <w:r>
              <w:rPr>
                <w:rFonts w:eastAsia="Calibri"/>
              </w:rPr>
              <w:t>The CAST Alignment Study Report should guide future item development and provide validity evidence suitable for submission for federal peer review under the Every Student Succeeds Act (ESSA).</w:t>
            </w:r>
          </w:p>
        </w:tc>
      </w:tr>
      <w:tr w:rsidR="00B90610" w14:paraId="1D389702" w14:textId="77777777" w:rsidTr="00B90610">
        <w:trPr>
          <w:trHeight w:val="412"/>
        </w:trPr>
        <w:tc>
          <w:tcPr>
            <w:cnfStyle w:val="001000000000" w:firstRow="0" w:lastRow="0" w:firstColumn="1" w:lastColumn="0" w:oddVBand="0" w:evenVBand="0" w:oddHBand="0" w:evenHBand="0" w:firstRowFirstColumn="0" w:firstRowLastColumn="0" w:lastRowFirstColumn="0" w:lastRowLastColumn="0"/>
            <w:tcW w:w="8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vAlign w:val="top"/>
            <w:hideMark/>
          </w:tcPr>
          <w:p w14:paraId="7EEC8C33" w14:textId="77777777" w:rsidR="00B90610" w:rsidRDefault="00B90610">
            <w:pPr>
              <w:jc w:val="center"/>
              <w:rPr>
                <w:rFonts w:cs="Arial"/>
              </w:rPr>
            </w:pPr>
            <w:r>
              <w:rPr>
                <w:rFonts w:eastAsia="Calibri"/>
                <w:bCs/>
                <w:spacing w:val="-2"/>
                <w:szCs w:val="22"/>
              </w:rPr>
              <w:t>Impact Case Study</w:t>
            </w:r>
            <w:r>
              <w:rPr>
                <w:rFonts w:eastAsia="Calibri"/>
                <w:szCs w:val="22"/>
              </w:rPr>
              <w:t xml:space="preserve">, </w:t>
            </w:r>
            <w:r>
              <w:rPr>
                <w:rFonts w:eastAsia="Calibri"/>
                <w:szCs w:val="22"/>
              </w:rPr>
              <w:br/>
              <w:t>2018</w:t>
            </w:r>
            <w:r>
              <w:rPr>
                <w:rFonts w:eastAsia="Calibri" w:cs="Arial"/>
                <w:szCs w:val="22"/>
              </w:rPr>
              <w:t>–</w:t>
            </w:r>
            <w:r>
              <w:rPr>
                <w:rFonts w:eastAsia="Calibri"/>
                <w:szCs w:val="22"/>
              </w:rPr>
              <w:t>19 and 2019</w:t>
            </w:r>
            <w:r>
              <w:rPr>
                <w:rFonts w:eastAsia="Calibri" w:cs="Arial"/>
                <w:szCs w:val="22"/>
              </w:rPr>
              <w:t>–</w:t>
            </w:r>
            <w:r>
              <w:rPr>
                <w:rFonts w:eastAsia="Calibri"/>
                <w:szCs w:val="22"/>
              </w:rPr>
              <w:t>20</w:t>
            </w:r>
          </w:p>
        </w:tc>
        <w:tc>
          <w:tcPr>
            <w:tcW w:w="41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vAlign w:val="top"/>
            <w:hideMark/>
          </w:tcPr>
          <w:p w14:paraId="53CB7CFB" w14:textId="77777777" w:rsidR="00B90610" w:rsidRDefault="00B90610" w:rsidP="00B90610">
            <w:pPr>
              <w:pStyle w:val="ListParagraph"/>
              <w:numPr>
                <w:ilvl w:val="0"/>
                <w:numId w:val="47"/>
              </w:numPr>
              <w:tabs>
                <w:tab w:val="left" w:pos="720"/>
              </w:tabs>
              <w:spacing w:before="40" w:after="120"/>
              <w:jc w:val="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Collaborate with and gather extensive qualitative data from a small sample of schools and LEAs (case studies), purposefully selected based on their use of CAASPP components and resources. The small sample will aim to broadly represent the diversity of the state with respect to geographic location, academic achievement, and size (student enrollment), as well as student population characteristics (i.e., socioeconomic disadvantage and English learner status).</w:t>
            </w:r>
          </w:p>
          <w:p w14:paraId="40869E26" w14:textId="77777777" w:rsidR="00B90610" w:rsidRDefault="00B90610" w:rsidP="00B90610">
            <w:pPr>
              <w:pStyle w:val="ListParagraph"/>
              <w:numPr>
                <w:ilvl w:val="0"/>
                <w:numId w:val="47"/>
              </w:numPr>
              <w:tabs>
                <w:tab w:val="left" w:pos="720"/>
              </w:tabs>
              <w:spacing w:before="40" w:after="120"/>
              <w:jc w:val="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Investigate the context and various approaches used by the small sample of schools and LEAs to implement and integrate the components of the CAASPP System to inform instruction and improve student learning. </w:t>
            </w:r>
          </w:p>
          <w:p w14:paraId="076DE00A" w14:textId="77777777" w:rsidR="00B90610" w:rsidRDefault="00B90610" w:rsidP="00B90610">
            <w:pPr>
              <w:pStyle w:val="ListParagraph"/>
              <w:numPr>
                <w:ilvl w:val="0"/>
                <w:numId w:val="48"/>
              </w:numPr>
              <w:spacing w:before="200"/>
              <w:jc w:val="left"/>
              <w:cnfStyle w:val="000000000000" w:firstRow="0" w:lastRow="0" w:firstColumn="0" w:lastColumn="0" w:oddVBand="0" w:evenVBand="0" w:oddHBand="0" w:evenHBand="0" w:firstRowFirstColumn="0" w:firstRowLastColumn="0" w:lastRowFirstColumn="0" w:lastRowLastColumn="0"/>
              <w:rPr>
                <w:rFonts w:cs="Arial"/>
              </w:rPr>
            </w:pPr>
            <w:r>
              <w:rPr>
                <w:rFonts w:eastAsia="Calibri"/>
              </w:rPr>
              <w:t xml:space="preserve">The two reports for the Impact Case Study will each describe in detail one school year’s findings of the studied LEAs’ and schools’ use of CAASPP components and their impacts on instruction and student </w:t>
            </w:r>
            <w:r>
              <w:rPr>
                <w:rFonts w:eastAsia="Calibri"/>
              </w:rPr>
              <w:lastRenderedPageBreak/>
              <w:t>learning. The report will document in detail the local context for each case study. A separate sample of LEAs and schools will be investigated each school year of the study.</w:t>
            </w:r>
          </w:p>
        </w:tc>
      </w:tr>
      <w:tr w:rsidR="00B90610" w14:paraId="28E06BBF" w14:textId="77777777" w:rsidTr="00B9061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83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vAlign w:val="top"/>
            <w:hideMark/>
          </w:tcPr>
          <w:p w14:paraId="1F05E41F" w14:textId="77777777" w:rsidR="00B90610" w:rsidRDefault="00B90610">
            <w:pPr>
              <w:jc w:val="center"/>
              <w:rPr>
                <w:rFonts w:eastAsia="Calibri"/>
                <w:szCs w:val="22"/>
              </w:rPr>
            </w:pPr>
            <w:r>
              <w:rPr>
                <w:rFonts w:eastAsia="Calibri"/>
                <w:szCs w:val="22"/>
              </w:rPr>
              <w:lastRenderedPageBreak/>
              <w:t>CAA for Science Alignment Study,</w:t>
            </w:r>
            <w:r>
              <w:rPr>
                <w:rFonts w:eastAsia="Calibri"/>
                <w:szCs w:val="22"/>
              </w:rPr>
              <w:br/>
              <w:t>2019</w:t>
            </w:r>
            <w:r>
              <w:rPr>
                <w:rFonts w:eastAsia="Calibri" w:cs="Arial"/>
                <w:szCs w:val="22"/>
              </w:rPr>
              <w:t>–20</w:t>
            </w:r>
          </w:p>
        </w:tc>
        <w:tc>
          <w:tcPr>
            <w:tcW w:w="41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vAlign w:val="top"/>
            <w:hideMark/>
          </w:tcPr>
          <w:p w14:paraId="400D3C2C" w14:textId="77777777" w:rsidR="00B90610" w:rsidRDefault="00B90610" w:rsidP="00B90610">
            <w:pPr>
              <w:pStyle w:val="ListParagraph"/>
              <w:numPr>
                <w:ilvl w:val="0"/>
                <w:numId w:val="48"/>
              </w:numPr>
              <w:tabs>
                <w:tab w:val="left" w:pos="720"/>
              </w:tabs>
              <w:spacing w:before="40" w:after="120"/>
              <w:jc w:val="left"/>
              <w:cnfStyle w:val="000000100000" w:firstRow="0" w:lastRow="0" w:firstColumn="0" w:lastColumn="0" w:oddVBand="0" w:evenVBand="0" w:oddHBand="1" w:evenHBand="0" w:firstRowFirstColumn="0" w:firstRowLastColumn="0" w:lastRowFirstColumn="0" w:lastRowLastColumn="0"/>
              <w:rPr>
                <w:szCs w:val="22"/>
              </w:rPr>
            </w:pPr>
            <w:r>
              <w:rPr>
                <w:rFonts w:eastAsia="Calibri"/>
              </w:rPr>
              <w:t xml:space="preserve">Evaluate the degree of alignment between the </w:t>
            </w:r>
            <w:r>
              <w:rPr>
                <w:rFonts w:eastAsia="Calibri" w:cs="Arial"/>
              </w:rPr>
              <w:t>CAA</w:t>
            </w:r>
            <w:r>
              <w:rPr>
                <w:rFonts w:eastAsia="Calibri"/>
              </w:rPr>
              <w:t xml:space="preserve"> for Science test items and test forms </w:t>
            </w:r>
            <w:r>
              <w:rPr>
                <w:rFonts w:cs="Arial"/>
              </w:rPr>
              <w:t>with the Core Content Connectors</w:t>
            </w:r>
            <w:r>
              <w:t xml:space="preserve">, which are </w:t>
            </w:r>
            <w:r>
              <w:rPr>
                <w:rFonts w:cs="Arial"/>
              </w:rPr>
              <w:t xml:space="preserve">based on the CA NGSS </w:t>
            </w:r>
            <w:r>
              <w:t xml:space="preserve">and were </w:t>
            </w:r>
            <w:r>
              <w:rPr>
                <w:rFonts w:cs="Arial"/>
              </w:rPr>
              <w:t>developed to form the basis for test development.</w:t>
            </w:r>
          </w:p>
          <w:p w14:paraId="56CA45B1" w14:textId="77777777" w:rsidR="00B90610" w:rsidRDefault="00B90610" w:rsidP="00B90610">
            <w:pPr>
              <w:pStyle w:val="ListParagraph"/>
              <w:numPr>
                <w:ilvl w:val="0"/>
                <w:numId w:val="48"/>
              </w:numPr>
              <w:tabs>
                <w:tab w:val="left" w:pos="720"/>
              </w:tabs>
              <w:spacing w:before="40" w:after="120"/>
              <w:jc w:val="left"/>
              <w:cnfStyle w:val="000000100000" w:firstRow="0" w:lastRow="0" w:firstColumn="0" w:lastColumn="0" w:oddVBand="0" w:evenVBand="0" w:oddHBand="1" w:evenHBand="0" w:firstRowFirstColumn="0" w:firstRowLastColumn="0" w:lastRowFirstColumn="0" w:lastRowLastColumn="0"/>
              <w:rPr>
                <w:rFonts w:eastAsia="Calibri"/>
              </w:rPr>
            </w:pPr>
            <w:r>
              <w:rPr>
                <w:rFonts w:cs="Arial"/>
              </w:rPr>
              <w:t>The CAA for Science Alignment Study report should guide future item development and provide validity evidence suitable for submission for federal peer review under ESSA.</w:t>
            </w:r>
          </w:p>
        </w:tc>
      </w:tr>
    </w:tbl>
    <w:p w14:paraId="44924D10" w14:textId="77777777" w:rsidR="00B90610" w:rsidRDefault="00B90610" w:rsidP="00B90610">
      <w:pPr>
        <w:pStyle w:val="HBodyText"/>
        <w:rPr>
          <w:sz w:val="20"/>
        </w:rPr>
      </w:pPr>
    </w:p>
    <w:p w14:paraId="3BA32E03" w14:textId="77777777" w:rsidR="00B90610" w:rsidRDefault="00B90610" w:rsidP="00B90610">
      <w:r>
        <w:rPr>
          <w:rFonts w:cs="Arial"/>
        </w:rPr>
        <w:t>Table 1.2 presents a summary list of key activities and milestones for implementing the 2018–20 Evaluation Plan</w:t>
      </w:r>
      <w:r>
        <w:t>.</w:t>
      </w:r>
    </w:p>
    <w:p w14:paraId="06599686" w14:textId="16AA1586" w:rsidR="00B90610" w:rsidRDefault="00B90610" w:rsidP="00B90610">
      <w:pPr>
        <w:rPr>
          <w:bCs/>
          <w:i/>
          <w:iCs/>
        </w:rPr>
      </w:pPr>
      <w:bookmarkStart w:id="8" w:name="_Toc432168676"/>
    </w:p>
    <w:p w14:paraId="35F05225" w14:textId="77777777" w:rsidR="00B90610" w:rsidRDefault="00B90610" w:rsidP="00B90610">
      <w:pPr>
        <w:pStyle w:val="HTable"/>
      </w:pPr>
      <w:bookmarkStart w:id="9" w:name="_Toc532824570"/>
      <w:r>
        <w:t>Table 1.2 Schedule of Planned Evaluation Activities for 2018–20</w:t>
      </w:r>
      <w:bookmarkEnd w:id="8"/>
      <w:bookmarkEnd w:id="9"/>
    </w:p>
    <w:tbl>
      <w:tblPr>
        <w:tblStyle w:val="TableGridLight"/>
        <w:tblW w:w="9445" w:type="dxa"/>
        <w:tblLook w:val="00A0" w:firstRow="1" w:lastRow="0" w:firstColumn="1" w:lastColumn="0" w:noHBand="0" w:noVBand="0"/>
        <w:tblDescription w:val="First column describes evaluation activities. Second column lists time frame for each activity."/>
      </w:tblPr>
      <w:tblGrid>
        <w:gridCol w:w="6295"/>
        <w:gridCol w:w="3150"/>
      </w:tblGrid>
      <w:tr w:rsidR="00B90610" w14:paraId="5D57FAD3" w14:textId="77777777" w:rsidTr="009B0981">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5F8C2982" w14:textId="77777777" w:rsidR="00B90610" w:rsidRPr="008A106C" w:rsidRDefault="00B90610" w:rsidP="009B0981">
            <w:pPr>
              <w:spacing w:after="40"/>
              <w:jc w:val="center"/>
              <w:rPr>
                <w:b/>
              </w:rPr>
            </w:pPr>
            <w:r w:rsidRPr="008A106C">
              <w:rPr>
                <w:b/>
              </w:rPr>
              <w:t>Activity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1F2158CA" w14:textId="77777777" w:rsidR="00B90610" w:rsidRPr="008A106C" w:rsidRDefault="00B90610" w:rsidP="009B0981">
            <w:pPr>
              <w:cnfStyle w:val="100000000000" w:firstRow="1" w:lastRow="0" w:firstColumn="0" w:lastColumn="0" w:oddVBand="0" w:evenVBand="0" w:oddHBand="0" w:evenHBand="0" w:firstRowFirstColumn="0" w:firstRowLastColumn="0" w:lastRowFirstColumn="0" w:lastRowLastColumn="0"/>
              <w:rPr>
                <w:b/>
              </w:rPr>
            </w:pPr>
            <w:r w:rsidRPr="008A106C">
              <w:rPr>
                <w:b/>
              </w:rPr>
              <w:t>Time Frame</w:t>
            </w:r>
          </w:p>
        </w:tc>
      </w:tr>
      <w:tr w:rsidR="00B90610" w14:paraId="690A7ADD" w14:textId="77777777" w:rsidTr="009B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vAlign w:val="top"/>
            <w:hideMark/>
          </w:tcPr>
          <w:p w14:paraId="133E4865" w14:textId="77777777" w:rsidR="00B90610" w:rsidRDefault="00B90610" w:rsidP="009B0981">
            <w:pPr>
              <w:spacing w:after="40"/>
              <w:ind w:left="382" w:hanging="382"/>
              <w:jc w:val="center"/>
            </w:pPr>
            <w:r>
              <w:t>Orientation Meeting with CDE staff: In-person meeting to review all tasks and project timeline and to address questions and concerns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576C1911" w14:textId="77777777" w:rsidR="00B90610" w:rsidRDefault="00B90610" w:rsidP="009B0981">
            <w:pPr>
              <w:cnfStyle w:val="000000100000" w:firstRow="0" w:lastRow="0" w:firstColumn="0" w:lastColumn="0" w:oddVBand="0" w:evenVBand="0" w:oddHBand="1" w:evenHBand="0" w:firstRowFirstColumn="0" w:firstRowLastColumn="0" w:lastRowFirstColumn="0" w:lastRowLastColumn="0"/>
            </w:pPr>
            <w:r>
              <w:t>July 2018</w:t>
            </w:r>
          </w:p>
        </w:tc>
      </w:tr>
      <w:tr w:rsidR="00B90610" w14:paraId="21302246" w14:textId="77777777" w:rsidTr="009B0981">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52185A62" w14:textId="77777777" w:rsidR="00B90610" w:rsidRDefault="00B90610" w:rsidP="009B0981">
            <w:pPr>
              <w:spacing w:after="40"/>
              <w:ind w:left="382" w:hanging="382"/>
              <w:jc w:val="center"/>
            </w:pPr>
            <w:r>
              <w:t xml:space="preserve">Management Meetings with CDE Staff: Biweekly calls to discuss progress, plans, and issues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0B50433D" w14:textId="5580E2F8" w:rsidR="00B90610" w:rsidRDefault="00D714BB" w:rsidP="009B0981">
            <w:pPr>
              <w:cnfStyle w:val="000000000000" w:firstRow="0" w:lastRow="0" w:firstColumn="0" w:lastColumn="0" w:oddVBand="0" w:evenVBand="0" w:oddHBand="0" w:evenHBand="0" w:firstRowFirstColumn="0" w:firstRowLastColumn="0" w:lastRowFirstColumn="0" w:lastRowLastColumn="0"/>
            </w:pPr>
            <w:r>
              <w:t>July 2018</w:t>
            </w:r>
            <w:r w:rsidR="00B90610">
              <w:t>–December 2020</w:t>
            </w:r>
          </w:p>
        </w:tc>
      </w:tr>
      <w:tr w:rsidR="00B90610" w14:paraId="14B6CB55" w14:textId="77777777" w:rsidTr="009B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4E9FAA3A" w14:textId="77777777" w:rsidR="00B90610" w:rsidRDefault="00B90610" w:rsidP="009B0981">
            <w:pPr>
              <w:spacing w:after="40"/>
              <w:ind w:left="382" w:hanging="382"/>
              <w:jc w:val="center"/>
            </w:pPr>
            <w:r>
              <w:t>State Board of Education (SBE) Meetings: Meet with SBE staff and provide presentations at Board meetings.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5E5241E5" w14:textId="095608C8" w:rsidR="00B90610" w:rsidRDefault="00B90610" w:rsidP="009B0981">
            <w:pPr>
              <w:cnfStyle w:val="000000100000" w:firstRow="0" w:lastRow="0" w:firstColumn="0" w:lastColumn="0" w:oddVBand="0" w:evenVBand="0" w:oddHBand="1" w:evenHBand="0" w:firstRowFirstColumn="0" w:firstRowLastColumn="0" w:lastRowFirstColumn="0" w:lastRowLastColumn="0"/>
            </w:pPr>
            <w:r>
              <w:t>As requested, up to two times annually,</w:t>
            </w:r>
            <w:r>
              <w:br/>
            </w:r>
            <w:r w:rsidR="00D714BB">
              <w:t>July 2018</w:t>
            </w:r>
            <w:r>
              <w:t>–December 2020</w:t>
            </w:r>
          </w:p>
        </w:tc>
      </w:tr>
      <w:tr w:rsidR="00B90610" w14:paraId="59BB2CAD" w14:textId="77777777" w:rsidTr="009B0981">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43A326E3" w14:textId="77777777" w:rsidR="00B90610" w:rsidRDefault="00B90610" w:rsidP="009B0981">
            <w:pPr>
              <w:spacing w:after="40"/>
              <w:ind w:left="240" w:hanging="240"/>
              <w:jc w:val="center"/>
            </w:pPr>
            <w:r>
              <w:t xml:space="preserve">Technical Advisory Group (TAG) Meetings: Meet with and provide presentations, including </w:t>
            </w:r>
            <w:r>
              <w:rPr>
                <w:rFonts w:cs="Arial"/>
              </w:rPr>
              <w:t>detailed designs, review of progress on studies, preliminary findings from studies, and Evaluation Plan updates.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6517B658" w14:textId="77777777" w:rsidR="00B90610" w:rsidRDefault="00B90610" w:rsidP="009B0981">
            <w:pPr>
              <w:cnfStyle w:val="000000000000" w:firstRow="0" w:lastRow="0" w:firstColumn="0" w:lastColumn="0" w:oddVBand="0" w:evenVBand="0" w:oddHBand="0" w:evenHBand="0" w:firstRowFirstColumn="0" w:firstRowLastColumn="0" w:lastRowFirstColumn="0" w:lastRowLastColumn="0"/>
            </w:pPr>
            <w:r>
              <w:t xml:space="preserve">Three times annually, </w:t>
            </w:r>
            <w:r>
              <w:br/>
              <w:t>July 2018–December 2020</w:t>
            </w:r>
          </w:p>
        </w:tc>
      </w:tr>
      <w:tr w:rsidR="00B90610" w14:paraId="27EC17F9" w14:textId="77777777" w:rsidTr="009B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7CADD976" w14:textId="77777777" w:rsidR="00B90610" w:rsidRDefault="00B90610" w:rsidP="009B0981">
            <w:pPr>
              <w:spacing w:after="40"/>
              <w:ind w:left="240" w:hanging="240"/>
              <w:jc w:val="center"/>
            </w:pPr>
            <w:r>
              <w:t xml:space="preserve">CAASPP Contractor Annual Planning Meeting: </w:t>
            </w:r>
            <w:r>
              <w:tab/>
              <w:t>Attend meeting to learn of planned updates to the system, concerns, processes, scope, and schedule.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347C844C" w14:textId="77777777" w:rsidR="00B90610" w:rsidRDefault="00B90610" w:rsidP="009B0981">
            <w:pPr>
              <w:cnfStyle w:val="000000100000" w:firstRow="0" w:lastRow="0" w:firstColumn="0" w:lastColumn="0" w:oddVBand="0" w:evenVBand="0" w:oddHBand="1" w:evenHBand="0" w:firstRowFirstColumn="0" w:firstRowLastColumn="0" w:lastRowFirstColumn="0" w:lastRowLastColumn="0"/>
            </w:pPr>
            <w:r>
              <w:t xml:space="preserve">Annually, </w:t>
            </w:r>
            <w:r>
              <w:br/>
              <w:t>July 2018</w:t>
            </w:r>
            <w:r>
              <w:rPr>
                <w:rFonts w:cs="Arial"/>
              </w:rPr>
              <w:t>–</w:t>
            </w:r>
            <w:r>
              <w:t>June 2020</w:t>
            </w:r>
          </w:p>
        </w:tc>
      </w:tr>
      <w:tr w:rsidR="00B90610" w14:paraId="68DA85E7" w14:textId="77777777" w:rsidTr="009B0981">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2760866C" w14:textId="77777777" w:rsidR="00B90610" w:rsidRDefault="00B90610" w:rsidP="009B0981">
            <w:pPr>
              <w:spacing w:after="40"/>
              <w:ind w:left="22" w:hanging="22"/>
              <w:jc w:val="center"/>
            </w:pPr>
            <w:r>
              <w:t xml:space="preserve">Conduct the CAST Alignment Study and deliver a stand-alone study report.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3D11A458" w14:textId="77777777" w:rsidR="00B90610" w:rsidRDefault="00B90610" w:rsidP="009B0981">
            <w:pPr>
              <w:cnfStyle w:val="000000000000" w:firstRow="0" w:lastRow="0" w:firstColumn="0" w:lastColumn="0" w:oddVBand="0" w:evenVBand="0" w:oddHBand="0" w:evenHBand="0" w:firstRowFirstColumn="0" w:firstRowLastColumn="0" w:lastRowFirstColumn="0" w:lastRowLastColumn="0"/>
            </w:pPr>
            <w:r>
              <w:t>July 2018–June 2020</w:t>
            </w:r>
          </w:p>
        </w:tc>
      </w:tr>
      <w:tr w:rsidR="00B90610" w14:paraId="574117F6" w14:textId="77777777" w:rsidTr="009B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224FE921" w14:textId="77777777" w:rsidR="00B90610" w:rsidRDefault="00B90610" w:rsidP="009B0981">
            <w:pPr>
              <w:spacing w:after="40"/>
              <w:ind w:left="22" w:hanging="22"/>
              <w:jc w:val="center"/>
            </w:pPr>
            <w:r>
              <w:t xml:space="preserve">Conduct the Impact Case Study and deliver two stand-alone study reports.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6EAF5447" w14:textId="77777777" w:rsidR="00B90610" w:rsidRDefault="00B90610" w:rsidP="009B0981">
            <w:pPr>
              <w:cnfStyle w:val="000000100000" w:firstRow="0" w:lastRow="0" w:firstColumn="0" w:lastColumn="0" w:oddVBand="0" w:evenVBand="0" w:oddHBand="1" w:evenHBand="0" w:firstRowFirstColumn="0" w:firstRowLastColumn="0" w:lastRowFirstColumn="0" w:lastRowLastColumn="0"/>
            </w:pPr>
            <w:r>
              <w:t>Annually,</w:t>
            </w:r>
            <w:r>
              <w:br/>
              <w:t>July 2019–December 2020</w:t>
            </w:r>
          </w:p>
        </w:tc>
      </w:tr>
      <w:tr w:rsidR="00B90610" w14:paraId="095A9A15" w14:textId="77777777" w:rsidTr="009B0981">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77410F0E" w14:textId="77777777" w:rsidR="00B90610" w:rsidRDefault="00B90610" w:rsidP="009B0981">
            <w:pPr>
              <w:spacing w:after="40"/>
              <w:ind w:left="22" w:hanging="22"/>
              <w:jc w:val="center"/>
            </w:pPr>
            <w:r>
              <w:t>Conduct the CAA for Science Alignment Study and deliver a stand-alone study report.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15EB925C" w14:textId="77777777" w:rsidR="00B90610" w:rsidRDefault="00B90610" w:rsidP="009B0981">
            <w:pPr>
              <w:cnfStyle w:val="000000000000" w:firstRow="0" w:lastRow="0" w:firstColumn="0" w:lastColumn="0" w:oddVBand="0" w:evenVBand="0" w:oddHBand="0" w:evenHBand="0" w:firstRowFirstColumn="0" w:firstRowLastColumn="0" w:lastRowFirstColumn="0" w:lastRowLastColumn="0"/>
            </w:pPr>
            <w:r>
              <w:t>July 2019–June 2020</w:t>
            </w:r>
          </w:p>
        </w:tc>
      </w:tr>
      <w:tr w:rsidR="00B90610" w14:paraId="0237C214" w14:textId="77777777" w:rsidTr="009B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73D5D61E" w14:textId="77777777" w:rsidR="00B90610" w:rsidRDefault="00B90610" w:rsidP="009B0981">
            <w:pPr>
              <w:spacing w:after="40"/>
              <w:ind w:left="22" w:hanging="22"/>
              <w:jc w:val="center"/>
            </w:pPr>
            <w:r>
              <w:lastRenderedPageBreak/>
              <w:t>Develop and deliver annual report.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6D842978" w14:textId="77777777" w:rsidR="00B90610" w:rsidRDefault="00B90610" w:rsidP="009B0981">
            <w:pPr>
              <w:cnfStyle w:val="000000100000" w:firstRow="0" w:lastRow="0" w:firstColumn="0" w:lastColumn="0" w:oddVBand="0" w:evenVBand="0" w:oddHBand="1" w:evenHBand="0" w:firstRowFirstColumn="0" w:firstRowLastColumn="0" w:lastRowFirstColumn="0" w:lastRowLastColumn="0"/>
            </w:pPr>
            <w:r>
              <w:t xml:space="preserve">Annually, </w:t>
            </w:r>
            <w:r>
              <w:br/>
              <w:t>July 2018–December 2020</w:t>
            </w:r>
          </w:p>
        </w:tc>
      </w:tr>
      <w:tr w:rsidR="00B90610" w14:paraId="07160D59" w14:textId="77777777" w:rsidTr="009B0981">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301D38E2" w14:textId="77777777" w:rsidR="00B90610" w:rsidRDefault="00B90610" w:rsidP="009B0981">
            <w:pPr>
              <w:spacing w:after="40"/>
              <w:ind w:left="22" w:hanging="22"/>
              <w:jc w:val="center"/>
            </w:pPr>
            <w:r>
              <w:t>Develop and deliver comprehensive final report.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6C1BF1BF" w14:textId="77777777" w:rsidR="00B90610" w:rsidRDefault="00B90610" w:rsidP="009B0981">
            <w:pPr>
              <w:cnfStyle w:val="000000000000" w:firstRow="0" w:lastRow="0" w:firstColumn="0" w:lastColumn="0" w:oddVBand="0" w:evenVBand="0" w:oddHBand="0" w:evenHBand="0" w:firstRowFirstColumn="0" w:firstRowLastColumn="0" w:lastRowFirstColumn="0" w:lastRowLastColumn="0"/>
            </w:pPr>
            <w:r>
              <w:t>July–December 2020</w:t>
            </w:r>
          </w:p>
        </w:tc>
      </w:tr>
      <w:tr w:rsidR="00B90610" w14:paraId="1E2541EE" w14:textId="77777777" w:rsidTr="009B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740AC49A" w14:textId="77777777" w:rsidR="00B90610" w:rsidRDefault="00B90610" w:rsidP="009B0981">
            <w:pPr>
              <w:spacing w:after="40"/>
              <w:ind w:left="22" w:hanging="22"/>
              <w:jc w:val="center"/>
            </w:pPr>
            <w:r>
              <w:t>Maintain comprehensive plan and schedule for project activities and deliverables.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5C254DC4" w14:textId="1E9D38E4" w:rsidR="00B90610" w:rsidRDefault="00B90610" w:rsidP="009B0981">
            <w:pPr>
              <w:cnfStyle w:val="000000100000" w:firstRow="0" w:lastRow="0" w:firstColumn="0" w:lastColumn="0" w:oddVBand="0" w:evenVBand="0" w:oddHBand="1" w:evenHBand="0" w:firstRowFirstColumn="0" w:firstRowLastColumn="0" w:lastRowFirstColumn="0" w:lastRowLastColumn="0"/>
            </w:pPr>
            <w:r>
              <w:t>July 2018–December 2020</w:t>
            </w:r>
          </w:p>
        </w:tc>
      </w:tr>
      <w:tr w:rsidR="00B90610" w14:paraId="7A4338CC" w14:textId="77777777" w:rsidTr="009B0981">
        <w:tc>
          <w:tcPr>
            <w:cnfStyle w:val="001000000000" w:firstRow="0" w:lastRow="0" w:firstColumn="1" w:lastColumn="0" w:oddVBand="0" w:evenVBand="0" w:oddHBand="0" w:evenHBand="0" w:firstRowFirstColumn="0" w:firstRowLastColumn="0" w:lastRowFirstColumn="0" w:lastRowLastColumn="0"/>
            <w:tcW w:w="6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165F0641" w14:textId="77777777" w:rsidR="00B90610" w:rsidRDefault="00B90610" w:rsidP="009B0981">
            <w:pPr>
              <w:spacing w:after="40"/>
              <w:ind w:left="22" w:hanging="22"/>
              <w:jc w:val="center"/>
            </w:pPr>
            <w:r>
              <w:t>Submit monthly written progress reports to describe evaluation progress, plans, and issues.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bottom w:w="0" w:type="dxa"/>
            </w:tcMar>
            <w:hideMark/>
          </w:tcPr>
          <w:p w14:paraId="567FA755" w14:textId="449B8DD7" w:rsidR="00B90610" w:rsidRDefault="00B90610" w:rsidP="009B0981">
            <w:pPr>
              <w:cnfStyle w:val="000000000000" w:firstRow="0" w:lastRow="0" w:firstColumn="0" w:lastColumn="0" w:oddVBand="0" w:evenVBand="0" w:oddHBand="0" w:evenHBand="0" w:firstRowFirstColumn="0" w:firstRowLastColumn="0" w:lastRowFirstColumn="0" w:lastRowLastColumn="0"/>
            </w:pPr>
            <w:r>
              <w:t>July 2018–December 2020</w:t>
            </w:r>
          </w:p>
        </w:tc>
      </w:tr>
    </w:tbl>
    <w:p w14:paraId="7FE6F0E7" w14:textId="77777777" w:rsidR="00B90610" w:rsidRDefault="00B90610" w:rsidP="00B90610">
      <w:pPr>
        <w:pStyle w:val="Heading3"/>
        <w:spacing w:before="120"/>
      </w:pPr>
      <w:bookmarkStart w:id="10" w:name="_Toc532829862"/>
      <w:r>
        <w:t>Study Designs</w:t>
      </w:r>
      <w:bookmarkEnd w:id="10"/>
    </w:p>
    <w:p w14:paraId="59B4C56D" w14:textId="77777777" w:rsidR="00B90610" w:rsidRDefault="00B90610" w:rsidP="00B90610">
      <w:pPr>
        <w:pStyle w:val="HBodyText"/>
        <w:rPr>
          <w:rFonts w:eastAsia="Calibri"/>
        </w:rPr>
      </w:pPr>
      <w:r>
        <w:rPr>
          <w:rFonts w:eastAsia="Calibri"/>
        </w:rPr>
        <w:t>The remaining chapters of this report describe in detail the three research studies listed in Table 1.1. Each chapter presents research questions, methods for data collection and analysis, academic literature related to the methods, descriptions of measurement instruments to be developed for data collection, and a schedule of major activities.</w:t>
      </w:r>
    </w:p>
    <w:p w14:paraId="0706DC04" w14:textId="77777777" w:rsidR="00B90610" w:rsidRDefault="00B90610" w:rsidP="00B90610">
      <w:pPr>
        <w:pStyle w:val="HBullets"/>
        <w:numPr>
          <w:ilvl w:val="0"/>
          <w:numId w:val="44"/>
        </w:numPr>
        <w:spacing w:before="0" w:after="120"/>
        <w:rPr>
          <w:rFonts w:eastAsia="Calibri"/>
        </w:rPr>
      </w:pPr>
      <w:r>
        <w:rPr>
          <w:rFonts w:eastAsia="Calibri"/>
        </w:rPr>
        <w:t xml:space="preserve">Chapter 2 presents the California Science Test (CAST) Alignment Study. </w:t>
      </w:r>
    </w:p>
    <w:p w14:paraId="2D332AC5" w14:textId="77777777" w:rsidR="00B90610" w:rsidRDefault="00B90610" w:rsidP="00B90610">
      <w:pPr>
        <w:pStyle w:val="HBullets"/>
        <w:numPr>
          <w:ilvl w:val="0"/>
          <w:numId w:val="44"/>
        </w:numPr>
        <w:spacing w:before="0" w:after="120"/>
        <w:rPr>
          <w:rFonts w:eastAsia="Calibri"/>
        </w:rPr>
      </w:pPr>
      <w:r>
        <w:rPr>
          <w:rFonts w:eastAsia="Calibri"/>
        </w:rPr>
        <w:t>Chapter 3 presents the Impact on Instruction and Student Learning Study.</w:t>
      </w:r>
    </w:p>
    <w:p w14:paraId="1EFC8C94" w14:textId="77777777" w:rsidR="00B90610" w:rsidRDefault="00B90610" w:rsidP="00B90610">
      <w:pPr>
        <w:pStyle w:val="HBullets"/>
        <w:numPr>
          <w:ilvl w:val="0"/>
          <w:numId w:val="44"/>
        </w:numPr>
        <w:spacing w:before="0" w:after="120"/>
        <w:rPr>
          <w:rFonts w:eastAsia="Calibri"/>
        </w:rPr>
      </w:pPr>
      <w:r>
        <w:rPr>
          <w:rFonts w:eastAsia="Calibri"/>
        </w:rPr>
        <w:t>Chapter 4 presents the California Alternate Assessment (CAA) for Science Alignment Study.</w:t>
      </w:r>
    </w:p>
    <w:p w14:paraId="59A9C868" w14:textId="77777777" w:rsidR="00B90610" w:rsidRDefault="00B90610" w:rsidP="00B90610"/>
    <w:p w14:paraId="1FA33DFF" w14:textId="36B4F71A" w:rsidR="00193C73" w:rsidRPr="009512B8" w:rsidRDefault="00193C73" w:rsidP="00B90610">
      <w:pPr>
        <w:pStyle w:val="HTable"/>
        <w:rPr>
          <w:rFonts w:eastAsia="Calibri" w:cs="Arial"/>
        </w:rPr>
      </w:pPr>
    </w:p>
    <w:sectPr w:rsidR="00193C73" w:rsidRPr="009512B8" w:rsidSect="00010647">
      <w:headerReference w:type="default" r:id="rId11"/>
      <w:pgSz w:w="12240" w:h="15840"/>
      <w:pgMar w:top="72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C326D" w16cid:durableId="1F6A1748"/>
  <w16cid:commentId w16cid:paraId="7697699E" w16cid:durableId="1F6A1749"/>
  <w16cid:commentId w16cid:paraId="09692143" w16cid:durableId="1F6A174A"/>
  <w16cid:commentId w16cid:paraId="29BBD380" w16cid:durableId="1F6A174B"/>
  <w16cid:commentId w16cid:paraId="40680B83" w16cid:durableId="1F6A174C"/>
  <w16cid:commentId w16cid:paraId="728E71BC" w16cid:durableId="1F6A174D"/>
  <w16cid:commentId w16cid:paraId="12FE7059" w16cid:durableId="1F6A174E"/>
  <w16cid:commentId w16cid:paraId="4628D4EF" w16cid:durableId="1F6A174F"/>
  <w16cid:commentId w16cid:paraId="1C1D1501" w16cid:durableId="1F6A1750"/>
  <w16cid:commentId w16cid:paraId="09A8FE0C" w16cid:durableId="1F6A1751"/>
  <w16cid:commentId w16cid:paraId="3326D545" w16cid:durableId="1F6A1752"/>
  <w16cid:commentId w16cid:paraId="73D099C5" w16cid:durableId="1F6A1753"/>
  <w16cid:commentId w16cid:paraId="24A81560" w16cid:durableId="1F6A1754"/>
  <w16cid:commentId w16cid:paraId="2E177C92" w16cid:durableId="1F6A1755"/>
  <w16cid:commentId w16cid:paraId="372D9A4E" w16cid:durableId="1F6A1756"/>
  <w16cid:commentId w16cid:paraId="09872A2B" w16cid:durableId="1F6A1757"/>
  <w16cid:commentId w16cid:paraId="7C5E07AB" w16cid:durableId="1F6A1758"/>
  <w16cid:commentId w16cid:paraId="21696F7E" w16cid:durableId="1F6A1759"/>
  <w16cid:commentId w16cid:paraId="64E6ED44" w16cid:durableId="1F6A175A"/>
  <w16cid:commentId w16cid:paraId="0474029E" w16cid:durableId="1F6A175B"/>
  <w16cid:commentId w16cid:paraId="0A294843" w16cid:durableId="1F6A175C"/>
  <w16cid:commentId w16cid:paraId="6CC5DDCC" w16cid:durableId="1F6A175D"/>
  <w16cid:commentId w16cid:paraId="54AB6253" w16cid:durableId="1F6A175E"/>
  <w16cid:commentId w16cid:paraId="7DDAC26F" w16cid:durableId="1F6A175F"/>
  <w16cid:commentId w16cid:paraId="4C6208BF" w16cid:durableId="1F6A1760"/>
  <w16cid:commentId w16cid:paraId="6FA8519F" w16cid:durableId="1F6A1761"/>
  <w16cid:commentId w16cid:paraId="1FB620C7" w16cid:durableId="1F6A1762"/>
  <w16cid:commentId w16cid:paraId="1A5BDFC8" w16cid:durableId="1F6A17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2B00A" w14:textId="77777777" w:rsidR="00251082" w:rsidRDefault="00251082" w:rsidP="005C09C2">
      <w:r>
        <w:separator/>
      </w:r>
    </w:p>
  </w:endnote>
  <w:endnote w:type="continuationSeparator" w:id="0">
    <w:p w14:paraId="763DAA58" w14:textId="77777777" w:rsidR="00251082" w:rsidRDefault="00251082" w:rsidP="005C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08754" w14:textId="77777777" w:rsidR="00251082" w:rsidRDefault="00251082" w:rsidP="005C09C2">
      <w:r>
        <w:separator/>
      </w:r>
    </w:p>
  </w:footnote>
  <w:footnote w:type="continuationSeparator" w:id="0">
    <w:p w14:paraId="69AD4929" w14:textId="77777777" w:rsidR="00251082" w:rsidRDefault="00251082" w:rsidP="005C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E4D68" w14:textId="452DE4A5" w:rsidR="005C09C2" w:rsidRDefault="004D0521" w:rsidP="00922EF1">
    <w:pPr>
      <w:pStyle w:val="Header"/>
      <w:jc w:val="right"/>
    </w:pPr>
    <w:r>
      <w:t>memo-pptb-adad-</w:t>
    </w:r>
    <w:r w:rsidR="00316D35">
      <w:t>feb</w:t>
    </w:r>
    <w:r w:rsidR="00597B49">
      <w:t>1</w:t>
    </w:r>
    <w:r w:rsidR="00316D35">
      <w:t>9</w:t>
    </w:r>
    <w:r w:rsidR="00597B49">
      <w:t>item02</w:t>
    </w:r>
  </w:p>
  <w:p w14:paraId="3B8C5896" w14:textId="142BCFF0" w:rsidR="00922EF1" w:rsidRPr="00617279" w:rsidRDefault="00922EF1" w:rsidP="00C60979">
    <w:pPr>
      <w:pStyle w:val="Header"/>
      <w:spacing w:after="360"/>
      <w:jc w:val="right"/>
      <w:rPr>
        <w:bCs/>
      </w:rPr>
    </w:pPr>
    <w:r w:rsidRPr="00922EF1">
      <w:t xml:space="preserve">Page </w:t>
    </w:r>
    <w:r w:rsidRPr="00922EF1">
      <w:rPr>
        <w:bCs/>
      </w:rPr>
      <w:fldChar w:fldCharType="begin"/>
    </w:r>
    <w:r w:rsidRPr="00922EF1">
      <w:rPr>
        <w:bCs/>
      </w:rPr>
      <w:instrText xml:space="preserve"> PAGE  \* Arabic  \* MERGEFORMAT </w:instrText>
    </w:r>
    <w:r w:rsidRPr="00922EF1">
      <w:rPr>
        <w:bCs/>
      </w:rPr>
      <w:fldChar w:fldCharType="separate"/>
    </w:r>
    <w:r w:rsidR="00E243EB">
      <w:rPr>
        <w:bCs/>
        <w:noProof/>
      </w:rPr>
      <w:t>2</w:t>
    </w:r>
    <w:r w:rsidRPr="00922EF1">
      <w:rPr>
        <w:bCs/>
      </w:rPr>
      <w:fldChar w:fldCharType="end"/>
    </w:r>
    <w:r w:rsidRPr="00922EF1">
      <w:t xml:space="preserve"> of </w:t>
    </w:r>
    <w:r w:rsidR="006C7912">
      <w:rPr>
        <w:bCs/>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129621"/>
      <w:docPartObj>
        <w:docPartGallery w:val="Page Numbers (Top of Page)"/>
        <w:docPartUnique/>
      </w:docPartObj>
    </w:sdtPr>
    <w:sdtEndPr/>
    <w:sdtContent>
      <w:p w14:paraId="3CCCCEB8" w14:textId="28A20A06" w:rsidR="00FF03AE" w:rsidRDefault="00FF03AE">
        <w:pPr>
          <w:pStyle w:val="Header"/>
          <w:jc w:val="right"/>
        </w:pPr>
        <w:r>
          <w:t>memo-pptb-adad-</w:t>
        </w:r>
        <w:r w:rsidR="00707C57">
          <w:t>feb19</w:t>
        </w:r>
        <w:r>
          <w:t>item02</w:t>
        </w:r>
      </w:p>
      <w:p w14:paraId="182345E8" w14:textId="71D5BD2E" w:rsidR="00FF03AE" w:rsidRDefault="00FF03AE">
        <w:pPr>
          <w:pStyle w:val="Header"/>
          <w:jc w:val="right"/>
        </w:pPr>
        <w:r>
          <w:t xml:space="preserve">Attachment </w:t>
        </w:r>
        <w:r w:rsidR="00707C57">
          <w:t>1</w:t>
        </w:r>
      </w:p>
      <w:p w14:paraId="1C3D9FB0" w14:textId="11923924" w:rsidR="00FF03AE" w:rsidRPr="00571DA4" w:rsidRDefault="00FF03AE" w:rsidP="00A515F5">
        <w:pPr>
          <w:pStyle w:val="Header"/>
          <w:spacing w:after="480"/>
          <w:jc w:val="right"/>
        </w:pPr>
        <w:r w:rsidRPr="00132118">
          <w:t xml:space="preserve">Page </w:t>
        </w:r>
        <w:r w:rsidRPr="00132118">
          <w:rPr>
            <w:bCs/>
            <w:noProof/>
          </w:rPr>
          <w:fldChar w:fldCharType="begin"/>
        </w:r>
        <w:r w:rsidRPr="00132118">
          <w:rPr>
            <w:bCs/>
            <w:noProof/>
          </w:rPr>
          <w:instrText xml:space="preserve"> PAGE </w:instrText>
        </w:r>
        <w:r w:rsidRPr="00132118">
          <w:rPr>
            <w:bCs/>
            <w:noProof/>
          </w:rPr>
          <w:fldChar w:fldCharType="separate"/>
        </w:r>
        <w:r w:rsidR="00E243EB">
          <w:rPr>
            <w:bCs/>
            <w:noProof/>
          </w:rPr>
          <w:t>6</w:t>
        </w:r>
        <w:r w:rsidRPr="00132118">
          <w:rPr>
            <w:bCs/>
            <w:noProof/>
          </w:rPr>
          <w:fldChar w:fldCharType="end"/>
        </w:r>
        <w:r w:rsidRPr="00132118">
          <w:t xml:space="preserve"> of </w:t>
        </w:r>
        <w:r w:rsidR="00707C57">
          <w:rPr>
            <w:bCs/>
            <w:noProof/>
          </w:rPr>
          <w:t>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C5E8B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B08C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24BB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24CA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9EA1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BA6F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9C09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5407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324B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98B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C33F1C"/>
    <w:multiLevelType w:val="hybridMultilevel"/>
    <w:tmpl w:val="4386CBAE"/>
    <w:lvl w:ilvl="0" w:tplc="1F6E12D2">
      <w:start w:val="1"/>
      <w:numFmt w:val="bullet"/>
      <w:pStyle w:val="HBullets"/>
      <w:lvlText w:val=""/>
      <w:lvlJc w:val="left"/>
      <w:pPr>
        <w:ind w:left="36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3F5EEF"/>
    <w:multiLevelType w:val="hybridMultilevel"/>
    <w:tmpl w:val="8C1C7F10"/>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AB1EE0"/>
    <w:multiLevelType w:val="hybridMultilevel"/>
    <w:tmpl w:val="5F06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67DCA"/>
    <w:multiLevelType w:val="hybridMultilevel"/>
    <w:tmpl w:val="20EC4698"/>
    <w:lvl w:ilvl="0" w:tplc="A8266CEC">
      <w:start w:val="1"/>
      <w:numFmt w:val="bullet"/>
      <w:lvlText w:val=""/>
      <w:lvlJc w:val="left"/>
      <w:pPr>
        <w:tabs>
          <w:tab w:val="num" w:pos="720"/>
        </w:tabs>
        <w:ind w:left="720" w:hanging="360"/>
      </w:pPr>
      <w:rPr>
        <w:rFonts w:ascii="Wingdings" w:hAnsi="Wingdings" w:hint="default"/>
      </w:rPr>
    </w:lvl>
    <w:lvl w:ilvl="1" w:tplc="358E1A8E">
      <w:start w:val="83"/>
      <w:numFmt w:val="bullet"/>
      <w:lvlText w:val="•"/>
      <w:lvlJc w:val="left"/>
      <w:pPr>
        <w:tabs>
          <w:tab w:val="num" w:pos="1440"/>
        </w:tabs>
        <w:ind w:left="1440" w:hanging="360"/>
      </w:pPr>
      <w:rPr>
        <w:rFonts w:ascii="Arial" w:hAnsi="Arial" w:hint="default"/>
      </w:rPr>
    </w:lvl>
    <w:lvl w:ilvl="2" w:tplc="39806446" w:tentative="1">
      <w:start w:val="1"/>
      <w:numFmt w:val="bullet"/>
      <w:lvlText w:val=""/>
      <w:lvlJc w:val="left"/>
      <w:pPr>
        <w:tabs>
          <w:tab w:val="num" w:pos="2160"/>
        </w:tabs>
        <w:ind w:left="2160" w:hanging="360"/>
      </w:pPr>
      <w:rPr>
        <w:rFonts w:ascii="Wingdings" w:hAnsi="Wingdings" w:hint="default"/>
      </w:rPr>
    </w:lvl>
    <w:lvl w:ilvl="3" w:tplc="6F6C022E" w:tentative="1">
      <w:start w:val="1"/>
      <w:numFmt w:val="bullet"/>
      <w:lvlText w:val=""/>
      <w:lvlJc w:val="left"/>
      <w:pPr>
        <w:tabs>
          <w:tab w:val="num" w:pos="2880"/>
        </w:tabs>
        <w:ind w:left="2880" w:hanging="360"/>
      </w:pPr>
      <w:rPr>
        <w:rFonts w:ascii="Wingdings" w:hAnsi="Wingdings" w:hint="default"/>
      </w:rPr>
    </w:lvl>
    <w:lvl w:ilvl="4" w:tplc="D7F4296E" w:tentative="1">
      <w:start w:val="1"/>
      <w:numFmt w:val="bullet"/>
      <w:lvlText w:val=""/>
      <w:lvlJc w:val="left"/>
      <w:pPr>
        <w:tabs>
          <w:tab w:val="num" w:pos="3600"/>
        </w:tabs>
        <w:ind w:left="3600" w:hanging="360"/>
      </w:pPr>
      <w:rPr>
        <w:rFonts w:ascii="Wingdings" w:hAnsi="Wingdings" w:hint="default"/>
      </w:rPr>
    </w:lvl>
    <w:lvl w:ilvl="5" w:tplc="AC2A3318" w:tentative="1">
      <w:start w:val="1"/>
      <w:numFmt w:val="bullet"/>
      <w:lvlText w:val=""/>
      <w:lvlJc w:val="left"/>
      <w:pPr>
        <w:tabs>
          <w:tab w:val="num" w:pos="4320"/>
        </w:tabs>
        <w:ind w:left="4320" w:hanging="360"/>
      </w:pPr>
      <w:rPr>
        <w:rFonts w:ascii="Wingdings" w:hAnsi="Wingdings" w:hint="default"/>
      </w:rPr>
    </w:lvl>
    <w:lvl w:ilvl="6" w:tplc="A1D25BE6" w:tentative="1">
      <w:start w:val="1"/>
      <w:numFmt w:val="bullet"/>
      <w:lvlText w:val=""/>
      <w:lvlJc w:val="left"/>
      <w:pPr>
        <w:tabs>
          <w:tab w:val="num" w:pos="5040"/>
        </w:tabs>
        <w:ind w:left="5040" w:hanging="360"/>
      </w:pPr>
      <w:rPr>
        <w:rFonts w:ascii="Wingdings" w:hAnsi="Wingdings" w:hint="default"/>
      </w:rPr>
    </w:lvl>
    <w:lvl w:ilvl="7" w:tplc="1F8EEB80" w:tentative="1">
      <w:start w:val="1"/>
      <w:numFmt w:val="bullet"/>
      <w:lvlText w:val=""/>
      <w:lvlJc w:val="left"/>
      <w:pPr>
        <w:tabs>
          <w:tab w:val="num" w:pos="5760"/>
        </w:tabs>
        <w:ind w:left="5760" w:hanging="360"/>
      </w:pPr>
      <w:rPr>
        <w:rFonts w:ascii="Wingdings" w:hAnsi="Wingdings" w:hint="default"/>
      </w:rPr>
    </w:lvl>
    <w:lvl w:ilvl="8" w:tplc="256AB6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362D2"/>
    <w:multiLevelType w:val="hybridMultilevel"/>
    <w:tmpl w:val="816A3FBC"/>
    <w:lvl w:ilvl="0" w:tplc="A2A28AB4">
      <w:start w:val="1"/>
      <w:numFmt w:val="bullet"/>
      <w:lvlText w:val="•"/>
      <w:lvlJc w:val="left"/>
      <w:pPr>
        <w:tabs>
          <w:tab w:val="num" w:pos="720"/>
        </w:tabs>
        <w:ind w:left="720" w:hanging="360"/>
      </w:pPr>
      <w:rPr>
        <w:rFonts w:ascii="Arial" w:hAnsi="Arial" w:hint="default"/>
      </w:rPr>
    </w:lvl>
    <w:lvl w:ilvl="1" w:tplc="7D7A348C" w:tentative="1">
      <w:start w:val="1"/>
      <w:numFmt w:val="bullet"/>
      <w:lvlText w:val="•"/>
      <w:lvlJc w:val="left"/>
      <w:pPr>
        <w:tabs>
          <w:tab w:val="num" w:pos="1440"/>
        </w:tabs>
        <w:ind w:left="1440" w:hanging="360"/>
      </w:pPr>
      <w:rPr>
        <w:rFonts w:ascii="Arial" w:hAnsi="Arial" w:hint="default"/>
      </w:rPr>
    </w:lvl>
    <w:lvl w:ilvl="2" w:tplc="6388D6F8" w:tentative="1">
      <w:start w:val="1"/>
      <w:numFmt w:val="bullet"/>
      <w:lvlText w:val="•"/>
      <w:lvlJc w:val="left"/>
      <w:pPr>
        <w:tabs>
          <w:tab w:val="num" w:pos="2160"/>
        </w:tabs>
        <w:ind w:left="2160" w:hanging="360"/>
      </w:pPr>
      <w:rPr>
        <w:rFonts w:ascii="Arial" w:hAnsi="Arial" w:hint="default"/>
      </w:rPr>
    </w:lvl>
    <w:lvl w:ilvl="3" w:tplc="631245D0" w:tentative="1">
      <w:start w:val="1"/>
      <w:numFmt w:val="bullet"/>
      <w:lvlText w:val="•"/>
      <w:lvlJc w:val="left"/>
      <w:pPr>
        <w:tabs>
          <w:tab w:val="num" w:pos="2880"/>
        </w:tabs>
        <w:ind w:left="2880" w:hanging="360"/>
      </w:pPr>
      <w:rPr>
        <w:rFonts w:ascii="Arial" w:hAnsi="Arial" w:hint="default"/>
      </w:rPr>
    </w:lvl>
    <w:lvl w:ilvl="4" w:tplc="BAC6BAE8" w:tentative="1">
      <w:start w:val="1"/>
      <w:numFmt w:val="bullet"/>
      <w:lvlText w:val="•"/>
      <w:lvlJc w:val="left"/>
      <w:pPr>
        <w:tabs>
          <w:tab w:val="num" w:pos="3600"/>
        </w:tabs>
        <w:ind w:left="3600" w:hanging="360"/>
      </w:pPr>
      <w:rPr>
        <w:rFonts w:ascii="Arial" w:hAnsi="Arial" w:hint="default"/>
      </w:rPr>
    </w:lvl>
    <w:lvl w:ilvl="5" w:tplc="E8F23900" w:tentative="1">
      <w:start w:val="1"/>
      <w:numFmt w:val="bullet"/>
      <w:lvlText w:val="•"/>
      <w:lvlJc w:val="left"/>
      <w:pPr>
        <w:tabs>
          <w:tab w:val="num" w:pos="4320"/>
        </w:tabs>
        <w:ind w:left="4320" w:hanging="360"/>
      </w:pPr>
      <w:rPr>
        <w:rFonts w:ascii="Arial" w:hAnsi="Arial" w:hint="default"/>
      </w:rPr>
    </w:lvl>
    <w:lvl w:ilvl="6" w:tplc="48985372" w:tentative="1">
      <w:start w:val="1"/>
      <w:numFmt w:val="bullet"/>
      <w:lvlText w:val="•"/>
      <w:lvlJc w:val="left"/>
      <w:pPr>
        <w:tabs>
          <w:tab w:val="num" w:pos="5040"/>
        </w:tabs>
        <w:ind w:left="5040" w:hanging="360"/>
      </w:pPr>
      <w:rPr>
        <w:rFonts w:ascii="Arial" w:hAnsi="Arial" w:hint="default"/>
      </w:rPr>
    </w:lvl>
    <w:lvl w:ilvl="7" w:tplc="C6124FFE" w:tentative="1">
      <w:start w:val="1"/>
      <w:numFmt w:val="bullet"/>
      <w:lvlText w:val="•"/>
      <w:lvlJc w:val="left"/>
      <w:pPr>
        <w:tabs>
          <w:tab w:val="num" w:pos="5760"/>
        </w:tabs>
        <w:ind w:left="5760" w:hanging="360"/>
      </w:pPr>
      <w:rPr>
        <w:rFonts w:ascii="Arial" w:hAnsi="Arial" w:hint="default"/>
      </w:rPr>
    </w:lvl>
    <w:lvl w:ilvl="8" w:tplc="28687D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EF0E83"/>
    <w:multiLevelType w:val="hybridMultilevel"/>
    <w:tmpl w:val="4F641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BA4E37"/>
    <w:multiLevelType w:val="hybridMultilevel"/>
    <w:tmpl w:val="BEC2CDE2"/>
    <w:lvl w:ilvl="0" w:tplc="D8609D36">
      <w:start w:val="1"/>
      <w:numFmt w:val="bullet"/>
      <w:lvlText w:val=""/>
      <w:lvlJc w:val="left"/>
      <w:pPr>
        <w:tabs>
          <w:tab w:val="num" w:pos="720"/>
        </w:tabs>
        <w:ind w:left="720" w:hanging="360"/>
      </w:pPr>
      <w:rPr>
        <w:rFonts w:ascii="Wingdings" w:hAnsi="Wingdings" w:hint="default"/>
      </w:rPr>
    </w:lvl>
    <w:lvl w:ilvl="1" w:tplc="CE1A42FC">
      <w:numFmt w:val="bullet"/>
      <w:lvlText w:val="•"/>
      <w:lvlJc w:val="left"/>
      <w:pPr>
        <w:tabs>
          <w:tab w:val="num" w:pos="1440"/>
        </w:tabs>
        <w:ind w:left="1440" w:hanging="360"/>
      </w:pPr>
      <w:rPr>
        <w:rFonts w:ascii="Arial" w:hAnsi="Arial" w:hint="default"/>
      </w:rPr>
    </w:lvl>
    <w:lvl w:ilvl="2" w:tplc="47C25286" w:tentative="1">
      <w:start w:val="1"/>
      <w:numFmt w:val="bullet"/>
      <w:lvlText w:val=""/>
      <w:lvlJc w:val="left"/>
      <w:pPr>
        <w:tabs>
          <w:tab w:val="num" w:pos="2160"/>
        </w:tabs>
        <w:ind w:left="2160" w:hanging="360"/>
      </w:pPr>
      <w:rPr>
        <w:rFonts w:ascii="Wingdings" w:hAnsi="Wingdings" w:hint="default"/>
      </w:rPr>
    </w:lvl>
    <w:lvl w:ilvl="3" w:tplc="6B90F1A0" w:tentative="1">
      <w:start w:val="1"/>
      <w:numFmt w:val="bullet"/>
      <w:lvlText w:val=""/>
      <w:lvlJc w:val="left"/>
      <w:pPr>
        <w:tabs>
          <w:tab w:val="num" w:pos="2880"/>
        </w:tabs>
        <w:ind w:left="2880" w:hanging="360"/>
      </w:pPr>
      <w:rPr>
        <w:rFonts w:ascii="Wingdings" w:hAnsi="Wingdings" w:hint="default"/>
      </w:rPr>
    </w:lvl>
    <w:lvl w:ilvl="4" w:tplc="27483CB4" w:tentative="1">
      <w:start w:val="1"/>
      <w:numFmt w:val="bullet"/>
      <w:lvlText w:val=""/>
      <w:lvlJc w:val="left"/>
      <w:pPr>
        <w:tabs>
          <w:tab w:val="num" w:pos="3600"/>
        </w:tabs>
        <w:ind w:left="3600" w:hanging="360"/>
      </w:pPr>
      <w:rPr>
        <w:rFonts w:ascii="Wingdings" w:hAnsi="Wingdings" w:hint="default"/>
      </w:rPr>
    </w:lvl>
    <w:lvl w:ilvl="5" w:tplc="1522339C" w:tentative="1">
      <w:start w:val="1"/>
      <w:numFmt w:val="bullet"/>
      <w:lvlText w:val=""/>
      <w:lvlJc w:val="left"/>
      <w:pPr>
        <w:tabs>
          <w:tab w:val="num" w:pos="4320"/>
        </w:tabs>
        <w:ind w:left="4320" w:hanging="360"/>
      </w:pPr>
      <w:rPr>
        <w:rFonts w:ascii="Wingdings" w:hAnsi="Wingdings" w:hint="default"/>
      </w:rPr>
    </w:lvl>
    <w:lvl w:ilvl="6" w:tplc="699041DC" w:tentative="1">
      <w:start w:val="1"/>
      <w:numFmt w:val="bullet"/>
      <w:lvlText w:val=""/>
      <w:lvlJc w:val="left"/>
      <w:pPr>
        <w:tabs>
          <w:tab w:val="num" w:pos="5040"/>
        </w:tabs>
        <w:ind w:left="5040" w:hanging="360"/>
      </w:pPr>
      <w:rPr>
        <w:rFonts w:ascii="Wingdings" w:hAnsi="Wingdings" w:hint="default"/>
      </w:rPr>
    </w:lvl>
    <w:lvl w:ilvl="7" w:tplc="2B1E7C16" w:tentative="1">
      <w:start w:val="1"/>
      <w:numFmt w:val="bullet"/>
      <w:lvlText w:val=""/>
      <w:lvlJc w:val="left"/>
      <w:pPr>
        <w:tabs>
          <w:tab w:val="num" w:pos="5760"/>
        </w:tabs>
        <w:ind w:left="5760" w:hanging="360"/>
      </w:pPr>
      <w:rPr>
        <w:rFonts w:ascii="Wingdings" w:hAnsi="Wingdings" w:hint="default"/>
      </w:rPr>
    </w:lvl>
    <w:lvl w:ilvl="8" w:tplc="E1FE47E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450726"/>
    <w:multiLevelType w:val="hybridMultilevel"/>
    <w:tmpl w:val="D30CEB02"/>
    <w:lvl w:ilvl="0" w:tplc="2E7EFC50">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3FB43310" w:tentative="1">
      <w:start w:val="1"/>
      <w:numFmt w:val="bullet"/>
      <w:lvlText w:val=""/>
      <w:lvlJc w:val="left"/>
      <w:pPr>
        <w:tabs>
          <w:tab w:val="num" w:pos="2160"/>
        </w:tabs>
        <w:ind w:left="2160" w:hanging="360"/>
      </w:pPr>
      <w:rPr>
        <w:rFonts w:ascii="Wingdings" w:hAnsi="Wingdings" w:hint="default"/>
      </w:rPr>
    </w:lvl>
    <w:lvl w:ilvl="3" w:tplc="64407ED4" w:tentative="1">
      <w:start w:val="1"/>
      <w:numFmt w:val="bullet"/>
      <w:lvlText w:val=""/>
      <w:lvlJc w:val="left"/>
      <w:pPr>
        <w:tabs>
          <w:tab w:val="num" w:pos="2880"/>
        </w:tabs>
        <w:ind w:left="2880" w:hanging="360"/>
      </w:pPr>
      <w:rPr>
        <w:rFonts w:ascii="Wingdings" w:hAnsi="Wingdings" w:hint="default"/>
      </w:rPr>
    </w:lvl>
    <w:lvl w:ilvl="4" w:tplc="2B769248" w:tentative="1">
      <w:start w:val="1"/>
      <w:numFmt w:val="bullet"/>
      <w:lvlText w:val=""/>
      <w:lvlJc w:val="left"/>
      <w:pPr>
        <w:tabs>
          <w:tab w:val="num" w:pos="3600"/>
        </w:tabs>
        <w:ind w:left="3600" w:hanging="360"/>
      </w:pPr>
      <w:rPr>
        <w:rFonts w:ascii="Wingdings" w:hAnsi="Wingdings" w:hint="default"/>
      </w:rPr>
    </w:lvl>
    <w:lvl w:ilvl="5" w:tplc="63D4315E" w:tentative="1">
      <w:start w:val="1"/>
      <w:numFmt w:val="bullet"/>
      <w:lvlText w:val=""/>
      <w:lvlJc w:val="left"/>
      <w:pPr>
        <w:tabs>
          <w:tab w:val="num" w:pos="4320"/>
        </w:tabs>
        <w:ind w:left="4320" w:hanging="360"/>
      </w:pPr>
      <w:rPr>
        <w:rFonts w:ascii="Wingdings" w:hAnsi="Wingdings" w:hint="default"/>
      </w:rPr>
    </w:lvl>
    <w:lvl w:ilvl="6" w:tplc="41CE01E8" w:tentative="1">
      <w:start w:val="1"/>
      <w:numFmt w:val="bullet"/>
      <w:lvlText w:val=""/>
      <w:lvlJc w:val="left"/>
      <w:pPr>
        <w:tabs>
          <w:tab w:val="num" w:pos="5040"/>
        </w:tabs>
        <w:ind w:left="5040" w:hanging="360"/>
      </w:pPr>
      <w:rPr>
        <w:rFonts w:ascii="Wingdings" w:hAnsi="Wingdings" w:hint="default"/>
      </w:rPr>
    </w:lvl>
    <w:lvl w:ilvl="7" w:tplc="948ADDDA" w:tentative="1">
      <w:start w:val="1"/>
      <w:numFmt w:val="bullet"/>
      <w:lvlText w:val=""/>
      <w:lvlJc w:val="left"/>
      <w:pPr>
        <w:tabs>
          <w:tab w:val="num" w:pos="5760"/>
        </w:tabs>
        <w:ind w:left="5760" w:hanging="360"/>
      </w:pPr>
      <w:rPr>
        <w:rFonts w:ascii="Wingdings" w:hAnsi="Wingdings" w:hint="default"/>
      </w:rPr>
    </w:lvl>
    <w:lvl w:ilvl="8" w:tplc="ABF8B78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941D44"/>
    <w:multiLevelType w:val="hybridMultilevel"/>
    <w:tmpl w:val="CFE4D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F43D5"/>
    <w:multiLevelType w:val="hybridMultilevel"/>
    <w:tmpl w:val="FD3446F8"/>
    <w:lvl w:ilvl="0" w:tplc="04090001">
      <w:start w:val="1"/>
      <w:numFmt w:val="bullet"/>
      <w:lvlText w:val=""/>
      <w:lvlJc w:val="left"/>
      <w:pPr>
        <w:tabs>
          <w:tab w:val="num" w:pos="720"/>
        </w:tabs>
        <w:ind w:left="720" w:hanging="360"/>
      </w:pPr>
      <w:rPr>
        <w:rFonts w:ascii="Symbol" w:hAnsi="Symbol" w:hint="default"/>
      </w:rPr>
    </w:lvl>
    <w:lvl w:ilvl="1" w:tplc="358E1A8E">
      <w:start w:val="83"/>
      <w:numFmt w:val="bullet"/>
      <w:lvlText w:val="•"/>
      <w:lvlJc w:val="left"/>
      <w:pPr>
        <w:tabs>
          <w:tab w:val="num" w:pos="1440"/>
        </w:tabs>
        <w:ind w:left="1440" w:hanging="360"/>
      </w:pPr>
      <w:rPr>
        <w:rFonts w:ascii="Arial" w:hAnsi="Arial" w:hint="default"/>
      </w:rPr>
    </w:lvl>
    <w:lvl w:ilvl="2" w:tplc="39806446" w:tentative="1">
      <w:start w:val="1"/>
      <w:numFmt w:val="bullet"/>
      <w:lvlText w:val=""/>
      <w:lvlJc w:val="left"/>
      <w:pPr>
        <w:tabs>
          <w:tab w:val="num" w:pos="2160"/>
        </w:tabs>
        <w:ind w:left="2160" w:hanging="360"/>
      </w:pPr>
      <w:rPr>
        <w:rFonts w:ascii="Wingdings" w:hAnsi="Wingdings" w:hint="default"/>
      </w:rPr>
    </w:lvl>
    <w:lvl w:ilvl="3" w:tplc="6F6C022E" w:tentative="1">
      <w:start w:val="1"/>
      <w:numFmt w:val="bullet"/>
      <w:lvlText w:val=""/>
      <w:lvlJc w:val="left"/>
      <w:pPr>
        <w:tabs>
          <w:tab w:val="num" w:pos="2880"/>
        </w:tabs>
        <w:ind w:left="2880" w:hanging="360"/>
      </w:pPr>
      <w:rPr>
        <w:rFonts w:ascii="Wingdings" w:hAnsi="Wingdings" w:hint="default"/>
      </w:rPr>
    </w:lvl>
    <w:lvl w:ilvl="4" w:tplc="D7F4296E" w:tentative="1">
      <w:start w:val="1"/>
      <w:numFmt w:val="bullet"/>
      <w:lvlText w:val=""/>
      <w:lvlJc w:val="left"/>
      <w:pPr>
        <w:tabs>
          <w:tab w:val="num" w:pos="3600"/>
        </w:tabs>
        <w:ind w:left="3600" w:hanging="360"/>
      </w:pPr>
      <w:rPr>
        <w:rFonts w:ascii="Wingdings" w:hAnsi="Wingdings" w:hint="default"/>
      </w:rPr>
    </w:lvl>
    <w:lvl w:ilvl="5" w:tplc="AC2A3318" w:tentative="1">
      <w:start w:val="1"/>
      <w:numFmt w:val="bullet"/>
      <w:lvlText w:val=""/>
      <w:lvlJc w:val="left"/>
      <w:pPr>
        <w:tabs>
          <w:tab w:val="num" w:pos="4320"/>
        </w:tabs>
        <w:ind w:left="4320" w:hanging="360"/>
      </w:pPr>
      <w:rPr>
        <w:rFonts w:ascii="Wingdings" w:hAnsi="Wingdings" w:hint="default"/>
      </w:rPr>
    </w:lvl>
    <w:lvl w:ilvl="6" w:tplc="A1D25BE6" w:tentative="1">
      <w:start w:val="1"/>
      <w:numFmt w:val="bullet"/>
      <w:lvlText w:val=""/>
      <w:lvlJc w:val="left"/>
      <w:pPr>
        <w:tabs>
          <w:tab w:val="num" w:pos="5040"/>
        </w:tabs>
        <w:ind w:left="5040" w:hanging="360"/>
      </w:pPr>
      <w:rPr>
        <w:rFonts w:ascii="Wingdings" w:hAnsi="Wingdings" w:hint="default"/>
      </w:rPr>
    </w:lvl>
    <w:lvl w:ilvl="7" w:tplc="1F8EEB80" w:tentative="1">
      <w:start w:val="1"/>
      <w:numFmt w:val="bullet"/>
      <w:lvlText w:val=""/>
      <w:lvlJc w:val="left"/>
      <w:pPr>
        <w:tabs>
          <w:tab w:val="num" w:pos="5760"/>
        </w:tabs>
        <w:ind w:left="5760" w:hanging="360"/>
      </w:pPr>
      <w:rPr>
        <w:rFonts w:ascii="Wingdings" w:hAnsi="Wingdings" w:hint="default"/>
      </w:rPr>
    </w:lvl>
    <w:lvl w:ilvl="8" w:tplc="256AB65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E41E15"/>
    <w:multiLevelType w:val="multilevel"/>
    <w:tmpl w:val="C07C0E0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2DE2B23"/>
    <w:multiLevelType w:val="hybridMultilevel"/>
    <w:tmpl w:val="704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D0254"/>
    <w:multiLevelType w:val="hybridMultilevel"/>
    <w:tmpl w:val="0422F9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C2A5E53"/>
    <w:multiLevelType w:val="hybridMultilevel"/>
    <w:tmpl w:val="A1ACA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7C76C1"/>
    <w:multiLevelType w:val="hybridMultilevel"/>
    <w:tmpl w:val="5FC6A064"/>
    <w:lvl w:ilvl="0" w:tplc="AEBE65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82B41"/>
    <w:multiLevelType w:val="hybridMultilevel"/>
    <w:tmpl w:val="0AB8778E"/>
    <w:lvl w:ilvl="0" w:tplc="07328CCC">
      <w:start w:val="1"/>
      <w:numFmt w:val="decimal"/>
      <w:lvlText w:val="%1."/>
      <w:lvlJc w:val="right"/>
      <w:pPr>
        <w:ind w:left="720" w:hanging="360"/>
      </w:pPr>
      <w:rPr>
        <w:rFonts w:ascii="Arial" w:hAnsi="Arial" w:cs="Times New Roman" w:hint="default"/>
        <w:color w:val="000000" w:themeColor="text1"/>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6795411"/>
    <w:multiLevelType w:val="hybridMultilevel"/>
    <w:tmpl w:val="650A9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B1126"/>
    <w:multiLevelType w:val="hybridMultilevel"/>
    <w:tmpl w:val="1C5EC050"/>
    <w:lvl w:ilvl="0" w:tplc="0409000F">
      <w:start w:val="1"/>
      <w:numFmt w:val="decimal"/>
      <w:lvlText w:val="%1."/>
      <w:lvlJc w:val="left"/>
      <w:pPr>
        <w:tabs>
          <w:tab w:val="num" w:pos="720"/>
        </w:tabs>
        <w:ind w:left="720" w:hanging="360"/>
      </w:pPr>
      <w:rPr>
        <w:rFonts w:hint="default"/>
      </w:rPr>
    </w:lvl>
    <w:lvl w:ilvl="1" w:tplc="358E1A8E">
      <w:start w:val="83"/>
      <w:numFmt w:val="bullet"/>
      <w:lvlText w:val="•"/>
      <w:lvlJc w:val="left"/>
      <w:pPr>
        <w:tabs>
          <w:tab w:val="num" w:pos="1440"/>
        </w:tabs>
        <w:ind w:left="1440" w:hanging="360"/>
      </w:pPr>
      <w:rPr>
        <w:rFonts w:ascii="Arial" w:hAnsi="Arial" w:hint="default"/>
      </w:rPr>
    </w:lvl>
    <w:lvl w:ilvl="2" w:tplc="39806446" w:tentative="1">
      <w:start w:val="1"/>
      <w:numFmt w:val="bullet"/>
      <w:lvlText w:val=""/>
      <w:lvlJc w:val="left"/>
      <w:pPr>
        <w:tabs>
          <w:tab w:val="num" w:pos="2160"/>
        </w:tabs>
        <w:ind w:left="2160" w:hanging="360"/>
      </w:pPr>
      <w:rPr>
        <w:rFonts w:ascii="Wingdings" w:hAnsi="Wingdings" w:hint="default"/>
      </w:rPr>
    </w:lvl>
    <w:lvl w:ilvl="3" w:tplc="6F6C022E" w:tentative="1">
      <w:start w:val="1"/>
      <w:numFmt w:val="bullet"/>
      <w:lvlText w:val=""/>
      <w:lvlJc w:val="left"/>
      <w:pPr>
        <w:tabs>
          <w:tab w:val="num" w:pos="2880"/>
        </w:tabs>
        <w:ind w:left="2880" w:hanging="360"/>
      </w:pPr>
      <w:rPr>
        <w:rFonts w:ascii="Wingdings" w:hAnsi="Wingdings" w:hint="default"/>
      </w:rPr>
    </w:lvl>
    <w:lvl w:ilvl="4" w:tplc="D7F4296E" w:tentative="1">
      <w:start w:val="1"/>
      <w:numFmt w:val="bullet"/>
      <w:lvlText w:val=""/>
      <w:lvlJc w:val="left"/>
      <w:pPr>
        <w:tabs>
          <w:tab w:val="num" w:pos="3600"/>
        </w:tabs>
        <w:ind w:left="3600" w:hanging="360"/>
      </w:pPr>
      <w:rPr>
        <w:rFonts w:ascii="Wingdings" w:hAnsi="Wingdings" w:hint="default"/>
      </w:rPr>
    </w:lvl>
    <w:lvl w:ilvl="5" w:tplc="AC2A3318" w:tentative="1">
      <w:start w:val="1"/>
      <w:numFmt w:val="bullet"/>
      <w:lvlText w:val=""/>
      <w:lvlJc w:val="left"/>
      <w:pPr>
        <w:tabs>
          <w:tab w:val="num" w:pos="4320"/>
        </w:tabs>
        <w:ind w:left="4320" w:hanging="360"/>
      </w:pPr>
      <w:rPr>
        <w:rFonts w:ascii="Wingdings" w:hAnsi="Wingdings" w:hint="default"/>
      </w:rPr>
    </w:lvl>
    <w:lvl w:ilvl="6" w:tplc="A1D25BE6" w:tentative="1">
      <w:start w:val="1"/>
      <w:numFmt w:val="bullet"/>
      <w:lvlText w:val=""/>
      <w:lvlJc w:val="left"/>
      <w:pPr>
        <w:tabs>
          <w:tab w:val="num" w:pos="5040"/>
        </w:tabs>
        <w:ind w:left="5040" w:hanging="360"/>
      </w:pPr>
      <w:rPr>
        <w:rFonts w:ascii="Wingdings" w:hAnsi="Wingdings" w:hint="default"/>
      </w:rPr>
    </w:lvl>
    <w:lvl w:ilvl="7" w:tplc="1F8EEB80" w:tentative="1">
      <w:start w:val="1"/>
      <w:numFmt w:val="bullet"/>
      <w:lvlText w:val=""/>
      <w:lvlJc w:val="left"/>
      <w:pPr>
        <w:tabs>
          <w:tab w:val="num" w:pos="5760"/>
        </w:tabs>
        <w:ind w:left="5760" w:hanging="360"/>
      </w:pPr>
      <w:rPr>
        <w:rFonts w:ascii="Wingdings" w:hAnsi="Wingdings" w:hint="default"/>
      </w:rPr>
    </w:lvl>
    <w:lvl w:ilvl="8" w:tplc="256AB65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8B0A9D"/>
    <w:multiLevelType w:val="hybridMultilevel"/>
    <w:tmpl w:val="9E8E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24FCD"/>
    <w:multiLevelType w:val="hybridMultilevel"/>
    <w:tmpl w:val="850CB024"/>
    <w:lvl w:ilvl="0" w:tplc="D8609D36">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47C25286" w:tentative="1">
      <w:start w:val="1"/>
      <w:numFmt w:val="bullet"/>
      <w:lvlText w:val=""/>
      <w:lvlJc w:val="left"/>
      <w:pPr>
        <w:tabs>
          <w:tab w:val="num" w:pos="2160"/>
        </w:tabs>
        <w:ind w:left="2160" w:hanging="360"/>
      </w:pPr>
      <w:rPr>
        <w:rFonts w:ascii="Wingdings" w:hAnsi="Wingdings" w:hint="default"/>
      </w:rPr>
    </w:lvl>
    <w:lvl w:ilvl="3" w:tplc="6B90F1A0" w:tentative="1">
      <w:start w:val="1"/>
      <w:numFmt w:val="bullet"/>
      <w:lvlText w:val=""/>
      <w:lvlJc w:val="left"/>
      <w:pPr>
        <w:tabs>
          <w:tab w:val="num" w:pos="2880"/>
        </w:tabs>
        <w:ind w:left="2880" w:hanging="360"/>
      </w:pPr>
      <w:rPr>
        <w:rFonts w:ascii="Wingdings" w:hAnsi="Wingdings" w:hint="default"/>
      </w:rPr>
    </w:lvl>
    <w:lvl w:ilvl="4" w:tplc="27483CB4" w:tentative="1">
      <w:start w:val="1"/>
      <w:numFmt w:val="bullet"/>
      <w:lvlText w:val=""/>
      <w:lvlJc w:val="left"/>
      <w:pPr>
        <w:tabs>
          <w:tab w:val="num" w:pos="3600"/>
        </w:tabs>
        <w:ind w:left="3600" w:hanging="360"/>
      </w:pPr>
      <w:rPr>
        <w:rFonts w:ascii="Wingdings" w:hAnsi="Wingdings" w:hint="default"/>
      </w:rPr>
    </w:lvl>
    <w:lvl w:ilvl="5" w:tplc="1522339C" w:tentative="1">
      <w:start w:val="1"/>
      <w:numFmt w:val="bullet"/>
      <w:lvlText w:val=""/>
      <w:lvlJc w:val="left"/>
      <w:pPr>
        <w:tabs>
          <w:tab w:val="num" w:pos="4320"/>
        </w:tabs>
        <w:ind w:left="4320" w:hanging="360"/>
      </w:pPr>
      <w:rPr>
        <w:rFonts w:ascii="Wingdings" w:hAnsi="Wingdings" w:hint="default"/>
      </w:rPr>
    </w:lvl>
    <w:lvl w:ilvl="6" w:tplc="699041DC" w:tentative="1">
      <w:start w:val="1"/>
      <w:numFmt w:val="bullet"/>
      <w:lvlText w:val=""/>
      <w:lvlJc w:val="left"/>
      <w:pPr>
        <w:tabs>
          <w:tab w:val="num" w:pos="5040"/>
        </w:tabs>
        <w:ind w:left="5040" w:hanging="360"/>
      </w:pPr>
      <w:rPr>
        <w:rFonts w:ascii="Wingdings" w:hAnsi="Wingdings" w:hint="default"/>
      </w:rPr>
    </w:lvl>
    <w:lvl w:ilvl="7" w:tplc="2B1E7C16" w:tentative="1">
      <w:start w:val="1"/>
      <w:numFmt w:val="bullet"/>
      <w:lvlText w:val=""/>
      <w:lvlJc w:val="left"/>
      <w:pPr>
        <w:tabs>
          <w:tab w:val="num" w:pos="5760"/>
        </w:tabs>
        <w:ind w:left="5760" w:hanging="360"/>
      </w:pPr>
      <w:rPr>
        <w:rFonts w:ascii="Wingdings" w:hAnsi="Wingdings" w:hint="default"/>
      </w:rPr>
    </w:lvl>
    <w:lvl w:ilvl="8" w:tplc="E1FE47E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7712F5"/>
    <w:multiLevelType w:val="hybridMultilevel"/>
    <w:tmpl w:val="840C5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D5DBA"/>
    <w:multiLevelType w:val="hybridMultilevel"/>
    <w:tmpl w:val="6B7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9328A4"/>
    <w:multiLevelType w:val="hybridMultilevel"/>
    <w:tmpl w:val="8DFA3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3D1381"/>
    <w:multiLevelType w:val="hybridMultilevel"/>
    <w:tmpl w:val="E7B24B68"/>
    <w:lvl w:ilvl="0" w:tplc="2E7EFC50">
      <w:start w:val="1"/>
      <w:numFmt w:val="bullet"/>
      <w:lvlText w:val=""/>
      <w:lvlJc w:val="left"/>
      <w:pPr>
        <w:tabs>
          <w:tab w:val="num" w:pos="720"/>
        </w:tabs>
        <w:ind w:left="720" w:hanging="360"/>
      </w:pPr>
      <w:rPr>
        <w:rFonts w:ascii="Wingdings" w:hAnsi="Wingdings" w:hint="default"/>
      </w:rPr>
    </w:lvl>
    <w:lvl w:ilvl="1" w:tplc="1DA47C98">
      <w:numFmt w:val="bullet"/>
      <w:lvlText w:val="•"/>
      <w:lvlJc w:val="left"/>
      <w:pPr>
        <w:tabs>
          <w:tab w:val="num" w:pos="1440"/>
        </w:tabs>
        <w:ind w:left="1440" w:hanging="360"/>
      </w:pPr>
      <w:rPr>
        <w:rFonts w:ascii="Arial" w:hAnsi="Arial" w:hint="default"/>
      </w:rPr>
    </w:lvl>
    <w:lvl w:ilvl="2" w:tplc="3FB43310" w:tentative="1">
      <w:start w:val="1"/>
      <w:numFmt w:val="bullet"/>
      <w:lvlText w:val=""/>
      <w:lvlJc w:val="left"/>
      <w:pPr>
        <w:tabs>
          <w:tab w:val="num" w:pos="2160"/>
        </w:tabs>
        <w:ind w:left="2160" w:hanging="360"/>
      </w:pPr>
      <w:rPr>
        <w:rFonts w:ascii="Wingdings" w:hAnsi="Wingdings" w:hint="default"/>
      </w:rPr>
    </w:lvl>
    <w:lvl w:ilvl="3" w:tplc="64407ED4" w:tentative="1">
      <w:start w:val="1"/>
      <w:numFmt w:val="bullet"/>
      <w:lvlText w:val=""/>
      <w:lvlJc w:val="left"/>
      <w:pPr>
        <w:tabs>
          <w:tab w:val="num" w:pos="2880"/>
        </w:tabs>
        <w:ind w:left="2880" w:hanging="360"/>
      </w:pPr>
      <w:rPr>
        <w:rFonts w:ascii="Wingdings" w:hAnsi="Wingdings" w:hint="default"/>
      </w:rPr>
    </w:lvl>
    <w:lvl w:ilvl="4" w:tplc="2B769248" w:tentative="1">
      <w:start w:val="1"/>
      <w:numFmt w:val="bullet"/>
      <w:lvlText w:val=""/>
      <w:lvlJc w:val="left"/>
      <w:pPr>
        <w:tabs>
          <w:tab w:val="num" w:pos="3600"/>
        </w:tabs>
        <w:ind w:left="3600" w:hanging="360"/>
      </w:pPr>
      <w:rPr>
        <w:rFonts w:ascii="Wingdings" w:hAnsi="Wingdings" w:hint="default"/>
      </w:rPr>
    </w:lvl>
    <w:lvl w:ilvl="5" w:tplc="63D4315E" w:tentative="1">
      <w:start w:val="1"/>
      <w:numFmt w:val="bullet"/>
      <w:lvlText w:val=""/>
      <w:lvlJc w:val="left"/>
      <w:pPr>
        <w:tabs>
          <w:tab w:val="num" w:pos="4320"/>
        </w:tabs>
        <w:ind w:left="4320" w:hanging="360"/>
      </w:pPr>
      <w:rPr>
        <w:rFonts w:ascii="Wingdings" w:hAnsi="Wingdings" w:hint="default"/>
      </w:rPr>
    </w:lvl>
    <w:lvl w:ilvl="6" w:tplc="41CE01E8" w:tentative="1">
      <w:start w:val="1"/>
      <w:numFmt w:val="bullet"/>
      <w:lvlText w:val=""/>
      <w:lvlJc w:val="left"/>
      <w:pPr>
        <w:tabs>
          <w:tab w:val="num" w:pos="5040"/>
        </w:tabs>
        <w:ind w:left="5040" w:hanging="360"/>
      </w:pPr>
      <w:rPr>
        <w:rFonts w:ascii="Wingdings" w:hAnsi="Wingdings" w:hint="default"/>
      </w:rPr>
    </w:lvl>
    <w:lvl w:ilvl="7" w:tplc="948ADDDA" w:tentative="1">
      <w:start w:val="1"/>
      <w:numFmt w:val="bullet"/>
      <w:lvlText w:val=""/>
      <w:lvlJc w:val="left"/>
      <w:pPr>
        <w:tabs>
          <w:tab w:val="num" w:pos="5760"/>
        </w:tabs>
        <w:ind w:left="5760" w:hanging="360"/>
      </w:pPr>
      <w:rPr>
        <w:rFonts w:ascii="Wingdings" w:hAnsi="Wingdings" w:hint="default"/>
      </w:rPr>
    </w:lvl>
    <w:lvl w:ilvl="8" w:tplc="ABF8B78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867F9"/>
    <w:multiLevelType w:val="hybridMultilevel"/>
    <w:tmpl w:val="F006E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553FF4"/>
    <w:multiLevelType w:val="hybridMultilevel"/>
    <w:tmpl w:val="ED96400A"/>
    <w:lvl w:ilvl="0" w:tplc="FCEEE6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EC15C1"/>
    <w:multiLevelType w:val="hybridMultilevel"/>
    <w:tmpl w:val="77346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F73A1B"/>
    <w:multiLevelType w:val="hybridMultilevel"/>
    <w:tmpl w:val="9E2696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D2146"/>
    <w:multiLevelType w:val="hybridMultilevel"/>
    <w:tmpl w:val="775C7C4E"/>
    <w:lvl w:ilvl="0" w:tplc="5E66E2CC">
      <w:start w:val="1"/>
      <w:numFmt w:val="bullet"/>
      <w:lvlText w:val=""/>
      <w:lvlJc w:val="left"/>
      <w:pPr>
        <w:ind w:left="720" w:hanging="360"/>
      </w:pPr>
      <w:rPr>
        <w:rFonts w:ascii="Symbol" w:hAnsi="Symbol" w:hint="default"/>
        <w:color w:val="6699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437E2"/>
    <w:multiLevelType w:val="multilevel"/>
    <w:tmpl w:val="C07C0E0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B9F629B"/>
    <w:multiLevelType w:val="hybridMultilevel"/>
    <w:tmpl w:val="41EE9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D27056"/>
    <w:multiLevelType w:val="hybridMultilevel"/>
    <w:tmpl w:val="A16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37"/>
  </w:num>
  <w:num w:numId="4">
    <w:abstractNumId w:val="26"/>
  </w:num>
  <w:num w:numId="5">
    <w:abstractNumId w:val="22"/>
  </w:num>
  <w:num w:numId="6">
    <w:abstractNumId w:val="41"/>
  </w:num>
  <w:num w:numId="7">
    <w:abstractNumId w:val="2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5"/>
  </w:num>
  <w:num w:numId="11">
    <w:abstractNumId w:val="19"/>
  </w:num>
  <w:num w:numId="12">
    <w:abstractNumId w:val="27"/>
  </w:num>
  <w:num w:numId="13">
    <w:abstractNumId w:val="21"/>
  </w:num>
  <w:num w:numId="14">
    <w:abstractNumId w:val="33"/>
  </w:num>
  <w:num w:numId="15">
    <w:abstractNumId w:val="16"/>
  </w:num>
  <w:num w:numId="16">
    <w:abstractNumId w:val="32"/>
  </w:num>
  <w:num w:numId="17">
    <w:abstractNumId w:val="40"/>
  </w:num>
  <w:num w:numId="18">
    <w:abstractNumId w:val="29"/>
  </w:num>
  <w:num w:numId="19">
    <w:abstractNumId w:val="17"/>
  </w:num>
  <w:num w:numId="20">
    <w:abstractNumId w:val="14"/>
  </w:num>
  <w:num w:numId="21">
    <w:abstractNumId w:val="11"/>
  </w:num>
  <w:num w:numId="22">
    <w:abstractNumId w:val="20"/>
  </w:num>
  <w:num w:numId="23">
    <w:abstractNumId w:val="24"/>
  </w:num>
  <w:num w:numId="24">
    <w:abstractNumId w:val="3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8"/>
  </w:num>
  <w:num w:numId="28">
    <w:abstractNumId w:val="1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0"/>
  </w:num>
  <w:num w:numId="40">
    <w:abstractNumId w:val="38"/>
  </w:num>
  <w:num w:numId="41">
    <w:abstractNumId w:val="23"/>
  </w:num>
  <w:num w:numId="42">
    <w:abstractNumId w:val="15"/>
  </w:num>
  <w:num w:numId="43">
    <w:abstractNumId w:val="34"/>
  </w:num>
  <w:num w:numId="44">
    <w:abstractNumId w:val="10"/>
  </w:num>
  <w:num w:numId="45">
    <w:abstractNumId w:val="38"/>
  </w:num>
  <w:num w:numId="46">
    <w:abstractNumId w:val="23"/>
  </w:num>
  <w:num w:numId="47">
    <w:abstractNumId w:val="3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4C977B-F35C-457A-ACAF-52E09B1148F6}"/>
    <w:docVar w:name="dgnword-eventsink" w:val="457346456"/>
    <w:docVar w:name="dgnword-lastRevisionsView" w:val="0"/>
  </w:docVars>
  <w:rsids>
    <w:rsidRoot w:val="00057A96"/>
    <w:rsid w:val="00003F7F"/>
    <w:rsid w:val="00004957"/>
    <w:rsid w:val="000106C7"/>
    <w:rsid w:val="00017A7E"/>
    <w:rsid w:val="00020090"/>
    <w:rsid w:val="0002038E"/>
    <w:rsid w:val="00022E03"/>
    <w:rsid w:val="00023700"/>
    <w:rsid w:val="0002688E"/>
    <w:rsid w:val="00034822"/>
    <w:rsid w:val="00035C1D"/>
    <w:rsid w:val="000362E1"/>
    <w:rsid w:val="0004743E"/>
    <w:rsid w:val="0005001E"/>
    <w:rsid w:val="000504FF"/>
    <w:rsid w:val="00052D96"/>
    <w:rsid w:val="00053B2A"/>
    <w:rsid w:val="000556A2"/>
    <w:rsid w:val="00057A96"/>
    <w:rsid w:val="0006150C"/>
    <w:rsid w:val="000765C5"/>
    <w:rsid w:val="00077927"/>
    <w:rsid w:val="00084575"/>
    <w:rsid w:val="000852AB"/>
    <w:rsid w:val="000920D0"/>
    <w:rsid w:val="000930A6"/>
    <w:rsid w:val="00093587"/>
    <w:rsid w:val="00093E4E"/>
    <w:rsid w:val="000A1D0B"/>
    <w:rsid w:val="000A547B"/>
    <w:rsid w:val="000A5C5C"/>
    <w:rsid w:val="000A6D72"/>
    <w:rsid w:val="000A7835"/>
    <w:rsid w:val="000A7C48"/>
    <w:rsid w:val="000C139F"/>
    <w:rsid w:val="000C6EAF"/>
    <w:rsid w:val="000D1221"/>
    <w:rsid w:val="000D2171"/>
    <w:rsid w:val="000D321D"/>
    <w:rsid w:val="000D669F"/>
    <w:rsid w:val="000D746B"/>
    <w:rsid w:val="000E5A47"/>
    <w:rsid w:val="000E6420"/>
    <w:rsid w:val="000E75AE"/>
    <w:rsid w:val="000F0A11"/>
    <w:rsid w:val="001016A2"/>
    <w:rsid w:val="00104E01"/>
    <w:rsid w:val="00111FE0"/>
    <w:rsid w:val="00117244"/>
    <w:rsid w:val="00123566"/>
    <w:rsid w:val="00125C1F"/>
    <w:rsid w:val="00130D23"/>
    <w:rsid w:val="00134012"/>
    <w:rsid w:val="00134F13"/>
    <w:rsid w:val="00156214"/>
    <w:rsid w:val="001578FE"/>
    <w:rsid w:val="00160244"/>
    <w:rsid w:val="0016173B"/>
    <w:rsid w:val="001618A3"/>
    <w:rsid w:val="00164645"/>
    <w:rsid w:val="001648E9"/>
    <w:rsid w:val="00165DEE"/>
    <w:rsid w:val="00171ED5"/>
    <w:rsid w:val="00184DEF"/>
    <w:rsid w:val="00187029"/>
    <w:rsid w:val="00193C73"/>
    <w:rsid w:val="00195907"/>
    <w:rsid w:val="001A2532"/>
    <w:rsid w:val="001A259D"/>
    <w:rsid w:val="001A670E"/>
    <w:rsid w:val="001B0F3E"/>
    <w:rsid w:val="001B1D7C"/>
    <w:rsid w:val="001C6DD7"/>
    <w:rsid w:val="001D58B7"/>
    <w:rsid w:val="001D7E65"/>
    <w:rsid w:val="001E11B3"/>
    <w:rsid w:val="001E39E1"/>
    <w:rsid w:val="001F236C"/>
    <w:rsid w:val="00200416"/>
    <w:rsid w:val="00200A8E"/>
    <w:rsid w:val="00214949"/>
    <w:rsid w:val="00214AB0"/>
    <w:rsid w:val="00215008"/>
    <w:rsid w:val="00221251"/>
    <w:rsid w:val="00221A41"/>
    <w:rsid w:val="00222477"/>
    <w:rsid w:val="0022441B"/>
    <w:rsid w:val="00225A35"/>
    <w:rsid w:val="00235267"/>
    <w:rsid w:val="00235411"/>
    <w:rsid w:val="002354DD"/>
    <w:rsid w:val="00237595"/>
    <w:rsid w:val="002408E4"/>
    <w:rsid w:val="002413E6"/>
    <w:rsid w:val="002444EA"/>
    <w:rsid w:val="002453F0"/>
    <w:rsid w:val="00251082"/>
    <w:rsid w:val="00251E53"/>
    <w:rsid w:val="00253D92"/>
    <w:rsid w:val="002635D5"/>
    <w:rsid w:val="00264E39"/>
    <w:rsid w:val="00270292"/>
    <w:rsid w:val="00270B8D"/>
    <w:rsid w:val="002733F5"/>
    <w:rsid w:val="00273F2E"/>
    <w:rsid w:val="002751A1"/>
    <w:rsid w:val="00277536"/>
    <w:rsid w:val="002830C8"/>
    <w:rsid w:val="00285330"/>
    <w:rsid w:val="00287EF6"/>
    <w:rsid w:val="002902C8"/>
    <w:rsid w:val="002903AC"/>
    <w:rsid w:val="0029286A"/>
    <w:rsid w:val="002A3F6B"/>
    <w:rsid w:val="002A6238"/>
    <w:rsid w:val="002A6527"/>
    <w:rsid w:val="002B02E2"/>
    <w:rsid w:val="002B20E4"/>
    <w:rsid w:val="002B3F08"/>
    <w:rsid w:val="002B3F8E"/>
    <w:rsid w:val="002B5A1A"/>
    <w:rsid w:val="002C13F3"/>
    <w:rsid w:val="002D25C7"/>
    <w:rsid w:val="002D2D6B"/>
    <w:rsid w:val="002E1965"/>
    <w:rsid w:val="002E5E61"/>
    <w:rsid w:val="002E675B"/>
    <w:rsid w:val="002F01D7"/>
    <w:rsid w:val="002F15BC"/>
    <w:rsid w:val="002F2919"/>
    <w:rsid w:val="00303FE1"/>
    <w:rsid w:val="00304700"/>
    <w:rsid w:val="00315DC8"/>
    <w:rsid w:val="003166BE"/>
    <w:rsid w:val="00316D35"/>
    <w:rsid w:val="003207FE"/>
    <w:rsid w:val="00321D49"/>
    <w:rsid w:val="00322C00"/>
    <w:rsid w:val="0032374C"/>
    <w:rsid w:val="00325EAA"/>
    <w:rsid w:val="003263CB"/>
    <w:rsid w:val="0033375A"/>
    <w:rsid w:val="003353BC"/>
    <w:rsid w:val="0033616F"/>
    <w:rsid w:val="00337E51"/>
    <w:rsid w:val="00337F92"/>
    <w:rsid w:val="00344377"/>
    <w:rsid w:val="00347062"/>
    <w:rsid w:val="00356E59"/>
    <w:rsid w:val="00360CEA"/>
    <w:rsid w:val="00361784"/>
    <w:rsid w:val="00364C1F"/>
    <w:rsid w:val="0036789B"/>
    <w:rsid w:val="003706E4"/>
    <w:rsid w:val="00371A4B"/>
    <w:rsid w:val="003726BC"/>
    <w:rsid w:val="0038523B"/>
    <w:rsid w:val="003910E3"/>
    <w:rsid w:val="00394C43"/>
    <w:rsid w:val="00394D19"/>
    <w:rsid w:val="0039685A"/>
    <w:rsid w:val="00397189"/>
    <w:rsid w:val="00397837"/>
    <w:rsid w:val="003A0570"/>
    <w:rsid w:val="003A0659"/>
    <w:rsid w:val="003A1F76"/>
    <w:rsid w:val="003A4A44"/>
    <w:rsid w:val="003A4E0D"/>
    <w:rsid w:val="003B2CE2"/>
    <w:rsid w:val="003B4FA5"/>
    <w:rsid w:val="003B5274"/>
    <w:rsid w:val="003B5E29"/>
    <w:rsid w:val="003C18A0"/>
    <w:rsid w:val="003C1EC1"/>
    <w:rsid w:val="003C2119"/>
    <w:rsid w:val="003C52D6"/>
    <w:rsid w:val="003D0D4B"/>
    <w:rsid w:val="003D421C"/>
    <w:rsid w:val="003D53C4"/>
    <w:rsid w:val="003D5607"/>
    <w:rsid w:val="003D6E5D"/>
    <w:rsid w:val="003D703E"/>
    <w:rsid w:val="003E1178"/>
    <w:rsid w:val="003E18E4"/>
    <w:rsid w:val="003E3B94"/>
    <w:rsid w:val="003E5951"/>
    <w:rsid w:val="003E6014"/>
    <w:rsid w:val="003F3ACA"/>
    <w:rsid w:val="003F717E"/>
    <w:rsid w:val="004013E9"/>
    <w:rsid w:val="00402431"/>
    <w:rsid w:val="00420465"/>
    <w:rsid w:val="004213D2"/>
    <w:rsid w:val="00430261"/>
    <w:rsid w:val="00430CD2"/>
    <w:rsid w:val="0043391F"/>
    <w:rsid w:val="00434F35"/>
    <w:rsid w:val="0043716A"/>
    <w:rsid w:val="00441B5E"/>
    <w:rsid w:val="00447835"/>
    <w:rsid w:val="0045445E"/>
    <w:rsid w:val="004608A6"/>
    <w:rsid w:val="004655F5"/>
    <w:rsid w:val="004671E4"/>
    <w:rsid w:val="00472CF6"/>
    <w:rsid w:val="00474A2F"/>
    <w:rsid w:val="00477355"/>
    <w:rsid w:val="004906B6"/>
    <w:rsid w:val="00493786"/>
    <w:rsid w:val="00494BB1"/>
    <w:rsid w:val="0049602B"/>
    <w:rsid w:val="004960CB"/>
    <w:rsid w:val="004A1822"/>
    <w:rsid w:val="004A5800"/>
    <w:rsid w:val="004A5C9C"/>
    <w:rsid w:val="004A7B1E"/>
    <w:rsid w:val="004B03DD"/>
    <w:rsid w:val="004B15ED"/>
    <w:rsid w:val="004B1F1C"/>
    <w:rsid w:val="004B46C8"/>
    <w:rsid w:val="004C387C"/>
    <w:rsid w:val="004C4C52"/>
    <w:rsid w:val="004D0521"/>
    <w:rsid w:val="004D3C1C"/>
    <w:rsid w:val="004D7325"/>
    <w:rsid w:val="004E0E93"/>
    <w:rsid w:val="004E121C"/>
    <w:rsid w:val="004E74B3"/>
    <w:rsid w:val="004E79B6"/>
    <w:rsid w:val="00505258"/>
    <w:rsid w:val="005102A8"/>
    <w:rsid w:val="0051479B"/>
    <w:rsid w:val="0052029B"/>
    <w:rsid w:val="0052196D"/>
    <w:rsid w:val="00522C8C"/>
    <w:rsid w:val="00531860"/>
    <w:rsid w:val="00532A9F"/>
    <w:rsid w:val="005333BF"/>
    <w:rsid w:val="00535D91"/>
    <w:rsid w:val="00535F58"/>
    <w:rsid w:val="00536FE3"/>
    <w:rsid w:val="00537793"/>
    <w:rsid w:val="00540C67"/>
    <w:rsid w:val="0054334A"/>
    <w:rsid w:val="00543811"/>
    <w:rsid w:val="00552D7D"/>
    <w:rsid w:val="00552F6F"/>
    <w:rsid w:val="005600B9"/>
    <w:rsid w:val="00561DAF"/>
    <w:rsid w:val="00571FCB"/>
    <w:rsid w:val="005733D5"/>
    <w:rsid w:val="0057494A"/>
    <w:rsid w:val="005760FB"/>
    <w:rsid w:val="005774E6"/>
    <w:rsid w:val="0058225D"/>
    <w:rsid w:val="00582F2B"/>
    <w:rsid w:val="0058495E"/>
    <w:rsid w:val="00585E10"/>
    <w:rsid w:val="00590DF6"/>
    <w:rsid w:val="005926CA"/>
    <w:rsid w:val="00597B49"/>
    <w:rsid w:val="005A0FDA"/>
    <w:rsid w:val="005A3A5E"/>
    <w:rsid w:val="005A7777"/>
    <w:rsid w:val="005B1325"/>
    <w:rsid w:val="005B54A6"/>
    <w:rsid w:val="005C09C2"/>
    <w:rsid w:val="005C0B2A"/>
    <w:rsid w:val="005C64AE"/>
    <w:rsid w:val="005C765F"/>
    <w:rsid w:val="005D0BF6"/>
    <w:rsid w:val="005D1289"/>
    <w:rsid w:val="005D363A"/>
    <w:rsid w:val="005D600A"/>
    <w:rsid w:val="005D7BC0"/>
    <w:rsid w:val="005E223B"/>
    <w:rsid w:val="005E2EB0"/>
    <w:rsid w:val="005E464C"/>
    <w:rsid w:val="005F0869"/>
    <w:rsid w:val="005F243E"/>
    <w:rsid w:val="006123FF"/>
    <w:rsid w:val="00617279"/>
    <w:rsid w:val="006303A1"/>
    <w:rsid w:val="006303F5"/>
    <w:rsid w:val="00632473"/>
    <w:rsid w:val="006332BB"/>
    <w:rsid w:val="006356F8"/>
    <w:rsid w:val="0064013F"/>
    <w:rsid w:val="00642C25"/>
    <w:rsid w:val="006464D4"/>
    <w:rsid w:val="00655C68"/>
    <w:rsid w:val="006563EF"/>
    <w:rsid w:val="00657BB5"/>
    <w:rsid w:val="00671651"/>
    <w:rsid w:val="00673780"/>
    <w:rsid w:val="00677E58"/>
    <w:rsid w:val="00680EC8"/>
    <w:rsid w:val="00681207"/>
    <w:rsid w:val="00681B89"/>
    <w:rsid w:val="00686CC3"/>
    <w:rsid w:val="006954B9"/>
    <w:rsid w:val="006A0D6B"/>
    <w:rsid w:val="006A3721"/>
    <w:rsid w:val="006A4D96"/>
    <w:rsid w:val="006B3A2D"/>
    <w:rsid w:val="006B5982"/>
    <w:rsid w:val="006B7023"/>
    <w:rsid w:val="006C1B31"/>
    <w:rsid w:val="006C2022"/>
    <w:rsid w:val="006C7912"/>
    <w:rsid w:val="006D4C7B"/>
    <w:rsid w:val="006E23E0"/>
    <w:rsid w:val="006E3FE1"/>
    <w:rsid w:val="006E50CB"/>
    <w:rsid w:val="006E5BB7"/>
    <w:rsid w:val="006E615E"/>
    <w:rsid w:val="006F1055"/>
    <w:rsid w:val="006F5CB0"/>
    <w:rsid w:val="00706C50"/>
    <w:rsid w:val="00707C57"/>
    <w:rsid w:val="00710123"/>
    <w:rsid w:val="00712F0B"/>
    <w:rsid w:val="007140C1"/>
    <w:rsid w:val="00730881"/>
    <w:rsid w:val="00731A4B"/>
    <w:rsid w:val="0073688B"/>
    <w:rsid w:val="007378F8"/>
    <w:rsid w:val="007409DC"/>
    <w:rsid w:val="0075411B"/>
    <w:rsid w:val="0076556C"/>
    <w:rsid w:val="00774DBA"/>
    <w:rsid w:val="00785677"/>
    <w:rsid w:val="00785E03"/>
    <w:rsid w:val="007901CD"/>
    <w:rsid w:val="00790E6A"/>
    <w:rsid w:val="0079246E"/>
    <w:rsid w:val="007A025B"/>
    <w:rsid w:val="007A1902"/>
    <w:rsid w:val="007A2653"/>
    <w:rsid w:val="007A4F6D"/>
    <w:rsid w:val="007A63C7"/>
    <w:rsid w:val="007B062A"/>
    <w:rsid w:val="007B3C38"/>
    <w:rsid w:val="007B5ADA"/>
    <w:rsid w:val="007C1CCD"/>
    <w:rsid w:val="007C3CDC"/>
    <w:rsid w:val="007C464C"/>
    <w:rsid w:val="007C48F4"/>
    <w:rsid w:val="007D02A9"/>
    <w:rsid w:val="007D0F5C"/>
    <w:rsid w:val="007D5A1E"/>
    <w:rsid w:val="007D6918"/>
    <w:rsid w:val="007D7656"/>
    <w:rsid w:val="007E0813"/>
    <w:rsid w:val="007E5DCE"/>
    <w:rsid w:val="007E7CB6"/>
    <w:rsid w:val="007F1BBB"/>
    <w:rsid w:val="00800656"/>
    <w:rsid w:val="0080204F"/>
    <w:rsid w:val="00806C1C"/>
    <w:rsid w:val="00810B87"/>
    <w:rsid w:val="00811D53"/>
    <w:rsid w:val="008162D5"/>
    <w:rsid w:val="0081776B"/>
    <w:rsid w:val="00820166"/>
    <w:rsid w:val="008213F2"/>
    <w:rsid w:val="00823020"/>
    <w:rsid w:val="00825076"/>
    <w:rsid w:val="008317DD"/>
    <w:rsid w:val="00834CD3"/>
    <w:rsid w:val="008361CE"/>
    <w:rsid w:val="008422A1"/>
    <w:rsid w:val="0084316E"/>
    <w:rsid w:val="0084685E"/>
    <w:rsid w:val="0084757F"/>
    <w:rsid w:val="00850778"/>
    <w:rsid w:val="00850DA8"/>
    <w:rsid w:val="008510FD"/>
    <w:rsid w:val="00864EA9"/>
    <w:rsid w:val="00864EE4"/>
    <w:rsid w:val="00877578"/>
    <w:rsid w:val="00890F73"/>
    <w:rsid w:val="00891AD3"/>
    <w:rsid w:val="008927BC"/>
    <w:rsid w:val="00894B77"/>
    <w:rsid w:val="008A01EB"/>
    <w:rsid w:val="008A106C"/>
    <w:rsid w:val="008A1907"/>
    <w:rsid w:val="008B1135"/>
    <w:rsid w:val="008B7B57"/>
    <w:rsid w:val="008B7F81"/>
    <w:rsid w:val="008C46AA"/>
    <w:rsid w:val="008C63B9"/>
    <w:rsid w:val="008D0122"/>
    <w:rsid w:val="008D2B05"/>
    <w:rsid w:val="008D3908"/>
    <w:rsid w:val="008D4D4F"/>
    <w:rsid w:val="008E1F40"/>
    <w:rsid w:val="008E200F"/>
    <w:rsid w:val="008E3780"/>
    <w:rsid w:val="008F08BC"/>
    <w:rsid w:val="008F196D"/>
    <w:rsid w:val="008F1E40"/>
    <w:rsid w:val="008F6CA0"/>
    <w:rsid w:val="00902142"/>
    <w:rsid w:val="00910DC6"/>
    <w:rsid w:val="00913B13"/>
    <w:rsid w:val="00922EF1"/>
    <w:rsid w:val="00923A96"/>
    <w:rsid w:val="00925705"/>
    <w:rsid w:val="00933FBD"/>
    <w:rsid w:val="00937A7E"/>
    <w:rsid w:val="00940BB7"/>
    <w:rsid w:val="009414AD"/>
    <w:rsid w:val="00947EEA"/>
    <w:rsid w:val="00951043"/>
    <w:rsid w:val="00951091"/>
    <w:rsid w:val="009512B8"/>
    <w:rsid w:val="00954C5F"/>
    <w:rsid w:val="00955D32"/>
    <w:rsid w:val="009574B7"/>
    <w:rsid w:val="00963290"/>
    <w:rsid w:val="00970C4E"/>
    <w:rsid w:val="00975034"/>
    <w:rsid w:val="00975790"/>
    <w:rsid w:val="009757EA"/>
    <w:rsid w:val="00975C7D"/>
    <w:rsid w:val="00981F90"/>
    <w:rsid w:val="00982A10"/>
    <w:rsid w:val="00983AED"/>
    <w:rsid w:val="00985B4C"/>
    <w:rsid w:val="0098707D"/>
    <w:rsid w:val="00991E47"/>
    <w:rsid w:val="00995744"/>
    <w:rsid w:val="009A0BA6"/>
    <w:rsid w:val="009A4E78"/>
    <w:rsid w:val="009A70C7"/>
    <w:rsid w:val="009A7F74"/>
    <w:rsid w:val="009B0981"/>
    <w:rsid w:val="009B4364"/>
    <w:rsid w:val="009C4513"/>
    <w:rsid w:val="009C59ED"/>
    <w:rsid w:val="009C6EC9"/>
    <w:rsid w:val="009D09B6"/>
    <w:rsid w:val="009D43F3"/>
    <w:rsid w:val="009D5F2A"/>
    <w:rsid w:val="009E0724"/>
    <w:rsid w:val="009E1A74"/>
    <w:rsid w:val="009E3A33"/>
    <w:rsid w:val="009E4ED7"/>
    <w:rsid w:val="009F4BF2"/>
    <w:rsid w:val="00A01440"/>
    <w:rsid w:val="00A0257E"/>
    <w:rsid w:val="00A11875"/>
    <w:rsid w:val="00A1593B"/>
    <w:rsid w:val="00A216B2"/>
    <w:rsid w:val="00A231B7"/>
    <w:rsid w:val="00A247E4"/>
    <w:rsid w:val="00A2705A"/>
    <w:rsid w:val="00A33B63"/>
    <w:rsid w:val="00A3507B"/>
    <w:rsid w:val="00A352CD"/>
    <w:rsid w:val="00A35C73"/>
    <w:rsid w:val="00A50448"/>
    <w:rsid w:val="00A60F50"/>
    <w:rsid w:val="00A63CE8"/>
    <w:rsid w:val="00A64A17"/>
    <w:rsid w:val="00A65B14"/>
    <w:rsid w:val="00A76FFC"/>
    <w:rsid w:val="00A83044"/>
    <w:rsid w:val="00A91F12"/>
    <w:rsid w:val="00A95829"/>
    <w:rsid w:val="00AA0B95"/>
    <w:rsid w:val="00AA2436"/>
    <w:rsid w:val="00AA5E32"/>
    <w:rsid w:val="00AB0301"/>
    <w:rsid w:val="00AB3231"/>
    <w:rsid w:val="00AB4BCB"/>
    <w:rsid w:val="00AB4C92"/>
    <w:rsid w:val="00AB6FAA"/>
    <w:rsid w:val="00AB6FFB"/>
    <w:rsid w:val="00AC1C2C"/>
    <w:rsid w:val="00AC7309"/>
    <w:rsid w:val="00AC7C62"/>
    <w:rsid w:val="00AD78BE"/>
    <w:rsid w:val="00AE2600"/>
    <w:rsid w:val="00AE33AF"/>
    <w:rsid w:val="00AE4C58"/>
    <w:rsid w:val="00B006B9"/>
    <w:rsid w:val="00B06F8D"/>
    <w:rsid w:val="00B076DB"/>
    <w:rsid w:val="00B10513"/>
    <w:rsid w:val="00B1066A"/>
    <w:rsid w:val="00B14465"/>
    <w:rsid w:val="00B14EE4"/>
    <w:rsid w:val="00B222AB"/>
    <w:rsid w:val="00B266B8"/>
    <w:rsid w:val="00B30BD5"/>
    <w:rsid w:val="00B37F66"/>
    <w:rsid w:val="00B40620"/>
    <w:rsid w:val="00B411BD"/>
    <w:rsid w:val="00B43120"/>
    <w:rsid w:val="00B44427"/>
    <w:rsid w:val="00B45EFA"/>
    <w:rsid w:val="00B50325"/>
    <w:rsid w:val="00B5103B"/>
    <w:rsid w:val="00B55124"/>
    <w:rsid w:val="00B60F59"/>
    <w:rsid w:val="00B6150C"/>
    <w:rsid w:val="00B64C7F"/>
    <w:rsid w:val="00B66809"/>
    <w:rsid w:val="00B714CE"/>
    <w:rsid w:val="00B80D1E"/>
    <w:rsid w:val="00B90610"/>
    <w:rsid w:val="00B9203A"/>
    <w:rsid w:val="00B92B6B"/>
    <w:rsid w:val="00B9306A"/>
    <w:rsid w:val="00B95060"/>
    <w:rsid w:val="00BB4770"/>
    <w:rsid w:val="00BC030F"/>
    <w:rsid w:val="00BC07F7"/>
    <w:rsid w:val="00BC3667"/>
    <w:rsid w:val="00BC376B"/>
    <w:rsid w:val="00BC553F"/>
    <w:rsid w:val="00BE1026"/>
    <w:rsid w:val="00BE4418"/>
    <w:rsid w:val="00BE7FD6"/>
    <w:rsid w:val="00BF1F57"/>
    <w:rsid w:val="00BF4B8A"/>
    <w:rsid w:val="00BF7F32"/>
    <w:rsid w:val="00C00BD8"/>
    <w:rsid w:val="00C01651"/>
    <w:rsid w:val="00C06414"/>
    <w:rsid w:val="00C06524"/>
    <w:rsid w:val="00C121D4"/>
    <w:rsid w:val="00C1341B"/>
    <w:rsid w:val="00C13CD5"/>
    <w:rsid w:val="00C16EA5"/>
    <w:rsid w:val="00C21C9A"/>
    <w:rsid w:val="00C223B2"/>
    <w:rsid w:val="00C2486C"/>
    <w:rsid w:val="00C30A28"/>
    <w:rsid w:val="00C334CA"/>
    <w:rsid w:val="00C335B2"/>
    <w:rsid w:val="00C337E9"/>
    <w:rsid w:val="00C3562B"/>
    <w:rsid w:val="00C41C62"/>
    <w:rsid w:val="00C420BB"/>
    <w:rsid w:val="00C4317B"/>
    <w:rsid w:val="00C477B1"/>
    <w:rsid w:val="00C47BAC"/>
    <w:rsid w:val="00C5569F"/>
    <w:rsid w:val="00C60979"/>
    <w:rsid w:val="00C61F78"/>
    <w:rsid w:val="00C62169"/>
    <w:rsid w:val="00C6375F"/>
    <w:rsid w:val="00C6714D"/>
    <w:rsid w:val="00C74B98"/>
    <w:rsid w:val="00C766DA"/>
    <w:rsid w:val="00C8007B"/>
    <w:rsid w:val="00C8034B"/>
    <w:rsid w:val="00C91A56"/>
    <w:rsid w:val="00C9612B"/>
    <w:rsid w:val="00CA65EE"/>
    <w:rsid w:val="00CA6D77"/>
    <w:rsid w:val="00CA6DC2"/>
    <w:rsid w:val="00CB309A"/>
    <w:rsid w:val="00CB3EC7"/>
    <w:rsid w:val="00CB77C0"/>
    <w:rsid w:val="00CC0F7B"/>
    <w:rsid w:val="00CC5474"/>
    <w:rsid w:val="00CE1EE8"/>
    <w:rsid w:val="00CE4FE2"/>
    <w:rsid w:val="00CF284B"/>
    <w:rsid w:val="00CF3939"/>
    <w:rsid w:val="00CF3D66"/>
    <w:rsid w:val="00D0092B"/>
    <w:rsid w:val="00D029E4"/>
    <w:rsid w:val="00D07392"/>
    <w:rsid w:val="00D139E5"/>
    <w:rsid w:val="00D149EA"/>
    <w:rsid w:val="00D26A25"/>
    <w:rsid w:val="00D30D8C"/>
    <w:rsid w:val="00D310E2"/>
    <w:rsid w:val="00D35853"/>
    <w:rsid w:val="00D3596D"/>
    <w:rsid w:val="00D44F74"/>
    <w:rsid w:val="00D569B3"/>
    <w:rsid w:val="00D603ED"/>
    <w:rsid w:val="00D66A95"/>
    <w:rsid w:val="00D714BB"/>
    <w:rsid w:val="00D7344B"/>
    <w:rsid w:val="00D7394F"/>
    <w:rsid w:val="00D74435"/>
    <w:rsid w:val="00D74E8C"/>
    <w:rsid w:val="00D81E7D"/>
    <w:rsid w:val="00D86986"/>
    <w:rsid w:val="00D91F0D"/>
    <w:rsid w:val="00DA1E82"/>
    <w:rsid w:val="00DA2608"/>
    <w:rsid w:val="00DB494F"/>
    <w:rsid w:val="00DC15EB"/>
    <w:rsid w:val="00DC443C"/>
    <w:rsid w:val="00DC557A"/>
    <w:rsid w:val="00DC5FAA"/>
    <w:rsid w:val="00DD1674"/>
    <w:rsid w:val="00DD17DF"/>
    <w:rsid w:val="00DD1935"/>
    <w:rsid w:val="00DD4141"/>
    <w:rsid w:val="00DE12C1"/>
    <w:rsid w:val="00DE3E35"/>
    <w:rsid w:val="00DF2054"/>
    <w:rsid w:val="00DF2AE3"/>
    <w:rsid w:val="00DF539E"/>
    <w:rsid w:val="00DF5485"/>
    <w:rsid w:val="00DF7C3C"/>
    <w:rsid w:val="00E05108"/>
    <w:rsid w:val="00E05FDB"/>
    <w:rsid w:val="00E112F0"/>
    <w:rsid w:val="00E143C8"/>
    <w:rsid w:val="00E157CA"/>
    <w:rsid w:val="00E178E0"/>
    <w:rsid w:val="00E243EB"/>
    <w:rsid w:val="00E26F5A"/>
    <w:rsid w:val="00E30F80"/>
    <w:rsid w:val="00E32FDC"/>
    <w:rsid w:val="00E35878"/>
    <w:rsid w:val="00E52F4C"/>
    <w:rsid w:val="00E56127"/>
    <w:rsid w:val="00E61986"/>
    <w:rsid w:val="00E6359D"/>
    <w:rsid w:val="00E635D9"/>
    <w:rsid w:val="00E655DF"/>
    <w:rsid w:val="00E73A35"/>
    <w:rsid w:val="00E85CEE"/>
    <w:rsid w:val="00E9057D"/>
    <w:rsid w:val="00E97122"/>
    <w:rsid w:val="00EA2317"/>
    <w:rsid w:val="00EA4810"/>
    <w:rsid w:val="00EB0875"/>
    <w:rsid w:val="00EB1F48"/>
    <w:rsid w:val="00EC3FF1"/>
    <w:rsid w:val="00ED074C"/>
    <w:rsid w:val="00ED0EE1"/>
    <w:rsid w:val="00ED46FC"/>
    <w:rsid w:val="00ED6058"/>
    <w:rsid w:val="00EE0078"/>
    <w:rsid w:val="00EE2BFB"/>
    <w:rsid w:val="00EE49C7"/>
    <w:rsid w:val="00EE54AD"/>
    <w:rsid w:val="00EE5869"/>
    <w:rsid w:val="00EE7485"/>
    <w:rsid w:val="00EF1A10"/>
    <w:rsid w:val="00EF4DC8"/>
    <w:rsid w:val="00EF4DE7"/>
    <w:rsid w:val="00F02F8E"/>
    <w:rsid w:val="00F04A7C"/>
    <w:rsid w:val="00F06887"/>
    <w:rsid w:val="00F06B83"/>
    <w:rsid w:val="00F30E39"/>
    <w:rsid w:val="00F37CA7"/>
    <w:rsid w:val="00F43D59"/>
    <w:rsid w:val="00F471C9"/>
    <w:rsid w:val="00F50F6B"/>
    <w:rsid w:val="00F529F8"/>
    <w:rsid w:val="00F56D71"/>
    <w:rsid w:val="00F627C5"/>
    <w:rsid w:val="00F6396C"/>
    <w:rsid w:val="00F63ABB"/>
    <w:rsid w:val="00F63F6B"/>
    <w:rsid w:val="00F645E9"/>
    <w:rsid w:val="00F65122"/>
    <w:rsid w:val="00F654F1"/>
    <w:rsid w:val="00F81727"/>
    <w:rsid w:val="00F827FE"/>
    <w:rsid w:val="00F84338"/>
    <w:rsid w:val="00F85A2F"/>
    <w:rsid w:val="00F86E3F"/>
    <w:rsid w:val="00F93FDD"/>
    <w:rsid w:val="00FA3669"/>
    <w:rsid w:val="00FA4C94"/>
    <w:rsid w:val="00FA63D7"/>
    <w:rsid w:val="00FA6A6B"/>
    <w:rsid w:val="00FA7074"/>
    <w:rsid w:val="00FB1B8A"/>
    <w:rsid w:val="00FB40E2"/>
    <w:rsid w:val="00FB6420"/>
    <w:rsid w:val="00FC0311"/>
    <w:rsid w:val="00FC6052"/>
    <w:rsid w:val="00FE0754"/>
    <w:rsid w:val="00FE0771"/>
    <w:rsid w:val="00FE3F76"/>
    <w:rsid w:val="00FE510B"/>
    <w:rsid w:val="00FF03AE"/>
    <w:rsid w:val="00FF4177"/>
    <w:rsid w:val="00FF584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C61D74"/>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B1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AE4C58"/>
    <w:pPr>
      <w:keepNext/>
      <w:keepLines/>
      <w:spacing w:before="240" w:after="240"/>
      <w:outlineLvl w:val="2"/>
    </w:pPr>
    <w:rPr>
      <w:rFonts w:eastAsiaTheme="majorEastAsia" w:cstheme="majorBidi"/>
      <w:b/>
      <w:color w:val="000000" w:themeColor="text1"/>
      <w:sz w:val="32"/>
      <w:szCs w:val="32"/>
    </w:rPr>
  </w:style>
  <w:style w:type="paragraph" w:styleId="Heading4">
    <w:name w:val="heading 4"/>
    <w:basedOn w:val="Normal"/>
    <w:next w:val="Normal"/>
    <w:link w:val="Heading4Char"/>
    <w:autoRedefine/>
    <w:uiPriority w:val="9"/>
    <w:unhideWhenUsed/>
    <w:qFormat/>
    <w:rsid w:val="00850DA8"/>
    <w:pPr>
      <w:keepNext/>
      <w:keepLines/>
      <w:spacing w:before="240" w:after="240"/>
      <w:outlineLvl w:val="3"/>
    </w:pPr>
    <w:rPr>
      <w:rFonts w:eastAsiaTheme="majorEastAsia" w:cstheme="majorBidi"/>
      <w:b/>
      <w:iCs/>
      <w:color w:val="000000" w:themeColor="text1"/>
      <w:sz w:val="28"/>
      <w:szCs w:val="28"/>
    </w:rPr>
  </w:style>
  <w:style w:type="paragraph" w:styleId="Heading5">
    <w:name w:val="heading 5"/>
    <w:basedOn w:val="Normal"/>
    <w:next w:val="Normal"/>
    <w:link w:val="Heading5Char"/>
    <w:uiPriority w:val="9"/>
    <w:unhideWhenUsed/>
    <w:qFormat/>
    <w:rsid w:val="00287EF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87EF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AB6FAA"/>
    <w:pPr>
      <w:ind w:left="720"/>
    </w:pPr>
  </w:style>
  <w:style w:type="paragraph" w:styleId="Header">
    <w:name w:val="header"/>
    <w:basedOn w:val="Normal"/>
    <w:link w:val="HeaderChar"/>
    <w:uiPriority w:val="99"/>
    <w:unhideWhenUsed/>
    <w:rsid w:val="005C09C2"/>
    <w:pPr>
      <w:tabs>
        <w:tab w:val="center" w:pos="4680"/>
        <w:tab w:val="right" w:pos="9360"/>
      </w:tabs>
    </w:pPr>
  </w:style>
  <w:style w:type="character" w:customStyle="1" w:styleId="HeaderChar">
    <w:name w:val="Header Char"/>
    <w:basedOn w:val="DefaultParagraphFont"/>
    <w:link w:val="Header"/>
    <w:uiPriority w:val="99"/>
    <w:rsid w:val="005C09C2"/>
    <w:rPr>
      <w:rFonts w:ascii="Arial" w:eastAsia="Times New Roman" w:hAnsi="Arial" w:cs="Times New Roman"/>
      <w:sz w:val="24"/>
      <w:szCs w:val="24"/>
    </w:rPr>
  </w:style>
  <w:style w:type="paragraph" w:styleId="Footer">
    <w:name w:val="footer"/>
    <w:basedOn w:val="Normal"/>
    <w:link w:val="FooterChar"/>
    <w:uiPriority w:val="99"/>
    <w:unhideWhenUsed/>
    <w:rsid w:val="005C09C2"/>
    <w:pPr>
      <w:tabs>
        <w:tab w:val="center" w:pos="4680"/>
        <w:tab w:val="right" w:pos="9360"/>
      </w:tabs>
    </w:pPr>
  </w:style>
  <w:style w:type="character" w:customStyle="1" w:styleId="FooterChar">
    <w:name w:val="Footer Char"/>
    <w:basedOn w:val="DefaultParagraphFont"/>
    <w:link w:val="Footer"/>
    <w:uiPriority w:val="99"/>
    <w:rsid w:val="005C09C2"/>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AE4C58"/>
    <w:rPr>
      <w:rFonts w:ascii="Arial" w:eastAsiaTheme="majorEastAsia" w:hAnsi="Arial" w:cstheme="majorBidi"/>
      <w:b/>
      <w:color w:val="000000" w:themeColor="text1"/>
      <w:sz w:val="32"/>
      <w:szCs w:val="32"/>
    </w:rPr>
  </w:style>
  <w:style w:type="character" w:styleId="Hyperlink">
    <w:name w:val="Hyperlink"/>
    <w:basedOn w:val="DefaultParagraphFont"/>
    <w:uiPriority w:val="99"/>
    <w:unhideWhenUsed/>
    <w:rsid w:val="000A6D72"/>
    <w:rPr>
      <w:color w:val="0000FF"/>
      <w:u w:val="single"/>
    </w:rPr>
  </w:style>
  <w:style w:type="paragraph" w:styleId="FootnoteText">
    <w:name w:val="footnote text"/>
    <w:basedOn w:val="Normal"/>
    <w:link w:val="FootnoteTextChar"/>
    <w:uiPriority w:val="99"/>
    <w:semiHidden/>
    <w:unhideWhenUsed/>
    <w:rsid w:val="000A6D72"/>
    <w:rPr>
      <w:rFonts w:eastAsiaTheme="minorHAnsi" w:cs="Arial"/>
      <w:sz w:val="20"/>
      <w:szCs w:val="20"/>
    </w:rPr>
  </w:style>
  <w:style w:type="character" w:customStyle="1" w:styleId="FootnoteTextChar">
    <w:name w:val="Footnote Text Char"/>
    <w:basedOn w:val="DefaultParagraphFont"/>
    <w:link w:val="FootnoteText"/>
    <w:uiPriority w:val="99"/>
    <w:semiHidden/>
    <w:rsid w:val="000A6D72"/>
    <w:rPr>
      <w:rFonts w:ascii="Arial" w:hAnsi="Arial" w:cs="Arial"/>
      <w:sz w:val="20"/>
      <w:szCs w:val="20"/>
    </w:rPr>
  </w:style>
  <w:style w:type="character" w:styleId="FootnoteReference">
    <w:name w:val="footnote reference"/>
    <w:basedOn w:val="DefaultParagraphFont"/>
    <w:uiPriority w:val="99"/>
    <w:semiHidden/>
    <w:unhideWhenUsed/>
    <w:rsid w:val="000A6D72"/>
    <w:rPr>
      <w:vertAlign w:val="superscript"/>
    </w:rPr>
  </w:style>
  <w:style w:type="character" w:customStyle="1" w:styleId="nlmstring-name">
    <w:name w:val="nlm_string-name"/>
    <w:basedOn w:val="DefaultParagraphFont"/>
    <w:rsid w:val="000A6D72"/>
  </w:style>
  <w:style w:type="character" w:customStyle="1" w:styleId="nlmyear">
    <w:name w:val="nlm_year"/>
    <w:basedOn w:val="DefaultParagraphFont"/>
    <w:rsid w:val="000A6D72"/>
  </w:style>
  <w:style w:type="character" w:customStyle="1" w:styleId="nlmpublisher-loc">
    <w:name w:val="nlm_publisher-loc"/>
    <w:basedOn w:val="DefaultParagraphFont"/>
    <w:rsid w:val="000A6D72"/>
  </w:style>
  <w:style w:type="character" w:customStyle="1" w:styleId="nlmpublisher-name">
    <w:name w:val="nlm_publisher-name"/>
    <w:basedOn w:val="DefaultParagraphFont"/>
    <w:rsid w:val="000A6D72"/>
  </w:style>
  <w:style w:type="character" w:styleId="CommentReference">
    <w:name w:val="annotation reference"/>
    <w:basedOn w:val="DefaultParagraphFont"/>
    <w:uiPriority w:val="99"/>
    <w:unhideWhenUsed/>
    <w:rsid w:val="005C765F"/>
    <w:rPr>
      <w:sz w:val="16"/>
      <w:szCs w:val="16"/>
    </w:rPr>
  </w:style>
  <w:style w:type="paragraph" w:styleId="CommentText">
    <w:name w:val="annotation text"/>
    <w:basedOn w:val="Normal"/>
    <w:link w:val="CommentTextChar"/>
    <w:uiPriority w:val="99"/>
    <w:unhideWhenUsed/>
    <w:rsid w:val="005C765F"/>
    <w:rPr>
      <w:sz w:val="20"/>
      <w:szCs w:val="20"/>
    </w:rPr>
  </w:style>
  <w:style w:type="character" w:customStyle="1" w:styleId="CommentTextChar">
    <w:name w:val="Comment Text Char"/>
    <w:basedOn w:val="DefaultParagraphFont"/>
    <w:link w:val="CommentText"/>
    <w:uiPriority w:val="99"/>
    <w:rsid w:val="005C765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C765F"/>
    <w:rPr>
      <w:b/>
      <w:bCs/>
    </w:rPr>
  </w:style>
  <w:style w:type="character" w:customStyle="1" w:styleId="CommentSubjectChar">
    <w:name w:val="Comment Subject Char"/>
    <w:basedOn w:val="CommentTextChar"/>
    <w:link w:val="CommentSubject"/>
    <w:uiPriority w:val="99"/>
    <w:semiHidden/>
    <w:rsid w:val="005C765F"/>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850DA8"/>
    <w:rPr>
      <w:rFonts w:ascii="Arial" w:eastAsiaTheme="majorEastAsia" w:hAnsi="Arial" w:cstheme="majorBidi"/>
      <w:b/>
      <w:iCs/>
      <w:color w:val="000000" w:themeColor="text1"/>
      <w:sz w:val="28"/>
      <w:szCs w:val="28"/>
    </w:rPr>
  </w:style>
  <w:style w:type="table" w:styleId="TableGrid">
    <w:name w:val="Table Grid"/>
    <w:basedOn w:val="TableNormal"/>
    <w:uiPriority w:val="39"/>
    <w:rsid w:val="007409D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247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247E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A247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A247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
    <w:name w:val="Grid Table 6 Colorful"/>
    <w:basedOn w:val="TableNormal"/>
    <w:uiPriority w:val="51"/>
    <w:rsid w:val="00A247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247E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A247E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5Char">
    <w:name w:val="Heading 5 Char"/>
    <w:basedOn w:val="DefaultParagraphFont"/>
    <w:link w:val="Heading5"/>
    <w:uiPriority w:val="9"/>
    <w:rsid w:val="00287EF6"/>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287EF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954C5F"/>
    <w:rPr>
      <w:rFonts w:ascii="Times New Roman" w:eastAsia="Calibri" w:hAnsi="Times New Roman"/>
    </w:rPr>
  </w:style>
  <w:style w:type="paragraph" w:styleId="NoSpacing">
    <w:name w:val="No Spacing"/>
    <w:uiPriority w:val="1"/>
    <w:qFormat/>
    <w:rsid w:val="004671E4"/>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316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4DC8"/>
    <w:rPr>
      <w:color w:val="954F72" w:themeColor="followedHyperlink"/>
      <w:u w:val="single"/>
    </w:rPr>
  </w:style>
  <w:style w:type="paragraph" w:styleId="Revision">
    <w:name w:val="Revision"/>
    <w:hidden/>
    <w:uiPriority w:val="99"/>
    <w:semiHidden/>
    <w:rsid w:val="007E7CB6"/>
    <w:pPr>
      <w:spacing w:after="0" w:line="240" w:lineRule="auto"/>
    </w:pPr>
    <w:rPr>
      <w:rFonts w:ascii="Arial" w:eastAsia="Times New Roman" w:hAnsi="Arial" w:cs="Times New Roman"/>
      <w:sz w:val="24"/>
      <w:szCs w:val="24"/>
    </w:rPr>
  </w:style>
  <w:style w:type="paragraph" w:customStyle="1" w:styleId="Footnote">
    <w:name w:val="Footnote"/>
    <w:link w:val="FootnoteChar1"/>
    <w:rsid w:val="007E5DCE"/>
    <w:pPr>
      <w:spacing w:after="0" w:line="240" w:lineRule="auto"/>
      <w:ind w:firstLine="360"/>
    </w:pPr>
    <w:rPr>
      <w:rFonts w:ascii="Garamond" w:eastAsia="Calibri" w:hAnsi="Garamond" w:cs="Times New Roman"/>
      <w:sz w:val="20"/>
      <w:szCs w:val="24"/>
    </w:rPr>
  </w:style>
  <w:style w:type="character" w:customStyle="1" w:styleId="FootnoteChar1">
    <w:name w:val="Footnote Char1"/>
    <w:basedOn w:val="DefaultParagraphFont"/>
    <w:link w:val="Footnote"/>
    <w:rsid w:val="007E5DCE"/>
    <w:rPr>
      <w:rFonts w:ascii="Garamond" w:eastAsia="Calibri" w:hAnsi="Garamond" w:cs="Times New Roman"/>
      <w:sz w:val="20"/>
      <w:szCs w:val="24"/>
    </w:rPr>
  </w:style>
  <w:style w:type="paragraph" w:styleId="MessageHeader">
    <w:name w:val="Message Header"/>
    <w:basedOn w:val="Normal"/>
    <w:link w:val="MessageHeaderChar"/>
    <w:uiPriority w:val="99"/>
    <w:unhideWhenUsed/>
    <w:rsid w:val="00913B13"/>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913B13"/>
    <w:rPr>
      <w:rFonts w:ascii="Arial" w:eastAsiaTheme="majorEastAsia" w:hAnsi="Arial" w:cstheme="majorBidi"/>
      <w:sz w:val="24"/>
      <w:szCs w:val="24"/>
    </w:rPr>
  </w:style>
  <w:style w:type="paragraph" w:customStyle="1" w:styleId="HBodyText">
    <w:name w:val="H_Body Text"/>
    <w:link w:val="HBodyTextChar"/>
    <w:qFormat/>
    <w:rsid w:val="00FE0771"/>
    <w:pPr>
      <w:spacing w:after="240" w:line="240" w:lineRule="auto"/>
    </w:pPr>
    <w:rPr>
      <w:rFonts w:ascii="Arial" w:eastAsia="Times New Roman" w:hAnsi="Arial" w:cs="Times New Roman"/>
      <w:color w:val="060B14" w:themeColor="accent5" w:themeShade="1A"/>
      <w:sz w:val="24"/>
      <w:szCs w:val="20"/>
    </w:rPr>
  </w:style>
  <w:style w:type="paragraph" w:customStyle="1" w:styleId="HTable">
    <w:name w:val="H_Table"/>
    <w:rsid w:val="00FE0771"/>
    <w:pPr>
      <w:spacing w:after="60" w:line="240" w:lineRule="auto"/>
    </w:pPr>
    <w:rPr>
      <w:rFonts w:ascii="Arial" w:eastAsia="Times New Roman" w:hAnsi="Arial" w:cs="Times New Roman"/>
      <w:bCs/>
      <w:i/>
      <w:iCs/>
      <w:sz w:val="24"/>
      <w:szCs w:val="24"/>
    </w:rPr>
  </w:style>
  <w:style w:type="paragraph" w:customStyle="1" w:styleId="HBullets">
    <w:name w:val="H_Bullets"/>
    <w:basedOn w:val="Normal"/>
    <w:qFormat/>
    <w:rsid w:val="00FE0771"/>
    <w:pPr>
      <w:numPr>
        <w:numId w:val="39"/>
      </w:numPr>
      <w:spacing w:before="200"/>
    </w:pPr>
    <w:rPr>
      <w:bCs/>
    </w:rPr>
  </w:style>
  <w:style w:type="character" w:customStyle="1" w:styleId="ListParagraphChar">
    <w:name w:val="List Paragraph Char"/>
    <w:link w:val="ListParagraph"/>
    <w:uiPriority w:val="34"/>
    <w:locked/>
    <w:rsid w:val="00FE0771"/>
    <w:rPr>
      <w:rFonts w:ascii="Arial" w:eastAsia="Times New Roman" w:hAnsi="Arial" w:cs="Times New Roman"/>
      <w:sz w:val="24"/>
      <w:szCs w:val="24"/>
    </w:rPr>
  </w:style>
  <w:style w:type="table" w:styleId="TableGridLight">
    <w:name w:val="Grid Table Light"/>
    <w:basedOn w:val="TableNormal"/>
    <w:uiPriority w:val="40"/>
    <w:rsid w:val="00FE0771"/>
    <w:pPr>
      <w:spacing w:after="0" w:line="240" w:lineRule="auto"/>
      <w:jc w:val="center"/>
    </w:pPr>
    <w:rPr>
      <w:rFonts w:ascii="Arial" w:eastAsia="Times New Roman" w:hAnsi="Arial" w:cs="Times New Roman"/>
      <w:sz w:val="24"/>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8" w:type="dxa"/>
        <w:right w:w="58" w:type="dxa"/>
      </w:tcMar>
      <w:vAlign w:val="center"/>
    </w:tcPr>
    <w:tblStylePr w:type="firstRow">
      <w:rPr>
        <w:color w:val="FFFFFF" w:themeColor="background1"/>
      </w:rPr>
      <w:tblPr/>
      <w:trPr>
        <w:cantSplit/>
        <w:tblHeader/>
      </w:trPr>
      <w:tcPr>
        <w:shd w:val="clear" w:color="auto" w:fill="44546A" w:themeFill="text2"/>
      </w:tcPr>
    </w:tblStylePr>
    <w:tblStylePr w:type="firstCol">
      <w:pPr>
        <w:jc w:val="left"/>
      </w:pPr>
    </w:tblStylePr>
    <w:tblStylePr w:type="band1Horz">
      <w:tblPr/>
      <w:tcPr>
        <w:shd w:val="clear" w:color="auto" w:fill="F2F2F2" w:themeFill="background1" w:themeFillShade="F2"/>
      </w:tcPr>
    </w:tblStylePr>
  </w:style>
  <w:style w:type="character" w:customStyle="1" w:styleId="HBodyTextChar">
    <w:name w:val="H_Body Text Char"/>
    <w:link w:val="HBodyText"/>
    <w:rsid w:val="00FE0771"/>
    <w:rPr>
      <w:rFonts w:ascii="Arial" w:eastAsia="Times New Roman" w:hAnsi="Arial" w:cs="Times New Roman"/>
      <w:color w:val="060B14" w:themeColor="accent5" w:themeShade="1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03949">
      <w:bodyDiv w:val="1"/>
      <w:marLeft w:val="0"/>
      <w:marRight w:val="0"/>
      <w:marTop w:val="0"/>
      <w:marBottom w:val="0"/>
      <w:divBdr>
        <w:top w:val="none" w:sz="0" w:space="0" w:color="auto"/>
        <w:left w:val="none" w:sz="0" w:space="0" w:color="auto"/>
        <w:bottom w:val="none" w:sz="0" w:space="0" w:color="auto"/>
        <w:right w:val="none" w:sz="0" w:space="0" w:color="auto"/>
      </w:divBdr>
    </w:div>
    <w:div w:id="305136191">
      <w:bodyDiv w:val="1"/>
      <w:marLeft w:val="0"/>
      <w:marRight w:val="0"/>
      <w:marTop w:val="0"/>
      <w:marBottom w:val="0"/>
      <w:divBdr>
        <w:top w:val="none" w:sz="0" w:space="0" w:color="auto"/>
        <w:left w:val="none" w:sz="0" w:space="0" w:color="auto"/>
        <w:bottom w:val="none" w:sz="0" w:space="0" w:color="auto"/>
        <w:right w:val="none" w:sz="0" w:space="0" w:color="auto"/>
      </w:divBdr>
    </w:div>
    <w:div w:id="359547411">
      <w:bodyDiv w:val="1"/>
      <w:marLeft w:val="0"/>
      <w:marRight w:val="0"/>
      <w:marTop w:val="0"/>
      <w:marBottom w:val="0"/>
      <w:divBdr>
        <w:top w:val="none" w:sz="0" w:space="0" w:color="auto"/>
        <w:left w:val="none" w:sz="0" w:space="0" w:color="auto"/>
        <w:bottom w:val="none" w:sz="0" w:space="0" w:color="auto"/>
        <w:right w:val="none" w:sz="0" w:space="0" w:color="auto"/>
      </w:divBdr>
    </w:div>
    <w:div w:id="452985685">
      <w:bodyDiv w:val="1"/>
      <w:marLeft w:val="0"/>
      <w:marRight w:val="0"/>
      <w:marTop w:val="0"/>
      <w:marBottom w:val="0"/>
      <w:divBdr>
        <w:top w:val="none" w:sz="0" w:space="0" w:color="auto"/>
        <w:left w:val="none" w:sz="0" w:space="0" w:color="auto"/>
        <w:bottom w:val="none" w:sz="0" w:space="0" w:color="auto"/>
        <w:right w:val="none" w:sz="0" w:space="0" w:color="auto"/>
      </w:divBdr>
    </w:div>
    <w:div w:id="552815949">
      <w:bodyDiv w:val="1"/>
      <w:marLeft w:val="0"/>
      <w:marRight w:val="0"/>
      <w:marTop w:val="0"/>
      <w:marBottom w:val="0"/>
      <w:divBdr>
        <w:top w:val="none" w:sz="0" w:space="0" w:color="auto"/>
        <w:left w:val="none" w:sz="0" w:space="0" w:color="auto"/>
        <w:bottom w:val="none" w:sz="0" w:space="0" w:color="auto"/>
        <w:right w:val="none" w:sz="0" w:space="0" w:color="auto"/>
      </w:divBdr>
    </w:div>
    <w:div w:id="561331652">
      <w:bodyDiv w:val="1"/>
      <w:marLeft w:val="0"/>
      <w:marRight w:val="0"/>
      <w:marTop w:val="0"/>
      <w:marBottom w:val="0"/>
      <w:divBdr>
        <w:top w:val="none" w:sz="0" w:space="0" w:color="auto"/>
        <w:left w:val="none" w:sz="0" w:space="0" w:color="auto"/>
        <w:bottom w:val="none" w:sz="0" w:space="0" w:color="auto"/>
        <w:right w:val="none" w:sz="0" w:space="0" w:color="auto"/>
      </w:divBdr>
    </w:div>
    <w:div w:id="1067608797">
      <w:bodyDiv w:val="1"/>
      <w:marLeft w:val="0"/>
      <w:marRight w:val="0"/>
      <w:marTop w:val="0"/>
      <w:marBottom w:val="0"/>
      <w:divBdr>
        <w:top w:val="none" w:sz="0" w:space="0" w:color="auto"/>
        <w:left w:val="none" w:sz="0" w:space="0" w:color="auto"/>
        <w:bottom w:val="none" w:sz="0" w:space="0" w:color="auto"/>
        <w:right w:val="none" w:sz="0" w:space="0" w:color="auto"/>
      </w:divBdr>
    </w:div>
    <w:div w:id="1400901836">
      <w:bodyDiv w:val="1"/>
      <w:marLeft w:val="0"/>
      <w:marRight w:val="0"/>
      <w:marTop w:val="0"/>
      <w:marBottom w:val="0"/>
      <w:divBdr>
        <w:top w:val="none" w:sz="0" w:space="0" w:color="auto"/>
        <w:left w:val="none" w:sz="0" w:space="0" w:color="auto"/>
        <w:bottom w:val="none" w:sz="0" w:space="0" w:color="auto"/>
        <w:right w:val="none" w:sz="0" w:space="0" w:color="auto"/>
      </w:divBdr>
    </w:div>
    <w:div w:id="1470635565">
      <w:bodyDiv w:val="1"/>
      <w:marLeft w:val="0"/>
      <w:marRight w:val="0"/>
      <w:marTop w:val="0"/>
      <w:marBottom w:val="0"/>
      <w:divBdr>
        <w:top w:val="none" w:sz="0" w:space="0" w:color="auto"/>
        <w:left w:val="none" w:sz="0" w:space="0" w:color="auto"/>
        <w:bottom w:val="none" w:sz="0" w:space="0" w:color="auto"/>
        <w:right w:val="none" w:sz="0" w:space="0" w:color="auto"/>
      </w:divBdr>
      <w:divsChild>
        <w:div w:id="1017996944">
          <w:marLeft w:val="360"/>
          <w:marRight w:val="0"/>
          <w:marTop w:val="200"/>
          <w:marBottom w:val="0"/>
          <w:divBdr>
            <w:top w:val="none" w:sz="0" w:space="0" w:color="auto"/>
            <w:left w:val="none" w:sz="0" w:space="0" w:color="auto"/>
            <w:bottom w:val="none" w:sz="0" w:space="0" w:color="auto"/>
            <w:right w:val="none" w:sz="0" w:space="0" w:color="auto"/>
          </w:divBdr>
        </w:div>
        <w:div w:id="116990482">
          <w:marLeft w:val="360"/>
          <w:marRight w:val="0"/>
          <w:marTop w:val="200"/>
          <w:marBottom w:val="0"/>
          <w:divBdr>
            <w:top w:val="none" w:sz="0" w:space="0" w:color="auto"/>
            <w:left w:val="none" w:sz="0" w:space="0" w:color="auto"/>
            <w:bottom w:val="none" w:sz="0" w:space="0" w:color="auto"/>
            <w:right w:val="none" w:sz="0" w:space="0" w:color="auto"/>
          </w:divBdr>
        </w:div>
        <w:div w:id="1342664085">
          <w:marLeft w:val="1080"/>
          <w:marRight w:val="0"/>
          <w:marTop w:val="100"/>
          <w:marBottom w:val="0"/>
          <w:divBdr>
            <w:top w:val="none" w:sz="0" w:space="0" w:color="auto"/>
            <w:left w:val="none" w:sz="0" w:space="0" w:color="auto"/>
            <w:bottom w:val="none" w:sz="0" w:space="0" w:color="auto"/>
            <w:right w:val="none" w:sz="0" w:space="0" w:color="auto"/>
          </w:divBdr>
        </w:div>
        <w:div w:id="766315903">
          <w:marLeft w:val="1080"/>
          <w:marRight w:val="0"/>
          <w:marTop w:val="100"/>
          <w:marBottom w:val="0"/>
          <w:divBdr>
            <w:top w:val="none" w:sz="0" w:space="0" w:color="auto"/>
            <w:left w:val="none" w:sz="0" w:space="0" w:color="auto"/>
            <w:bottom w:val="none" w:sz="0" w:space="0" w:color="auto"/>
            <w:right w:val="none" w:sz="0" w:space="0" w:color="auto"/>
          </w:divBdr>
        </w:div>
        <w:div w:id="1118135048">
          <w:marLeft w:val="1080"/>
          <w:marRight w:val="0"/>
          <w:marTop w:val="100"/>
          <w:marBottom w:val="0"/>
          <w:divBdr>
            <w:top w:val="none" w:sz="0" w:space="0" w:color="auto"/>
            <w:left w:val="none" w:sz="0" w:space="0" w:color="auto"/>
            <w:bottom w:val="none" w:sz="0" w:space="0" w:color="auto"/>
            <w:right w:val="none" w:sz="0" w:space="0" w:color="auto"/>
          </w:divBdr>
        </w:div>
      </w:divsChild>
    </w:div>
    <w:div w:id="1515874362">
      <w:bodyDiv w:val="1"/>
      <w:marLeft w:val="0"/>
      <w:marRight w:val="0"/>
      <w:marTop w:val="0"/>
      <w:marBottom w:val="0"/>
      <w:divBdr>
        <w:top w:val="none" w:sz="0" w:space="0" w:color="auto"/>
        <w:left w:val="none" w:sz="0" w:space="0" w:color="auto"/>
        <w:bottom w:val="none" w:sz="0" w:space="0" w:color="auto"/>
        <w:right w:val="none" w:sz="0" w:space="0" w:color="auto"/>
      </w:divBdr>
    </w:div>
    <w:div w:id="1521356775">
      <w:bodyDiv w:val="1"/>
      <w:marLeft w:val="0"/>
      <w:marRight w:val="0"/>
      <w:marTop w:val="0"/>
      <w:marBottom w:val="0"/>
      <w:divBdr>
        <w:top w:val="none" w:sz="0" w:space="0" w:color="auto"/>
        <w:left w:val="none" w:sz="0" w:space="0" w:color="auto"/>
        <w:bottom w:val="none" w:sz="0" w:space="0" w:color="auto"/>
        <w:right w:val="none" w:sz="0" w:space="0" w:color="auto"/>
      </w:divBdr>
    </w:div>
    <w:div w:id="1574855495">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45031744">
      <w:bodyDiv w:val="1"/>
      <w:marLeft w:val="0"/>
      <w:marRight w:val="0"/>
      <w:marTop w:val="0"/>
      <w:marBottom w:val="0"/>
      <w:divBdr>
        <w:top w:val="none" w:sz="0" w:space="0" w:color="auto"/>
        <w:left w:val="none" w:sz="0" w:space="0" w:color="auto"/>
        <w:bottom w:val="none" w:sz="0" w:space="0" w:color="auto"/>
        <w:right w:val="none" w:sz="0" w:space="0" w:color="auto"/>
      </w:divBdr>
    </w:div>
    <w:div w:id="1749575197">
      <w:bodyDiv w:val="1"/>
      <w:marLeft w:val="0"/>
      <w:marRight w:val="0"/>
      <w:marTop w:val="0"/>
      <w:marBottom w:val="0"/>
      <w:divBdr>
        <w:top w:val="none" w:sz="0" w:space="0" w:color="auto"/>
        <w:left w:val="none" w:sz="0" w:space="0" w:color="auto"/>
        <w:bottom w:val="none" w:sz="0" w:space="0" w:color="auto"/>
        <w:right w:val="none" w:sz="0" w:space="0" w:color="auto"/>
      </w:divBdr>
    </w:div>
    <w:div w:id="19528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tg/ca/caaspprptstudies.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cde.ca.gov/ta/tg/ca/caaspprptstudies.asp"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AED3B-A3B1-4FA0-971C-19F3077B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February 2019 Memorandum Item X - Meeting Agendas (CA Dept of Education)</vt:lpstr>
    </vt:vector>
  </TitlesOfParts>
  <Company>California State Board of Education</Company>
  <LinksUpToDate>false</LinksUpToDate>
  <CharactersWithSpaces>16645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2019 Memorandum ADAD Item 02 - Meeting Agendas (CA Dept of Education)</dc:title>
  <dc:subject>Annual Report by the Independent Evaluator of the California Assessment of Student Performance and Progress</dc:subject>
  <dc:creator/>
  <cp:keywords/>
  <dc:description/>
  <cp:lastModifiedBy>Patricia de Cos</cp:lastModifiedBy>
  <cp:revision>69</cp:revision>
  <cp:lastPrinted>2019-02-05T00:39:00Z</cp:lastPrinted>
  <dcterms:created xsi:type="dcterms:W3CDTF">2018-12-10T22:42:00Z</dcterms:created>
  <dcterms:modified xsi:type="dcterms:W3CDTF">2019-02-15T23:52:00Z</dcterms:modified>
  <cp:category/>
</cp:coreProperties>
</file>