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076F" w14:textId="77777777" w:rsidR="00057A96" w:rsidRPr="003123B0" w:rsidRDefault="00057A96" w:rsidP="00057A96">
      <w:r w:rsidRPr="003123B0">
        <w:t>C</w:t>
      </w:r>
      <w:bookmarkStart w:id="0" w:name="_GoBack"/>
      <w:bookmarkEnd w:id="0"/>
      <w:r w:rsidRPr="003123B0">
        <w:t>alifornia Department of Education</w:t>
      </w:r>
    </w:p>
    <w:p w14:paraId="3F9DE1D9" w14:textId="77777777" w:rsidR="00057A96" w:rsidRPr="003123B0" w:rsidRDefault="00057A96" w:rsidP="00057A96">
      <w:r w:rsidRPr="003123B0">
        <w:t>Executive Office</w:t>
      </w:r>
    </w:p>
    <w:p w14:paraId="26EE2856" w14:textId="77777777" w:rsidR="00982A10" w:rsidRPr="003123B0" w:rsidRDefault="00057A96" w:rsidP="00982A10">
      <w:r w:rsidRPr="003123B0">
        <w:t>SBE-00</w:t>
      </w:r>
      <w:r w:rsidR="00BC376B" w:rsidRPr="003123B0">
        <w:t>2</w:t>
      </w:r>
      <w:r w:rsidRPr="003123B0">
        <w:t xml:space="preserve"> (REV. 1</w:t>
      </w:r>
      <w:r w:rsidR="000C139F" w:rsidRPr="003123B0">
        <w:t>1</w:t>
      </w:r>
      <w:r w:rsidRPr="003123B0">
        <w:t>/2017)</w:t>
      </w:r>
    </w:p>
    <w:p w14:paraId="198E314E" w14:textId="1F0FC357" w:rsidR="00982A10" w:rsidRPr="003123B0" w:rsidRDefault="00982A10" w:rsidP="00982A10">
      <w:r w:rsidRPr="003123B0">
        <w:br w:type="column"/>
      </w:r>
      <w:r w:rsidR="00B10EB2" w:rsidRPr="003123B0">
        <w:t>memo-pptb-adad-jun19item0</w:t>
      </w:r>
      <w:r w:rsidR="00DE3ABF" w:rsidRPr="003123B0">
        <w:t>1</w:t>
      </w:r>
    </w:p>
    <w:p w14:paraId="7F062A70" w14:textId="77777777" w:rsidR="00982A10" w:rsidRPr="003123B0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RPr="003123B0" w:rsidSect="00982A10"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</w:sectPr>
      </w:pPr>
    </w:p>
    <w:p w14:paraId="2A97183B" w14:textId="77777777" w:rsidR="00057A96" w:rsidRPr="003123B0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3123B0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0189478F" w14:textId="79139034" w:rsidR="00057A96" w:rsidRPr="003123B0" w:rsidRDefault="008F6CA0" w:rsidP="001135B8">
      <w:pPr>
        <w:pStyle w:val="MessageHeader"/>
      </w:pPr>
      <w:r w:rsidRPr="003123B0">
        <w:rPr>
          <w:b/>
        </w:rPr>
        <w:t>DATE:</w:t>
      </w:r>
      <w:r w:rsidRPr="003123B0">
        <w:tab/>
      </w:r>
      <w:r w:rsidR="00EF3099" w:rsidRPr="003123B0">
        <w:t>June</w:t>
      </w:r>
      <w:r w:rsidR="002926E0" w:rsidRPr="003123B0">
        <w:t xml:space="preserve"> 1</w:t>
      </w:r>
      <w:r w:rsidR="00BC18F7" w:rsidRPr="003123B0">
        <w:t>4</w:t>
      </w:r>
      <w:r w:rsidR="004D6541" w:rsidRPr="003123B0">
        <w:t>, 2019</w:t>
      </w:r>
      <w:r w:rsidR="00057A96" w:rsidRPr="003123B0">
        <w:t xml:space="preserve"> </w:t>
      </w:r>
    </w:p>
    <w:p w14:paraId="0A8AEE4D" w14:textId="77777777" w:rsidR="00057A96" w:rsidRPr="003123B0" w:rsidRDefault="00057A96" w:rsidP="001135B8">
      <w:pPr>
        <w:pStyle w:val="MessageHeader"/>
      </w:pPr>
      <w:r w:rsidRPr="003123B0">
        <w:rPr>
          <w:b/>
        </w:rPr>
        <w:t>TO:</w:t>
      </w:r>
      <w:r w:rsidRPr="003123B0">
        <w:rPr>
          <w:b/>
        </w:rPr>
        <w:tab/>
      </w:r>
      <w:r w:rsidRPr="003123B0">
        <w:t>MEMBERS, State Board of Education</w:t>
      </w:r>
      <w:r w:rsidRPr="003123B0">
        <w:tab/>
      </w:r>
    </w:p>
    <w:p w14:paraId="0EE4C00A" w14:textId="77777777" w:rsidR="00057A96" w:rsidRPr="003123B0" w:rsidRDefault="00057A96" w:rsidP="001135B8">
      <w:pPr>
        <w:pStyle w:val="MessageHeader"/>
      </w:pPr>
      <w:r w:rsidRPr="003123B0">
        <w:rPr>
          <w:b/>
        </w:rPr>
        <w:t>FROM:</w:t>
      </w:r>
      <w:r w:rsidR="00C61F78" w:rsidRPr="003123B0">
        <w:tab/>
      </w:r>
      <w:r w:rsidR="00EB5DD7" w:rsidRPr="003123B0">
        <w:t>TONY THURMOND</w:t>
      </w:r>
      <w:r w:rsidR="00C61F78" w:rsidRPr="003123B0">
        <w:t xml:space="preserve">, </w:t>
      </w:r>
      <w:r w:rsidRPr="003123B0">
        <w:t>State Superintendent of Public Instruction</w:t>
      </w:r>
    </w:p>
    <w:p w14:paraId="78A80A39" w14:textId="48020405" w:rsidR="00057A96" w:rsidRPr="003123B0" w:rsidRDefault="00057A96" w:rsidP="001135B8">
      <w:pPr>
        <w:pStyle w:val="MessageHeader"/>
      </w:pPr>
      <w:r w:rsidRPr="003123B0">
        <w:rPr>
          <w:b/>
        </w:rPr>
        <w:t>SUBJECT:</w:t>
      </w:r>
      <w:r w:rsidRPr="003123B0">
        <w:rPr>
          <w:b/>
        </w:rPr>
        <w:tab/>
      </w:r>
      <w:r w:rsidR="000A0D41" w:rsidRPr="003123B0">
        <w:t>Update on High School Equivalency Tests</w:t>
      </w:r>
    </w:p>
    <w:p w14:paraId="619D12F2" w14:textId="77777777" w:rsidR="00057A96" w:rsidRPr="003123B0" w:rsidRDefault="00474A2F" w:rsidP="005648F1">
      <w:pPr>
        <w:pStyle w:val="Heading2"/>
        <w:spacing w:before="240" w:after="240" w:line="259" w:lineRule="auto"/>
        <w:rPr>
          <w:sz w:val="36"/>
        </w:rPr>
      </w:pPr>
      <w:r w:rsidRPr="003123B0">
        <w:rPr>
          <w:sz w:val="36"/>
        </w:rPr>
        <w:t>Summary o</w:t>
      </w:r>
      <w:r w:rsidR="00057A96" w:rsidRPr="003123B0">
        <w:rPr>
          <w:sz w:val="36"/>
        </w:rPr>
        <w:t>f Key Issues</w:t>
      </w:r>
    </w:p>
    <w:p w14:paraId="631E85EF" w14:textId="6B7079F2" w:rsidR="002807BE" w:rsidRPr="003123B0" w:rsidRDefault="002807BE" w:rsidP="002807BE">
      <w:pPr>
        <w:spacing w:after="160" w:line="259" w:lineRule="auto"/>
        <w:rPr>
          <w:rFonts w:cs="Arial"/>
          <w:lang w:val="en"/>
        </w:rPr>
      </w:pPr>
      <w:r w:rsidRPr="003123B0">
        <w:rPr>
          <w:rFonts w:cs="Arial"/>
          <w:color w:val="151515"/>
          <w:lang w:val="en"/>
        </w:rPr>
        <w:t xml:space="preserve">The California </w:t>
      </w:r>
      <w:r w:rsidRPr="003123B0">
        <w:t xml:space="preserve">high school equivalency (HSE) </w:t>
      </w:r>
      <w:r w:rsidRPr="003123B0">
        <w:rPr>
          <w:rFonts w:cs="Arial"/>
          <w:color w:val="151515"/>
          <w:lang w:val="en"/>
        </w:rPr>
        <w:t xml:space="preserve">tests, which are designed for out-of-school youth and adults without a high school diploma, have eligibility requirements that test takers must meet before they can test. A complete list of California’s HSE eligibility requirements can be found at </w:t>
      </w:r>
      <w:hyperlink r:id="rId7" w:tooltip="High School Equivalency Office " w:history="1">
        <w:r w:rsidRPr="003123B0">
          <w:rPr>
            <w:rStyle w:val="Hyperlink"/>
            <w:rFonts w:cs="Arial"/>
            <w:lang w:val="en"/>
          </w:rPr>
          <w:t>https://www.cde.ca.gov/ta/tg/gd/</w:t>
        </w:r>
      </w:hyperlink>
      <w:r w:rsidRPr="003123B0">
        <w:rPr>
          <w:rFonts w:cs="Arial"/>
          <w:color w:val="151515"/>
          <w:lang w:val="en"/>
        </w:rPr>
        <w:t xml:space="preserve">. </w:t>
      </w:r>
      <w:r w:rsidRPr="003123B0">
        <w:rPr>
          <w:rFonts w:cs="Arial"/>
          <w:lang w:val="en"/>
        </w:rPr>
        <w:t xml:space="preserve">The HSE certificate and transcript a test taker receives after passing one of these state-authorized tests is considered equivalent to a high school diploma and can be used in order to </w:t>
      </w:r>
      <w:r w:rsidR="00BC18F7" w:rsidRPr="003123B0">
        <w:rPr>
          <w:rFonts w:cs="Arial"/>
          <w:lang w:val="en"/>
        </w:rPr>
        <w:t>pursue</w:t>
      </w:r>
      <w:r w:rsidRPr="003123B0">
        <w:rPr>
          <w:rFonts w:cs="Arial"/>
          <w:lang w:val="en"/>
        </w:rPr>
        <w:t xml:space="preserve"> postsecondary education or employment in California.</w:t>
      </w:r>
    </w:p>
    <w:p w14:paraId="250503D5" w14:textId="5FE708F5" w:rsidR="002807BE" w:rsidRPr="003123B0" w:rsidRDefault="002807BE" w:rsidP="001135B8">
      <w:pPr>
        <w:spacing w:after="240" w:line="259" w:lineRule="auto"/>
        <w:rPr>
          <w:rFonts w:cs="Arial"/>
        </w:rPr>
      </w:pPr>
      <w:r w:rsidRPr="003123B0">
        <w:rPr>
          <w:rFonts w:cs="Arial"/>
        </w:rPr>
        <w:t xml:space="preserve">The HSE program receives funding through fees paid by individuals taking </w:t>
      </w:r>
      <w:r w:rsidR="00BC18F7" w:rsidRPr="003123B0">
        <w:rPr>
          <w:rFonts w:cs="Arial"/>
        </w:rPr>
        <w:t>a</w:t>
      </w:r>
      <w:r w:rsidRPr="003123B0">
        <w:rPr>
          <w:rFonts w:cs="Arial"/>
        </w:rPr>
        <w:t xml:space="preserve"> test. However, state law</w:t>
      </w:r>
      <w:r w:rsidRPr="003123B0">
        <w:rPr>
          <w:rFonts w:cs="Arial"/>
          <w:iCs/>
          <w:color w:val="000000"/>
        </w:rPr>
        <w:t xml:space="preserve"> prohibits the </w:t>
      </w:r>
      <w:r w:rsidR="00DB2A3D" w:rsidRPr="003123B0">
        <w:rPr>
          <w:rFonts w:cs="Arial"/>
        </w:rPr>
        <w:t>California Department of Education (CDE)</w:t>
      </w:r>
      <w:r w:rsidRPr="003123B0">
        <w:rPr>
          <w:rFonts w:cs="Arial"/>
          <w:iCs/>
          <w:color w:val="000000"/>
        </w:rPr>
        <w:t>, testing contractors, and testing centers from charging a</w:t>
      </w:r>
      <w:r w:rsidR="00CB77C2" w:rsidRPr="003123B0">
        <w:rPr>
          <w:rFonts w:cs="Arial"/>
          <w:iCs/>
          <w:color w:val="000000"/>
        </w:rPr>
        <w:t>n</w:t>
      </w:r>
      <w:r w:rsidRPr="003123B0">
        <w:rPr>
          <w:rFonts w:cs="Arial"/>
          <w:iCs/>
          <w:color w:val="000000"/>
        </w:rPr>
        <w:t xml:space="preserve"> HSE testing fee to a homeless youth or foster youth. </w:t>
      </w:r>
      <w:r w:rsidRPr="003123B0">
        <w:rPr>
          <w:rFonts w:cs="Arial"/>
        </w:rPr>
        <w:t xml:space="preserve">The fee set for each test is required by law to </w:t>
      </w:r>
      <w:r w:rsidR="00CB77C2" w:rsidRPr="003123B0">
        <w:rPr>
          <w:rFonts w:cs="Arial"/>
        </w:rPr>
        <w:t xml:space="preserve">not </w:t>
      </w:r>
      <w:r w:rsidRPr="003123B0">
        <w:rPr>
          <w:rFonts w:cs="Arial"/>
        </w:rPr>
        <w:t xml:space="preserve">exceed the vendor’s cost of administering the program. State regulations authorize </w:t>
      </w:r>
      <w:r w:rsidR="00CB77C2" w:rsidRPr="003123B0">
        <w:rPr>
          <w:rFonts w:cs="Arial"/>
        </w:rPr>
        <w:t xml:space="preserve">that </w:t>
      </w:r>
      <w:r w:rsidRPr="003123B0">
        <w:rPr>
          <w:rFonts w:cs="Arial"/>
        </w:rPr>
        <w:t xml:space="preserve">$20 from the HSE test fee collected for each </w:t>
      </w:r>
      <w:proofErr w:type="gramStart"/>
      <w:r w:rsidRPr="003123B0">
        <w:rPr>
          <w:rFonts w:cs="Arial"/>
        </w:rPr>
        <w:t>first time</w:t>
      </w:r>
      <w:proofErr w:type="gramEnd"/>
      <w:r w:rsidRPr="003123B0">
        <w:rPr>
          <w:rFonts w:cs="Arial"/>
        </w:rPr>
        <w:t xml:space="preserve"> test taker be deposited into a special deposit fund account to support the </w:t>
      </w:r>
      <w:r w:rsidR="00DB2A3D" w:rsidRPr="003123B0">
        <w:rPr>
          <w:rFonts w:cs="Arial"/>
        </w:rPr>
        <w:t xml:space="preserve">CDE’s </w:t>
      </w:r>
      <w:r w:rsidRPr="003123B0">
        <w:rPr>
          <w:rFonts w:cs="Arial"/>
        </w:rPr>
        <w:t xml:space="preserve">administrative costs for the HSE. </w:t>
      </w:r>
    </w:p>
    <w:p w14:paraId="005DB8B2" w14:textId="2EF0EBA8" w:rsidR="000219AC" w:rsidRPr="003123B0" w:rsidRDefault="00B45DE4" w:rsidP="001135B8">
      <w:pPr>
        <w:spacing w:after="240"/>
        <w:rPr>
          <w:b/>
        </w:rPr>
      </w:pPr>
      <w:r w:rsidRPr="003123B0">
        <w:t>A</w:t>
      </w:r>
      <w:r w:rsidR="002C070C" w:rsidRPr="003123B0">
        <w:t>ny HSE test offered in California must be approved by the State Board of Education (SBE)</w:t>
      </w:r>
      <w:r w:rsidR="00BC18F7" w:rsidRPr="003123B0">
        <w:t xml:space="preserve"> </w:t>
      </w:r>
      <w:r w:rsidR="000764D9" w:rsidRPr="003123B0">
        <w:t>pursuant to Education Code S</w:t>
      </w:r>
      <w:r w:rsidR="00BC18F7" w:rsidRPr="003123B0">
        <w:t>ection 51420(b)</w:t>
      </w:r>
      <w:r w:rsidR="002C070C" w:rsidRPr="003123B0">
        <w:t>. The SBE may approve one or more tests to be used for the HSE program. Vendors whose tests are approved by the S</w:t>
      </w:r>
      <w:r w:rsidR="003B7721" w:rsidRPr="003123B0">
        <w:t xml:space="preserve">BE, after negotiations with the </w:t>
      </w:r>
      <w:r w:rsidR="002C070C" w:rsidRPr="003123B0">
        <w:t xml:space="preserve">CDE, may be invited to enter into a Memorandum of Understanding (MOU) with the CDE to offer </w:t>
      </w:r>
      <w:r w:rsidR="00CB77C2" w:rsidRPr="003123B0">
        <w:t xml:space="preserve">an </w:t>
      </w:r>
      <w:r w:rsidR="002C070C" w:rsidRPr="003123B0">
        <w:t>HSE test in California.</w:t>
      </w:r>
      <w:r w:rsidR="007A370B" w:rsidRPr="003123B0">
        <w:t xml:space="preserve"> </w:t>
      </w:r>
      <w:r w:rsidR="000219AC" w:rsidRPr="003123B0">
        <w:t xml:space="preserve">In January 2014, the CDE solicited information from potential vendors of existing </w:t>
      </w:r>
      <w:r w:rsidR="00CB77C2" w:rsidRPr="003123B0">
        <w:t>HSE</w:t>
      </w:r>
      <w:r w:rsidR="000219AC" w:rsidRPr="003123B0">
        <w:t xml:space="preserve"> tests, offered in both computer-based and paper-based formats, through a Request for Information (RFI) process. As a result of that RFI process, the CDE recommended three tests for approval by the SBE. </w:t>
      </w:r>
    </w:p>
    <w:p w14:paraId="03087DBF" w14:textId="77777777" w:rsidR="00912D1C" w:rsidRPr="003123B0" w:rsidRDefault="00912D1C" w:rsidP="00912D1C">
      <w:pPr>
        <w:spacing w:after="160" w:line="259" w:lineRule="auto"/>
      </w:pPr>
      <w:r w:rsidRPr="003123B0">
        <w:t>In March 2014, the SBE approved the use of three separate HSE tests for use in California: the GED</w:t>
      </w:r>
      <w:r w:rsidRPr="003123B0">
        <w:rPr>
          <w:vertAlign w:val="superscript"/>
        </w:rPr>
        <w:t>®</w:t>
      </w:r>
      <w:r w:rsidRPr="003123B0">
        <w:t xml:space="preserve"> Test, provided by the GED Testing Service LLC (GEDTS); the High School Equivalency Test (</w:t>
      </w:r>
      <w:proofErr w:type="spellStart"/>
      <w:r w:rsidRPr="003123B0">
        <w:t>HiSET</w:t>
      </w:r>
      <w:proofErr w:type="spellEnd"/>
      <w:r w:rsidRPr="003123B0">
        <w:rPr>
          <w:vertAlign w:val="superscript"/>
        </w:rPr>
        <w:t>®</w:t>
      </w:r>
      <w:r w:rsidRPr="003123B0">
        <w:t xml:space="preserve">), provided by Educational Testing Service </w:t>
      </w:r>
      <w:r w:rsidRPr="003123B0">
        <w:lastRenderedPageBreak/>
        <w:t xml:space="preserve">(ETS); and the Test Assessing Secondary Completion (TASC™), provided by CTB/McGraw-Hill. Later, in June 2015, the TASC™ was sold by CTB/McGraw-Hill to the Data Recognition Corporation (DRC). </w:t>
      </w:r>
    </w:p>
    <w:p w14:paraId="4EBC8AAA" w14:textId="316AD3A3" w:rsidR="00C1077D" w:rsidRPr="003123B0" w:rsidRDefault="00CB77C2" w:rsidP="009E592F">
      <w:pPr>
        <w:spacing w:after="160" w:line="259" w:lineRule="auto"/>
      </w:pPr>
      <w:r w:rsidRPr="003123B0">
        <w:t>T</w:t>
      </w:r>
      <w:r w:rsidR="00C1077D" w:rsidRPr="003123B0">
        <w:t>his Memorandum pro</w:t>
      </w:r>
      <w:r w:rsidR="00C258F1" w:rsidRPr="003123B0">
        <w:t>vide</w:t>
      </w:r>
      <w:r w:rsidRPr="003123B0">
        <w:t>s</w:t>
      </w:r>
      <w:r w:rsidR="00C258F1" w:rsidRPr="003123B0">
        <w:t xml:space="preserve"> the SBE </w:t>
      </w:r>
      <w:r w:rsidRPr="003123B0">
        <w:t xml:space="preserve">with </w:t>
      </w:r>
      <w:r w:rsidR="00C258F1" w:rsidRPr="003123B0">
        <w:t xml:space="preserve">an </w:t>
      </w:r>
      <w:r w:rsidR="004B0304" w:rsidRPr="003123B0">
        <w:t>update on the HSE program</w:t>
      </w:r>
      <w:r w:rsidR="00307330" w:rsidRPr="003123B0">
        <w:t xml:space="preserve"> as well as plans for each respective vendor.</w:t>
      </w:r>
    </w:p>
    <w:p w14:paraId="0E9D8A0A" w14:textId="63418578" w:rsidR="006A02AC" w:rsidRPr="001135B8" w:rsidRDefault="00771AFF" w:rsidP="001135B8">
      <w:pPr>
        <w:pStyle w:val="Heading3"/>
      </w:pPr>
      <w:r w:rsidRPr="001135B8">
        <w:t>Program Update</w:t>
      </w:r>
    </w:p>
    <w:p w14:paraId="41FCA549" w14:textId="2785A148" w:rsidR="009E592F" w:rsidRPr="003123B0" w:rsidRDefault="009E592F" w:rsidP="009E592F">
      <w:pPr>
        <w:spacing w:after="240" w:line="259" w:lineRule="auto"/>
      </w:pPr>
      <w:r w:rsidRPr="003123B0">
        <w:t xml:space="preserve">All HSE tests must be administered at CDE-approved testing centers. </w:t>
      </w:r>
      <w:r w:rsidR="00CB77C2" w:rsidRPr="003123B0">
        <w:t>Alt</w:t>
      </w:r>
      <w:r w:rsidRPr="003123B0">
        <w:t xml:space="preserve">ogether, the HSE contractors use more than 300 testing centers throughout California to administer the HSE tests. Each testing center may be authorized </w:t>
      </w:r>
      <w:r w:rsidR="00CB77C2" w:rsidRPr="003123B0">
        <w:t>for</w:t>
      </w:r>
      <w:r w:rsidRPr="003123B0">
        <w:t xml:space="preserve"> use </w:t>
      </w:r>
      <w:r w:rsidR="00CB77C2" w:rsidRPr="003123B0">
        <w:t xml:space="preserve">to administer </w:t>
      </w:r>
      <w:r w:rsidRPr="003123B0">
        <w:t xml:space="preserve">one or more of the approved HSE tests. Each vendor must enter into </w:t>
      </w:r>
      <w:r w:rsidR="00CB77C2" w:rsidRPr="003123B0">
        <w:t xml:space="preserve">an </w:t>
      </w:r>
      <w:r w:rsidRPr="003123B0">
        <w:t>agreement with and train the staff</w:t>
      </w:r>
      <w:r w:rsidR="00CB77C2" w:rsidRPr="003123B0">
        <w:t xml:space="preserve">—regarding the administration of the vendor’s test in </w:t>
      </w:r>
      <w:r w:rsidR="00CF3A2A" w:rsidRPr="003123B0">
        <w:t xml:space="preserve">the </w:t>
      </w:r>
      <w:r w:rsidR="00CB77C2" w:rsidRPr="003123B0">
        <w:t xml:space="preserve">applicable test formats </w:t>
      </w:r>
      <w:r w:rsidR="00CF3A2A" w:rsidRPr="003123B0">
        <w:t xml:space="preserve">and </w:t>
      </w:r>
      <w:r w:rsidR="00CB77C2" w:rsidRPr="003123B0">
        <w:t>in accordance with CDE</w:t>
      </w:r>
      <w:r w:rsidR="00CF3A2A" w:rsidRPr="003123B0">
        <w:t>- and vendor-</w:t>
      </w:r>
      <w:r w:rsidR="00CB77C2" w:rsidRPr="003123B0">
        <w:t>approved policies and procedures—</w:t>
      </w:r>
      <w:r w:rsidRPr="003123B0">
        <w:t>at each testing center the</w:t>
      </w:r>
      <w:r w:rsidR="00CF3A2A" w:rsidRPr="003123B0">
        <w:t xml:space="preserve"> vendor</w:t>
      </w:r>
      <w:r w:rsidRPr="003123B0">
        <w:t xml:space="preserve"> use</w:t>
      </w:r>
      <w:r w:rsidR="00CF3A2A" w:rsidRPr="003123B0">
        <w:t>s</w:t>
      </w:r>
      <w:r w:rsidR="00CB77C2" w:rsidRPr="003123B0">
        <w:t>.</w:t>
      </w:r>
      <w:r w:rsidRPr="003123B0">
        <w:t xml:space="preserve"> HSE testing is available year-round, and the testing dates are set by each individual testing center. </w:t>
      </w:r>
    </w:p>
    <w:p w14:paraId="00BCCF4E" w14:textId="4C890A37" w:rsidR="00F42C33" w:rsidRPr="003123B0" w:rsidRDefault="00F42C33" w:rsidP="00515AB5">
      <w:pPr>
        <w:spacing w:after="160" w:line="259" w:lineRule="auto"/>
      </w:pPr>
      <w:r w:rsidRPr="003123B0">
        <w:rPr>
          <w:rFonts w:cs="Arial"/>
        </w:rPr>
        <w:t>During the past five years that California has of</w:t>
      </w:r>
      <w:r w:rsidR="00BC1CB8" w:rsidRPr="003123B0">
        <w:rPr>
          <w:rFonts w:cs="Arial"/>
        </w:rPr>
        <w:t>fered multiple</w:t>
      </w:r>
      <w:r w:rsidRPr="003123B0">
        <w:rPr>
          <w:rFonts w:cs="Arial"/>
        </w:rPr>
        <w:t xml:space="preserve"> HSE tests, a total of 171,353 test takers have completed at least one subtest</w:t>
      </w:r>
      <w:r w:rsidR="00CF3A2A" w:rsidRPr="003123B0">
        <w:rPr>
          <w:rFonts w:cs="Arial"/>
        </w:rPr>
        <w:t>,</w:t>
      </w:r>
      <w:r w:rsidRPr="003123B0">
        <w:rPr>
          <w:rFonts w:cs="Arial"/>
        </w:rPr>
        <w:t xml:space="preserve"> and 91,137 test takers have passed all subtests and received their HSE certificate. </w:t>
      </w:r>
    </w:p>
    <w:p w14:paraId="48CD0A29" w14:textId="4059CFA0" w:rsidR="00601AD7" w:rsidRPr="003123B0" w:rsidRDefault="00601AD7" w:rsidP="00016586">
      <w:pPr>
        <w:pStyle w:val="Heading3"/>
      </w:pPr>
      <w:r w:rsidRPr="003123B0">
        <w:t>Number</w:t>
      </w:r>
      <w:r w:rsidR="00C1077D" w:rsidRPr="003123B0">
        <w:t xml:space="preserve"> of Test Takers Participating </w:t>
      </w:r>
      <w:r w:rsidR="00CF3A2A" w:rsidRPr="003123B0">
        <w:t>p</w:t>
      </w:r>
      <w:r w:rsidR="00C1077D" w:rsidRPr="003123B0">
        <w:t xml:space="preserve">er Test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Number of Test Takers Participating per Test "/>
      </w:tblPr>
      <w:tblGrid>
        <w:gridCol w:w="1165"/>
        <w:gridCol w:w="2070"/>
        <w:gridCol w:w="1350"/>
        <w:gridCol w:w="1260"/>
        <w:gridCol w:w="1620"/>
        <w:gridCol w:w="1710"/>
      </w:tblGrid>
      <w:tr w:rsidR="00F90DC3" w:rsidRPr="003123B0" w14:paraId="3843777E" w14:textId="77777777" w:rsidTr="00016586">
        <w:trPr>
          <w:cantSplit/>
          <w:tblHeader/>
          <w:jc w:val="center"/>
        </w:trPr>
        <w:tc>
          <w:tcPr>
            <w:tcW w:w="1165" w:type="dxa"/>
            <w:vAlign w:val="center"/>
          </w:tcPr>
          <w:p w14:paraId="7D0BAFA4" w14:textId="77777777" w:rsidR="00F90DC3" w:rsidRPr="003123B0" w:rsidRDefault="00F90DC3" w:rsidP="00953A05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>Test</w:t>
            </w:r>
          </w:p>
        </w:tc>
        <w:tc>
          <w:tcPr>
            <w:tcW w:w="2070" w:type="dxa"/>
            <w:vAlign w:val="center"/>
          </w:tcPr>
          <w:p w14:paraId="1DA25BE3" w14:textId="709420E6" w:rsidR="00F90DC3" w:rsidRPr="003123B0" w:rsidRDefault="00F90DC3" w:rsidP="002E365F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>Subtests</w:t>
            </w:r>
          </w:p>
        </w:tc>
        <w:tc>
          <w:tcPr>
            <w:tcW w:w="1350" w:type="dxa"/>
            <w:vAlign w:val="center"/>
          </w:tcPr>
          <w:p w14:paraId="2F713B50" w14:textId="0679293C" w:rsidR="00F90DC3" w:rsidRPr="003123B0" w:rsidRDefault="00F90DC3" w:rsidP="007866F9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>Testing Format Offered</w:t>
            </w:r>
          </w:p>
        </w:tc>
        <w:tc>
          <w:tcPr>
            <w:tcW w:w="1260" w:type="dxa"/>
            <w:vAlign w:val="center"/>
          </w:tcPr>
          <w:p w14:paraId="003FC09F" w14:textId="6DB5C2A2" w:rsidR="00F90DC3" w:rsidRPr="003123B0" w:rsidRDefault="00F90DC3" w:rsidP="00F90DC3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>Number of Test Centers Used</w:t>
            </w:r>
          </w:p>
        </w:tc>
        <w:tc>
          <w:tcPr>
            <w:tcW w:w="1620" w:type="dxa"/>
            <w:vAlign w:val="center"/>
          </w:tcPr>
          <w:p w14:paraId="445E243C" w14:textId="507EF954" w:rsidR="00F90DC3" w:rsidRPr="003123B0" w:rsidRDefault="00F90DC3" w:rsidP="00953A05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Completing </w:t>
            </w:r>
            <w:proofErr w:type="gramStart"/>
            <w:r w:rsidR="00CF3A2A" w:rsidRPr="003123B0">
              <w:rPr>
                <w:b/>
              </w:rPr>
              <w:t>a</w:t>
            </w:r>
            <w:r w:rsidRPr="003123B0">
              <w:rPr>
                <w:b/>
              </w:rPr>
              <w:t>t Least</w:t>
            </w:r>
            <w:proofErr w:type="gramEnd"/>
            <w:r w:rsidRPr="003123B0">
              <w:rPr>
                <w:b/>
              </w:rPr>
              <w:t xml:space="preserve"> One Subtest</w:t>
            </w:r>
          </w:p>
        </w:tc>
        <w:tc>
          <w:tcPr>
            <w:tcW w:w="1710" w:type="dxa"/>
            <w:vAlign w:val="center"/>
          </w:tcPr>
          <w:p w14:paraId="6AA0DCCC" w14:textId="322FDAF1" w:rsidR="00F90DC3" w:rsidRPr="003123B0" w:rsidRDefault="00F90DC3" w:rsidP="009160E8">
            <w:pPr>
              <w:spacing w:after="120"/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</w:t>
            </w:r>
            <w:r w:rsidR="00CF3A2A" w:rsidRPr="003123B0">
              <w:rPr>
                <w:b/>
              </w:rPr>
              <w:t xml:space="preserve">Who </w:t>
            </w:r>
            <w:r w:rsidRPr="003123B0">
              <w:rPr>
                <w:b/>
              </w:rPr>
              <w:t>Earned a Certificate (passed all subtests)</w:t>
            </w:r>
          </w:p>
        </w:tc>
      </w:tr>
      <w:tr w:rsidR="00F90DC3" w:rsidRPr="003123B0" w14:paraId="4E140F82" w14:textId="77777777" w:rsidTr="00016586">
        <w:trPr>
          <w:cantSplit/>
          <w:jc w:val="center"/>
        </w:trPr>
        <w:tc>
          <w:tcPr>
            <w:tcW w:w="1165" w:type="dxa"/>
            <w:vAlign w:val="center"/>
          </w:tcPr>
          <w:p w14:paraId="0F4C0082" w14:textId="77777777" w:rsidR="00F90DC3" w:rsidRPr="003123B0" w:rsidRDefault="00F90DC3" w:rsidP="00953A05">
            <w:pPr>
              <w:spacing w:after="120"/>
              <w:jc w:val="center"/>
            </w:pPr>
            <w:r w:rsidRPr="003123B0">
              <w:t>GED</w:t>
            </w:r>
            <w:r w:rsidRPr="003123B0">
              <w:rPr>
                <w:vertAlign w:val="superscript"/>
              </w:rPr>
              <w:t>®</w:t>
            </w:r>
          </w:p>
        </w:tc>
        <w:tc>
          <w:tcPr>
            <w:tcW w:w="2070" w:type="dxa"/>
          </w:tcPr>
          <w:p w14:paraId="09B68D51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Language arts</w:t>
            </w:r>
          </w:p>
          <w:p w14:paraId="3D631B68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Mathematics</w:t>
            </w:r>
          </w:p>
          <w:p w14:paraId="39D6B9AF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725D6D50" w14:textId="70EF17B4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 xml:space="preserve">Social </w:t>
            </w:r>
            <w:r w:rsidR="00CF3A2A" w:rsidRPr="003123B0">
              <w:rPr>
                <w:rFonts w:ascii="Arial" w:hAnsi="Arial" w:cs="Arial"/>
                <w:sz w:val="24"/>
                <w:szCs w:val="24"/>
              </w:rPr>
              <w:t>studies</w:t>
            </w:r>
          </w:p>
        </w:tc>
        <w:tc>
          <w:tcPr>
            <w:tcW w:w="1350" w:type="dxa"/>
            <w:vAlign w:val="center"/>
          </w:tcPr>
          <w:p w14:paraId="00080540" w14:textId="19FD16ED" w:rsidR="00F90DC3" w:rsidRPr="003123B0" w:rsidRDefault="00F90DC3" w:rsidP="00F90DC3">
            <w:pPr>
              <w:spacing w:after="120"/>
              <w:jc w:val="center"/>
            </w:pPr>
            <w:r w:rsidRPr="003123B0">
              <w:t>Computer-based testing</w:t>
            </w:r>
          </w:p>
        </w:tc>
        <w:tc>
          <w:tcPr>
            <w:tcW w:w="1260" w:type="dxa"/>
            <w:vAlign w:val="center"/>
          </w:tcPr>
          <w:p w14:paraId="6591C813" w14:textId="70F8B5F6" w:rsidR="00F90DC3" w:rsidRPr="003123B0" w:rsidRDefault="00F90DC3" w:rsidP="00F90DC3">
            <w:pPr>
              <w:spacing w:after="120"/>
              <w:jc w:val="center"/>
            </w:pPr>
            <w:r w:rsidRPr="003123B0">
              <w:t>220</w:t>
            </w:r>
          </w:p>
        </w:tc>
        <w:tc>
          <w:tcPr>
            <w:tcW w:w="1620" w:type="dxa"/>
            <w:vAlign w:val="center"/>
          </w:tcPr>
          <w:p w14:paraId="71BC25A2" w14:textId="28CD430B" w:rsidR="00F90DC3" w:rsidRPr="003123B0" w:rsidRDefault="00F90DC3" w:rsidP="00953A05">
            <w:pPr>
              <w:spacing w:after="120"/>
              <w:jc w:val="center"/>
            </w:pPr>
            <w:r w:rsidRPr="003123B0">
              <w:t>114,874</w:t>
            </w:r>
          </w:p>
        </w:tc>
        <w:tc>
          <w:tcPr>
            <w:tcW w:w="1710" w:type="dxa"/>
            <w:vAlign w:val="center"/>
          </w:tcPr>
          <w:p w14:paraId="59FCB0B6" w14:textId="77777777" w:rsidR="00F90DC3" w:rsidRPr="003123B0" w:rsidRDefault="00F90DC3" w:rsidP="00953A05">
            <w:pPr>
              <w:spacing w:after="120"/>
              <w:jc w:val="center"/>
            </w:pPr>
            <w:r w:rsidRPr="003123B0">
              <w:t>50,148</w:t>
            </w:r>
          </w:p>
        </w:tc>
      </w:tr>
      <w:tr w:rsidR="00F90DC3" w:rsidRPr="003123B0" w14:paraId="3A7EBC60" w14:textId="77777777" w:rsidTr="00016586">
        <w:trPr>
          <w:cantSplit/>
          <w:jc w:val="center"/>
        </w:trPr>
        <w:tc>
          <w:tcPr>
            <w:tcW w:w="1165" w:type="dxa"/>
            <w:vAlign w:val="center"/>
          </w:tcPr>
          <w:p w14:paraId="72A3BC73" w14:textId="383A689E" w:rsidR="00F90DC3" w:rsidRPr="003123B0" w:rsidRDefault="00F90DC3" w:rsidP="00953A05">
            <w:pPr>
              <w:spacing w:after="120"/>
              <w:jc w:val="center"/>
            </w:pPr>
            <w:proofErr w:type="spellStart"/>
            <w:r w:rsidRPr="003123B0">
              <w:t>HiSET</w:t>
            </w:r>
            <w:proofErr w:type="spellEnd"/>
            <w:r w:rsidRPr="003123B0">
              <w:rPr>
                <w:vertAlign w:val="superscript"/>
              </w:rPr>
              <w:t>®</w:t>
            </w:r>
          </w:p>
        </w:tc>
        <w:tc>
          <w:tcPr>
            <w:tcW w:w="2070" w:type="dxa"/>
          </w:tcPr>
          <w:p w14:paraId="01445C46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131DFB5E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Writing</w:t>
            </w:r>
          </w:p>
          <w:p w14:paraId="03B00C54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Mathematics</w:t>
            </w:r>
          </w:p>
          <w:p w14:paraId="2FE72E51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3F44CF32" w14:textId="1F6D5186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 xml:space="preserve">Social </w:t>
            </w:r>
            <w:r w:rsidR="00CF3A2A" w:rsidRPr="003123B0">
              <w:rPr>
                <w:rFonts w:ascii="Arial" w:hAnsi="Arial" w:cs="Arial"/>
                <w:sz w:val="24"/>
                <w:szCs w:val="24"/>
              </w:rPr>
              <w:t>studies</w:t>
            </w:r>
          </w:p>
        </w:tc>
        <w:tc>
          <w:tcPr>
            <w:tcW w:w="1350" w:type="dxa"/>
            <w:vAlign w:val="center"/>
          </w:tcPr>
          <w:p w14:paraId="6D65C9D0" w14:textId="3FDD4258" w:rsidR="00F90DC3" w:rsidRPr="003123B0" w:rsidRDefault="00F90DC3" w:rsidP="00F90DC3">
            <w:pPr>
              <w:spacing w:after="160" w:line="259" w:lineRule="auto"/>
              <w:jc w:val="center"/>
            </w:pPr>
            <w:r w:rsidRPr="003123B0">
              <w:t xml:space="preserve">Computer-based and </w:t>
            </w:r>
            <w:r w:rsidR="00CF3A2A" w:rsidRPr="003123B0">
              <w:t>paper-based testing</w:t>
            </w:r>
          </w:p>
        </w:tc>
        <w:tc>
          <w:tcPr>
            <w:tcW w:w="1260" w:type="dxa"/>
            <w:vAlign w:val="center"/>
          </w:tcPr>
          <w:p w14:paraId="5E94A39B" w14:textId="10699AFA" w:rsidR="00F90DC3" w:rsidRPr="003123B0" w:rsidRDefault="00F90DC3" w:rsidP="00F90DC3">
            <w:pPr>
              <w:spacing w:after="120"/>
              <w:jc w:val="center"/>
            </w:pPr>
            <w:r w:rsidRPr="003123B0">
              <w:t>340</w:t>
            </w:r>
          </w:p>
        </w:tc>
        <w:tc>
          <w:tcPr>
            <w:tcW w:w="1620" w:type="dxa"/>
            <w:vAlign w:val="center"/>
          </w:tcPr>
          <w:p w14:paraId="0E8179E5" w14:textId="24B56948" w:rsidR="00F90DC3" w:rsidRPr="003123B0" w:rsidRDefault="00F90DC3" w:rsidP="00953A05">
            <w:pPr>
              <w:spacing w:after="120"/>
              <w:jc w:val="center"/>
            </w:pPr>
            <w:r w:rsidRPr="003123B0">
              <w:t>56,378</w:t>
            </w:r>
          </w:p>
        </w:tc>
        <w:tc>
          <w:tcPr>
            <w:tcW w:w="1710" w:type="dxa"/>
            <w:vAlign w:val="center"/>
          </w:tcPr>
          <w:p w14:paraId="182E123F" w14:textId="77777777" w:rsidR="00F90DC3" w:rsidRPr="003123B0" w:rsidRDefault="00F90DC3" w:rsidP="00953A05">
            <w:pPr>
              <w:spacing w:after="120"/>
              <w:jc w:val="center"/>
            </w:pPr>
            <w:r w:rsidRPr="003123B0">
              <w:t>40,957</w:t>
            </w:r>
          </w:p>
        </w:tc>
      </w:tr>
      <w:tr w:rsidR="00F90DC3" w:rsidRPr="003123B0" w14:paraId="638565A0" w14:textId="77777777" w:rsidTr="00016586">
        <w:trPr>
          <w:cantSplit/>
          <w:jc w:val="center"/>
        </w:trPr>
        <w:tc>
          <w:tcPr>
            <w:tcW w:w="1165" w:type="dxa"/>
            <w:vAlign w:val="center"/>
          </w:tcPr>
          <w:p w14:paraId="2B0D7F46" w14:textId="670E4B00" w:rsidR="00F90DC3" w:rsidRPr="003123B0" w:rsidRDefault="00F90DC3" w:rsidP="00953A05">
            <w:pPr>
              <w:spacing w:after="120"/>
              <w:jc w:val="center"/>
            </w:pPr>
            <w:r w:rsidRPr="003123B0">
              <w:lastRenderedPageBreak/>
              <w:t>TASC™</w:t>
            </w:r>
          </w:p>
        </w:tc>
        <w:tc>
          <w:tcPr>
            <w:tcW w:w="2070" w:type="dxa"/>
          </w:tcPr>
          <w:p w14:paraId="20DF4BAC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3B3D2520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Writing</w:t>
            </w:r>
          </w:p>
          <w:p w14:paraId="48C223BB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Mathematics</w:t>
            </w:r>
          </w:p>
          <w:p w14:paraId="2C7F7967" w14:textId="77777777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5DFEFDB4" w14:textId="2646FA72" w:rsidR="00F90DC3" w:rsidRPr="003123B0" w:rsidRDefault="00F90DC3" w:rsidP="00933E47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70"/>
              <w:rPr>
                <w:rFonts w:ascii="Arial" w:hAnsi="Arial" w:cs="Arial"/>
                <w:sz w:val="24"/>
                <w:szCs w:val="24"/>
              </w:rPr>
            </w:pPr>
            <w:r w:rsidRPr="003123B0">
              <w:rPr>
                <w:rFonts w:ascii="Arial" w:hAnsi="Arial" w:cs="Arial"/>
                <w:sz w:val="24"/>
                <w:szCs w:val="24"/>
              </w:rPr>
              <w:t xml:space="preserve">Social </w:t>
            </w:r>
            <w:r w:rsidR="00CF3A2A" w:rsidRPr="003123B0">
              <w:rPr>
                <w:rFonts w:ascii="Arial" w:hAnsi="Arial" w:cs="Arial"/>
                <w:sz w:val="24"/>
                <w:szCs w:val="24"/>
              </w:rPr>
              <w:t>studies</w:t>
            </w:r>
          </w:p>
        </w:tc>
        <w:tc>
          <w:tcPr>
            <w:tcW w:w="1350" w:type="dxa"/>
            <w:vAlign w:val="center"/>
          </w:tcPr>
          <w:p w14:paraId="05D70FC5" w14:textId="0C029E0A" w:rsidR="00F90DC3" w:rsidRPr="003123B0" w:rsidRDefault="00F90DC3" w:rsidP="00F90DC3">
            <w:pPr>
              <w:spacing w:after="120"/>
              <w:jc w:val="center"/>
            </w:pPr>
            <w:r w:rsidRPr="003123B0">
              <w:t xml:space="preserve">Computer-based and </w:t>
            </w:r>
            <w:r w:rsidR="00CF3A2A" w:rsidRPr="003123B0">
              <w:t>paper-based testing</w:t>
            </w:r>
          </w:p>
        </w:tc>
        <w:tc>
          <w:tcPr>
            <w:tcW w:w="1260" w:type="dxa"/>
            <w:vAlign w:val="center"/>
          </w:tcPr>
          <w:p w14:paraId="6F0B38A5" w14:textId="3E6B1EFE" w:rsidR="00F90DC3" w:rsidRPr="003123B0" w:rsidRDefault="00F90DC3" w:rsidP="00F90DC3">
            <w:pPr>
              <w:spacing w:after="120"/>
              <w:jc w:val="center"/>
            </w:pPr>
            <w:r w:rsidRPr="003123B0">
              <w:t>10</w:t>
            </w:r>
          </w:p>
        </w:tc>
        <w:tc>
          <w:tcPr>
            <w:tcW w:w="1620" w:type="dxa"/>
            <w:vAlign w:val="center"/>
          </w:tcPr>
          <w:p w14:paraId="3FD87673" w14:textId="075550D9" w:rsidR="00F90DC3" w:rsidRPr="003123B0" w:rsidRDefault="00F90DC3" w:rsidP="00953A05">
            <w:pPr>
              <w:spacing w:after="120"/>
              <w:jc w:val="center"/>
            </w:pPr>
            <w:r w:rsidRPr="003123B0">
              <w:t>101</w:t>
            </w:r>
          </w:p>
        </w:tc>
        <w:tc>
          <w:tcPr>
            <w:tcW w:w="1710" w:type="dxa"/>
            <w:vAlign w:val="center"/>
          </w:tcPr>
          <w:p w14:paraId="6E44E155" w14:textId="77777777" w:rsidR="00F90DC3" w:rsidRPr="003123B0" w:rsidRDefault="00F90DC3" w:rsidP="00953A05">
            <w:pPr>
              <w:spacing w:after="120"/>
              <w:jc w:val="center"/>
            </w:pPr>
            <w:r w:rsidRPr="003123B0">
              <w:t>32</w:t>
            </w:r>
          </w:p>
        </w:tc>
      </w:tr>
    </w:tbl>
    <w:p w14:paraId="6A45D613" w14:textId="77777777" w:rsidR="00BC18F7" w:rsidRPr="003123B0" w:rsidRDefault="00BC18F7" w:rsidP="00515AB5">
      <w:pPr>
        <w:spacing w:after="160" w:line="259" w:lineRule="auto"/>
        <w:rPr>
          <w:b/>
        </w:rPr>
      </w:pPr>
    </w:p>
    <w:p w14:paraId="132D2219" w14:textId="75A47000" w:rsidR="0072419E" w:rsidRPr="003123B0" w:rsidRDefault="0072419E" w:rsidP="00016586">
      <w:pPr>
        <w:pStyle w:val="Heading3"/>
      </w:pPr>
      <w:r w:rsidRPr="003123B0">
        <w:t>MOU with</w:t>
      </w:r>
      <w:r w:rsidR="007D286F" w:rsidRPr="003123B0">
        <w:t xml:space="preserve"> the</w:t>
      </w:r>
      <w:r w:rsidRPr="003123B0">
        <w:t xml:space="preserve"> GEDTS</w:t>
      </w:r>
    </w:p>
    <w:p w14:paraId="23063EED" w14:textId="074C3231" w:rsidR="00402A37" w:rsidRPr="003123B0" w:rsidRDefault="0072419E" w:rsidP="0000482D">
      <w:pPr>
        <w:spacing w:after="160" w:line="259" w:lineRule="auto"/>
      </w:pPr>
      <w:r w:rsidRPr="003123B0">
        <w:t>From 1974 through 2013, the GED</w:t>
      </w:r>
      <w:r w:rsidRPr="003123B0">
        <w:rPr>
          <w:vertAlign w:val="superscript"/>
        </w:rPr>
        <w:t>®</w:t>
      </w:r>
      <w:r w:rsidRPr="003123B0">
        <w:t xml:space="preserve"> </w:t>
      </w:r>
      <w:r w:rsidR="007D286F" w:rsidRPr="003123B0">
        <w:t>t</w:t>
      </w:r>
      <w:r w:rsidRPr="003123B0">
        <w:t xml:space="preserve">est was stipulated in state regulations as the HSE test for use in California. </w:t>
      </w:r>
      <w:r w:rsidR="007D286F" w:rsidRPr="003123B0">
        <w:t xml:space="preserve">It has been updated by the testing vendor periodically over the years—in 1978, 1988, 2002, and in 2014. On January 1, 2014, </w:t>
      </w:r>
      <w:r w:rsidR="009160E8" w:rsidRPr="003123B0">
        <w:t xml:space="preserve">SBE-approved </w:t>
      </w:r>
      <w:r w:rsidR="007D286F" w:rsidRPr="003123B0">
        <w:t>amendments to HSE regulations went into effect that removed language referencing the GED</w:t>
      </w:r>
      <w:r w:rsidR="007D286F" w:rsidRPr="003123B0">
        <w:rPr>
          <w:vertAlign w:val="superscript"/>
        </w:rPr>
        <w:t>®</w:t>
      </w:r>
      <w:r w:rsidR="009160E8" w:rsidRPr="003123B0">
        <w:t xml:space="preserve"> t</w:t>
      </w:r>
      <w:r w:rsidR="007D286F" w:rsidRPr="003123B0">
        <w:t>est as the sole HSE test for use in California.</w:t>
      </w:r>
      <w:r w:rsidR="009160E8" w:rsidRPr="003123B0">
        <w:t xml:space="preserve"> </w:t>
      </w:r>
    </w:p>
    <w:p w14:paraId="0CE5D7E8" w14:textId="21B8DC67" w:rsidR="0072419E" w:rsidRPr="003123B0" w:rsidRDefault="0072419E" w:rsidP="0000482D">
      <w:pPr>
        <w:spacing w:after="160" w:line="259" w:lineRule="auto"/>
      </w:pPr>
      <w:r w:rsidRPr="003123B0">
        <w:t>The 2014 version of the GED</w:t>
      </w:r>
      <w:r w:rsidRPr="003123B0">
        <w:rPr>
          <w:vertAlign w:val="superscript"/>
        </w:rPr>
        <w:t>®</w:t>
      </w:r>
      <w:r w:rsidRPr="003123B0">
        <w:t xml:space="preserve"> </w:t>
      </w:r>
      <w:r w:rsidR="009160E8" w:rsidRPr="003123B0">
        <w:t>t</w:t>
      </w:r>
      <w:r w:rsidRPr="003123B0">
        <w:t>est was provided in a computer-based format only</w:t>
      </w:r>
      <w:r w:rsidR="009160E8" w:rsidRPr="003123B0">
        <w:t xml:space="preserve">, and its delivery continued as such </w:t>
      </w:r>
      <w:r w:rsidR="00413B16" w:rsidRPr="003123B0">
        <w:t>through 2018</w:t>
      </w:r>
      <w:r w:rsidR="009160E8" w:rsidRPr="003123B0">
        <w:t>.</w:t>
      </w:r>
      <w:r w:rsidR="00413B16" w:rsidRPr="003123B0">
        <w:t xml:space="preserve"> Beginning in 2019, the </w:t>
      </w:r>
      <w:r w:rsidR="009160E8" w:rsidRPr="003123B0">
        <w:t>GED</w:t>
      </w:r>
      <w:r w:rsidR="009160E8" w:rsidRPr="003123B0">
        <w:rPr>
          <w:vertAlign w:val="superscript"/>
        </w:rPr>
        <w:t>®</w:t>
      </w:r>
      <w:r w:rsidR="009160E8" w:rsidRPr="003123B0">
        <w:t xml:space="preserve"> test</w:t>
      </w:r>
      <w:r w:rsidR="00413B16" w:rsidRPr="003123B0">
        <w:t xml:space="preserve"> is provided in both computer-based and paper-based test formats.</w:t>
      </w:r>
    </w:p>
    <w:p w14:paraId="205BC823" w14:textId="2EA63CF2" w:rsidR="00E02F2B" w:rsidRPr="003123B0" w:rsidRDefault="009160E8" w:rsidP="0000482D">
      <w:pPr>
        <w:spacing w:after="160" w:line="259" w:lineRule="auto"/>
        <w:rPr>
          <w:rFonts w:cs="Arial"/>
        </w:rPr>
      </w:pPr>
      <w:r w:rsidRPr="003123B0">
        <w:rPr>
          <w:rFonts w:cs="Arial"/>
        </w:rPr>
        <w:t xml:space="preserve">With the </w:t>
      </w:r>
      <w:r w:rsidR="00413B16" w:rsidRPr="003123B0">
        <w:rPr>
          <w:rFonts w:cs="Arial"/>
        </w:rPr>
        <w:t>SBE</w:t>
      </w:r>
      <w:r w:rsidRPr="003123B0">
        <w:rPr>
          <w:rFonts w:cs="Arial"/>
        </w:rPr>
        <w:t>’s</w:t>
      </w:r>
      <w:r w:rsidR="00413B16" w:rsidRPr="003123B0">
        <w:rPr>
          <w:rFonts w:cs="Arial"/>
        </w:rPr>
        <w:t xml:space="preserve"> approval in</w:t>
      </w:r>
      <w:r w:rsidR="0000482D" w:rsidRPr="003123B0">
        <w:rPr>
          <w:rFonts w:cs="Arial"/>
        </w:rPr>
        <w:t xml:space="preserve"> March 2014, the CDE began n</w:t>
      </w:r>
      <w:r w:rsidR="00402A37" w:rsidRPr="003123B0">
        <w:rPr>
          <w:rFonts w:cs="Arial"/>
        </w:rPr>
        <w:t xml:space="preserve">egotiating the terms of the </w:t>
      </w:r>
      <w:r w:rsidR="00413B16" w:rsidRPr="003123B0">
        <w:rPr>
          <w:rFonts w:cs="Arial"/>
        </w:rPr>
        <w:t xml:space="preserve">HSE </w:t>
      </w:r>
      <w:r w:rsidR="00402A37" w:rsidRPr="003123B0">
        <w:rPr>
          <w:rFonts w:cs="Arial"/>
        </w:rPr>
        <w:t>MOU</w:t>
      </w:r>
      <w:r w:rsidR="0000482D" w:rsidRPr="003123B0">
        <w:rPr>
          <w:rFonts w:cs="Arial"/>
        </w:rPr>
        <w:t xml:space="preserve"> with GEDTS </w:t>
      </w:r>
      <w:r w:rsidRPr="003123B0">
        <w:rPr>
          <w:rFonts w:cs="Arial"/>
        </w:rPr>
        <w:t>for the continued use of</w:t>
      </w:r>
      <w:r w:rsidR="00402A37" w:rsidRPr="003123B0">
        <w:rPr>
          <w:rFonts w:cs="Arial"/>
        </w:rPr>
        <w:t xml:space="preserve"> the GED</w:t>
      </w:r>
      <w:r w:rsidR="00402A37" w:rsidRPr="003123B0">
        <w:rPr>
          <w:rFonts w:cs="Arial"/>
          <w:vertAlign w:val="superscript"/>
        </w:rPr>
        <w:t>®</w:t>
      </w:r>
      <w:r w:rsidR="00402A37" w:rsidRPr="003123B0">
        <w:rPr>
          <w:rFonts w:cs="Arial"/>
        </w:rPr>
        <w:t xml:space="preserve"> </w:t>
      </w:r>
      <w:r w:rsidRPr="003123B0">
        <w:rPr>
          <w:rFonts w:cs="Arial"/>
        </w:rPr>
        <w:t>t</w:t>
      </w:r>
      <w:r w:rsidR="00402A37" w:rsidRPr="003123B0">
        <w:rPr>
          <w:rFonts w:cs="Arial"/>
        </w:rPr>
        <w:t xml:space="preserve">est. The </w:t>
      </w:r>
      <w:r w:rsidR="0000482D" w:rsidRPr="003123B0">
        <w:rPr>
          <w:rFonts w:cs="Arial"/>
        </w:rPr>
        <w:t xml:space="preserve">MOU </w:t>
      </w:r>
      <w:r w:rsidR="00402A37" w:rsidRPr="003123B0">
        <w:rPr>
          <w:rFonts w:cs="Arial"/>
        </w:rPr>
        <w:t xml:space="preserve">between the CDE and GEDTS </w:t>
      </w:r>
      <w:r w:rsidR="0000482D" w:rsidRPr="003123B0">
        <w:rPr>
          <w:rFonts w:cs="Arial"/>
        </w:rPr>
        <w:t>was finalized in August 2014.</w:t>
      </w:r>
      <w:r w:rsidR="00402A37" w:rsidRPr="003123B0">
        <w:rPr>
          <w:rFonts w:cs="Arial"/>
        </w:rPr>
        <w:t xml:space="preserve"> </w:t>
      </w:r>
      <w:r w:rsidR="00413B16" w:rsidRPr="003123B0">
        <w:rPr>
          <w:rFonts w:cs="Arial"/>
        </w:rPr>
        <w:t>The GEDTS MOU has been</w:t>
      </w:r>
      <w:r w:rsidR="00402A37" w:rsidRPr="003123B0">
        <w:rPr>
          <w:rFonts w:cs="Arial"/>
        </w:rPr>
        <w:t xml:space="preserve"> negotiated </w:t>
      </w:r>
      <w:r w:rsidR="00413B16" w:rsidRPr="003123B0">
        <w:rPr>
          <w:rFonts w:cs="Arial"/>
        </w:rPr>
        <w:t xml:space="preserve">and renewed </w:t>
      </w:r>
      <w:r w:rsidR="00402A37" w:rsidRPr="003123B0">
        <w:rPr>
          <w:rFonts w:cs="Arial"/>
        </w:rPr>
        <w:t>annually</w:t>
      </w:r>
      <w:r w:rsidR="0017685C" w:rsidRPr="003123B0">
        <w:rPr>
          <w:rFonts w:cs="Arial"/>
        </w:rPr>
        <w:t xml:space="preserve"> since</w:t>
      </w:r>
      <w:r w:rsidRPr="003123B0">
        <w:rPr>
          <w:rFonts w:cs="Arial"/>
        </w:rPr>
        <w:t xml:space="preserve"> that time</w:t>
      </w:r>
      <w:r w:rsidR="00402A37" w:rsidRPr="003123B0">
        <w:rPr>
          <w:rFonts w:cs="Arial"/>
        </w:rPr>
        <w:t xml:space="preserve">. </w:t>
      </w:r>
    </w:p>
    <w:p w14:paraId="02EB9380" w14:textId="14328A25" w:rsidR="00E02F2B" w:rsidRPr="003123B0" w:rsidRDefault="00E02F2B" w:rsidP="00E02F2B">
      <w:pPr>
        <w:spacing w:after="160" w:line="259" w:lineRule="auto"/>
      </w:pPr>
      <w:r w:rsidRPr="003123B0">
        <w:t xml:space="preserve">As of March 31, 2019, </w:t>
      </w:r>
      <w:r w:rsidR="00677E5F" w:rsidRPr="003123B0">
        <w:t>114,874</w:t>
      </w:r>
      <w:r w:rsidRPr="003123B0">
        <w:t xml:space="preserve"> test takers have completed at least one GED subtest</w:t>
      </w:r>
      <w:r w:rsidR="001D3783" w:rsidRPr="003123B0">
        <w:t xml:space="preserve"> over the past five years</w:t>
      </w:r>
      <w:r w:rsidRPr="003123B0">
        <w:t xml:space="preserve">, with a total of </w:t>
      </w:r>
      <w:r w:rsidR="00677E5F" w:rsidRPr="003123B0">
        <w:t>50,148</w:t>
      </w:r>
      <w:r w:rsidRPr="003123B0">
        <w:t xml:space="preserve"> test takers having passed all subtests and received their certificate. During that same time period</w:t>
      </w:r>
      <w:r w:rsidR="001D3783" w:rsidRPr="003123B0">
        <w:t>,</w:t>
      </w:r>
      <w:r w:rsidRPr="003123B0">
        <w:t xml:space="preserve"> the GED</w:t>
      </w:r>
      <w:r w:rsidRPr="003123B0">
        <w:rPr>
          <w:vertAlign w:val="superscript"/>
        </w:rPr>
        <w:t>®</w:t>
      </w:r>
      <w:r w:rsidRPr="003123B0">
        <w:t xml:space="preserve"> had been administered at 220 testing sites</w:t>
      </w:r>
      <w:r w:rsidR="001D3783" w:rsidRPr="003123B0">
        <w:t xml:space="preserve"> where staff had</w:t>
      </w:r>
      <w:r w:rsidR="00BC18F7" w:rsidRPr="003123B0">
        <w:t xml:space="preserve"> also</w:t>
      </w:r>
      <w:r w:rsidR="001D3783" w:rsidRPr="003123B0">
        <w:t xml:space="preserve"> been</w:t>
      </w:r>
      <w:r w:rsidRPr="003123B0">
        <w:t xml:space="preserve"> trained by GEDTS to provide computer-based testing.</w:t>
      </w:r>
    </w:p>
    <w:p w14:paraId="23E099D4" w14:textId="160774B3" w:rsidR="00907C50" w:rsidRPr="003123B0" w:rsidRDefault="00907C50" w:rsidP="00016586">
      <w:pPr>
        <w:pStyle w:val="Heading3"/>
      </w:pPr>
      <w:r w:rsidRPr="003123B0">
        <w:t>Number of GED Test Takers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Number of GED Test Takers Completing at Least One Subtest by year. Number of Test Takers Who Earned a Certificate by year (passed all tests). "/>
      </w:tblPr>
      <w:tblGrid>
        <w:gridCol w:w="4585"/>
        <w:gridCol w:w="2340"/>
        <w:gridCol w:w="2425"/>
      </w:tblGrid>
      <w:tr w:rsidR="00907C50" w:rsidRPr="003123B0" w14:paraId="2267168C" w14:textId="77777777" w:rsidTr="00016586">
        <w:trPr>
          <w:cantSplit/>
          <w:tblHeader/>
          <w:jc w:val="center"/>
        </w:trPr>
        <w:tc>
          <w:tcPr>
            <w:tcW w:w="4585" w:type="dxa"/>
            <w:vAlign w:val="center"/>
          </w:tcPr>
          <w:p w14:paraId="7A7A1C2D" w14:textId="77777777" w:rsidR="00907C50" w:rsidRPr="003123B0" w:rsidRDefault="00907C50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>Year</w:t>
            </w:r>
          </w:p>
        </w:tc>
        <w:tc>
          <w:tcPr>
            <w:tcW w:w="2340" w:type="dxa"/>
            <w:vAlign w:val="center"/>
          </w:tcPr>
          <w:p w14:paraId="3997D319" w14:textId="60B0F5DE" w:rsidR="00907C50" w:rsidRPr="003123B0" w:rsidRDefault="00907C50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Completing </w:t>
            </w:r>
            <w:proofErr w:type="gramStart"/>
            <w:r w:rsidR="00CF3A2A" w:rsidRPr="003123B0">
              <w:rPr>
                <w:b/>
              </w:rPr>
              <w:t>a</w:t>
            </w:r>
            <w:r w:rsidRPr="003123B0">
              <w:rPr>
                <w:b/>
              </w:rPr>
              <w:t>t Least</w:t>
            </w:r>
            <w:proofErr w:type="gramEnd"/>
            <w:r w:rsidRPr="003123B0">
              <w:rPr>
                <w:b/>
              </w:rPr>
              <w:t xml:space="preserve"> One Subtest</w:t>
            </w:r>
          </w:p>
        </w:tc>
        <w:tc>
          <w:tcPr>
            <w:tcW w:w="2425" w:type="dxa"/>
            <w:vAlign w:val="center"/>
          </w:tcPr>
          <w:p w14:paraId="108A3D87" w14:textId="7FD52F98" w:rsidR="00907C50" w:rsidRPr="003123B0" w:rsidRDefault="00907C50" w:rsidP="009160E8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</w:t>
            </w:r>
            <w:r w:rsidR="00CF3A2A" w:rsidRPr="003123B0">
              <w:rPr>
                <w:b/>
              </w:rPr>
              <w:t xml:space="preserve">Who </w:t>
            </w:r>
            <w:r w:rsidRPr="003123B0">
              <w:rPr>
                <w:b/>
              </w:rPr>
              <w:t xml:space="preserve">Earned a Certificate </w:t>
            </w:r>
            <w:r w:rsidR="00CF3A2A" w:rsidRPr="003123B0">
              <w:rPr>
                <w:b/>
              </w:rPr>
              <w:br/>
            </w:r>
            <w:r w:rsidRPr="003123B0">
              <w:rPr>
                <w:b/>
              </w:rPr>
              <w:t>(passed all tests)</w:t>
            </w:r>
          </w:p>
        </w:tc>
      </w:tr>
      <w:tr w:rsidR="00907C50" w:rsidRPr="003123B0" w14:paraId="05EA157D" w14:textId="77777777" w:rsidTr="00016586">
        <w:trPr>
          <w:cantSplit/>
          <w:jc w:val="center"/>
        </w:trPr>
        <w:tc>
          <w:tcPr>
            <w:tcW w:w="4585" w:type="dxa"/>
          </w:tcPr>
          <w:p w14:paraId="67D8BCAB" w14:textId="77777777" w:rsidR="00907C50" w:rsidRPr="003123B0" w:rsidRDefault="00907C50" w:rsidP="00FC2D3A">
            <w:r w:rsidRPr="003123B0">
              <w:t>July 1 through December 31, 2014</w:t>
            </w:r>
          </w:p>
        </w:tc>
        <w:tc>
          <w:tcPr>
            <w:tcW w:w="2340" w:type="dxa"/>
          </w:tcPr>
          <w:p w14:paraId="00CAD4BA" w14:textId="39EBD08C" w:rsidR="00907C50" w:rsidRPr="003123B0" w:rsidRDefault="009F31AB" w:rsidP="00FC2D3A">
            <w:pPr>
              <w:ind w:right="612"/>
              <w:jc w:val="right"/>
            </w:pPr>
            <w:r w:rsidRPr="003123B0">
              <w:t>17,636</w:t>
            </w:r>
          </w:p>
        </w:tc>
        <w:tc>
          <w:tcPr>
            <w:tcW w:w="2425" w:type="dxa"/>
          </w:tcPr>
          <w:p w14:paraId="004F8691" w14:textId="638F4561" w:rsidR="00907C50" w:rsidRPr="003123B0" w:rsidRDefault="009F31AB" w:rsidP="00FC2D3A">
            <w:pPr>
              <w:ind w:right="787"/>
              <w:jc w:val="right"/>
            </w:pPr>
            <w:r w:rsidRPr="003123B0">
              <w:t>5,278</w:t>
            </w:r>
          </w:p>
        </w:tc>
      </w:tr>
      <w:tr w:rsidR="00907C50" w:rsidRPr="003123B0" w14:paraId="22C1CAEB" w14:textId="77777777" w:rsidTr="00016586">
        <w:trPr>
          <w:cantSplit/>
          <w:jc w:val="center"/>
        </w:trPr>
        <w:tc>
          <w:tcPr>
            <w:tcW w:w="4585" w:type="dxa"/>
          </w:tcPr>
          <w:p w14:paraId="00470CDA" w14:textId="77777777" w:rsidR="00907C50" w:rsidRPr="003123B0" w:rsidRDefault="00907C50" w:rsidP="00FC2D3A">
            <w:r w:rsidRPr="003123B0">
              <w:t>January 1 through December 31, 2015</w:t>
            </w:r>
          </w:p>
        </w:tc>
        <w:tc>
          <w:tcPr>
            <w:tcW w:w="2340" w:type="dxa"/>
          </w:tcPr>
          <w:p w14:paraId="40C4CA40" w14:textId="26AC6812" w:rsidR="00907C50" w:rsidRPr="003123B0" w:rsidRDefault="009F31AB" w:rsidP="00FC2D3A">
            <w:pPr>
              <w:ind w:right="612"/>
              <w:jc w:val="right"/>
            </w:pPr>
            <w:r w:rsidRPr="003123B0">
              <w:t>21,106</w:t>
            </w:r>
          </w:p>
        </w:tc>
        <w:tc>
          <w:tcPr>
            <w:tcW w:w="2425" w:type="dxa"/>
          </w:tcPr>
          <w:p w14:paraId="588FE144" w14:textId="0A657E92" w:rsidR="00907C50" w:rsidRPr="003123B0" w:rsidRDefault="009F31AB" w:rsidP="00FC2D3A">
            <w:pPr>
              <w:ind w:right="787"/>
              <w:jc w:val="right"/>
            </w:pPr>
            <w:r w:rsidRPr="003123B0">
              <w:t>9,660</w:t>
            </w:r>
          </w:p>
        </w:tc>
      </w:tr>
      <w:tr w:rsidR="00907C50" w:rsidRPr="003123B0" w14:paraId="60FCBF86" w14:textId="77777777" w:rsidTr="00016586">
        <w:trPr>
          <w:cantSplit/>
          <w:jc w:val="center"/>
        </w:trPr>
        <w:tc>
          <w:tcPr>
            <w:tcW w:w="4585" w:type="dxa"/>
          </w:tcPr>
          <w:p w14:paraId="7F924B58" w14:textId="77777777" w:rsidR="00907C50" w:rsidRPr="003123B0" w:rsidRDefault="00907C50" w:rsidP="00FC2D3A">
            <w:r w:rsidRPr="003123B0">
              <w:lastRenderedPageBreak/>
              <w:t>January 1 through December 31, 2016</w:t>
            </w:r>
          </w:p>
        </w:tc>
        <w:tc>
          <w:tcPr>
            <w:tcW w:w="2340" w:type="dxa"/>
          </w:tcPr>
          <w:p w14:paraId="2A617518" w14:textId="3F2152E1" w:rsidR="00907C50" w:rsidRPr="003123B0" w:rsidRDefault="009F31AB" w:rsidP="00FC2D3A">
            <w:pPr>
              <w:ind w:right="612"/>
              <w:jc w:val="right"/>
            </w:pPr>
            <w:r w:rsidRPr="003123B0">
              <w:t>23,776</w:t>
            </w:r>
          </w:p>
        </w:tc>
        <w:tc>
          <w:tcPr>
            <w:tcW w:w="2425" w:type="dxa"/>
          </w:tcPr>
          <w:p w14:paraId="77D5D296" w14:textId="72B562D4" w:rsidR="00907C50" w:rsidRPr="003123B0" w:rsidRDefault="009F31AB" w:rsidP="00FC2D3A">
            <w:pPr>
              <w:ind w:right="787"/>
              <w:jc w:val="right"/>
            </w:pPr>
            <w:r w:rsidRPr="003123B0">
              <w:t>11,556</w:t>
            </w:r>
          </w:p>
        </w:tc>
      </w:tr>
      <w:tr w:rsidR="00907C50" w:rsidRPr="003123B0" w14:paraId="5E5315F6" w14:textId="77777777" w:rsidTr="00016586">
        <w:trPr>
          <w:cantSplit/>
          <w:jc w:val="center"/>
        </w:trPr>
        <w:tc>
          <w:tcPr>
            <w:tcW w:w="4585" w:type="dxa"/>
          </w:tcPr>
          <w:p w14:paraId="5B4C5B68" w14:textId="77777777" w:rsidR="00907C50" w:rsidRPr="003123B0" w:rsidRDefault="00907C50" w:rsidP="00FC2D3A">
            <w:r w:rsidRPr="003123B0">
              <w:t>January 1 through December 31, 2017</w:t>
            </w:r>
          </w:p>
        </w:tc>
        <w:tc>
          <w:tcPr>
            <w:tcW w:w="2340" w:type="dxa"/>
          </w:tcPr>
          <w:p w14:paraId="1B5B9BEB" w14:textId="7C75617E" w:rsidR="00907C50" w:rsidRPr="003123B0" w:rsidRDefault="009F31AB" w:rsidP="00FC2D3A">
            <w:pPr>
              <w:ind w:right="612"/>
              <w:jc w:val="right"/>
            </w:pPr>
            <w:r w:rsidRPr="003123B0">
              <w:t>22,832</w:t>
            </w:r>
          </w:p>
        </w:tc>
        <w:tc>
          <w:tcPr>
            <w:tcW w:w="2425" w:type="dxa"/>
          </w:tcPr>
          <w:p w14:paraId="247958DF" w14:textId="339D5D45" w:rsidR="00907C50" w:rsidRPr="003123B0" w:rsidRDefault="009F31AB" w:rsidP="00FC2D3A">
            <w:pPr>
              <w:ind w:right="787"/>
              <w:jc w:val="right"/>
            </w:pPr>
            <w:r w:rsidRPr="003123B0">
              <w:t>10,637</w:t>
            </w:r>
          </w:p>
        </w:tc>
      </w:tr>
      <w:tr w:rsidR="00907C50" w:rsidRPr="003123B0" w14:paraId="27F0123E" w14:textId="77777777" w:rsidTr="00016586">
        <w:trPr>
          <w:cantSplit/>
          <w:jc w:val="center"/>
        </w:trPr>
        <w:tc>
          <w:tcPr>
            <w:tcW w:w="4585" w:type="dxa"/>
          </w:tcPr>
          <w:p w14:paraId="347E6BFD" w14:textId="77777777" w:rsidR="00907C50" w:rsidRPr="003123B0" w:rsidRDefault="00907C50" w:rsidP="00FC2D3A">
            <w:r w:rsidRPr="003123B0">
              <w:t>January 1 through December 31, 2018</w:t>
            </w:r>
          </w:p>
        </w:tc>
        <w:tc>
          <w:tcPr>
            <w:tcW w:w="2340" w:type="dxa"/>
          </w:tcPr>
          <w:p w14:paraId="710198C8" w14:textId="3E2A2439" w:rsidR="00907C50" w:rsidRPr="003123B0" w:rsidRDefault="009F31AB" w:rsidP="00FC2D3A">
            <w:pPr>
              <w:ind w:right="612"/>
              <w:jc w:val="right"/>
            </w:pPr>
            <w:r w:rsidRPr="003123B0">
              <w:t>21,957</w:t>
            </w:r>
          </w:p>
        </w:tc>
        <w:tc>
          <w:tcPr>
            <w:tcW w:w="2425" w:type="dxa"/>
          </w:tcPr>
          <w:p w14:paraId="654F229F" w14:textId="370FFC74" w:rsidR="00907C50" w:rsidRPr="003123B0" w:rsidRDefault="009F31AB" w:rsidP="00FC2D3A">
            <w:pPr>
              <w:ind w:right="787"/>
              <w:jc w:val="right"/>
            </w:pPr>
            <w:r w:rsidRPr="003123B0">
              <w:t>10,693</w:t>
            </w:r>
          </w:p>
        </w:tc>
      </w:tr>
      <w:tr w:rsidR="00907C50" w:rsidRPr="003123B0" w14:paraId="2BD0EFD3" w14:textId="77777777" w:rsidTr="00016586">
        <w:trPr>
          <w:cantSplit/>
          <w:jc w:val="center"/>
        </w:trPr>
        <w:tc>
          <w:tcPr>
            <w:tcW w:w="4585" w:type="dxa"/>
          </w:tcPr>
          <w:p w14:paraId="3FF89E41" w14:textId="77777777" w:rsidR="00907C50" w:rsidRPr="003123B0" w:rsidRDefault="00907C50" w:rsidP="00FC2D3A">
            <w:r w:rsidRPr="003123B0">
              <w:t>January 1 through March 31, 2019</w:t>
            </w:r>
          </w:p>
        </w:tc>
        <w:tc>
          <w:tcPr>
            <w:tcW w:w="2340" w:type="dxa"/>
          </w:tcPr>
          <w:p w14:paraId="3FDBF343" w14:textId="71BC6583" w:rsidR="00907C50" w:rsidRPr="003123B0" w:rsidRDefault="009F31AB" w:rsidP="00FC2D3A">
            <w:pPr>
              <w:ind w:right="612"/>
              <w:jc w:val="right"/>
            </w:pPr>
            <w:r w:rsidRPr="003123B0">
              <w:t>7,567</w:t>
            </w:r>
          </w:p>
        </w:tc>
        <w:tc>
          <w:tcPr>
            <w:tcW w:w="2425" w:type="dxa"/>
          </w:tcPr>
          <w:p w14:paraId="74102E66" w14:textId="7B54C68D" w:rsidR="00907C50" w:rsidRPr="003123B0" w:rsidRDefault="009F31AB" w:rsidP="00FC2D3A">
            <w:pPr>
              <w:ind w:right="787"/>
              <w:jc w:val="right"/>
            </w:pPr>
            <w:r w:rsidRPr="003123B0">
              <w:t>2,324</w:t>
            </w:r>
          </w:p>
        </w:tc>
      </w:tr>
    </w:tbl>
    <w:p w14:paraId="124CDE44" w14:textId="5968762F" w:rsidR="00402A37" w:rsidRPr="003123B0" w:rsidRDefault="00402A37" w:rsidP="0017685C">
      <w:pPr>
        <w:spacing w:after="240" w:line="259" w:lineRule="auto"/>
        <w:rPr>
          <w:rFonts w:cs="Arial"/>
        </w:rPr>
      </w:pPr>
      <w:r w:rsidRPr="003123B0">
        <w:rPr>
          <w:rFonts w:cs="Arial"/>
        </w:rPr>
        <w:t>The current 2019 MOU with GEDTS ends December 31, 2019</w:t>
      </w:r>
      <w:r w:rsidR="00191238" w:rsidRPr="003123B0">
        <w:rPr>
          <w:rFonts w:cs="Arial"/>
        </w:rPr>
        <w:t>. Base</w:t>
      </w:r>
      <w:r w:rsidR="00BB761C" w:rsidRPr="003123B0">
        <w:rPr>
          <w:rFonts w:cs="Arial"/>
        </w:rPr>
        <w:t xml:space="preserve">d on the current demand and </w:t>
      </w:r>
      <w:r w:rsidR="00A4527D" w:rsidRPr="003123B0">
        <w:rPr>
          <w:rFonts w:cs="Arial"/>
        </w:rPr>
        <w:t xml:space="preserve">use </w:t>
      </w:r>
      <w:r w:rsidR="00BB761C" w:rsidRPr="003123B0">
        <w:rPr>
          <w:rFonts w:cs="Arial"/>
        </w:rPr>
        <w:t>of the GED</w:t>
      </w:r>
      <w:r w:rsidR="00BB761C" w:rsidRPr="003123B0">
        <w:rPr>
          <w:rFonts w:cs="Arial"/>
          <w:vertAlign w:val="superscript"/>
        </w:rPr>
        <w:t>®</w:t>
      </w:r>
      <w:r w:rsidR="00191238" w:rsidRPr="003123B0">
        <w:rPr>
          <w:rFonts w:cs="Arial"/>
        </w:rPr>
        <w:t>, t</w:t>
      </w:r>
      <w:r w:rsidR="00413B16" w:rsidRPr="003123B0">
        <w:rPr>
          <w:rFonts w:cs="Arial"/>
        </w:rPr>
        <w:t xml:space="preserve">he CDE will </w:t>
      </w:r>
      <w:r w:rsidR="00BC18F7" w:rsidRPr="003123B0">
        <w:rPr>
          <w:rFonts w:cs="Arial"/>
        </w:rPr>
        <w:t xml:space="preserve">recommend </w:t>
      </w:r>
      <w:r w:rsidR="00413B16" w:rsidRPr="003123B0">
        <w:rPr>
          <w:rFonts w:cs="Arial"/>
        </w:rPr>
        <w:t>continue</w:t>
      </w:r>
      <w:r w:rsidR="00BC18F7" w:rsidRPr="003123B0">
        <w:rPr>
          <w:rFonts w:cs="Arial"/>
        </w:rPr>
        <w:t>d</w:t>
      </w:r>
      <w:r w:rsidR="00413B16" w:rsidRPr="003123B0">
        <w:rPr>
          <w:rFonts w:cs="Arial"/>
        </w:rPr>
        <w:t xml:space="preserve"> annual negotiations with GEDTS to renew their MOU each year until such a time that the CDE </w:t>
      </w:r>
      <w:r w:rsidR="00BC18F7" w:rsidRPr="003123B0">
        <w:rPr>
          <w:rFonts w:cs="Arial"/>
        </w:rPr>
        <w:t>may recommend</w:t>
      </w:r>
      <w:r w:rsidR="00413B16" w:rsidRPr="003123B0">
        <w:rPr>
          <w:rFonts w:cs="Arial"/>
        </w:rPr>
        <w:t xml:space="preserve"> the SBE take further action.</w:t>
      </w:r>
    </w:p>
    <w:p w14:paraId="65BA7B0D" w14:textId="4CDD4A78" w:rsidR="0017685C" w:rsidRPr="003123B0" w:rsidRDefault="0017685C" w:rsidP="00016586">
      <w:pPr>
        <w:pStyle w:val="Heading3"/>
      </w:pPr>
      <w:r w:rsidRPr="003123B0">
        <w:t>MOU with ETS</w:t>
      </w:r>
    </w:p>
    <w:p w14:paraId="3A9E8347" w14:textId="6B11BC81" w:rsidR="0017685C" w:rsidRPr="003123B0" w:rsidRDefault="00A4527D" w:rsidP="0017685C">
      <w:pPr>
        <w:spacing w:after="160" w:line="259" w:lineRule="auto"/>
        <w:rPr>
          <w:rFonts w:cs="Arial"/>
        </w:rPr>
      </w:pPr>
      <w:r w:rsidRPr="003123B0">
        <w:rPr>
          <w:rFonts w:cs="Arial"/>
        </w:rPr>
        <w:t xml:space="preserve">With the </w:t>
      </w:r>
      <w:r w:rsidR="0017685C" w:rsidRPr="003123B0">
        <w:rPr>
          <w:rFonts w:cs="Arial"/>
        </w:rPr>
        <w:t>SBE</w:t>
      </w:r>
      <w:r w:rsidRPr="003123B0">
        <w:rPr>
          <w:rFonts w:cs="Arial"/>
        </w:rPr>
        <w:t>’s</w:t>
      </w:r>
      <w:r w:rsidR="0017685C" w:rsidRPr="003123B0">
        <w:rPr>
          <w:rFonts w:cs="Arial"/>
        </w:rPr>
        <w:t xml:space="preserve"> approval in March 2014, the CDE began negotiating the terms of the HSE MOU with ETS to </w:t>
      </w:r>
      <w:r w:rsidRPr="003123B0">
        <w:rPr>
          <w:rFonts w:cs="Arial"/>
        </w:rPr>
        <w:t xml:space="preserve">use </w:t>
      </w:r>
      <w:r w:rsidR="0017685C" w:rsidRPr="003123B0">
        <w:rPr>
          <w:rFonts w:cs="Arial"/>
        </w:rPr>
        <w:t xml:space="preserve">the </w:t>
      </w:r>
      <w:proofErr w:type="spellStart"/>
      <w:r w:rsidR="0017685C" w:rsidRPr="003123B0">
        <w:rPr>
          <w:rFonts w:cs="Arial"/>
        </w:rPr>
        <w:t>HiSET</w:t>
      </w:r>
      <w:proofErr w:type="spellEnd"/>
      <w:r w:rsidR="0017685C" w:rsidRPr="003123B0">
        <w:rPr>
          <w:rFonts w:cs="Arial"/>
          <w:vertAlign w:val="superscript"/>
        </w:rPr>
        <w:t>®</w:t>
      </w:r>
      <w:r w:rsidR="0017685C" w:rsidRPr="003123B0">
        <w:rPr>
          <w:rFonts w:cs="Arial"/>
        </w:rPr>
        <w:t xml:space="preserve">. The MOU between the CDE and ETS was finalized in July 2014. </w:t>
      </w:r>
      <w:r w:rsidR="0066121A" w:rsidRPr="003123B0">
        <w:rPr>
          <w:rFonts w:cs="Arial"/>
        </w:rPr>
        <w:t>The E</w:t>
      </w:r>
      <w:r w:rsidR="0017685C" w:rsidRPr="003123B0">
        <w:rPr>
          <w:rFonts w:cs="Arial"/>
        </w:rPr>
        <w:t>TS MOU has been negotiated and renewed annually since</w:t>
      </w:r>
      <w:r w:rsidRPr="003123B0">
        <w:rPr>
          <w:rFonts w:cs="Arial"/>
        </w:rPr>
        <w:t xml:space="preserve"> that time</w:t>
      </w:r>
      <w:r w:rsidR="0017685C" w:rsidRPr="003123B0">
        <w:rPr>
          <w:rFonts w:cs="Arial"/>
        </w:rPr>
        <w:t xml:space="preserve">. </w:t>
      </w:r>
    </w:p>
    <w:p w14:paraId="6E1EFFE0" w14:textId="178ADF3D" w:rsidR="0017685C" w:rsidRPr="003123B0" w:rsidRDefault="0017685C" w:rsidP="0017685C">
      <w:pPr>
        <w:spacing w:after="160" w:line="259" w:lineRule="auto"/>
      </w:pPr>
      <w:r w:rsidRPr="003123B0">
        <w:t xml:space="preserve">As of March 31, 2019, </w:t>
      </w:r>
      <w:r w:rsidR="00874902" w:rsidRPr="003123B0">
        <w:t xml:space="preserve">56,378 </w:t>
      </w:r>
      <w:r w:rsidRPr="003123B0">
        <w:t xml:space="preserve">test takers have completed at least one </w:t>
      </w:r>
      <w:proofErr w:type="spellStart"/>
      <w:r w:rsidR="008468FB" w:rsidRPr="003123B0">
        <w:t>HiSET</w:t>
      </w:r>
      <w:proofErr w:type="spellEnd"/>
      <w:r w:rsidR="00B76DB0" w:rsidRPr="003123B0">
        <w:rPr>
          <w:vertAlign w:val="superscript"/>
        </w:rPr>
        <w:t>®</w:t>
      </w:r>
      <w:r w:rsidRPr="003123B0">
        <w:t xml:space="preserve"> subtest</w:t>
      </w:r>
      <w:r w:rsidR="00372C6C" w:rsidRPr="003123B0">
        <w:t xml:space="preserve"> over the past five years</w:t>
      </w:r>
      <w:r w:rsidRPr="003123B0">
        <w:t xml:space="preserve">, with a total of </w:t>
      </w:r>
      <w:r w:rsidR="00677E5F" w:rsidRPr="003123B0">
        <w:t>40,957</w:t>
      </w:r>
      <w:r w:rsidRPr="003123B0">
        <w:t xml:space="preserve"> test takers having passed all subtests and received their certificate. Duri</w:t>
      </w:r>
      <w:r w:rsidR="008468FB" w:rsidRPr="003123B0">
        <w:t>ng that same time period</w:t>
      </w:r>
      <w:r w:rsidR="00372C6C" w:rsidRPr="003123B0">
        <w:t>,</w:t>
      </w:r>
      <w:r w:rsidR="008468FB" w:rsidRPr="003123B0">
        <w:t xml:space="preserve"> the </w:t>
      </w:r>
      <w:proofErr w:type="spellStart"/>
      <w:r w:rsidR="008468FB" w:rsidRPr="003123B0">
        <w:t>HiSET</w:t>
      </w:r>
      <w:proofErr w:type="spellEnd"/>
      <w:r w:rsidRPr="003123B0">
        <w:rPr>
          <w:vertAlign w:val="superscript"/>
        </w:rPr>
        <w:t>®</w:t>
      </w:r>
      <w:r w:rsidRPr="003123B0">
        <w:t xml:space="preserve"> had been administered at </w:t>
      </w:r>
      <w:r w:rsidR="008468FB" w:rsidRPr="003123B0">
        <w:t>340 testing sites</w:t>
      </w:r>
      <w:r w:rsidR="00372C6C" w:rsidRPr="003123B0">
        <w:t xml:space="preserve"> where staff had </w:t>
      </w:r>
      <w:r w:rsidR="00BC18F7" w:rsidRPr="003123B0">
        <w:t xml:space="preserve">also </w:t>
      </w:r>
      <w:r w:rsidR="00372C6C" w:rsidRPr="003123B0">
        <w:t>been</w:t>
      </w:r>
      <w:r w:rsidR="008468FB" w:rsidRPr="003123B0">
        <w:t xml:space="preserve"> trained by E</w:t>
      </w:r>
      <w:r w:rsidRPr="003123B0">
        <w:t xml:space="preserve">TS to provide computer-based </w:t>
      </w:r>
      <w:r w:rsidR="00AE14CD" w:rsidRPr="003123B0">
        <w:t xml:space="preserve">and paper-based </w:t>
      </w:r>
      <w:r w:rsidRPr="003123B0">
        <w:t>testing.</w:t>
      </w:r>
    </w:p>
    <w:p w14:paraId="4EAF20C8" w14:textId="6A31F224" w:rsidR="00CA7CA3" w:rsidRPr="003123B0" w:rsidRDefault="00CA7CA3" w:rsidP="00016586">
      <w:pPr>
        <w:pStyle w:val="Heading3"/>
      </w:pPr>
      <w:r w:rsidRPr="003123B0">
        <w:t xml:space="preserve">Number of </w:t>
      </w:r>
      <w:proofErr w:type="spellStart"/>
      <w:r w:rsidR="00907C50" w:rsidRPr="003123B0">
        <w:t>HiSET</w:t>
      </w:r>
      <w:proofErr w:type="spellEnd"/>
      <w:r w:rsidR="00B76DB0" w:rsidRPr="003123B0">
        <w:rPr>
          <w:vertAlign w:val="superscript"/>
        </w:rPr>
        <w:t>®</w:t>
      </w:r>
      <w:r w:rsidRPr="003123B0">
        <w:t xml:space="preserve"> Te</w:t>
      </w:r>
      <w:r w:rsidR="004E20E0" w:rsidRPr="003123B0">
        <w:t>st Takers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umber of HiSET® Test Takers Completing at Least One Subtest by year. Number of Test Takers Who Earned a Certificate by year (passed all tests). "/>
      </w:tblPr>
      <w:tblGrid>
        <w:gridCol w:w="4585"/>
        <w:gridCol w:w="2340"/>
        <w:gridCol w:w="2425"/>
      </w:tblGrid>
      <w:tr w:rsidR="00CA7CA3" w:rsidRPr="003123B0" w14:paraId="29A09BCA" w14:textId="77777777" w:rsidTr="00016586">
        <w:trPr>
          <w:cantSplit/>
          <w:tblHeader/>
        </w:trPr>
        <w:tc>
          <w:tcPr>
            <w:tcW w:w="4585" w:type="dxa"/>
            <w:vAlign w:val="center"/>
          </w:tcPr>
          <w:p w14:paraId="2F896516" w14:textId="346ECED8" w:rsidR="00CA7CA3" w:rsidRPr="003123B0" w:rsidRDefault="00CA7CA3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>Year</w:t>
            </w:r>
          </w:p>
        </w:tc>
        <w:tc>
          <w:tcPr>
            <w:tcW w:w="2340" w:type="dxa"/>
            <w:vAlign w:val="center"/>
          </w:tcPr>
          <w:p w14:paraId="44F7BAF5" w14:textId="2DEE68E4" w:rsidR="00CA7CA3" w:rsidRPr="003123B0" w:rsidRDefault="00CA7CA3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Completing </w:t>
            </w:r>
            <w:proofErr w:type="gramStart"/>
            <w:r w:rsidR="00372C6C" w:rsidRPr="003123B0">
              <w:rPr>
                <w:b/>
              </w:rPr>
              <w:t>a</w:t>
            </w:r>
            <w:r w:rsidRPr="003123B0">
              <w:rPr>
                <w:b/>
              </w:rPr>
              <w:t>t Least</w:t>
            </w:r>
            <w:proofErr w:type="gramEnd"/>
            <w:r w:rsidRPr="003123B0">
              <w:rPr>
                <w:b/>
              </w:rPr>
              <w:t xml:space="preserve"> One Subtest</w:t>
            </w:r>
          </w:p>
        </w:tc>
        <w:tc>
          <w:tcPr>
            <w:tcW w:w="2425" w:type="dxa"/>
            <w:vAlign w:val="center"/>
          </w:tcPr>
          <w:p w14:paraId="6ECC2B28" w14:textId="2E3AC3E7" w:rsidR="00CA7CA3" w:rsidRPr="003123B0" w:rsidRDefault="00CA7CA3" w:rsidP="00372C6C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</w:t>
            </w:r>
            <w:r w:rsidR="00372C6C" w:rsidRPr="003123B0">
              <w:rPr>
                <w:b/>
              </w:rPr>
              <w:t xml:space="preserve">Who </w:t>
            </w:r>
            <w:r w:rsidRPr="003123B0">
              <w:rPr>
                <w:b/>
              </w:rPr>
              <w:t xml:space="preserve">Earned a Certificate </w:t>
            </w:r>
            <w:r w:rsidR="00372C6C" w:rsidRPr="003123B0">
              <w:rPr>
                <w:b/>
              </w:rPr>
              <w:br/>
            </w:r>
            <w:r w:rsidRPr="003123B0">
              <w:rPr>
                <w:b/>
              </w:rPr>
              <w:t>(passed all tests)</w:t>
            </w:r>
          </w:p>
        </w:tc>
      </w:tr>
      <w:tr w:rsidR="00CA7CA3" w:rsidRPr="003123B0" w14:paraId="486229CA" w14:textId="77777777" w:rsidTr="00016586">
        <w:trPr>
          <w:cantSplit/>
        </w:trPr>
        <w:tc>
          <w:tcPr>
            <w:tcW w:w="4585" w:type="dxa"/>
            <w:vAlign w:val="center"/>
          </w:tcPr>
          <w:p w14:paraId="11854A69" w14:textId="248E8100" w:rsidR="00CA7CA3" w:rsidRPr="003123B0" w:rsidRDefault="00CA7CA3" w:rsidP="00FC2D3A">
            <w:r w:rsidRPr="003123B0">
              <w:t>July 1 through December 31, 2014</w:t>
            </w:r>
          </w:p>
        </w:tc>
        <w:tc>
          <w:tcPr>
            <w:tcW w:w="2340" w:type="dxa"/>
            <w:vAlign w:val="center"/>
          </w:tcPr>
          <w:p w14:paraId="41845032" w14:textId="346B3BAC" w:rsidR="00CA7CA3" w:rsidRPr="003123B0" w:rsidRDefault="00B00ABA" w:rsidP="00FC2D3A">
            <w:pPr>
              <w:ind w:right="702"/>
              <w:jc w:val="right"/>
            </w:pPr>
            <w:r w:rsidRPr="003123B0">
              <w:t>3,032</w:t>
            </w:r>
          </w:p>
        </w:tc>
        <w:tc>
          <w:tcPr>
            <w:tcW w:w="2425" w:type="dxa"/>
            <w:vAlign w:val="center"/>
          </w:tcPr>
          <w:p w14:paraId="0C0574E5" w14:textId="2F7AD2BC" w:rsidR="00CA7CA3" w:rsidRPr="003123B0" w:rsidRDefault="00B00ABA" w:rsidP="00FC2D3A">
            <w:pPr>
              <w:ind w:right="787"/>
              <w:jc w:val="right"/>
            </w:pPr>
            <w:r w:rsidRPr="003123B0">
              <w:t>2,121</w:t>
            </w:r>
          </w:p>
        </w:tc>
      </w:tr>
      <w:tr w:rsidR="00CA7CA3" w:rsidRPr="003123B0" w14:paraId="0D20EDD7" w14:textId="77777777" w:rsidTr="00016586">
        <w:trPr>
          <w:cantSplit/>
        </w:trPr>
        <w:tc>
          <w:tcPr>
            <w:tcW w:w="4585" w:type="dxa"/>
            <w:vAlign w:val="center"/>
          </w:tcPr>
          <w:p w14:paraId="78EA17DA" w14:textId="09F7A6F5" w:rsidR="00CA7CA3" w:rsidRPr="003123B0" w:rsidRDefault="00CA7CA3" w:rsidP="00FC2D3A">
            <w:r w:rsidRPr="003123B0">
              <w:t>January 1 through December 31, 2015</w:t>
            </w:r>
          </w:p>
        </w:tc>
        <w:tc>
          <w:tcPr>
            <w:tcW w:w="2340" w:type="dxa"/>
            <w:vAlign w:val="center"/>
          </w:tcPr>
          <w:p w14:paraId="47A1EE7F" w14:textId="10DD1279" w:rsidR="00CA7CA3" w:rsidRPr="003123B0" w:rsidRDefault="00B00ABA" w:rsidP="00FC2D3A">
            <w:pPr>
              <w:ind w:right="702"/>
              <w:jc w:val="right"/>
            </w:pPr>
            <w:r w:rsidRPr="003123B0">
              <w:t>10,527</w:t>
            </w:r>
          </w:p>
        </w:tc>
        <w:tc>
          <w:tcPr>
            <w:tcW w:w="2425" w:type="dxa"/>
            <w:vAlign w:val="center"/>
          </w:tcPr>
          <w:p w14:paraId="2A4751FC" w14:textId="15F3317E" w:rsidR="00CA7CA3" w:rsidRPr="003123B0" w:rsidRDefault="00B00ABA" w:rsidP="00FC2D3A">
            <w:pPr>
              <w:ind w:right="787"/>
              <w:jc w:val="right"/>
            </w:pPr>
            <w:r w:rsidRPr="003123B0">
              <w:t>7,328</w:t>
            </w:r>
          </w:p>
        </w:tc>
      </w:tr>
      <w:tr w:rsidR="00CA7CA3" w:rsidRPr="003123B0" w14:paraId="0BFB16F0" w14:textId="77777777" w:rsidTr="00016586">
        <w:trPr>
          <w:cantSplit/>
        </w:trPr>
        <w:tc>
          <w:tcPr>
            <w:tcW w:w="4585" w:type="dxa"/>
            <w:vAlign w:val="center"/>
          </w:tcPr>
          <w:p w14:paraId="43511AE9" w14:textId="68A98AB1" w:rsidR="00CA7CA3" w:rsidRPr="003123B0" w:rsidRDefault="00CA7CA3" w:rsidP="00FC2D3A">
            <w:r w:rsidRPr="003123B0">
              <w:t>January 1 through December 31, 2016</w:t>
            </w:r>
          </w:p>
        </w:tc>
        <w:tc>
          <w:tcPr>
            <w:tcW w:w="2340" w:type="dxa"/>
            <w:vAlign w:val="center"/>
          </w:tcPr>
          <w:p w14:paraId="19823344" w14:textId="0C1A6F65" w:rsidR="00CA7CA3" w:rsidRPr="003123B0" w:rsidRDefault="00B00ABA" w:rsidP="00FC2D3A">
            <w:pPr>
              <w:ind w:right="702"/>
              <w:jc w:val="right"/>
            </w:pPr>
            <w:r w:rsidRPr="003123B0">
              <w:t>13,456</w:t>
            </w:r>
          </w:p>
        </w:tc>
        <w:tc>
          <w:tcPr>
            <w:tcW w:w="2425" w:type="dxa"/>
            <w:vAlign w:val="center"/>
          </w:tcPr>
          <w:p w14:paraId="32F56A48" w14:textId="2DBE7548" w:rsidR="00CA7CA3" w:rsidRPr="003123B0" w:rsidRDefault="00B00ABA" w:rsidP="00FC2D3A">
            <w:pPr>
              <w:ind w:right="787"/>
              <w:jc w:val="right"/>
            </w:pPr>
            <w:r w:rsidRPr="003123B0">
              <w:t>10,568</w:t>
            </w:r>
          </w:p>
        </w:tc>
      </w:tr>
      <w:tr w:rsidR="00CA7CA3" w:rsidRPr="003123B0" w14:paraId="4A8E9523" w14:textId="77777777" w:rsidTr="00016586">
        <w:trPr>
          <w:cantSplit/>
        </w:trPr>
        <w:tc>
          <w:tcPr>
            <w:tcW w:w="4585" w:type="dxa"/>
            <w:vAlign w:val="center"/>
          </w:tcPr>
          <w:p w14:paraId="3DB9B5E5" w14:textId="23737924" w:rsidR="00CA7CA3" w:rsidRPr="003123B0" w:rsidRDefault="00CA7CA3" w:rsidP="00FC2D3A">
            <w:r w:rsidRPr="003123B0">
              <w:t>January 1 through December 31, 2017</w:t>
            </w:r>
          </w:p>
        </w:tc>
        <w:tc>
          <w:tcPr>
            <w:tcW w:w="2340" w:type="dxa"/>
            <w:vAlign w:val="center"/>
          </w:tcPr>
          <w:p w14:paraId="1883E690" w14:textId="6D303B72" w:rsidR="00CA7CA3" w:rsidRPr="003123B0" w:rsidRDefault="00B00ABA" w:rsidP="00FC2D3A">
            <w:pPr>
              <w:ind w:right="702"/>
              <w:jc w:val="right"/>
            </w:pPr>
            <w:r w:rsidRPr="003123B0">
              <w:t>12,852</w:t>
            </w:r>
          </w:p>
        </w:tc>
        <w:tc>
          <w:tcPr>
            <w:tcW w:w="2425" w:type="dxa"/>
            <w:vAlign w:val="center"/>
          </w:tcPr>
          <w:p w14:paraId="1730EA06" w14:textId="7EA62212" w:rsidR="00CA7CA3" w:rsidRPr="003123B0" w:rsidRDefault="00B00ABA" w:rsidP="00FC2D3A">
            <w:pPr>
              <w:ind w:right="787"/>
              <w:jc w:val="right"/>
            </w:pPr>
            <w:r w:rsidRPr="003123B0">
              <w:t>9,371</w:t>
            </w:r>
          </w:p>
        </w:tc>
      </w:tr>
      <w:tr w:rsidR="00CA7CA3" w:rsidRPr="003123B0" w14:paraId="33580607" w14:textId="77777777" w:rsidTr="00016586">
        <w:trPr>
          <w:cantSplit/>
        </w:trPr>
        <w:tc>
          <w:tcPr>
            <w:tcW w:w="4585" w:type="dxa"/>
            <w:vAlign w:val="center"/>
          </w:tcPr>
          <w:p w14:paraId="27B8C9C1" w14:textId="01D89D7F" w:rsidR="00CA7CA3" w:rsidRPr="003123B0" w:rsidRDefault="00CA7CA3" w:rsidP="00FC2D3A">
            <w:r w:rsidRPr="003123B0">
              <w:t>January 1 through December 31, 2018</w:t>
            </w:r>
          </w:p>
        </w:tc>
        <w:tc>
          <w:tcPr>
            <w:tcW w:w="2340" w:type="dxa"/>
            <w:vAlign w:val="center"/>
          </w:tcPr>
          <w:p w14:paraId="7720B2AC" w14:textId="6E6588BC" w:rsidR="00CA7CA3" w:rsidRPr="003123B0" w:rsidRDefault="00B00ABA" w:rsidP="00FC2D3A">
            <w:pPr>
              <w:ind w:right="702"/>
              <w:jc w:val="right"/>
            </w:pPr>
            <w:r w:rsidRPr="003123B0">
              <w:t>13,006</w:t>
            </w:r>
          </w:p>
        </w:tc>
        <w:tc>
          <w:tcPr>
            <w:tcW w:w="2425" w:type="dxa"/>
            <w:vAlign w:val="center"/>
          </w:tcPr>
          <w:p w14:paraId="3C736E37" w14:textId="4676015A" w:rsidR="00CA7CA3" w:rsidRPr="003123B0" w:rsidRDefault="00B00ABA" w:rsidP="00FC2D3A">
            <w:pPr>
              <w:ind w:right="787"/>
              <w:jc w:val="right"/>
            </w:pPr>
            <w:r w:rsidRPr="003123B0">
              <w:t>9,494</w:t>
            </w:r>
          </w:p>
        </w:tc>
      </w:tr>
      <w:tr w:rsidR="00CA7CA3" w:rsidRPr="003123B0" w14:paraId="14A24421" w14:textId="77777777" w:rsidTr="00016586">
        <w:trPr>
          <w:cantSplit/>
        </w:trPr>
        <w:tc>
          <w:tcPr>
            <w:tcW w:w="4585" w:type="dxa"/>
            <w:vAlign w:val="center"/>
          </w:tcPr>
          <w:p w14:paraId="3E1BD5B3" w14:textId="2E55421B" w:rsidR="00CA7CA3" w:rsidRPr="003123B0" w:rsidRDefault="00CA7CA3" w:rsidP="00FC2D3A">
            <w:r w:rsidRPr="003123B0">
              <w:t>January 1 through March 31, 2019</w:t>
            </w:r>
          </w:p>
        </w:tc>
        <w:tc>
          <w:tcPr>
            <w:tcW w:w="2340" w:type="dxa"/>
            <w:vAlign w:val="center"/>
          </w:tcPr>
          <w:p w14:paraId="4CE210CA" w14:textId="483B8C1B" w:rsidR="00CA7CA3" w:rsidRPr="003123B0" w:rsidRDefault="00B00ABA" w:rsidP="00FC2D3A">
            <w:pPr>
              <w:ind w:right="702"/>
              <w:jc w:val="right"/>
            </w:pPr>
            <w:r w:rsidRPr="003123B0">
              <w:t>3,505</w:t>
            </w:r>
          </w:p>
        </w:tc>
        <w:tc>
          <w:tcPr>
            <w:tcW w:w="2425" w:type="dxa"/>
            <w:vAlign w:val="center"/>
          </w:tcPr>
          <w:p w14:paraId="17AAF5BE" w14:textId="381EBA6E" w:rsidR="00CA7CA3" w:rsidRPr="003123B0" w:rsidRDefault="00B00ABA" w:rsidP="00FC2D3A">
            <w:pPr>
              <w:ind w:right="787"/>
              <w:jc w:val="right"/>
            </w:pPr>
            <w:r w:rsidRPr="003123B0">
              <w:t>2,075</w:t>
            </w:r>
          </w:p>
        </w:tc>
      </w:tr>
    </w:tbl>
    <w:p w14:paraId="3AABB34E" w14:textId="77777777" w:rsidR="00CA7CA3" w:rsidRPr="003123B0" w:rsidRDefault="00CA7CA3" w:rsidP="00CA7CA3"/>
    <w:p w14:paraId="364B2059" w14:textId="7B3E2F3D" w:rsidR="0017685C" w:rsidRPr="003123B0" w:rsidRDefault="008468FB" w:rsidP="0017685C">
      <w:pPr>
        <w:spacing w:after="240" w:line="259" w:lineRule="auto"/>
        <w:rPr>
          <w:rFonts w:cs="Arial"/>
        </w:rPr>
      </w:pPr>
      <w:r w:rsidRPr="003123B0">
        <w:rPr>
          <w:rFonts w:cs="Arial"/>
        </w:rPr>
        <w:t>The current 2019 MOU with E</w:t>
      </w:r>
      <w:r w:rsidR="0017685C" w:rsidRPr="003123B0">
        <w:rPr>
          <w:rFonts w:cs="Arial"/>
        </w:rPr>
        <w:t xml:space="preserve">TS ends December 31, 2019. </w:t>
      </w:r>
      <w:r w:rsidR="009114AD" w:rsidRPr="003123B0">
        <w:rPr>
          <w:rFonts w:cs="Arial"/>
        </w:rPr>
        <w:t xml:space="preserve">Based on the current demand and </w:t>
      </w:r>
      <w:r w:rsidR="00B76DB0" w:rsidRPr="003123B0">
        <w:rPr>
          <w:rFonts w:cs="Arial"/>
        </w:rPr>
        <w:t xml:space="preserve">use </w:t>
      </w:r>
      <w:r w:rsidR="009114AD" w:rsidRPr="003123B0">
        <w:rPr>
          <w:rFonts w:cs="Arial"/>
        </w:rPr>
        <w:t xml:space="preserve">of the </w:t>
      </w:r>
      <w:proofErr w:type="spellStart"/>
      <w:r w:rsidR="009114AD" w:rsidRPr="003123B0">
        <w:rPr>
          <w:rFonts w:cs="Arial"/>
        </w:rPr>
        <w:t>HiSET</w:t>
      </w:r>
      <w:proofErr w:type="spellEnd"/>
      <w:r w:rsidR="009114AD" w:rsidRPr="003123B0">
        <w:rPr>
          <w:rFonts w:cs="Arial"/>
          <w:vertAlign w:val="superscript"/>
        </w:rPr>
        <w:t>®</w:t>
      </w:r>
      <w:r w:rsidR="00191238" w:rsidRPr="003123B0">
        <w:rPr>
          <w:rFonts w:cs="Arial"/>
        </w:rPr>
        <w:t>, t</w:t>
      </w:r>
      <w:r w:rsidR="0017685C" w:rsidRPr="003123B0">
        <w:rPr>
          <w:rFonts w:cs="Arial"/>
        </w:rPr>
        <w:t>he CDE will</w:t>
      </w:r>
      <w:r w:rsidR="000337FB" w:rsidRPr="003123B0">
        <w:rPr>
          <w:rFonts w:cs="Arial"/>
        </w:rPr>
        <w:t xml:space="preserve"> recommend</w:t>
      </w:r>
      <w:r w:rsidR="0017685C" w:rsidRPr="003123B0">
        <w:rPr>
          <w:rFonts w:cs="Arial"/>
        </w:rPr>
        <w:t xml:space="preserve"> continue</w:t>
      </w:r>
      <w:r w:rsidR="000337FB" w:rsidRPr="003123B0">
        <w:rPr>
          <w:rFonts w:cs="Arial"/>
        </w:rPr>
        <w:t>d</w:t>
      </w:r>
      <w:r w:rsidR="0017685C" w:rsidRPr="003123B0">
        <w:rPr>
          <w:rFonts w:cs="Arial"/>
        </w:rPr>
        <w:t xml:space="preserve"> annual </w:t>
      </w:r>
      <w:r w:rsidRPr="003123B0">
        <w:rPr>
          <w:rFonts w:cs="Arial"/>
        </w:rPr>
        <w:t>negotiations with E</w:t>
      </w:r>
      <w:r w:rsidR="0017685C" w:rsidRPr="003123B0">
        <w:rPr>
          <w:rFonts w:cs="Arial"/>
        </w:rPr>
        <w:t xml:space="preserve">TS to renew their MOU each year until such a time that the CDE </w:t>
      </w:r>
      <w:r w:rsidR="000337FB" w:rsidRPr="003123B0">
        <w:rPr>
          <w:rFonts w:cs="Arial"/>
        </w:rPr>
        <w:t>may recommend</w:t>
      </w:r>
      <w:r w:rsidR="0017685C" w:rsidRPr="003123B0">
        <w:rPr>
          <w:rFonts w:cs="Arial"/>
        </w:rPr>
        <w:t xml:space="preserve"> the SBE take further action.</w:t>
      </w:r>
    </w:p>
    <w:p w14:paraId="36001618" w14:textId="46E39432" w:rsidR="00601AD7" w:rsidRPr="003123B0" w:rsidRDefault="00C75573" w:rsidP="00016586">
      <w:pPr>
        <w:pStyle w:val="Heading3"/>
      </w:pPr>
      <w:r w:rsidRPr="003123B0">
        <w:lastRenderedPageBreak/>
        <w:t>MOU with DRC</w:t>
      </w:r>
    </w:p>
    <w:p w14:paraId="5BABE7F6" w14:textId="01B8B7A1" w:rsidR="001653B1" w:rsidRPr="003123B0" w:rsidRDefault="00B76DB0" w:rsidP="00AE14CD">
      <w:pPr>
        <w:spacing w:after="240"/>
        <w:rPr>
          <w:rFonts w:cs="Arial"/>
        </w:rPr>
      </w:pPr>
      <w:r w:rsidRPr="003123B0">
        <w:rPr>
          <w:rFonts w:cs="Arial"/>
        </w:rPr>
        <w:t xml:space="preserve">With the </w:t>
      </w:r>
      <w:r w:rsidR="001653B1" w:rsidRPr="003123B0">
        <w:rPr>
          <w:rFonts w:cs="Arial"/>
        </w:rPr>
        <w:t>SBE</w:t>
      </w:r>
      <w:r w:rsidRPr="003123B0">
        <w:rPr>
          <w:rFonts w:cs="Arial"/>
        </w:rPr>
        <w:t>’s</w:t>
      </w:r>
      <w:r w:rsidR="001653B1" w:rsidRPr="003123B0">
        <w:rPr>
          <w:rFonts w:cs="Arial"/>
        </w:rPr>
        <w:t xml:space="preserve"> approval in March 2014, the CDE began negotiating the terms of the HSE MOU with CTB/McGraw-Hill to </w:t>
      </w:r>
      <w:r w:rsidR="00231286" w:rsidRPr="003123B0">
        <w:rPr>
          <w:rFonts w:cs="Arial"/>
        </w:rPr>
        <w:t xml:space="preserve">use </w:t>
      </w:r>
      <w:r w:rsidR="001653B1" w:rsidRPr="003123B0">
        <w:rPr>
          <w:rFonts w:cs="Arial"/>
        </w:rPr>
        <w:t xml:space="preserve">the </w:t>
      </w:r>
      <w:r w:rsidR="00231286" w:rsidRPr="003123B0">
        <w:rPr>
          <w:rFonts w:cs="Arial"/>
        </w:rPr>
        <w:t>TASC™</w:t>
      </w:r>
      <w:r w:rsidR="001653B1" w:rsidRPr="003123B0">
        <w:rPr>
          <w:rFonts w:cs="Arial"/>
        </w:rPr>
        <w:t xml:space="preserve">. The MOU between the CDE and CTB/McGraw-Hill was finalized in February 2015. Shortly after negotiations were completed for the TASC™, the </w:t>
      </w:r>
      <w:r w:rsidR="00231286" w:rsidRPr="003123B0">
        <w:rPr>
          <w:rFonts w:cs="Arial"/>
        </w:rPr>
        <w:t>test</w:t>
      </w:r>
      <w:r w:rsidR="001653B1" w:rsidRPr="003123B0">
        <w:rPr>
          <w:rFonts w:cs="Arial"/>
        </w:rPr>
        <w:t xml:space="preserve"> was sold by CTB/McGraw-Hill to DRC</w:t>
      </w:r>
      <w:r w:rsidR="00231286" w:rsidRPr="003123B0">
        <w:rPr>
          <w:rFonts w:cs="Arial"/>
        </w:rPr>
        <w:t>. This occurred</w:t>
      </w:r>
      <w:r w:rsidR="001653B1" w:rsidRPr="003123B0">
        <w:rPr>
          <w:rFonts w:cs="Arial"/>
        </w:rPr>
        <w:t xml:space="preserve"> in June 2015. Negotiations to revise the MOU then began with DRC and were finalized in </w:t>
      </w:r>
      <w:r w:rsidR="00231286" w:rsidRPr="003123B0">
        <w:rPr>
          <w:rFonts w:cs="Arial"/>
        </w:rPr>
        <w:t xml:space="preserve">October </w:t>
      </w:r>
      <w:r w:rsidR="001653B1" w:rsidRPr="003123B0">
        <w:rPr>
          <w:rFonts w:cs="Arial"/>
        </w:rPr>
        <w:t xml:space="preserve">2015. The </w:t>
      </w:r>
      <w:r w:rsidR="00AE14CD" w:rsidRPr="003123B0">
        <w:rPr>
          <w:rFonts w:cs="Arial"/>
        </w:rPr>
        <w:t>DRC</w:t>
      </w:r>
      <w:r w:rsidR="001653B1" w:rsidRPr="003123B0">
        <w:rPr>
          <w:rFonts w:cs="Arial"/>
        </w:rPr>
        <w:t xml:space="preserve"> MOU has been negotiated and renewed annually since</w:t>
      </w:r>
      <w:r w:rsidR="00231286" w:rsidRPr="003123B0">
        <w:rPr>
          <w:rFonts w:cs="Arial"/>
        </w:rPr>
        <w:t xml:space="preserve"> that time</w:t>
      </w:r>
      <w:r w:rsidR="001653B1" w:rsidRPr="003123B0">
        <w:rPr>
          <w:rFonts w:cs="Arial"/>
        </w:rPr>
        <w:t xml:space="preserve">. </w:t>
      </w:r>
    </w:p>
    <w:p w14:paraId="6C47C3D3" w14:textId="77777777" w:rsidR="000337FB" w:rsidRPr="003123B0" w:rsidRDefault="001653B1" w:rsidP="000337FB">
      <w:pPr>
        <w:spacing w:after="160" w:line="259" w:lineRule="auto"/>
        <w:rPr>
          <w:b/>
        </w:rPr>
      </w:pPr>
      <w:r w:rsidRPr="003123B0">
        <w:t xml:space="preserve">As of March 31, 2019, </w:t>
      </w:r>
      <w:r w:rsidR="00B879F8" w:rsidRPr="003123B0">
        <w:t xml:space="preserve">only </w:t>
      </w:r>
      <w:r w:rsidR="00874902" w:rsidRPr="003123B0">
        <w:t>101</w:t>
      </w:r>
      <w:r w:rsidRPr="003123B0">
        <w:t xml:space="preserve"> test takers have completed at least one </w:t>
      </w:r>
      <w:r w:rsidR="00AE14CD" w:rsidRPr="003123B0">
        <w:t>TASC</w:t>
      </w:r>
      <w:r w:rsidRPr="003123B0">
        <w:t xml:space="preserve"> subtest</w:t>
      </w:r>
      <w:r w:rsidR="007C2790" w:rsidRPr="003123B0">
        <w:t xml:space="preserve"> over the past five years</w:t>
      </w:r>
      <w:r w:rsidRPr="003123B0">
        <w:t xml:space="preserve">, with a total of </w:t>
      </w:r>
      <w:r w:rsidR="00AE14CD" w:rsidRPr="003123B0">
        <w:t xml:space="preserve">32 </w:t>
      </w:r>
      <w:r w:rsidRPr="003123B0">
        <w:t>test takers having passed all subtests and received their certificate. During</w:t>
      </w:r>
      <w:r w:rsidR="00AE14CD" w:rsidRPr="003123B0">
        <w:t xml:space="preserve"> that same time period</w:t>
      </w:r>
      <w:r w:rsidR="007C2790" w:rsidRPr="003123B0">
        <w:t>,</w:t>
      </w:r>
      <w:r w:rsidR="00AE14CD" w:rsidRPr="003123B0">
        <w:t xml:space="preserve"> the TASC</w:t>
      </w:r>
      <w:r w:rsidRPr="003123B0">
        <w:t xml:space="preserve"> had been administered at </w:t>
      </w:r>
      <w:r w:rsidR="00B879F8" w:rsidRPr="003123B0">
        <w:t xml:space="preserve">only </w:t>
      </w:r>
      <w:r w:rsidR="00AE14CD" w:rsidRPr="003123B0">
        <w:t>10</w:t>
      </w:r>
      <w:r w:rsidRPr="003123B0">
        <w:t xml:space="preserve"> testing sites</w:t>
      </w:r>
      <w:r w:rsidR="007C2790" w:rsidRPr="003123B0">
        <w:t xml:space="preserve"> where staff had </w:t>
      </w:r>
      <w:r w:rsidR="000337FB" w:rsidRPr="003123B0">
        <w:t xml:space="preserve">also </w:t>
      </w:r>
      <w:r w:rsidR="007C2790" w:rsidRPr="003123B0">
        <w:t>been</w:t>
      </w:r>
      <w:r w:rsidRPr="003123B0">
        <w:t xml:space="preserve"> trained by </w:t>
      </w:r>
      <w:r w:rsidR="00AE14CD" w:rsidRPr="003123B0">
        <w:t>DRC</w:t>
      </w:r>
      <w:r w:rsidRPr="003123B0">
        <w:t xml:space="preserve"> to provide computer-based </w:t>
      </w:r>
      <w:r w:rsidR="00AE14CD" w:rsidRPr="003123B0">
        <w:t xml:space="preserve">and paper-based </w:t>
      </w:r>
      <w:r w:rsidRPr="003123B0">
        <w:t>testing.</w:t>
      </w:r>
    </w:p>
    <w:p w14:paraId="787EC1BF" w14:textId="183066CC" w:rsidR="004C1544" w:rsidRPr="003123B0" w:rsidRDefault="004C1544" w:rsidP="00016586">
      <w:pPr>
        <w:pStyle w:val="Heading3"/>
      </w:pPr>
      <w:r w:rsidRPr="003123B0">
        <w:t>Number of TASC Test Takers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umber of TASC Test Takers Completing at Least One Subtest by year. Number of Test Takers Who Earned a Certificate by year (passed all tests). "/>
      </w:tblPr>
      <w:tblGrid>
        <w:gridCol w:w="4405"/>
        <w:gridCol w:w="2250"/>
        <w:gridCol w:w="2695"/>
      </w:tblGrid>
      <w:tr w:rsidR="004C1544" w:rsidRPr="003123B0" w14:paraId="4F35D7FD" w14:textId="77777777" w:rsidTr="00016586">
        <w:trPr>
          <w:cantSplit/>
          <w:tblHeader/>
        </w:trPr>
        <w:tc>
          <w:tcPr>
            <w:tcW w:w="4405" w:type="dxa"/>
            <w:vAlign w:val="center"/>
          </w:tcPr>
          <w:p w14:paraId="31DBB2C6" w14:textId="77777777" w:rsidR="004C1544" w:rsidRPr="003123B0" w:rsidRDefault="004C1544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>Year</w:t>
            </w:r>
          </w:p>
        </w:tc>
        <w:tc>
          <w:tcPr>
            <w:tcW w:w="2250" w:type="dxa"/>
            <w:vAlign w:val="center"/>
          </w:tcPr>
          <w:p w14:paraId="54662F78" w14:textId="18F69BF2" w:rsidR="004C1544" w:rsidRPr="003123B0" w:rsidRDefault="004C1544" w:rsidP="003072B3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Completing </w:t>
            </w:r>
            <w:proofErr w:type="gramStart"/>
            <w:r w:rsidR="00E27ED5" w:rsidRPr="003123B0">
              <w:rPr>
                <w:b/>
              </w:rPr>
              <w:t>a</w:t>
            </w:r>
            <w:r w:rsidRPr="003123B0">
              <w:rPr>
                <w:b/>
              </w:rPr>
              <w:t>t Least</w:t>
            </w:r>
            <w:proofErr w:type="gramEnd"/>
            <w:r w:rsidRPr="003123B0">
              <w:rPr>
                <w:b/>
              </w:rPr>
              <w:t xml:space="preserve"> One Subtest</w:t>
            </w:r>
          </w:p>
        </w:tc>
        <w:tc>
          <w:tcPr>
            <w:tcW w:w="2695" w:type="dxa"/>
            <w:vAlign w:val="center"/>
          </w:tcPr>
          <w:p w14:paraId="6F37EAC1" w14:textId="47C9633D" w:rsidR="004C1544" w:rsidRPr="003123B0" w:rsidRDefault="004C1544" w:rsidP="00E27ED5">
            <w:pPr>
              <w:jc w:val="center"/>
              <w:rPr>
                <w:b/>
              </w:rPr>
            </w:pPr>
            <w:r w:rsidRPr="003123B0">
              <w:rPr>
                <w:b/>
              </w:rPr>
              <w:t xml:space="preserve">Number of Test Takers </w:t>
            </w:r>
            <w:r w:rsidR="00E27ED5" w:rsidRPr="003123B0">
              <w:rPr>
                <w:b/>
              </w:rPr>
              <w:t xml:space="preserve">Who </w:t>
            </w:r>
            <w:r w:rsidRPr="003123B0">
              <w:rPr>
                <w:b/>
              </w:rPr>
              <w:t xml:space="preserve">Earned a Certificate </w:t>
            </w:r>
            <w:r w:rsidR="00E27ED5" w:rsidRPr="003123B0">
              <w:rPr>
                <w:b/>
              </w:rPr>
              <w:br/>
            </w:r>
            <w:r w:rsidRPr="003123B0">
              <w:rPr>
                <w:b/>
              </w:rPr>
              <w:t>(passed all tests)</w:t>
            </w:r>
          </w:p>
        </w:tc>
      </w:tr>
      <w:tr w:rsidR="004C1544" w:rsidRPr="003123B0" w14:paraId="54F01211" w14:textId="77777777" w:rsidTr="00016586">
        <w:trPr>
          <w:cantSplit/>
        </w:trPr>
        <w:tc>
          <w:tcPr>
            <w:tcW w:w="4405" w:type="dxa"/>
            <w:vAlign w:val="center"/>
          </w:tcPr>
          <w:p w14:paraId="5FABD1B6" w14:textId="13F0EA36" w:rsidR="004C1544" w:rsidRPr="003123B0" w:rsidRDefault="004C1544" w:rsidP="00FC2D3A">
            <w:r w:rsidRPr="003123B0">
              <w:t>July 1</w:t>
            </w:r>
            <w:r w:rsidR="0091519C" w:rsidRPr="003123B0">
              <w:t xml:space="preserve"> through </w:t>
            </w:r>
            <w:r w:rsidRPr="003123B0">
              <w:t>December 31, 2014</w:t>
            </w:r>
          </w:p>
        </w:tc>
        <w:tc>
          <w:tcPr>
            <w:tcW w:w="2250" w:type="dxa"/>
            <w:vAlign w:val="center"/>
          </w:tcPr>
          <w:p w14:paraId="5D9913EC" w14:textId="235FEDB6" w:rsidR="004C1544" w:rsidRPr="003123B0" w:rsidRDefault="00A35D25" w:rsidP="00FC2D3A">
            <w:pPr>
              <w:ind w:right="882"/>
              <w:jc w:val="right"/>
            </w:pPr>
            <w:r w:rsidRPr="003123B0">
              <w:t>n/a</w:t>
            </w:r>
          </w:p>
        </w:tc>
        <w:tc>
          <w:tcPr>
            <w:tcW w:w="2695" w:type="dxa"/>
            <w:vAlign w:val="center"/>
          </w:tcPr>
          <w:p w14:paraId="549E38A6" w14:textId="322F3104" w:rsidR="004C1544" w:rsidRPr="003123B0" w:rsidRDefault="00A35D25" w:rsidP="00FC2D3A">
            <w:pPr>
              <w:ind w:right="967"/>
              <w:jc w:val="right"/>
            </w:pPr>
            <w:r w:rsidRPr="003123B0">
              <w:t>n/a</w:t>
            </w:r>
          </w:p>
        </w:tc>
      </w:tr>
      <w:tr w:rsidR="004C1544" w:rsidRPr="003123B0" w14:paraId="581F2A89" w14:textId="77777777" w:rsidTr="00016586">
        <w:trPr>
          <w:cantSplit/>
        </w:trPr>
        <w:tc>
          <w:tcPr>
            <w:tcW w:w="4405" w:type="dxa"/>
            <w:vAlign w:val="center"/>
          </w:tcPr>
          <w:p w14:paraId="18F2073F" w14:textId="1C55E54C" w:rsidR="004C1544" w:rsidRPr="003123B0" w:rsidRDefault="004C1544" w:rsidP="00FC2D3A">
            <w:r w:rsidRPr="003123B0">
              <w:t>January 1</w:t>
            </w:r>
            <w:r w:rsidR="0091519C" w:rsidRPr="003123B0">
              <w:t xml:space="preserve"> through </w:t>
            </w:r>
            <w:r w:rsidRPr="003123B0">
              <w:t>December 31, 2015</w:t>
            </w:r>
          </w:p>
        </w:tc>
        <w:tc>
          <w:tcPr>
            <w:tcW w:w="2250" w:type="dxa"/>
            <w:vAlign w:val="center"/>
          </w:tcPr>
          <w:p w14:paraId="180CB309" w14:textId="0D5CE768" w:rsidR="004C1544" w:rsidRPr="003123B0" w:rsidRDefault="00FC2D3A" w:rsidP="00FC2D3A">
            <w:pPr>
              <w:ind w:right="882"/>
              <w:jc w:val="right"/>
            </w:pPr>
            <w:r w:rsidRPr="003123B0">
              <w:t>0</w:t>
            </w:r>
          </w:p>
        </w:tc>
        <w:tc>
          <w:tcPr>
            <w:tcW w:w="2695" w:type="dxa"/>
            <w:vAlign w:val="center"/>
          </w:tcPr>
          <w:p w14:paraId="3A3D2E1F" w14:textId="72BEDF00" w:rsidR="004C1544" w:rsidRPr="003123B0" w:rsidRDefault="00FC2D3A" w:rsidP="00FC2D3A">
            <w:pPr>
              <w:ind w:right="967"/>
              <w:jc w:val="right"/>
            </w:pPr>
            <w:r w:rsidRPr="003123B0">
              <w:t>0</w:t>
            </w:r>
          </w:p>
        </w:tc>
      </w:tr>
      <w:tr w:rsidR="004C1544" w:rsidRPr="003123B0" w14:paraId="19D57FF9" w14:textId="77777777" w:rsidTr="00016586">
        <w:trPr>
          <w:cantSplit/>
        </w:trPr>
        <w:tc>
          <w:tcPr>
            <w:tcW w:w="4405" w:type="dxa"/>
            <w:vAlign w:val="center"/>
          </w:tcPr>
          <w:p w14:paraId="3EAFAA5A" w14:textId="1F7E017B" w:rsidR="004C1544" w:rsidRPr="003123B0" w:rsidRDefault="004C1544" w:rsidP="00FC2D3A">
            <w:r w:rsidRPr="003123B0">
              <w:t>January 1</w:t>
            </w:r>
            <w:r w:rsidR="0091519C" w:rsidRPr="003123B0">
              <w:t xml:space="preserve"> through </w:t>
            </w:r>
            <w:r w:rsidRPr="003123B0">
              <w:t>December 31, 2016</w:t>
            </w:r>
          </w:p>
        </w:tc>
        <w:tc>
          <w:tcPr>
            <w:tcW w:w="2250" w:type="dxa"/>
            <w:vAlign w:val="center"/>
          </w:tcPr>
          <w:p w14:paraId="74271DB4" w14:textId="45EE8AE4" w:rsidR="004C1544" w:rsidRPr="003123B0" w:rsidRDefault="00A35D25" w:rsidP="00FC2D3A">
            <w:pPr>
              <w:ind w:right="882"/>
              <w:jc w:val="right"/>
            </w:pPr>
            <w:r w:rsidRPr="003123B0">
              <w:t>17</w:t>
            </w:r>
          </w:p>
        </w:tc>
        <w:tc>
          <w:tcPr>
            <w:tcW w:w="2695" w:type="dxa"/>
            <w:vAlign w:val="center"/>
          </w:tcPr>
          <w:p w14:paraId="1BAB6885" w14:textId="2D65DABB" w:rsidR="004C1544" w:rsidRPr="003123B0" w:rsidRDefault="00A35D25" w:rsidP="00FC2D3A">
            <w:pPr>
              <w:ind w:right="967"/>
              <w:jc w:val="right"/>
            </w:pPr>
            <w:r w:rsidRPr="003123B0">
              <w:t>14</w:t>
            </w:r>
          </w:p>
        </w:tc>
      </w:tr>
      <w:tr w:rsidR="004C1544" w:rsidRPr="003123B0" w14:paraId="65F95FA6" w14:textId="77777777" w:rsidTr="00016586">
        <w:trPr>
          <w:cantSplit/>
        </w:trPr>
        <w:tc>
          <w:tcPr>
            <w:tcW w:w="4405" w:type="dxa"/>
            <w:vAlign w:val="center"/>
          </w:tcPr>
          <w:p w14:paraId="2E9B3C24" w14:textId="400B968A" w:rsidR="004C1544" w:rsidRPr="003123B0" w:rsidRDefault="004C1544" w:rsidP="00FC2D3A">
            <w:r w:rsidRPr="003123B0">
              <w:t>January 1</w:t>
            </w:r>
            <w:r w:rsidR="0091519C" w:rsidRPr="003123B0">
              <w:t xml:space="preserve"> through </w:t>
            </w:r>
            <w:r w:rsidRPr="003123B0">
              <w:t>December 31, 2017</w:t>
            </w:r>
          </w:p>
        </w:tc>
        <w:tc>
          <w:tcPr>
            <w:tcW w:w="2250" w:type="dxa"/>
            <w:vAlign w:val="center"/>
          </w:tcPr>
          <w:p w14:paraId="145EEBE6" w14:textId="6B53349A" w:rsidR="004C1544" w:rsidRPr="003123B0" w:rsidRDefault="00A35D25" w:rsidP="00FC2D3A">
            <w:pPr>
              <w:ind w:right="882"/>
              <w:jc w:val="right"/>
            </w:pPr>
            <w:r w:rsidRPr="003123B0">
              <w:t>29</w:t>
            </w:r>
          </w:p>
        </w:tc>
        <w:tc>
          <w:tcPr>
            <w:tcW w:w="2695" w:type="dxa"/>
            <w:vAlign w:val="center"/>
          </w:tcPr>
          <w:p w14:paraId="188CA096" w14:textId="378507CF" w:rsidR="004C1544" w:rsidRPr="003123B0" w:rsidRDefault="00A35D25" w:rsidP="00FC2D3A">
            <w:pPr>
              <w:ind w:right="967"/>
              <w:jc w:val="right"/>
            </w:pPr>
            <w:r w:rsidRPr="003123B0">
              <w:t>12</w:t>
            </w:r>
          </w:p>
        </w:tc>
      </w:tr>
      <w:tr w:rsidR="004C1544" w:rsidRPr="003123B0" w14:paraId="46824940" w14:textId="77777777" w:rsidTr="00016586">
        <w:trPr>
          <w:cantSplit/>
        </w:trPr>
        <w:tc>
          <w:tcPr>
            <w:tcW w:w="4405" w:type="dxa"/>
            <w:vAlign w:val="center"/>
          </w:tcPr>
          <w:p w14:paraId="2AD7563F" w14:textId="179AF138" w:rsidR="004C1544" w:rsidRPr="003123B0" w:rsidRDefault="004C1544" w:rsidP="00FC2D3A">
            <w:r w:rsidRPr="003123B0">
              <w:t>January 1</w:t>
            </w:r>
            <w:r w:rsidR="0091519C" w:rsidRPr="003123B0">
              <w:t xml:space="preserve"> through </w:t>
            </w:r>
            <w:r w:rsidRPr="003123B0">
              <w:t>December 31, 2018</w:t>
            </w:r>
          </w:p>
        </w:tc>
        <w:tc>
          <w:tcPr>
            <w:tcW w:w="2250" w:type="dxa"/>
            <w:vAlign w:val="center"/>
          </w:tcPr>
          <w:p w14:paraId="22147ACB" w14:textId="7215E7BC" w:rsidR="004C1544" w:rsidRPr="003123B0" w:rsidRDefault="00A35D25" w:rsidP="00FC2D3A">
            <w:pPr>
              <w:ind w:right="882"/>
              <w:jc w:val="right"/>
            </w:pPr>
            <w:r w:rsidRPr="003123B0">
              <w:t>39</w:t>
            </w:r>
          </w:p>
        </w:tc>
        <w:tc>
          <w:tcPr>
            <w:tcW w:w="2695" w:type="dxa"/>
            <w:vAlign w:val="center"/>
          </w:tcPr>
          <w:p w14:paraId="06B7714D" w14:textId="05895BCE" w:rsidR="004C1544" w:rsidRPr="003123B0" w:rsidRDefault="00A35D25" w:rsidP="00FC2D3A">
            <w:pPr>
              <w:ind w:right="967"/>
              <w:jc w:val="right"/>
            </w:pPr>
            <w:r w:rsidRPr="003123B0">
              <w:t>6</w:t>
            </w:r>
          </w:p>
        </w:tc>
      </w:tr>
      <w:tr w:rsidR="004C1544" w:rsidRPr="003123B0" w14:paraId="0279E5AF" w14:textId="77777777" w:rsidTr="00016586">
        <w:trPr>
          <w:cantSplit/>
        </w:trPr>
        <w:tc>
          <w:tcPr>
            <w:tcW w:w="4405" w:type="dxa"/>
            <w:vAlign w:val="center"/>
          </w:tcPr>
          <w:p w14:paraId="0F40F186" w14:textId="2E24B6F4" w:rsidR="004C1544" w:rsidRPr="003123B0" w:rsidRDefault="004C1544" w:rsidP="00FC2D3A">
            <w:r w:rsidRPr="003123B0">
              <w:t>January 1</w:t>
            </w:r>
            <w:r w:rsidR="0091519C" w:rsidRPr="003123B0">
              <w:t xml:space="preserve"> through </w:t>
            </w:r>
            <w:r w:rsidRPr="003123B0">
              <w:t>March 31, 2019</w:t>
            </w:r>
          </w:p>
        </w:tc>
        <w:tc>
          <w:tcPr>
            <w:tcW w:w="2250" w:type="dxa"/>
            <w:vAlign w:val="center"/>
          </w:tcPr>
          <w:p w14:paraId="497E49EA" w14:textId="4D6817CC" w:rsidR="004C1544" w:rsidRPr="003123B0" w:rsidRDefault="00A35D25" w:rsidP="00FC2D3A">
            <w:pPr>
              <w:ind w:right="882"/>
              <w:jc w:val="right"/>
            </w:pPr>
            <w:r w:rsidRPr="003123B0">
              <w:t>16</w:t>
            </w:r>
          </w:p>
        </w:tc>
        <w:tc>
          <w:tcPr>
            <w:tcW w:w="2695" w:type="dxa"/>
            <w:vAlign w:val="center"/>
          </w:tcPr>
          <w:p w14:paraId="0CE6849B" w14:textId="518B7EAA" w:rsidR="004C1544" w:rsidRPr="003123B0" w:rsidRDefault="00666582" w:rsidP="00FC2D3A">
            <w:pPr>
              <w:ind w:right="967"/>
              <w:jc w:val="right"/>
            </w:pPr>
            <w:r w:rsidRPr="003123B0">
              <w:t>–</w:t>
            </w:r>
          </w:p>
        </w:tc>
      </w:tr>
    </w:tbl>
    <w:p w14:paraId="196D26F8" w14:textId="77777777" w:rsidR="004C1544" w:rsidRPr="003123B0" w:rsidRDefault="004C1544" w:rsidP="004C1544"/>
    <w:p w14:paraId="3C5C5C07" w14:textId="22DB16CE" w:rsidR="00601AD7" w:rsidRPr="003123B0" w:rsidRDefault="001653B1" w:rsidP="00626F37">
      <w:pPr>
        <w:spacing w:after="160"/>
      </w:pPr>
      <w:r w:rsidRPr="003123B0">
        <w:rPr>
          <w:rFonts w:cs="Arial"/>
        </w:rPr>
        <w:t xml:space="preserve">The current 2019 MOU with </w:t>
      </w:r>
      <w:r w:rsidR="00AE14CD" w:rsidRPr="003123B0">
        <w:rPr>
          <w:rFonts w:cs="Arial"/>
        </w:rPr>
        <w:t>DRC</w:t>
      </w:r>
      <w:r w:rsidRPr="003123B0">
        <w:rPr>
          <w:rFonts w:cs="Arial"/>
        </w:rPr>
        <w:t xml:space="preserve"> ends </w:t>
      </w:r>
      <w:r w:rsidR="00005552" w:rsidRPr="003123B0">
        <w:rPr>
          <w:rFonts w:cs="Arial"/>
        </w:rPr>
        <w:t xml:space="preserve">on </w:t>
      </w:r>
      <w:r w:rsidRPr="003123B0">
        <w:rPr>
          <w:rFonts w:cs="Arial"/>
        </w:rPr>
        <w:t>December 31, 2019.</w:t>
      </w:r>
      <w:r w:rsidR="0017541F" w:rsidRPr="003123B0">
        <w:t xml:space="preserve"> </w:t>
      </w:r>
      <w:r w:rsidR="00B52B7D" w:rsidRPr="003123B0">
        <w:t xml:space="preserve">Based on the ongoing </w:t>
      </w:r>
      <w:r w:rsidR="00005552" w:rsidRPr="003123B0">
        <w:t xml:space="preserve">low </w:t>
      </w:r>
      <w:r w:rsidR="00B52B7D" w:rsidRPr="003123B0">
        <w:t xml:space="preserve">number of </w:t>
      </w:r>
      <w:r w:rsidR="00005552" w:rsidRPr="003123B0">
        <w:t xml:space="preserve">test takers to whom the </w:t>
      </w:r>
      <w:r w:rsidR="00B52B7D" w:rsidRPr="003123B0">
        <w:t>TASC</w:t>
      </w:r>
      <w:r w:rsidR="00707A51" w:rsidRPr="003123B0">
        <w:rPr>
          <w:rFonts w:cs="Arial"/>
        </w:rPr>
        <w:t>™</w:t>
      </w:r>
      <w:r w:rsidR="00B52B7D" w:rsidRPr="003123B0">
        <w:t xml:space="preserve"> </w:t>
      </w:r>
      <w:r w:rsidR="00005552" w:rsidRPr="003123B0">
        <w:t xml:space="preserve">is </w:t>
      </w:r>
      <w:r w:rsidR="00B52B7D" w:rsidRPr="003123B0">
        <w:t>being administered annually, t</w:t>
      </w:r>
      <w:r w:rsidR="0017541F" w:rsidRPr="003123B0">
        <w:t>he CDE</w:t>
      </w:r>
      <w:r w:rsidR="000337FB" w:rsidRPr="003123B0">
        <w:t xml:space="preserve"> will recommend</w:t>
      </w:r>
      <w:r w:rsidR="0017541F" w:rsidRPr="003123B0">
        <w:t xml:space="preserve"> discontinuing the use of the</w:t>
      </w:r>
      <w:r w:rsidR="0017541F" w:rsidRPr="003123B0">
        <w:rPr>
          <w:lang w:val="en"/>
        </w:rPr>
        <w:t xml:space="preserve"> TASC™ for HSE testing in California</w:t>
      </w:r>
      <w:r w:rsidR="00AC0D1D" w:rsidRPr="003123B0">
        <w:rPr>
          <w:lang w:val="en"/>
        </w:rPr>
        <w:t>,</w:t>
      </w:r>
      <w:r w:rsidR="0017541F" w:rsidRPr="003123B0">
        <w:rPr>
          <w:lang w:val="en"/>
        </w:rPr>
        <w:t xml:space="preserve"> to be effective on December 31, 2019</w:t>
      </w:r>
      <w:r w:rsidR="00AC0D1D" w:rsidRPr="003123B0">
        <w:rPr>
          <w:lang w:val="en"/>
        </w:rPr>
        <w:t>,</w:t>
      </w:r>
      <w:r w:rsidR="0017541F" w:rsidRPr="003123B0">
        <w:rPr>
          <w:lang w:val="en"/>
        </w:rPr>
        <w:t xml:space="preserve"> when the term of the current MOU expires</w:t>
      </w:r>
      <w:r w:rsidR="0017541F" w:rsidRPr="003123B0">
        <w:t>.</w:t>
      </w:r>
      <w:r w:rsidR="00626F37" w:rsidRPr="003123B0">
        <w:t xml:space="preserve"> T</w:t>
      </w:r>
      <w:r w:rsidR="00AC0D1D" w:rsidRPr="003123B0">
        <w:t xml:space="preserve">aking this approach </w:t>
      </w:r>
      <w:r w:rsidR="00601AD7" w:rsidRPr="003123B0">
        <w:t xml:space="preserve">will allow any current TASC™ test takers five months to complete their TASC™ </w:t>
      </w:r>
      <w:r w:rsidR="00AC0D1D" w:rsidRPr="003123B0">
        <w:t>sub</w:t>
      </w:r>
      <w:r w:rsidR="00601AD7" w:rsidRPr="003123B0">
        <w:t xml:space="preserve">tests before December 31, 2019. If a test taker does not complete the TASC™ testing, </w:t>
      </w:r>
      <w:r w:rsidR="00AC0D1D" w:rsidRPr="003123B0">
        <w:t xml:space="preserve">that test taker </w:t>
      </w:r>
      <w:r w:rsidR="00601AD7" w:rsidRPr="003123B0">
        <w:t xml:space="preserve">will be required to </w:t>
      </w:r>
      <w:r w:rsidR="00AC0D1D" w:rsidRPr="003123B0">
        <w:t>re</w:t>
      </w:r>
      <w:r w:rsidR="00601AD7" w:rsidRPr="003123B0">
        <w:t xml:space="preserve">start </w:t>
      </w:r>
      <w:r w:rsidR="00AC0D1D" w:rsidRPr="003123B0">
        <w:t xml:space="preserve">HSE testing </w:t>
      </w:r>
      <w:r w:rsidR="00601AD7" w:rsidRPr="003123B0">
        <w:t>and take all subject tests of one of the two remaining test vendors in order to earn a</w:t>
      </w:r>
      <w:r w:rsidR="00AC0D1D" w:rsidRPr="003123B0">
        <w:t>n</w:t>
      </w:r>
      <w:r w:rsidR="00601AD7" w:rsidRPr="003123B0">
        <w:t xml:space="preserve"> HSE certificate. The few test takers </w:t>
      </w:r>
      <w:r w:rsidR="00AC0D1D" w:rsidRPr="003123B0">
        <w:t xml:space="preserve">who </w:t>
      </w:r>
      <w:r w:rsidR="00601AD7" w:rsidRPr="003123B0">
        <w:t xml:space="preserve">require paper-based testing will have the option of using the remaining </w:t>
      </w:r>
      <w:proofErr w:type="spellStart"/>
      <w:r w:rsidR="00601AD7" w:rsidRPr="003123B0">
        <w:t>HiSET</w:t>
      </w:r>
      <w:proofErr w:type="spellEnd"/>
      <w:r w:rsidR="00601AD7" w:rsidRPr="003123B0">
        <w:rPr>
          <w:vertAlign w:val="superscript"/>
        </w:rPr>
        <w:t>®</w:t>
      </w:r>
      <w:r w:rsidR="00601AD7" w:rsidRPr="003123B0">
        <w:t xml:space="preserve"> test that is offered in both computer-based and paper-based test formats. </w:t>
      </w:r>
    </w:p>
    <w:p w14:paraId="3E43530F" w14:textId="7115C34D" w:rsidR="00601AD7" w:rsidRPr="003123B0" w:rsidRDefault="00601AD7" w:rsidP="007476E9">
      <w:pPr>
        <w:tabs>
          <w:tab w:val="left" w:pos="4107"/>
        </w:tabs>
        <w:spacing w:after="160" w:line="259" w:lineRule="auto"/>
      </w:pPr>
      <w:r w:rsidRPr="003123B0">
        <w:t xml:space="preserve">The change will be seamless </w:t>
      </w:r>
      <w:r w:rsidR="00AC0D1D" w:rsidRPr="003123B0">
        <w:t>for</w:t>
      </w:r>
      <w:r w:rsidRPr="003123B0">
        <w:t xml:space="preserve"> any new potential test taker seeking to earn a</w:t>
      </w:r>
      <w:r w:rsidR="00AC0D1D" w:rsidRPr="003123B0">
        <w:t>n</w:t>
      </w:r>
      <w:r w:rsidRPr="003123B0">
        <w:t xml:space="preserve"> HSE certificate. The CDE will work with the </w:t>
      </w:r>
      <w:r w:rsidR="00AC0D1D" w:rsidRPr="003123B0">
        <w:rPr>
          <w:lang w:val="en"/>
        </w:rPr>
        <w:t>TASC™</w:t>
      </w:r>
      <w:r w:rsidRPr="003123B0">
        <w:t xml:space="preserve"> vendor, DRC, to reach out to </w:t>
      </w:r>
      <w:r w:rsidR="00AC0D1D" w:rsidRPr="003123B0">
        <w:t xml:space="preserve">current </w:t>
      </w:r>
      <w:r w:rsidR="00AC0D1D" w:rsidRPr="003123B0">
        <w:rPr>
          <w:lang w:val="en"/>
        </w:rPr>
        <w:t>TASC™</w:t>
      </w:r>
      <w:r w:rsidRPr="003123B0">
        <w:t xml:space="preserve"> test takers to assist them in completing their goal of earning a</w:t>
      </w:r>
      <w:r w:rsidR="00626F37" w:rsidRPr="003123B0">
        <w:t>n</w:t>
      </w:r>
      <w:r w:rsidRPr="003123B0">
        <w:t xml:space="preserve"> HSE certificate.</w:t>
      </w:r>
    </w:p>
    <w:p w14:paraId="10C8266F" w14:textId="10D27BF2" w:rsidR="00626F37" w:rsidRPr="003123B0" w:rsidRDefault="00626F37" w:rsidP="007476E9">
      <w:pPr>
        <w:spacing w:after="160" w:line="259" w:lineRule="auto"/>
        <w:rPr>
          <w:rFonts w:cs="Arial"/>
        </w:rPr>
      </w:pPr>
      <w:r w:rsidRPr="003123B0">
        <w:rPr>
          <w:rFonts w:cs="Arial"/>
        </w:rPr>
        <w:lastRenderedPageBreak/>
        <w:t xml:space="preserve">Ongoing CDE HSE administrative activities for each HSE MOU include monitoring of vendor deliverables to the CDE and </w:t>
      </w:r>
      <w:r w:rsidR="000337FB" w:rsidRPr="003123B0">
        <w:rPr>
          <w:rFonts w:cs="Arial"/>
        </w:rPr>
        <w:t xml:space="preserve">providing </w:t>
      </w:r>
      <w:r w:rsidRPr="003123B0">
        <w:rPr>
          <w:rFonts w:cs="Arial"/>
        </w:rPr>
        <w:t xml:space="preserve">customer service to test takers, data review, and maintenance of California’s historical test result data files, including both electronic, and hard copies. The CDE costs incurred to retain and monitor a low-volume test </w:t>
      </w:r>
      <w:r w:rsidR="0091519C" w:rsidRPr="003123B0">
        <w:rPr>
          <w:rFonts w:cs="Arial"/>
        </w:rPr>
        <w:t xml:space="preserve">are not justified as </w:t>
      </w:r>
      <w:r w:rsidRPr="003123B0">
        <w:rPr>
          <w:rFonts w:cs="Arial"/>
        </w:rPr>
        <w:t xml:space="preserve">effective or efficient </w:t>
      </w:r>
      <w:r w:rsidR="0091519C" w:rsidRPr="003123B0">
        <w:rPr>
          <w:rFonts w:cs="Arial"/>
        </w:rPr>
        <w:t xml:space="preserve">use of funds </w:t>
      </w:r>
      <w:r w:rsidRPr="003123B0">
        <w:rPr>
          <w:rFonts w:cs="Arial"/>
        </w:rPr>
        <w:t xml:space="preserve">when the program is </w:t>
      </w:r>
      <w:r w:rsidR="0091519C" w:rsidRPr="003123B0">
        <w:rPr>
          <w:rFonts w:cs="Arial"/>
        </w:rPr>
        <w:t xml:space="preserve">shown to be </w:t>
      </w:r>
      <w:r w:rsidRPr="003123B0">
        <w:rPr>
          <w:rFonts w:cs="Arial"/>
        </w:rPr>
        <w:t xml:space="preserve">thriving </w:t>
      </w:r>
      <w:r w:rsidR="0091519C" w:rsidRPr="003123B0">
        <w:rPr>
          <w:rFonts w:cs="Arial"/>
        </w:rPr>
        <w:t xml:space="preserve">through the use of </w:t>
      </w:r>
      <w:r w:rsidRPr="003123B0">
        <w:rPr>
          <w:rFonts w:cs="Arial"/>
        </w:rPr>
        <w:t>the</w:t>
      </w:r>
      <w:r w:rsidR="000337FB" w:rsidRPr="003123B0">
        <w:rPr>
          <w:rFonts w:cs="Arial"/>
        </w:rPr>
        <w:t xml:space="preserve"> other</w:t>
      </w:r>
      <w:r w:rsidRPr="003123B0">
        <w:rPr>
          <w:rFonts w:cs="Arial"/>
        </w:rPr>
        <w:t xml:space="preserve"> two vendors.</w:t>
      </w:r>
    </w:p>
    <w:p w14:paraId="69772C90" w14:textId="45965B7C" w:rsidR="00626F37" w:rsidRPr="003123B0" w:rsidRDefault="00626F37" w:rsidP="007476E9">
      <w:pPr>
        <w:spacing w:after="160" w:line="259" w:lineRule="auto"/>
        <w:rPr>
          <w:rFonts w:cs="Arial"/>
        </w:rPr>
      </w:pPr>
      <w:r w:rsidRPr="003123B0">
        <w:rPr>
          <w:rFonts w:cs="Arial"/>
        </w:rPr>
        <w:t>The discontinuance of the TASC™ MOU with DRC will have no revenue impact on the state</w:t>
      </w:r>
      <w:r w:rsidR="0091519C" w:rsidRPr="003123B0">
        <w:rPr>
          <w:rFonts w:cs="Arial"/>
        </w:rPr>
        <w:t>,</w:t>
      </w:r>
      <w:r w:rsidRPr="003123B0">
        <w:rPr>
          <w:rFonts w:cs="Arial"/>
        </w:rPr>
        <w:t xml:space="preserve"> as any potential new test taker revenue will</w:t>
      </w:r>
      <w:r w:rsidR="000337FB" w:rsidRPr="003123B0">
        <w:rPr>
          <w:rFonts w:cs="Arial"/>
        </w:rPr>
        <w:t xml:space="preserve"> continue to</w:t>
      </w:r>
      <w:r w:rsidRPr="003123B0">
        <w:rPr>
          <w:rFonts w:cs="Arial"/>
        </w:rPr>
        <w:t xml:space="preserve"> be collected by one of the two remaining </w:t>
      </w:r>
      <w:r w:rsidR="000337FB" w:rsidRPr="003123B0">
        <w:rPr>
          <w:rFonts w:cs="Arial"/>
        </w:rPr>
        <w:t xml:space="preserve">SBE authorized </w:t>
      </w:r>
      <w:r w:rsidRPr="003123B0">
        <w:rPr>
          <w:rFonts w:cs="Arial"/>
        </w:rPr>
        <w:t xml:space="preserve">HSE vendors. </w:t>
      </w:r>
    </w:p>
    <w:p w14:paraId="1953C49D" w14:textId="550B0DD3" w:rsidR="0065191D" w:rsidRPr="003123B0" w:rsidRDefault="00201E9F" w:rsidP="00016586">
      <w:pPr>
        <w:pStyle w:val="Heading3"/>
      </w:pPr>
      <w:r w:rsidRPr="003123B0">
        <w:t>Plans</w:t>
      </w:r>
      <w:r w:rsidR="0091519C" w:rsidRPr="003123B0">
        <w:t xml:space="preserve"> for the Program</w:t>
      </w:r>
    </w:p>
    <w:p w14:paraId="76619998" w14:textId="241E2A27" w:rsidR="00201E9F" w:rsidRPr="003123B0" w:rsidRDefault="00201E9F" w:rsidP="00515AB5">
      <w:pPr>
        <w:spacing w:after="160" w:line="259" w:lineRule="auto"/>
        <w:rPr>
          <w:rFonts w:cs="Arial"/>
        </w:rPr>
      </w:pPr>
      <w:r w:rsidRPr="003123B0">
        <w:rPr>
          <w:rFonts w:cs="Arial"/>
        </w:rPr>
        <w:t>The CDE anticipate</w:t>
      </w:r>
      <w:r w:rsidR="00FC5239" w:rsidRPr="003123B0">
        <w:rPr>
          <w:rFonts w:cs="Arial"/>
        </w:rPr>
        <w:t>s</w:t>
      </w:r>
      <w:r w:rsidRPr="003123B0">
        <w:rPr>
          <w:rFonts w:cs="Arial"/>
        </w:rPr>
        <w:t xml:space="preserve"> </w:t>
      </w:r>
      <w:r w:rsidR="0091519C" w:rsidRPr="003123B0">
        <w:rPr>
          <w:rFonts w:cs="Arial"/>
        </w:rPr>
        <w:t xml:space="preserve">that </w:t>
      </w:r>
      <w:r w:rsidRPr="003123B0">
        <w:rPr>
          <w:rFonts w:cs="Arial"/>
        </w:rPr>
        <w:t xml:space="preserve">it will seek </w:t>
      </w:r>
      <w:r w:rsidR="0091519C" w:rsidRPr="003123B0">
        <w:rPr>
          <w:rFonts w:cs="Arial"/>
        </w:rPr>
        <w:t xml:space="preserve">the </w:t>
      </w:r>
      <w:r w:rsidRPr="003123B0">
        <w:rPr>
          <w:rFonts w:cs="Arial"/>
        </w:rPr>
        <w:t>SBE</w:t>
      </w:r>
      <w:r w:rsidR="0091519C" w:rsidRPr="003123B0">
        <w:rPr>
          <w:rFonts w:cs="Arial"/>
        </w:rPr>
        <w:t>’s</w:t>
      </w:r>
      <w:r w:rsidRPr="003123B0">
        <w:rPr>
          <w:rFonts w:cs="Arial"/>
        </w:rPr>
        <w:t xml:space="preserve"> approval to solicit vendors for possible new </w:t>
      </w:r>
      <w:r w:rsidR="0091519C" w:rsidRPr="003123B0">
        <w:rPr>
          <w:rFonts w:cs="Arial"/>
        </w:rPr>
        <w:t>HSE</w:t>
      </w:r>
      <w:r w:rsidRPr="003123B0">
        <w:rPr>
          <w:rFonts w:cs="Arial"/>
        </w:rPr>
        <w:t xml:space="preserve"> tests </w:t>
      </w:r>
      <w:r w:rsidR="001321C9" w:rsidRPr="003123B0">
        <w:rPr>
          <w:rFonts w:cs="Arial"/>
        </w:rPr>
        <w:t>by</w:t>
      </w:r>
      <w:r w:rsidRPr="003123B0">
        <w:rPr>
          <w:rFonts w:cs="Arial"/>
        </w:rPr>
        <w:t xml:space="preserve"> 2024.</w:t>
      </w:r>
    </w:p>
    <w:p w14:paraId="6075708D" w14:textId="77777777" w:rsidR="00057A96" w:rsidRPr="003123B0" w:rsidRDefault="00057A96" w:rsidP="008B1135">
      <w:pPr>
        <w:pStyle w:val="Heading2"/>
        <w:spacing w:before="240" w:after="0" w:line="360" w:lineRule="auto"/>
        <w:rPr>
          <w:sz w:val="36"/>
        </w:rPr>
      </w:pPr>
      <w:r w:rsidRPr="003123B0">
        <w:rPr>
          <w:sz w:val="36"/>
        </w:rPr>
        <w:t>Attachment(s)</w:t>
      </w:r>
    </w:p>
    <w:p w14:paraId="1A31457C" w14:textId="7A9241BE" w:rsidR="007A370B" w:rsidRPr="003123B0" w:rsidRDefault="005116FA" w:rsidP="008B1135">
      <w:pPr>
        <w:spacing w:after="480"/>
      </w:pPr>
      <w:r w:rsidRPr="003123B0">
        <w:t>None</w:t>
      </w:r>
      <w:r w:rsidR="00B76DB0" w:rsidRPr="003123B0">
        <w:t>.</w:t>
      </w:r>
    </w:p>
    <w:sectPr w:rsidR="007A370B" w:rsidRPr="003123B0" w:rsidSect="004768AE">
      <w:headerReference w:type="default" r:id="rId8"/>
      <w:type w:val="continuous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8EB2" w14:textId="77777777" w:rsidR="006C7C13" w:rsidRDefault="006C7C13" w:rsidP="004768AE">
      <w:r>
        <w:separator/>
      </w:r>
    </w:p>
  </w:endnote>
  <w:endnote w:type="continuationSeparator" w:id="0">
    <w:p w14:paraId="3826122A" w14:textId="77777777" w:rsidR="006C7C13" w:rsidRDefault="006C7C13" w:rsidP="004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71A0" w14:textId="77777777" w:rsidR="006C7C13" w:rsidRDefault="006C7C13" w:rsidP="004768AE">
      <w:r>
        <w:separator/>
      </w:r>
    </w:p>
  </w:footnote>
  <w:footnote w:type="continuationSeparator" w:id="0">
    <w:p w14:paraId="57183B9C" w14:textId="77777777" w:rsidR="006C7C13" w:rsidRDefault="006C7C13" w:rsidP="0047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BE15" w14:textId="08432225" w:rsidR="004768AE" w:rsidRDefault="004768AE" w:rsidP="004768AE">
    <w:pPr>
      <w:contextualSpacing/>
      <w:jc w:val="right"/>
    </w:pPr>
    <w:r w:rsidRPr="003548C7">
      <w:t>memo-pptb-adad-jun19item0</w:t>
    </w:r>
    <w:r w:rsidR="00DE3ABF">
      <w:t>1</w:t>
    </w:r>
  </w:p>
  <w:p w14:paraId="2E9F78E8" w14:textId="5A50C033" w:rsidR="004768AE" w:rsidRPr="000764D9" w:rsidRDefault="004768AE" w:rsidP="000764D9">
    <w:pPr>
      <w:pStyle w:val="Header"/>
      <w:tabs>
        <w:tab w:val="left" w:pos="674"/>
      </w:tabs>
      <w:spacing w:after="360"/>
      <w:contextualSpacing/>
      <w:jc w:val="right"/>
      <w:rPr>
        <w:rFonts w:cs="Arial"/>
      </w:rPr>
    </w:pPr>
    <w:r w:rsidRPr="00483B3D">
      <w:rPr>
        <w:rFonts w:eastAsiaTheme="majorEastAsia" w:cs="Arial"/>
        <w:noProof/>
      </w:rPr>
      <w:t xml:space="preserve">Page </w:t>
    </w:r>
    <w:r w:rsidRPr="00483B3D">
      <w:rPr>
        <w:rFonts w:eastAsiaTheme="majorEastAsia" w:cs="Arial"/>
        <w:bCs/>
        <w:noProof/>
      </w:rPr>
      <w:fldChar w:fldCharType="begin"/>
    </w:r>
    <w:r w:rsidRPr="00483B3D">
      <w:rPr>
        <w:rFonts w:eastAsiaTheme="majorEastAsia" w:cs="Arial"/>
        <w:bCs/>
        <w:noProof/>
      </w:rPr>
      <w:instrText xml:space="preserve"> PAGE  \* Arabic  \* MERGEFORMAT </w:instrText>
    </w:r>
    <w:r w:rsidRPr="00483B3D">
      <w:rPr>
        <w:rFonts w:eastAsiaTheme="majorEastAsia" w:cs="Arial"/>
        <w:bCs/>
        <w:noProof/>
      </w:rPr>
      <w:fldChar w:fldCharType="separate"/>
    </w:r>
    <w:r w:rsidR="003123B0">
      <w:rPr>
        <w:rFonts w:eastAsiaTheme="majorEastAsia" w:cs="Arial"/>
        <w:bCs/>
        <w:noProof/>
      </w:rPr>
      <w:t>5</w:t>
    </w:r>
    <w:r w:rsidRPr="00483B3D">
      <w:rPr>
        <w:rFonts w:eastAsiaTheme="majorEastAsia" w:cs="Arial"/>
        <w:bCs/>
        <w:noProof/>
      </w:rPr>
      <w:fldChar w:fldCharType="end"/>
    </w:r>
    <w:r w:rsidRPr="00483B3D">
      <w:rPr>
        <w:rFonts w:eastAsiaTheme="majorEastAsia" w:cs="Arial"/>
        <w:noProof/>
      </w:rPr>
      <w:t xml:space="preserve"> of </w:t>
    </w:r>
    <w:r w:rsidR="00FC2D3A">
      <w:rPr>
        <w:rFonts w:eastAsiaTheme="majorEastAsia" w:cs="Arial"/>
        <w:bCs/>
        <w:noProof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161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6CF7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00F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68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E0ED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A17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303D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22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2B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26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C5F60"/>
    <w:multiLevelType w:val="hybridMultilevel"/>
    <w:tmpl w:val="8054A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CB7167"/>
    <w:multiLevelType w:val="hybridMultilevel"/>
    <w:tmpl w:val="74EA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165E"/>
    <w:multiLevelType w:val="hybridMultilevel"/>
    <w:tmpl w:val="B612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21145"/>
    <w:multiLevelType w:val="hybridMultilevel"/>
    <w:tmpl w:val="6E1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E78"/>
    <w:multiLevelType w:val="hybridMultilevel"/>
    <w:tmpl w:val="A334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3056"/>
    <w:multiLevelType w:val="hybridMultilevel"/>
    <w:tmpl w:val="35DA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4494E"/>
    <w:multiLevelType w:val="hybridMultilevel"/>
    <w:tmpl w:val="F64A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B3AA0"/>
    <w:multiLevelType w:val="hybridMultilevel"/>
    <w:tmpl w:val="8AAA347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0"/>
  </w:num>
  <w:num w:numId="5">
    <w:abstractNumId w:val="13"/>
  </w:num>
  <w:num w:numId="6">
    <w:abstractNumId w:val="17"/>
  </w:num>
  <w:num w:numId="7">
    <w:abstractNumId w:val="12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0482D"/>
    <w:rsid w:val="00005552"/>
    <w:rsid w:val="00016586"/>
    <w:rsid w:val="000219AC"/>
    <w:rsid w:val="000337FB"/>
    <w:rsid w:val="00034050"/>
    <w:rsid w:val="00050576"/>
    <w:rsid w:val="00050A23"/>
    <w:rsid w:val="00053B2A"/>
    <w:rsid w:val="00057A96"/>
    <w:rsid w:val="00061A20"/>
    <w:rsid w:val="00076105"/>
    <w:rsid w:val="000764D9"/>
    <w:rsid w:val="00077927"/>
    <w:rsid w:val="000869C7"/>
    <w:rsid w:val="000934B3"/>
    <w:rsid w:val="000A0D41"/>
    <w:rsid w:val="000A5A46"/>
    <w:rsid w:val="000A7F0D"/>
    <w:rsid w:val="000B2B03"/>
    <w:rsid w:val="000B2C8D"/>
    <w:rsid w:val="000C0E9F"/>
    <w:rsid w:val="000C139F"/>
    <w:rsid w:val="000D401E"/>
    <w:rsid w:val="000D5004"/>
    <w:rsid w:val="000E3F6D"/>
    <w:rsid w:val="000F2B2A"/>
    <w:rsid w:val="00101D8B"/>
    <w:rsid w:val="00105000"/>
    <w:rsid w:val="001135B8"/>
    <w:rsid w:val="00114AD4"/>
    <w:rsid w:val="001231F8"/>
    <w:rsid w:val="001250B3"/>
    <w:rsid w:val="001321C9"/>
    <w:rsid w:val="00133DAD"/>
    <w:rsid w:val="00136C4B"/>
    <w:rsid w:val="00144E8B"/>
    <w:rsid w:val="00147A1E"/>
    <w:rsid w:val="00151EA0"/>
    <w:rsid w:val="00156D1C"/>
    <w:rsid w:val="0016173B"/>
    <w:rsid w:val="00163FDC"/>
    <w:rsid w:val="001648E9"/>
    <w:rsid w:val="001653B1"/>
    <w:rsid w:val="00172193"/>
    <w:rsid w:val="0017541F"/>
    <w:rsid w:val="0017685C"/>
    <w:rsid w:val="001821E2"/>
    <w:rsid w:val="00182919"/>
    <w:rsid w:val="00184DEF"/>
    <w:rsid w:val="00191238"/>
    <w:rsid w:val="00197480"/>
    <w:rsid w:val="001C6C20"/>
    <w:rsid w:val="001D0068"/>
    <w:rsid w:val="001D08EC"/>
    <w:rsid w:val="001D3783"/>
    <w:rsid w:val="001F1F20"/>
    <w:rsid w:val="00201E9F"/>
    <w:rsid w:val="00202B00"/>
    <w:rsid w:val="00212EE1"/>
    <w:rsid w:val="00215154"/>
    <w:rsid w:val="002156E0"/>
    <w:rsid w:val="00217F03"/>
    <w:rsid w:val="00226CAB"/>
    <w:rsid w:val="00231286"/>
    <w:rsid w:val="002334FA"/>
    <w:rsid w:val="002408E4"/>
    <w:rsid w:val="0024612D"/>
    <w:rsid w:val="0026580C"/>
    <w:rsid w:val="00265E08"/>
    <w:rsid w:val="00271670"/>
    <w:rsid w:val="002725B7"/>
    <w:rsid w:val="0027404C"/>
    <w:rsid w:val="00276BB8"/>
    <w:rsid w:val="002807BE"/>
    <w:rsid w:val="002904C5"/>
    <w:rsid w:val="002926E0"/>
    <w:rsid w:val="0029286A"/>
    <w:rsid w:val="002B44B9"/>
    <w:rsid w:val="002B4D36"/>
    <w:rsid w:val="002C070C"/>
    <w:rsid w:val="002C1815"/>
    <w:rsid w:val="002E365F"/>
    <w:rsid w:val="00306856"/>
    <w:rsid w:val="00307330"/>
    <w:rsid w:val="003122CF"/>
    <w:rsid w:val="003123B0"/>
    <w:rsid w:val="00316F2B"/>
    <w:rsid w:val="00321A0E"/>
    <w:rsid w:val="00321BC1"/>
    <w:rsid w:val="00321D49"/>
    <w:rsid w:val="00321F82"/>
    <w:rsid w:val="00322C00"/>
    <w:rsid w:val="00325EAA"/>
    <w:rsid w:val="0033616F"/>
    <w:rsid w:val="003548C7"/>
    <w:rsid w:val="00364C1F"/>
    <w:rsid w:val="00372C6C"/>
    <w:rsid w:val="00382E6E"/>
    <w:rsid w:val="00394052"/>
    <w:rsid w:val="003A4E60"/>
    <w:rsid w:val="003B1CDA"/>
    <w:rsid w:val="003B2623"/>
    <w:rsid w:val="003B7721"/>
    <w:rsid w:val="003D5B03"/>
    <w:rsid w:val="003E1ED7"/>
    <w:rsid w:val="003E3B94"/>
    <w:rsid w:val="00402A37"/>
    <w:rsid w:val="00413B16"/>
    <w:rsid w:val="004209C0"/>
    <w:rsid w:val="00425F1A"/>
    <w:rsid w:val="004412B3"/>
    <w:rsid w:val="0044375A"/>
    <w:rsid w:val="004453D4"/>
    <w:rsid w:val="00472EA4"/>
    <w:rsid w:val="00474A2F"/>
    <w:rsid w:val="00475B70"/>
    <w:rsid w:val="004768AE"/>
    <w:rsid w:val="004946E4"/>
    <w:rsid w:val="004A74F0"/>
    <w:rsid w:val="004B0304"/>
    <w:rsid w:val="004B5454"/>
    <w:rsid w:val="004C0921"/>
    <w:rsid w:val="004C1544"/>
    <w:rsid w:val="004D1AC1"/>
    <w:rsid w:val="004D6541"/>
    <w:rsid w:val="004E121C"/>
    <w:rsid w:val="004E1F26"/>
    <w:rsid w:val="004E20E0"/>
    <w:rsid w:val="004F5FE5"/>
    <w:rsid w:val="005116FA"/>
    <w:rsid w:val="0051479B"/>
    <w:rsid w:val="00515AB5"/>
    <w:rsid w:val="005168F2"/>
    <w:rsid w:val="00534745"/>
    <w:rsid w:val="005371CE"/>
    <w:rsid w:val="00541380"/>
    <w:rsid w:val="0054334A"/>
    <w:rsid w:val="00544D6A"/>
    <w:rsid w:val="005648F1"/>
    <w:rsid w:val="00573414"/>
    <w:rsid w:val="00580804"/>
    <w:rsid w:val="00591C3E"/>
    <w:rsid w:val="005A31CB"/>
    <w:rsid w:val="005B1325"/>
    <w:rsid w:val="005B465D"/>
    <w:rsid w:val="005B5C71"/>
    <w:rsid w:val="005C10FD"/>
    <w:rsid w:val="005C3662"/>
    <w:rsid w:val="005C40F8"/>
    <w:rsid w:val="005C4BF5"/>
    <w:rsid w:val="005D600A"/>
    <w:rsid w:val="005E13F3"/>
    <w:rsid w:val="005F22B4"/>
    <w:rsid w:val="00601AD7"/>
    <w:rsid w:val="00602E4E"/>
    <w:rsid w:val="006052A1"/>
    <w:rsid w:val="00606935"/>
    <w:rsid w:val="00612FDC"/>
    <w:rsid w:val="00622CA9"/>
    <w:rsid w:val="00626F37"/>
    <w:rsid w:val="00632DC2"/>
    <w:rsid w:val="006332BB"/>
    <w:rsid w:val="00634B44"/>
    <w:rsid w:val="00645CA7"/>
    <w:rsid w:val="006517C6"/>
    <w:rsid w:val="0065191D"/>
    <w:rsid w:val="00656D6A"/>
    <w:rsid w:val="0066121A"/>
    <w:rsid w:val="00666582"/>
    <w:rsid w:val="006667DE"/>
    <w:rsid w:val="00677E5F"/>
    <w:rsid w:val="00681207"/>
    <w:rsid w:val="00681578"/>
    <w:rsid w:val="00693CCF"/>
    <w:rsid w:val="00697AB5"/>
    <w:rsid w:val="006A02AC"/>
    <w:rsid w:val="006B49CC"/>
    <w:rsid w:val="006C27F2"/>
    <w:rsid w:val="006C7C13"/>
    <w:rsid w:val="006D2EAD"/>
    <w:rsid w:val="006E1135"/>
    <w:rsid w:val="00702D4C"/>
    <w:rsid w:val="00706878"/>
    <w:rsid w:val="00707A51"/>
    <w:rsid w:val="00715E58"/>
    <w:rsid w:val="0072419E"/>
    <w:rsid w:val="00730D38"/>
    <w:rsid w:val="0073410F"/>
    <w:rsid w:val="007453AD"/>
    <w:rsid w:val="007476E9"/>
    <w:rsid w:val="00753D17"/>
    <w:rsid w:val="00755136"/>
    <w:rsid w:val="00765CF2"/>
    <w:rsid w:val="007670D0"/>
    <w:rsid w:val="00771AFF"/>
    <w:rsid w:val="007736EE"/>
    <w:rsid w:val="00775170"/>
    <w:rsid w:val="007824BE"/>
    <w:rsid w:val="007866F9"/>
    <w:rsid w:val="007A02D1"/>
    <w:rsid w:val="007A2653"/>
    <w:rsid w:val="007A370B"/>
    <w:rsid w:val="007B12E3"/>
    <w:rsid w:val="007C2790"/>
    <w:rsid w:val="007C7CD2"/>
    <w:rsid w:val="007D1AB3"/>
    <w:rsid w:val="007D286F"/>
    <w:rsid w:val="007E6F5D"/>
    <w:rsid w:val="007F0FB4"/>
    <w:rsid w:val="007F5BD5"/>
    <w:rsid w:val="007F5C7B"/>
    <w:rsid w:val="008038A8"/>
    <w:rsid w:val="00804825"/>
    <w:rsid w:val="008213F2"/>
    <w:rsid w:val="00832D1D"/>
    <w:rsid w:val="00836DA7"/>
    <w:rsid w:val="00837FAE"/>
    <w:rsid w:val="00842ED4"/>
    <w:rsid w:val="008468FB"/>
    <w:rsid w:val="00864A71"/>
    <w:rsid w:val="0086617F"/>
    <w:rsid w:val="00874902"/>
    <w:rsid w:val="00885E46"/>
    <w:rsid w:val="00897194"/>
    <w:rsid w:val="008A666E"/>
    <w:rsid w:val="008B1135"/>
    <w:rsid w:val="008B23D7"/>
    <w:rsid w:val="008B4993"/>
    <w:rsid w:val="008D2B05"/>
    <w:rsid w:val="008D49CA"/>
    <w:rsid w:val="008F28C7"/>
    <w:rsid w:val="008F5173"/>
    <w:rsid w:val="008F6CA0"/>
    <w:rsid w:val="00904FC2"/>
    <w:rsid w:val="00907C50"/>
    <w:rsid w:val="009114AD"/>
    <w:rsid w:val="00912D1C"/>
    <w:rsid w:val="0091519C"/>
    <w:rsid w:val="009160E8"/>
    <w:rsid w:val="00933E47"/>
    <w:rsid w:val="00943DA1"/>
    <w:rsid w:val="009529DE"/>
    <w:rsid w:val="00953A05"/>
    <w:rsid w:val="0095414D"/>
    <w:rsid w:val="00955D0D"/>
    <w:rsid w:val="009563F1"/>
    <w:rsid w:val="009614FA"/>
    <w:rsid w:val="00963290"/>
    <w:rsid w:val="00967612"/>
    <w:rsid w:val="0097786C"/>
    <w:rsid w:val="00982A10"/>
    <w:rsid w:val="009A3B1A"/>
    <w:rsid w:val="009B3C25"/>
    <w:rsid w:val="009C17F7"/>
    <w:rsid w:val="009D3CAC"/>
    <w:rsid w:val="009E592F"/>
    <w:rsid w:val="009F31AB"/>
    <w:rsid w:val="009F7206"/>
    <w:rsid w:val="00A076A0"/>
    <w:rsid w:val="00A07FC2"/>
    <w:rsid w:val="00A11622"/>
    <w:rsid w:val="00A11875"/>
    <w:rsid w:val="00A15D77"/>
    <w:rsid w:val="00A22D7C"/>
    <w:rsid w:val="00A35C73"/>
    <w:rsid w:val="00A35D25"/>
    <w:rsid w:val="00A4527D"/>
    <w:rsid w:val="00A45DB7"/>
    <w:rsid w:val="00A61C03"/>
    <w:rsid w:val="00A64929"/>
    <w:rsid w:val="00A70B43"/>
    <w:rsid w:val="00A71CC2"/>
    <w:rsid w:val="00A7370B"/>
    <w:rsid w:val="00A8007C"/>
    <w:rsid w:val="00A8268E"/>
    <w:rsid w:val="00A879DD"/>
    <w:rsid w:val="00A97AB9"/>
    <w:rsid w:val="00AB1586"/>
    <w:rsid w:val="00AB4932"/>
    <w:rsid w:val="00AB4C92"/>
    <w:rsid w:val="00AC0D1D"/>
    <w:rsid w:val="00AE14CD"/>
    <w:rsid w:val="00AE52D5"/>
    <w:rsid w:val="00AE6979"/>
    <w:rsid w:val="00B00ABA"/>
    <w:rsid w:val="00B061F1"/>
    <w:rsid w:val="00B10EB2"/>
    <w:rsid w:val="00B13E45"/>
    <w:rsid w:val="00B15168"/>
    <w:rsid w:val="00B22D3B"/>
    <w:rsid w:val="00B2422F"/>
    <w:rsid w:val="00B27113"/>
    <w:rsid w:val="00B37CDD"/>
    <w:rsid w:val="00B406CA"/>
    <w:rsid w:val="00B42B69"/>
    <w:rsid w:val="00B45DE4"/>
    <w:rsid w:val="00B52B7D"/>
    <w:rsid w:val="00B57C1D"/>
    <w:rsid w:val="00B74DD1"/>
    <w:rsid w:val="00B76DB0"/>
    <w:rsid w:val="00B8613D"/>
    <w:rsid w:val="00B879F8"/>
    <w:rsid w:val="00B9522C"/>
    <w:rsid w:val="00BB1066"/>
    <w:rsid w:val="00BB2FBA"/>
    <w:rsid w:val="00BB5988"/>
    <w:rsid w:val="00BB761C"/>
    <w:rsid w:val="00BB7EC5"/>
    <w:rsid w:val="00BC18F7"/>
    <w:rsid w:val="00BC1CB8"/>
    <w:rsid w:val="00BC3667"/>
    <w:rsid w:val="00BC376B"/>
    <w:rsid w:val="00BE0FAD"/>
    <w:rsid w:val="00BE34BF"/>
    <w:rsid w:val="00BE3F47"/>
    <w:rsid w:val="00BE4D54"/>
    <w:rsid w:val="00BF78B1"/>
    <w:rsid w:val="00BF7F32"/>
    <w:rsid w:val="00C02FED"/>
    <w:rsid w:val="00C1077D"/>
    <w:rsid w:val="00C2004E"/>
    <w:rsid w:val="00C258F1"/>
    <w:rsid w:val="00C420BB"/>
    <w:rsid w:val="00C456E4"/>
    <w:rsid w:val="00C51267"/>
    <w:rsid w:val="00C53C33"/>
    <w:rsid w:val="00C54347"/>
    <w:rsid w:val="00C61F78"/>
    <w:rsid w:val="00C63BA3"/>
    <w:rsid w:val="00C75573"/>
    <w:rsid w:val="00C7646B"/>
    <w:rsid w:val="00C87BAC"/>
    <w:rsid w:val="00CA2DC7"/>
    <w:rsid w:val="00CA43D6"/>
    <w:rsid w:val="00CA7CA3"/>
    <w:rsid w:val="00CB322C"/>
    <w:rsid w:val="00CB366E"/>
    <w:rsid w:val="00CB4605"/>
    <w:rsid w:val="00CB77C2"/>
    <w:rsid w:val="00CC213F"/>
    <w:rsid w:val="00CC3F5F"/>
    <w:rsid w:val="00CC5474"/>
    <w:rsid w:val="00CD1F67"/>
    <w:rsid w:val="00CD30B3"/>
    <w:rsid w:val="00CE1D4D"/>
    <w:rsid w:val="00CF3A2A"/>
    <w:rsid w:val="00CF48FB"/>
    <w:rsid w:val="00CF5469"/>
    <w:rsid w:val="00CF56A5"/>
    <w:rsid w:val="00D016D7"/>
    <w:rsid w:val="00D03017"/>
    <w:rsid w:val="00D20DFD"/>
    <w:rsid w:val="00D337B6"/>
    <w:rsid w:val="00D4084B"/>
    <w:rsid w:val="00D50B22"/>
    <w:rsid w:val="00D569B3"/>
    <w:rsid w:val="00D67C42"/>
    <w:rsid w:val="00D81E7D"/>
    <w:rsid w:val="00D83CD0"/>
    <w:rsid w:val="00D864AC"/>
    <w:rsid w:val="00D944B4"/>
    <w:rsid w:val="00DA0469"/>
    <w:rsid w:val="00DA42E6"/>
    <w:rsid w:val="00DB0AF4"/>
    <w:rsid w:val="00DB2A3D"/>
    <w:rsid w:val="00DB4B1B"/>
    <w:rsid w:val="00DB61B3"/>
    <w:rsid w:val="00DC02F5"/>
    <w:rsid w:val="00DC4EFC"/>
    <w:rsid w:val="00DC5FAA"/>
    <w:rsid w:val="00DD3B7F"/>
    <w:rsid w:val="00DD41E0"/>
    <w:rsid w:val="00DE25BC"/>
    <w:rsid w:val="00DE3ABF"/>
    <w:rsid w:val="00E02F2B"/>
    <w:rsid w:val="00E20946"/>
    <w:rsid w:val="00E24BD9"/>
    <w:rsid w:val="00E26273"/>
    <w:rsid w:val="00E27ED5"/>
    <w:rsid w:val="00E32FDC"/>
    <w:rsid w:val="00E53323"/>
    <w:rsid w:val="00E63854"/>
    <w:rsid w:val="00E72226"/>
    <w:rsid w:val="00EA25DD"/>
    <w:rsid w:val="00EB150D"/>
    <w:rsid w:val="00EB5DD7"/>
    <w:rsid w:val="00EB6D51"/>
    <w:rsid w:val="00EB751D"/>
    <w:rsid w:val="00EC3FF1"/>
    <w:rsid w:val="00EF3099"/>
    <w:rsid w:val="00F06887"/>
    <w:rsid w:val="00F37CA7"/>
    <w:rsid w:val="00F428D2"/>
    <w:rsid w:val="00F429F7"/>
    <w:rsid w:val="00F42C33"/>
    <w:rsid w:val="00F468B1"/>
    <w:rsid w:val="00F53EF6"/>
    <w:rsid w:val="00F56A5E"/>
    <w:rsid w:val="00F76312"/>
    <w:rsid w:val="00F87BCB"/>
    <w:rsid w:val="00F90DC3"/>
    <w:rsid w:val="00FB4A3F"/>
    <w:rsid w:val="00FC2D3A"/>
    <w:rsid w:val="00FC3AE9"/>
    <w:rsid w:val="00FC5239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588C4E72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5B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586"/>
    <w:pPr>
      <w:spacing w:before="240" w:after="160" w:line="259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A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AE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B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16586"/>
    <w:rPr>
      <w:rFonts w:ascii="Arial" w:eastAsia="Times New Roman" w:hAnsi="Arial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5C4BF5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B4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60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05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434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1AD7"/>
    <w:rPr>
      <w:color w:val="808080"/>
    </w:rPr>
  </w:style>
  <w:style w:type="table" w:styleId="TableGrid">
    <w:name w:val="Table Grid"/>
    <w:basedOn w:val="TableNormal"/>
    <w:uiPriority w:val="3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60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093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MessageHeader">
    <w:name w:val="Message Header"/>
    <w:basedOn w:val="Normal"/>
    <w:link w:val="MessageHeaderChar"/>
    <w:uiPriority w:val="99"/>
    <w:unhideWhenUsed/>
    <w:rsid w:val="001135B8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135B8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118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e.ca.gov/ta/tg/g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SBE Memorandum Template</vt:lpstr>
    </vt:vector>
  </TitlesOfParts>
  <Company>California State Board of Education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 Memo PPTB ADAD Item 01 - Information Memorandum (CA State Board of Education)</dc:title>
  <dc:subject>Update on California High School Equivalency Tests.</dc:subject>
  <dc:creator/>
  <cp:keywords/>
  <dc:description/>
  <cp:lastPrinted>2019-06-05T22:48:00Z</cp:lastPrinted>
  <dcterms:created xsi:type="dcterms:W3CDTF">2019-05-09T22:31:00Z</dcterms:created>
  <dcterms:modified xsi:type="dcterms:W3CDTF">2019-06-12T18:42:00Z</dcterms:modified>
  <cp:category/>
</cp:coreProperties>
</file>