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DA1BE" w14:textId="26E273E8" w:rsidR="00057A96" w:rsidRPr="002F46E7" w:rsidRDefault="00275DC1" w:rsidP="00057A96">
      <w:r w:rsidRPr="002F46E7">
        <w:t>C</w:t>
      </w:r>
      <w:r w:rsidR="00057A96" w:rsidRPr="002F46E7">
        <w:t>alifornia Department of Education</w:t>
      </w:r>
    </w:p>
    <w:p w14:paraId="25A2D183" w14:textId="77777777" w:rsidR="00057A96" w:rsidRPr="002F46E7" w:rsidRDefault="00057A96" w:rsidP="00057A96">
      <w:r w:rsidRPr="002F46E7">
        <w:t>Executive Office</w:t>
      </w:r>
    </w:p>
    <w:p w14:paraId="3E062DAC" w14:textId="77777777" w:rsidR="00A5496A" w:rsidRPr="002F46E7" w:rsidRDefault="00057A96" w:rsidP="00A5496A">
      <w:r w:rsidRPr="002F46E7">
        <w:t>SBE-00</w:t>
      </w:r>
      <w:r w:rsidR="00BC376B" w:rsidRPr="002F46E7">
        <w:t>2</w:t>
      </w:r>
      <w:r w:rsidRPr="002F46E7">
        <w:t xml:space="preserve"> (REV. 1</w:t>
      </w:r>
      <w:r w:rsidR="000C139F" w:rsidRPr="002F46E7">
        <w:t>1</w:t>
      </w:r>
      <w:r w:rsidRPr="002F46E7">
        <w:t>/2017)</w:t>
      </w:r>
    </w:p>
    <w:p w14:paraId="771003FC" w14:textId="355C49E8" w:rsidR="00982A10" w:rsidRPr="002F46E7" w:rsidRDefault="00A5496A" w:rsidP="00A5496A">
      <w:pPr>
        <w:jc w:val="right"/>
      </w:pPr>
      <w:r w:rsidRPr="002F46E7">
        <w:br w:type="column"/>
      </w:r>
      <w:proofErr w:type="gramStart"/>
      <w:r w:rsidR="0001526C" w:rsidRPr="002F46E7">
        <w:t>memo-pptb-amard-</w:t>
      </w:r>
      <w:r w:rsidR="001F1186" w:rsidRPr="002F46E7">
        <w:t>apr18item02</w:t>
      </w:r>
      <w:proofErr w:type="gramEnd"/>
    </w:p>
    <w:p w14:paraId="56D4DF60" w14:textId="77777777" w:rsidR="00A5496A" w:rsidRPr="002F46E7" w:rsidRDefault="00A5496A" w:rsidP="00AA2D3D">
      <w:pPr>
        <w:pStyle w:val="Heading1"/>
        <w:spacing w:line="360" w:lineRule="auto"/>
        <w:rPr>
          <w:rFonts w:ascii="Arial" w:hAnsi="Arial" w:cs="Arial"/>
          <w:b/>
          <w:color w:val="auto"/>
          <w:sz w:val="40"/>
          <w:szCs w:val="52"/>
        </w:rPr>
        <w:sectPr w:rsidR="00A5496A" w:rsidRPr="002F46E7" w:rsidSect="00A5496A">
          <w:headerReference w:type="default" r:id="rId8"/>
          <w:pgSz w:w="12240" w:h="15840"/>
          <w:pgMar w:top="720" w:right="1440" w:bottom="1440" w:left="1440" w:header="720" w:footer="720" w:gutter="0"/>
          <w:pgNumType w:start="1"/>
          <w:cols w:num="2" w:space="720"/>
          <w:titlePg/>
          <w:docGrid w:linePitch="360"/>
        </w:sectPr>
      </w:pPr>
    </w:p>
    <w:p w14:paraId="7D4A581D" w14:textId="28B8DBCC" w:rsidR="00AA2D3D" w:rsidRPr="002F46E7" w:rsidRDefault="00AA2D3D" w:rsidP="00AA2D3D">
      <w:pPr>
        <w:pStyle w:val="Heading1"/>
        <w:spacing w:line="360" w:lineRule="auto"/>
        <w:rPr>
          <w:rFonts w:ascii="Arial" w:hAnsi="Arial" w:cs="Arial"/>
          <w:b/>
          <w:color w:val="auto"/>
          <w:sz w:val="40"/>
          <w:szCs w:val="52"/>
        </w:rPr>
      </w:pPr>
      <w:r w:rsidRPr="002F46E7">
        <w:rPr>
          <w:rFonts w:ascii="Arial" w:hAnsi="Arial" w:cs="Arial"/>
          <w:b/>
          <w:color w:val="auto"/>
          <w:sz w:val="40"/>
          <w:szCs w:val="52"/>
        </w:rPr>
        <w:t>MEMORANDUM</w:t>
      </w:r>
    </w:p>
    <w:p w14:paraId="28234203" w14:textId="522DBF9F" w:rsidR="00AA2D3D" w:rsidRPr="002F46E7" w:rsidRDefault="00AA2D3D" w:rsidP="00AA2D3D">
      <w:pPr>
        <w:spacing w:after="360"/>
      </w:pPr>
      <w:r w:rsidRPr="002F46E7">
        <w:rPr>
          <w:b/>
        </w:rPr>
        <w:t>DATE:</w:t>
      </w:r>
      <w:r w:rsidRPr="002F46E7">
        <w:tab/>
        <w:t xml:space="preserve">April </w:t>
      </w:r>
      <w:r w:rsidR="00005A35" w:rsidRPr="002F46E7">
        <w:t>10</w:t>
      </w:r>
      <w:r w:rsidRPr="002F46E7">
        <w:t xml:space="preserve">, 2018 </w:t>
      </w:r>
    </w:p>
    <w:p w14:paraId="6BA846C7" w14:textId="4DEA2EEE" w:rsidR="00AA2D3D" w:rsidRPr="002F46E7" w:rsidRDefault="00AA2D3D" w:rsidP="00AA2D3D">
      <w:pPr>
        <w:spacing w:after="360"/>
        <w:ind w:left="1440" w:hanging="1440"/>
      </w:pPr>
      <w:r w:rsidRPr="002F46E7">
        <w:rPr>
          <w:b/>
        </w:rPr>
        <w:t>TO:</w:t>
      </w:r>
      <w:r w:rsidRPr="002F46E7">
        <w:rPr>
          <w:b/>
        </w:rPr>
        <w:tab/>
      </w:r>
      <w:r w:rsidRPr="002F46E7">
        <w:t>MEMBERS, State Board of Education</w:t>
      </w:r>
    </w:p>
    <w:p w14:paraId="31B02A65" w14:textId="77777777" w:rsidR="00AA2D3D" w:rsidRPr="002F46E7" w:rsidRDefault="00AA2D3D" w:rsidP="00AA2D3D">
      <w:pPr>
        <w:spacing w:after="360"/>
        <w:ind w:left="1440" w:hanging="1440"/>
      </w:pPr>
      <w:r w:rsidRPr="002F46E7">
        <w:rPr>
          <w:b/>
        </w:rPr>
        <w:t>FROM:</w:t>
      </w:r>
      <w:r w:rsidRPr="002F46E7">
        <w:tab/>
        <w:t>TOM TORLAKSON, State Superintendent of Public Instruction</w:t>
      </w:r>
    </w:p>
    <w:p w14:paraId="56F07072" w14:textId="55DA583C" w:rsidR="007A7F1B" w:rsidRPr="002F46E7" w:rsidRDefault="00AA2D3D" w:rsidP="00AA2D3D">
      <w:pPr>
        <w:spacing w:after="360"/>
        <w:ind w:left="1440" w:hanging="1440"/>
      </w:pPr>
      <w:r w:rsidRPr="002F46E7">
        <w:rPr>
          <w:b/>
        </w:rPr>
        <w:t>SUBJECT:</w:t>
      </w:r>
      <w:r w:rsidRPr="002F46E7">
        <w:rPr>
          <w:b/>
        </w:rPr>
        <w:tab/>
      </w:r>
      <w:r w:rsidRPr="002F46E7">
        <w:rPr>
          <w:rFonts w:cs="Arial"/>
          <w:color w:val="000000"/>
        </w:rPr>
        <w:t>Update on the Development of the College/Career Indicator</w:t>
      </w:r>
      <w:r w:rsidR="007A7F1B" w:rsidRPr="002F46E7">
        <w:rPr>
          <w:rFonts w:cs="Arial"/>
          <w:color w:val="000000"/>
        </w:rPr>
        <w:t>, Including an Overview of the Research</w:t>
      </w:r>
      <w:r w:rsidR="00EC5947" w:rsidRPr="002F46E7">
        <w:rPr>
          <w:rFonts w:cs="Arial"/>
          <w:color w:val="000000"/>
        </w:rPr>
        <w:t xml:space="preserve"> Supporting the Current Model</w:t>
      </w:r>
      <w:r w:rsidR="007A7F1B" w:rsidRPr="002F46E7">
        <w:rPr>
          <w:rFonts w:cs="Arial"/>
          <w:color w:val="000000"/>
        </w:rPr>
        <w:t xml:space="preserve"> </w:t>
      </w:r>
    </w:p>
    <w:p w14:paraId="7F71EDD7" w14:textId="77777777" w:rsidR="00AA2D3D" w:rsidRPr="002F46E7" w:rsidRDefault="00AA2D3D" w:rsidP="00AA2D3D">
      <w:pPr>
        <w:pStyle w:val="Heading2"/>
        <w:spacing w:before="240" w:after="240"/>
        <w:rPr>
          <w:sz w:val="36"/>
        </w:rPr>
      </w:pPr>
      <w:r w:rsidRPr="002F46E7">
        <w:rPr>
          <w:sz w:val="36"/>
        </w:rPr>
        <w:t>Summary of Key Issues</w:t>
      </w:r>
    </w:p>
    <w:p w14:paraId="50BE4A44" w14:textId="48672FC8" w:rsidR="00AA2D3D" w:rsidRPr="002F46E7" w:rsidRDefault="0031735F" w:rsidP="00AA2D3D">
      <w:pPr>
        <w:spacing w:after="240"/>
        <w:rPr>
          <w:rFonts w:cs="Arial"/>
        </w:rPr>
      </w:pPr>
      <w:r w:rsidRPr="002F46E7">
        <w:rPr>
          <w:rFonts w:cs="Arial"/>
        </w:rPr>
        <w:t>In fall 2018, t</w:t>
      </w:r>
      <w:r w:rsidR="005954AC" w:rsidRPr="002F46E7">
        <w:rPr>
          <w:rFonts w:cs="Arial"/>
        </w:rPr>
        <w:t xml:space="preserve">he State Board of Education (SBE) </w:t>
      </w:r>
      <w:r w:rsidRPr="002F46E7">
        <w:rPr>
          <w:rFonts w:cs="Arial"/>
        </w:rPr>
        <w:t>will</w:t>
      </w:r>
      <w:r w:rsidR="005954AC" w:rsidRPr="002F46E7">
        <w:rPr>
          <w:rFonts w:cs="Arial"/>
        </w:rPr>
        <w:t xml:space="preserve"> adopt performance levels for the College/Career Indicator</w:t>
      </w:r>
      <w:r w:rsidR="007A7F1B" w:rsidRPr="002F46E7">
        <w:rPr>
          <w:rFonts w:cs="Arial"/>
        </w:rPr>
        <w:t xml:space="preserve"> (CCI)</w:t>
      </w:r>
      <w:r w:rsidR="005954AC" w:rsidRPr="002F46E7">
        <w:rPr>
          <w:rFonts w:cs="Arial"/>
        </w:rPr>
        <w:t xml:space="preserve"> for inclusion in the 2018 California School Dashboard</w:t>
      </w:r>
      <w:r w:rsidRPr="002F46E7">
        <w:rPr>
          <w:rFonts w:cs="Arial"/>
        </w:rPr>
        <w:t>.</w:t>
      </w:r>
      <w:r w:rsidR="005954AC" w:rsidRPr="002F46E7">
        <w:rPr>
          <w:rFonts w:cs="Arial"/>
        </w:rPr>
        <w:t xml:space="preserve"> </w:t>
      </w:r>
      <w:r w:rsidRPr="002F46E7">
        <w:rPr>
          <w:rFonts w:cs="Arial"/>
        </w:rPr>
        <w:t xml:space="preserve">To prepare the SBE for this planned action, the </w:t>
      </w:r>
      <w:r w:rsidR="00AA2D3D" w:rsidRPr="002F46E7">
        <w:rPr>
          <w:rFonts w:cs="Arial"/>
        </w:rPr>
        <w:t xml:space="preserve">California Department of Education provided </w:t>
      </w:r>
      <w:r w:rsidR="007A7F1B" w:rsidRPr="002F46E7">
        <w:rPr>
          <w:rFonts w:cs="Arial"/>
        </w:rPr>
        <w:t xml:space="preserve">a February 2018 SBE </w:t>
      </w:r>
      <w:r w:rsidR="00AA2D3D" w:rsidRPr="002F46E7">
        <w:rPr>
          <w:rFonts w:cs="Arial"/>
        </w:rPr>
        <w:t xml:space="preserve">Information Memorandum that </w:t>
      </w:r>
      <w:r w:rsidR="007A7F1B" w:rsidRPr="002F46E7">
        <w:rPr>
          <w:rFonts w:cs="Arial"/>
        </w:rPr>
        <w:t>reviewed the history of the CCI (</w:t>
      </w:r>
      <w:hyperlink r:id="rId9" w:tooltip="February 2018 CDE Info Memo 02" w:history="1">
        <w:r w:rsidR="007A7F1B" w:rsidRPr="002F46E7">
          <w:rPr>
            <w:rStyle w:val="Hyperlink"/>
            <w:rFonts w:cs="Arial"/>
            <w:color w:val="2E74B5" w:themeColor="accent1" w:themeShade="BF"/>
          </w:rPr>
          <w:t>https://www.cde.ca.gov/be/pn/im/documents/memo-pptb-amard-feb18item02.docx</w:t>
        </w:r>
      </w:hyperlink>
      <w:r w:rsidR="007A7F1B" w:rsidRPr="002F46E7">
        <w:rPr>
          <w:rFonts w:cs="Arial"/>
        </w:rPr>
        <w:t>).</w:t>
      </w:r>
      <w:r w:rsidR="00912D1A" w:rsidRPr="002F46E7">
        <w:rPr>
          <w:rFonts w:cs="Arial"/>
        </w:rPr>
        <w:t xml:space="preserve"> </w:t>
      </w:r>
      <w:r w:rsidR="007A7F1B" w:rsidRPr="002F46E7">
        <w:rPr>
          <w:rFonts w:cs="Arial"/>
        </w:rPr>
        <w:t>A</w:t>
      </w:r>
      <w:r w:rsidR="005954AC" w:rsidRPr="002F46E7">
        <w:rPr>
          <w:rFonts w:cs="Arial"/>
        </w:rPr>
        <w:t xml:space="preserve">t the March 2018 SBE meeting, the </w:t>
      </w:r>
      <w:r w:rsidRPr="002F46E7">
        <w:rPr>
          <w:rFonts w:cs="Arial"/>
        </w:rPr>
        <w:t>SBE requested a follow up Information Memorandum on the validity and reliability of the CCI. This Information Memorandum</w:t>
      </w:r>
      <w:r w:rsidR="00AA2D3D" w:rsidRPr="002F46E7">
        <w:rPr>
          <w:rFonts w:cs="Arial"/>
        </w:rPr>
        <w:t xml:space="preserve"> details the research that was conducted and incorporated in the development of the CC</w:t>
      </w:r>
      <w:r w:rsidR="00005A35" w:rsidRPr="002F46E7">
        <w:rPr>
          <w:rFonts w:cs="Arial"/>
        </w:rPr>
        <w:t>I</w:t>
      </w:r>
      <w:r w:rsidR="00AA2D3D" w:rsidRPr="002F46E7">
        <w:rPr>
          <w:rFonts w:cs="Arial"/>
        </w:rPr>
        <w:t xml:space="preserve"> and the rigorous vetting criteria and processes that were applied to select CCI measures. </w:t>
      </w:r>
    </w:p>
    <w:p w14:paraId="2F33E19B" w14:textId="77777777" w:rsidR="00AA2D3D" w:rsidRPr="002F46E7" w:rsidRDefault="00AA2D3D" w:rsidP="00AA2D3D">
      <w:pPr>
        <w:pStyle w:val="Heading2"/>
        <w:spacing w:before="240" w:after="0" w:line="360" w:lineRule="auto"/>
        <w:rPr>
          <w:sz w:val="36"/>
        </w:rPr>
      </w:pPr>
      <w:r w:rsidRPr="002F46E7">
        <w:rPr>
          <w:sz w:val="36"/>
        </w:rPr>
        <w:t>Attachment(s)</w:t>
      </w:r>
    </w:p>
    <w:p w14:paraId="0A6886CC" w14:textId="6C7A2831" w:rsidR="00C63F38" w:rsidRPr="002F46E7" w:rsidRDefault="00AA2D3D" w:rsidP="00A5496A">
      <w:pPr>
        <w:pStyle w:val="ListParagraph"/>
        <w:numPr>
          <w:ilvl w:val="0"/>
          <w:numId w:val="24"/>
        </w:numPr>
        <w:rPr>
          <w:rFonts w:ascii="Arial" w:hAnsi="Arial" w:cs="Arial"/>
          <w:sz w:val="24"/>
          <w:szCs w:val="24"/>
        </w:rPr>
        <w:sectPr w:rsidR="00C63F38" w:rsidRPr="002F46E7" w:rsidSect="00A5496A">
          <w:type w:val="continuous"/>
          <w:pgSz w:w="12240" w:h="15840"/>
          <w:pgMar w:top="1440" w:right="1440" w:bottom="1440" w:left="1440" w:header="720" w:footer="720" w:gutter="0"/>
          <w:pgNumType w:start="1"/>
          <w:cols w:space="720"/>
          <w:titlePg/>
          <w:docGrid w:linePitch="360"/>
        </w:sectPr>
      </w:pPr>
      <w:r w:rsidRPr="002F46E7">
        <w:rPr>
          <w:rFonts w:ascii="Arial" w:hAnsi="Arial" w:cs="Arial"/>
          <w:sz w:val="24"/>
          <w:szCs w:val="24"/>
        </w:rPr>
        <w:t xml:space="preserve">Attachment 1: The College/Career Indicator: the Validity and Reliability of a Multiple Measures Indicator that Evaluates College and Career </w:t>
      </w:r>
      <w:r w:rsidR="00005A35" w:rsidRPr="002F46E7">
        <w:rPr>
          <w:rFonts w:ascii="Arial" w:hAnsi="Arial" w:cs="Arial"/>
          <w:sz w:val="24"/>
          <w:szCs w:val="24"/>
        </w:rPr>
        <w:t>Preparedness</w:t>
      </w:r>
      <w:r w:rsidRPr="002F46E7">
        <w:rPr>
          <w:rFonts w:ascii="Arial" w:hAnsi="Arial" w:cs="Arial"/>
          <w:sz w:val="24"/>
          <w:szCs w:val="24"/>
        </w:rPr>
        <w:t xml:space="preserve"> (1</w:t>
      </w:r>
      <w:r w:rsidR="00616A85" w:rsidRPr="002F46E7">
        <w:rPr>
          <w:rFonts w:ascii="Arial" w:hAnsi="Arial" w:cs="Arial"/>
          <w:sz w:val="24"/>
          <w:szCs w:val="24"/>
        </w:rPr>
        <w:t>4</w:t>
      </w:r>
      <w:r w:rsidRPr="002F46E7">
        <w:rPr>
          <w:rFonts w:ascii="Arial" w:hAnsi="Arial" w:cs="Arial"/>
          <w:sz w:val="24"/>
          <w:szCs w:val="24"/>
        </w:rPr>
        <w:t xml:space="preserve"> Pages)</w:t>
      </w:r>
    </w:p>
    <w:p w14:paraId="6B9A0864" w14:textId="71B81657" w:rsidR="00CA66E7" w:rsidRPr="002F46E7" w:rsidRDefault="00275DC1" w:rsidP="00A5496A">
      <w:pPr>
        <w:pStyle w:val="Heading1"/>
        <w:spacing w:before="0" w:after="240"/>
        <w:jc w:val="center"/>
        <w:rPr>
          <w:rFonts w:ascii="Arial" w:hAnsi="Arial" w:cs="Arial"/>
          <w:b/>
          <w:color w:val="auto"/>
          <w:sz w:val="36"/>
          <w:szCs w:val="36"/>
        </w:rPr>
      </w:pPr>
      <w:r w:rsidRPr="002F46E7">
        <w:rPr>
          <w:rFonts w:ascii="Arial" w:hAnsi="Arial" w:cs="Arial"/>
          <w:b/>
          <w:color w:val="auto"/>
          <w:sz w:val="36"/>
          <w:szCs w:val="36"/>
        </w:rPr>
        <w:lastRenderedPageBreak/>
        <w:t xml:space="preserve">Attachment 1: </w:t>
      </w:r>
      <w:r w:rsidR="00CA66E7" w:rsidRPr="002F46E7">
        <w:rPr>
          <w:rFonts w:ascii="Arial" w:hAnsi="Arial" w:cs="Arial"/>
          <w:b/>
          <w:color w:val="auto"/>
          <w:sz w:val="36"/>
          <w:szCs w:val="36"/>
        </w:rPr>
        <w:t>Validity and Reliability of the College/Career Indicator</w:t>
      </w:r>
    </w:p>
    <w:p w14:paraId="1073BA5A" w14:textId="07F3715E" w:rsidR="00CA66E7" w:rsidRPr="002F46E7" w:rsidRDefault="00CA66E7" w:rsidP="00A5496A">
      <w:pPr>
        <w:spacing w:after="240"/>
        <w:rPr>
          <w:rFonts w:eastAsiaTheme="minorHAnsi" w:cs="Arial"/>
        </w:rPr>
      </w:pPr>
      <w:r w:rsidRPr="002F46E7">
        <w:rPr>
          <w:rFonts w:eastAsiaTheme="minorHAnsi" w:cs="Arial"/>
        </w:rPr>
        <w:t>In 2012, Governor Jerry Brown signed into law Senate Bill</w:t>
      </w:r>
      <w:r w:rsidR="008D148D" w:rsidRPr="002F46E7">
        <w:rPr>
          <w:rFonts w:eastAsiaTheme="minorHAnsi" w:cs="Arial"/>
        </w:rPr>
        <w:t xml:space="preserve"> (SB) </w:t>
      </w:r>
      <w:r w:rsidRPr="002F46E7">
        <w:rPr>
          <w:rFonts w:eastAsiaTheme="minorHAnsi" w:cs="Arial"/>
        </w:rPr>
        <w:t xml:space="preserve">1458, which called for California’s school accountability system to expand its focus beyond standardized test scores and incorporate a broader set of measures demonstrating student achievement. </w:t>
      </w:r>
      <w:r w:rsidR="008D148D" w:rsidRPr="002F46E7">
        <w:rPr>
          <w:rFonts w:eastAsiaTheme="minorHAnsi" w:cs="Arial"/>
        </w:rPr>
        <w:t>The passage of SB 1458 was the catalyst for the development of the College/Career Indicator (CCI). The initial work to expand the accountability system was leveraged with</w:t>
      </w:r>
      <w:r w:rsidR="00A86B0B" w:rsidRPr="002F46E7">
        <w:rPr>
          <w:rFonts w:eastAsiaTheme="minorHAnsi" w:cs="Arial"/>
        </w:rPr>
        <w:t xml:space="preserve"> the </w:t>
      </w:r>
      <w:r w:rsidR="0078683C" w:rsidRPr="002F46E7">
        <w:rPr>
          <w:rFonts w:eastAsiaTheme="minorHAnsi" w:cs="Arial"/>
        </w:rPr>
        <w:t xml:space="preserve">passage of </w:t>
      </w:r>
      <w:r w:rsidR="00A86B0B" w:rsidRPr="002F46E7">
        <w:rPr>
          <w:rFonts w:eastAsiaTheme="minorHAnsi" w:cs="Arial"/>
        </w:rPr>
        <w:t>Local Control Funding Formula (LCFF) legislation</w:t>
      </w:r>
      <w:r w:rsidR="0078683C" w:rsidRPr="002F46E7">
        <w:rPr>
          <w:rFonts w:eastAsiaTheme="minorHAnsi" w:cs="Arial"/>
        </w:rPr>
        <w:t xml:space="preserve"> in 2013,</w:t>
      </w:r>
      <w:r w:rsidR="00A86B0B" w:rsidRPr="002F46E7">
        <w:rPr>
          <w:rFonts w:eastAsiaTheme="minorHAnsi" w:cs="Arial"/>
        </w:rPr>
        <w:t xml:space="preserve"> which </w:t>
      </w:r>
      <w:r w:rsidR="0078683C" w:rsidRPr="002F46E7">
        <w:rPr>
          <w:rFonts w:eastAsiaTheme="minorHAnsi" w:cs="Arial"/>
        </w:rPr>
        <w:t>inc</w:t>
      </w:r>
      <w:r w:rsidR="00A86B0B" w:rsidRPr="002F46E7">
        <w:rPr>
          <w:rFonts w:eastAsiaTheme="minorHAnsi" w:cs="Arial"/>
        </w:rPr>
        <w:t>luded a focus on postsecondary preparedness</w:t>
      </w:r>
      <w:r w:rsidR="008D148D" w:rsidRPr="002F46E7">
        <w:rPr>
          <w:rFonts w:eastAsiaTheme="minorHAnsi" w:cs="Arial"/>
        </w:rPr>
        <w:t>. As a result, the CCI was developed to capture all the high school student achievement measures specified in LCFF (a–g completion, Career Technical Education [CTE] pathway completion, Advanced Placement [AP] exams, and Smarter Balanced Summative Assessments). In September 2016, the State Board of Education (SBE) adopted the CCI as</w:t>
      </w:r>
      <w:r w:rsidRPr="002F46E7">
        <w:rPr>
          <w:rFonts w:eastAsiaTheme="minorHAnsi" w:cs="Arial"/>
        </w:rPr>
        <w:t xml:space="preserve"> a state indicator</w:t>
      </w:r>
      <w:r w:rsidR="008D148D" w:rsidRPr="002F46E7">
        <w:rPr>
          <w:rFonts w:eastAsiaTheme="minorHAnsi" w:cs="Arial"/>
        </w:rPr>
        <w:t xml:space="preserve">. </w:t>
      </w:r>
      <w:r w:rsidRPr="002F46E7">
        <w:rPr>
          <w:rFonts w:eastAsiaTheme="minorHAnsi" w:cs="Arial"/>
        </w:rPr>
        <w:t xml:space="preserve">This </w:t>
      </w:r>
      <w:r w:rsidR="006C641F" w:rsidRPr="002F46E7">
        <w:rPr>
          <w:rFonts w:eastAsiaTheme="minorHAnsi" w:cs="Arial"/>
        </w:rPr>
        <w:t xml:space="preserve">Information </w:t>
      </w:r>
      <w:r w:rsidR="00275DC1" w:rsidRPr="002F46E7">
        <w:rPr>
          <w:rFonts w:eastAsiaTheme="minorHAnsi" w:cs="Arial"/>
        </w:rPr>
        <w:t>Memorandum</w:t>
      </w:r>
      <w:r w:rsidRPr="002F46E7">
        <w:rPr>
          <w:rFonts w:eastAsiaTheme="minorHAnsi" w:cs="Arial"/>
        </w:rPr>
        <w:t xml:space="preserve"> outlines:</w:t>
      </w:r>
    </w:p>
    <w:p w14:paraId="42C0CA57" w14:textId="77777777" w:rsidR="00CA66E7" w:rsidRPr="002F46E7" w:rsidRDefault="00CA66E7" w:rsidP="00A5496A">
      <w:pPr>
        <w:numPr>
          <w:ilvl w:val="0"/>
          <w:numId w:val="13"/>
        </w:numPr>
        <w:ind w:left="720"/>
        <w:contextualSpacing/>
        <w:rPr>
          <w:rFonts w:eastAsiaTheme="minorHAnsi" w:cs="Arial"/>
        </w:rPr>
      </w:pPr>
      <w:r w:rsidRPr="002F46E7">
        <w:rPr>
          <w:rFonts w:eastAsiaTheme="minorHAnsi" w:cs="Arial"/>
        </w:rPr>
        <w:t xml:space="preserve">The strong research foundations of the CCI </w:t>
      </w:r>
    </w:p>
    <w:p w14:paraId="791F358E" w14:textId="77777777" w:rsidR="00CA66E7" w:rsidRPr="002F46E7" w:rsidRDefault="00CA66E7" w:rsidP="00A5496A">
      <w:pPr>
        <w:numPr>
          <w:ilvl w:val="0"/>
          <w:numId w:val="13"/>
        </w:numPr>
        <w:ind w:left="720"/>
        <w:contextualSpacing/>
        <w:rPr>
          <w:rFonts w:eastAsiaTheme="minorHAnsi" w:cs="Arial"/>
        </w:rPr>
      </w:pPr>
      <w:r w:rsidRPr="002F46E7">
        <w:rPr>
          <w:rFonts w:eastAsiaTheme="minorHAnsi" w:cs="Arial"/>
        </w:rPr>
        <w:t xml:space="preserve">The rigorous criteria used to vet and select CCI measures </w:t>
      </w:r>
    </w:p>
    <w:p w14:paraId="3D569381" w14:textId="77777777" w:rsidR="00CA66E7" w:rsidRPr="002F46E7" w:rsidRDefault="00CA66E7" w:rsidP="00A5496A">
      <w:pPr>
        <w:numPr>
          <w:ilvl w:val="0"/>
          <w:numId w:val="13"/>
        </w:numPr>
        <w:ind w:left="720"/>
        <w:contextualSpacing/>
        <w:rPr>
          <w:rFonts w:eastAsiaTheme="minorHAnsi" w:cs="Arial"/>
        </w:rPr>
      </w:pPr>
      <w:r w:rsidRPr="002F46E7">
        <w:rPr>
          <w:rFonts w:eastAsiaTheme="minorHAnsi" w:cs="Arial"/>
        </w:rPr>
        <w:t xml:space="preserve">The technical soundness of the methodology </w:t>
      </w:r>
    </w:p>
    <w:p w14:paraId="3D658CB6" w14:textId="77777777" w:rsidR="00CA66E7" w:rsidRPr="002F46E7" w:rsidRDefault="00CA66E7" w:rsidP="00A5496A">
      <w:pPr>
        <w:numPr>
          <w:ilvl w:val="0"/>
          <w:numId w:val="13"/>
        </w:numPr>
        <w:ind w:left="720"/>
        <w:contextualSpacing/>
        <w:rPr>
          <w:rFonts w:eastAsiaTheme="minorHAnsi" w:cs="Arial"/>
        </w:rPr>
      </w:pPr>
      <w:r w:rsidRPr="002F46E7">
        <w:rPr>
          <w:rFonts w:eastAsiaTheme="minorHAnsi" w:cs="Arial"/>
        </w:rPr>
        <w:t>The breadth of expertise of the partners that helped inform the CCI</w:t>
      </w:r>
    </w:p>
    <w:p w14:paraId="0E675853" w14:textId="7DDFB637" w:rsidR="00CA66E7" w:rsidRPr="002F46E7" w:rsidRDefault="00CA66E7" w:rsidP="00A5496A">
      <w:pPr>
        <w:numPr>
          <w:ilvl w:val="0"/>
          <w:numId w:val="13"/>
        </w:numPr>
        <w:spacing w:after="240"/>
        <w:ind w:left="720"/>
        <w:contextualSpacing/>
        <w:rPr>
          <w:rFonts w:eastAsiaTheme="minorHAnsi" w:cs="Arial"/>
        </w:rPr>
      </w:pPr>
      <w:r w:rsidRPr="002F46E7">
        <w:rPr>
          <w:rFonts w:eastAsiaTheme="minorHAnsi" w:cs="Arial"/>
        </w:rPr>
        <w:t>The robust data demonstrating the coherence of the CCI model</w:t>
      </w:r>
    </w:p>
    <w:p w14:paraId="2DB42FDC" w14:textId="77777777" w:rsidR="00CA66E7" w:rsidRPr="002F46E7" w:rsidRDefault="00CA66E7" w:rsidP="00A5496A">
      <w:pPr>
        <w:pStyle w:val="Heading2"/>
        <w:spacing w:before="0" w:after="240"/>
        <w:rPr>
          <w:sz w:val="32"/>
          <w:szCs w:val="32"/>
        </w:rPr>
      </w:pPr>
      <w:r w:rsidRPr="002F46E7">
        <w:rPr>
          <w:sz w:val="32"/>
          <w:szCs w:val="32"/>
        </w:rPr>
        <w:t>Overview of the Process</w:t>
      </w:r>
    </w:p>
    <w:p w14:paraId="4106C9C3" w14:textId="37C9142E" w:rsidR="00CA66E7" w:rsidRPr="002F46E7" w:rsidRDefault="00CA66E7" w:rsidP="00A5496A">
      <w:pPr>
        <w:spacing w:after="240"/>
        <w:rPr>
          <w:rFonts w:eastAsiaTheme="minorHAnsi" w:cs="Arial"/>
        </w:rPr>
      </w:pPr>
      <w:r w:rsidRPr="002F46E7">
        <w:rPr>
          <w:rFonts w:eastAsiaTheme="minorHAnsi" w:cs="Arial"/>
        </w:rPr>
        <w:t>In building the CCI model, the California Department of Education (CDE):</w:t>
      </w:r>
    </w:p>
    <w:p w14:paraId="41C2A9A4" w14:textId="4F353941" w:rsidR="00CA66E7" w:rsidRPr="002F46E7" w:rsidRDefault="00CA66E7" w:rsidP="00A5496A">
      <w:pPr>
        <w:numPr>
          <w:ilvl w:val="0"/>
          <w:numId w:val="14"/>
        </w:numPr>
        <w:spacing w:after="240"/>
        <w:rPr>
          <w:rFonts w:eastAsiaTheme="minorHAnsi" w:cs="Arial"/>
        </w:rPr>
      </w:pPr>
      <w:r w:rsidRPr="002F46E7">
        <w:rPr>
          <w:rFonts w:eastAsiaTheme="minorHAnsi" w:cs="Arial"/>
        </w:rPr>
        <w:t>Sought the expertise of the leading scholars in the field of college and career readiness in order to a build a strong research foundation and evaluation framework. These experts included:</w:t>
      </w:r>
    </w:p>
    <w:p w14:paraId="63F2BFAF" w14:textId="59900E72" w:rsidR="00CA66E7" w:rsidRPr="002F46E7" w:rsidRDefault="001F1186" w:rsidP="00CA66E7">
      <w:pPr>
        <w:numPr>
          <w:ilvl w:val="0"/>
          <w:numId w:val="15"/>
        </w:numPr>
        <w:contextualSpacing/>
        <w:rPr>
          <w:rFonts w:eastAsiaTheme="minorHAnsi" w:cs="Arial"/>
        </w:rPr>
      </w:pPr>
      <w:r w:rsidRPr="002F46E7">
        <w:rPr>
          <w:rFonts w:eastAsiaTheme="minorHAnsi" w:cs="Arial"/>
        </w:rPr>
        <w:t xml:space="preserve">Dr. </w:t>
      </w:r>
      <w:r w:rsidR="00CA66E7" w:rsidRPr="002F46E7">
        <w:rPr>
          <w:rFonts w:eastAsiaTheme="minorHAnsi" w:cs="Arial"/>
        </w:rPr>
        <w:t>David Conley, University of Oregon</w:t>
      </w:r>
    </w:p>
    <w:p w14:paraId="72B084DF" w14:textId="0686FF90" w:rsidR="00CA66E7" w:rsidRPr="002F46E7" w:rsidRDefault="001F1186" w:rsidP="00CA66E7">
      <w:pPr>
        <w:numPr>
          <w:ilvl w:val="0"/>
          <w:numId w:val="15"/>
        </w:numPr>
        <w:contextualSpacing/>
        <w:rPr>
          <w:rFonts w:eastAsiaTheme="minorHAnsi" w:cs="Arial"/>
        </w:rPr>
      </w:pPr>
      <w:r w:rsidRPr="002F46E7">
        <w:rPr>
          <w:rFonts w:eastAsiaTheme="minorHAnsi" w:cs="Arial"/>
        </w:rPr>
        <w:t xml:space="preserve">Dr. </w:t>
      </w:r>
      <w:r w:rsidR="00CA66E7" w:rsidRPr="002F46E7">
        <w:rPr>
          <w:rFonts w:eastAsiaTheme="minorHAnsi" w:cs="Arial"/>
        </w:rPr>
        <w:t xml:space="preserve">Linda Darling-Hammond, Stanford University </w:t>
      </w:r>
    </w:p>
    <w:p w14:paraId="37F99D13" w14:textId="0406EA1E" w:rsidR="00CA66E7" w:rsidRPr="002F46E7" w:rsidRDefault="001F1186" w:rsidP="00A5496A">
      <w:pPr>
        <w:numPr>
          <w:ilvl w:val="0"/>
          <w:numId w:val="15"/>
        </w:numPr>
        <w:spacing w:after="240"/>
        <w:rPr>
          <w:rFonts w:eastAsiaTheme="minorHAnsi" w:cs="Arial"/>
        </w:rPr>
      </w:pPr>
      <w:r w:rsidRPr="002F46E7">
        <w:rPr>
          <w:rFonts w:eastAsiaTheme="minorHAnsi" w:cs="Arial"/>
        </w:rPr>
        <w:t xml:space="preserve">Dr. </w:t>
      </w:r>
      <w:r w:rsidR="00CA66E7" w:rsidRPr="002F46E7">
        <w:rPr>
          <w:rFonts w:eastAsiaTheme="minorHAnsi" w:cs="Arial"/>
        </w:rPr>
        <w:t xml:space="preserve">Michal </w:t>
      </w:r>
      <w:proofErr w:type="spellStart"/>
      <w:r w:rsidR="00CA66E7" w:rsidRPr="002F46E7">
        <w:rPr>
          <w:rFonts w:eastAsiaTheme="minorHAnsi" w:cs="Arial"/>
        </w:rPr>
        <w:t>Kurlaender</w:t>
      </w:r>
      <w:proofErr w:type="spellEnd"/>
      <w:r w:rsidR="00CA66E7" w:rsidRPr="002F46E7">
        <w:rPr>
          <w:rFonts w:eastAsiaTheme="minorHAnsi" w:cs="Arial"/>
        </w:rPr>
        <w:t>, University of California, Davis</w:t>
      </w:r>
    </w:p>
    <w:p w14:paraId="21D54937" w14:textId="20DA34D4" w:rsidR="00CA66E7" w:rsidRPr="002F46E7" w:rsidRDefault="00CA66E7" w:rsidP="00A5496A">
      <w:pPr>
        <w:numPr>
          <w:ilvl w:val="0"/>
          <w:numId w:val="14"/>
        </w:numPr>
        <w:spacing w:after="240"/>
        <w:rPr>
          <w:rFonts w:eastAsiaTheme="minorHAnsi" w:cs="Arial"/>
        </w:rPr>
      </w:pPr>
      <w:r w:rsidRPr="002F46E7">
        <w:rPr>
          <w:rFonts w:eastAsiaTheme="minorHAnsi" w:cs="Arial"/>
        </w:rPr>
        <w:t xml:space="preserve">Applied the research findings to set placement levels (e.g., </w:t>
      </w:r>
      <w:r w:rsidR="00AC2F41" w:rsidRPr="002F46E7">
        <w:rPr>
          <w:rFonts w:eastAsiaTheme="minorHAnsi" w:cs="Arial"/>
        </w:rPr>
        <w:t>“</w:t>
      </w:r>
      <w:r w:rsidRPr="002F46E7">
        <w:rPr>
          <w:rFonts w:eastAsiaTheme="minorHAnsi" w:cs="Arial"/>
        </w:rPr>
        <w:t>Not Prepared</w:t>
      </w:r>
      <w:r w:rsidR="00AC2F41" w:rsidRPr="002F46E7">
        <w:rPr>
          <w:rFonts w:eastAsiaTheme="minorHAnsi" w:cs="Arial"/>
        </w:rPr>
        <w:t>”</w:t>
      </w:r>
      <w:r w:rsidRPr="002F46E7">
        <w:rPr>
          <w:rFonts w:eastAsiaTheme="minorHAnsi" w:cs="Arial"/>
        </w:rPr>
        <w:t xml:space="preserve">, </w:t>
      </w:r>
      <w:r w:rsidR="00AC2F41" w:rsidRPr="002F46E7">
        <w:rPr>
          <w:rFonts w:eastAsiaTheme="minorHAnsi" w:cs="Arial"/>
        </w:rPr>
        <w:t>“</w:t>
      </w:r>
      <w:r w:rsidRPr="002F46E7">
        <w:rPr>
          <w:rFonts w:eastAsiaTheme="minorHAnsi" w:cs="Arial"/>
        </w:rPr>
        <w:t>Approaching Prepared</w:t>
      </w:r>
      <w:r w:rsidR="00AC2F41" w:rsidRPr="002F46E7">
        <w:rPr>
          <w:rFonts w:eastAsiaTheme="minorHAnsi" w:cs="Arial"/>
        </w:rPr>
        <w:t>”</w:t>
      </w:r>
      <w:r w:rsidRPr="002F46E7">
        <w:rPr>
          <w:rFonts w:eastAsiaTheme="minorHAnsi" w:cs="Arial"/>
        </w:rPr>
        <w:t xml:space="preserve">, </w:t>
      </w:r>
      <w:r w:rsidR="00AC2F41" w:rsidRPr="002F46E7">
        <w:rPr>
          <w:rFonts w:eastAsiaTheme="minorHAnsi" w:cs="Arial"/>
        </w:rPr>
        <w:t>“</w:t>
      </w:r>
      <w:r w:rsidRPr="002F46E7">
        <w:rPr>
          <w:rFonts w:eastAsiaTheme="minorHAnsi" w:cs="Arial"/>
        </w:rPr>
        <w:t>Prepared</w:t>
      </w:r>
      <w:r w:rsidR="00AC2F41" w:rsidRPr="002F46E7">
        <w:rPr>
          <w:rFonts w:eastAsiaTheme="minorHAnsi" w:cs="Arial"/>
        </w:rPr>
        <w:t>”</w:t>
      </w:r>
      <w:r w:rsidRPr="002F46E7">
        <w:rPr>
          <w:rFonts w:eastAsiaTheme="minorHAnsi" w:cs="Arial"/>
        </w:rPr>
        <w:t>) for each CCI measure.</w:t>
      </w:r>
    </w:p>
    <w:p w14:paraId="10EE7DB9" w14:textId="5644498E" w:rsidR="00CA66E7" w:rsidRPr="002F46E7" w:rsidRDefault="00CA66E7" w:rsidP="00A5496A">
      <w:pPr>
        <w:numPr>
          <w:ilvl w:val="0"/>
          <w:numId w:val="14"/>
        </w:numPr>
        <w:spacing w:after="240"/>
        <w:rPr>
          <w:rFonts w:eastAsiaTheme="minorHAnsi" w:cs="Arial"/>
        </w:rPr>
      </w:pPr>
      <w:r w:rsidRPr="002F46E7">
        <w:rPr>
          <w:rFonts w:eastAsiaTheme="minorHAnsi" w:cs="Arial"/>
        </w:rPr>
        <w:t>Engaged the Technical Design Group (TDG) to evaluate the technical soundness of the CDE’s methodology.</w:t>
      </w:r>
    </w:p>
    <w:p w14:paraId="1BE58F8A" w14:textId="0AB435DB" w:rsidR="00CA66E7" w:rsidRPr="002F46E7" w:rsidRDefault="00CA66E7" w:rsidP="00A5496A">
      <w:pPr>
        <w:numPr>
          <w:ilvl w:val="0"/>
          <w:numId w:val="14"/>
        </w:numPr>
        <w:spacing w:after="240"/>
        <w:rPr>
          <w:rFonts w:eastAsiaTheme="minorHAnsi" w:cs="Arial"/>
        </w:rPr>
      </w:pPr>
      <w:r w:rsidRPr="002F46E7">
        <w:rPr>
          <w:rFonts w:eastAsiaTheme="minorHAnsi" w:cs="Arial"/>
        </w:rPr>
        <w:t xml:space="preserve">Sought the expertise of education and industry leaders to </w:t>
      </w:r>
      <w:r w:rsidR="00227E0B" w:rsidRPr="002F46E7">
        <w:rPr>
          <w:rFonts w:eastAsiaTheme="minorHAnsi" w:cs="Arial"/>
        </w:rPr>
        <w:t>(through two advisory groups)</w:t>
      </w:r>
      <w:r w:rsidRPr="002F46E7">
        <w:rPr>
          <w:rFonts w:eastAsiaTheme="minorHAnsi" w:cs="Arial"/>
        </w:rPr>
        <w:t xml:space="preserve"> identify and vet additional career </w:t>
      </w:r>
      <w:r w:rsidR="00A5496A" w:rsidRPr="002F46E7">
        <w:rPr>
          <w:rFonts w:eastAsiaTheme="minorHAnsi" w:cs="Arial"/>
        </w:rPr>
        <w:t>measures for the CCI.</w:t>
      </w:r>
    </w:p>
    <w:p w14:paraId="23140A69" w14:textId="6CFEA5F3" w:rsidR="00E144E4" w:rsidRPr="002F46E7" w:rsidRDefault="00CA66E7" w:rsidP="00A5496A">
      <w:pPr>
        <w:numPr>
          <w:ilvl w:val="0"/>
          <w:numId w:val="14"/>
        </w:numPr>
        <w:spacing w:after="240"/>
        <w:rPr>
          <w:rFonts w:eastAsiaTheme="minorHAnsi" w:cs="Arial"/>
          <w:sz w:val="20"/>
        </w:rPr>
      </w:pPr>
      <w:r w:rsidRPr="002F46E7">
        <w:rPr>
          <w:rFonts w:eastAsiaTheme="minorHAnsi" w:cs="Arial"/>
        </w:rPr>
        <w:t xml:space="preserve">Collaborated with multiple stakeholder groups—California Practitioners Advisory Group (CPAG) and the </w:t>
      </w:r>
      <w:r w:rsidR="00912D1A" w:rsidRPr="002F46E7">
        <w:rPr>
          <w:rFonts w:eastAsiaTheme="minorHAnsi" w:cs="Arial"/>
        </w:rPr>
        <w:t>SBE’s</w:t>
      </w:r>
      <w:r w:rsidRPr="002F46E7">
        <w:rPr>
          <w:rFonts w:eastAsiaTheme="minorHAnsi" w:cs="Arial"/>
        </w:rPr>
        <w:t xml:space="preserve"> Advisory Commission on Special Education </w:t>
      </w:r>
      <w:r w:rsidRPr="002F46E7">
        <w:rPr>
          <w:rFonts w:eastAsiaTheme="minorHAnsi" w:cs="Arial"/>
        </w:rPr>
        <w:lastRenderedPageBreak/>
        <w:t xml:space="preserve">(ACSE), regional assessment and </w:t>
      </w:r>
      <w:r w:rsidR="00912D1A" w:rsidRPr="002F46E7">
        <w:rPr>
          <w:rFonts w:eastAsiaTheme="minorHAnsi" w:cs="Arial"/>
        </w:rPr>
        <w:t>CTE</w:t>
      </w:r>
      <w:r w:rsidRPr="002F46E7">
        <w:rPr>
          <w:rFonts w:eastAsiaTheme="minorHAnsi" w:cs="Arial"/>
        </w:rPr>
        <w:t xml:space="preserve"> experts—and incorporated their feedback into all recommendations brought to the </w:t>
      </w:r>
      <w:r w:rsidR="00912D1A" w:rsidRPr="002F46E7">
        <w:rPr>
          <w:rFonts w:eastAsiaTheme="minorHAnsi" w:cs="Arial"/>
        </w:rPr>
        <w:t>SBE</w:t>
      </w:r>
      <w:r w:rsidRPr="002F46E7">
        <w:rPr>
          <w:rFonts w:eastAsiaTheme="minorHAnsi" w:cs="Arial"/>
        </w:rPr>
        <w:t>.</w:t>
      </w:r>
    </w:p>
    <w:p w14:paraId="10EABE2E" w14:textId="3FB09132" w:rsidR="008D148D" w:rsidRPr="002F46E7" w:rsidRDefault="00CA66E7" w:rsidP="00A5496A">
      <w:pPr>
        <w:spacing w:after="240"/>
        <w:rPr>
          <w:rFonts w:eastAsiaTheme="minorHAnsi" w:cs="Arial"/>
        </w:rPr>
      </w:pPr>
      <w:r w:rsidRPr="002F46E7">
        <w:rPr>
          <w:rFonts w:eastAsiaTheme="minorHAnsi" w:cs="Arial"/>
        </w:rPr>
        <w:t>The graphic in Figure 1 illustrates this process.</w:t>
      </w:r>
    </w:p>
    <w:p w14:paraId="26135153" w14:textId="48097F78" w:rsidR="00CA66E7" w:rsidRPr="002F46E7" w:rsidRDefault="00CA66E7" w:rsidP="00A5496A">
      <w:pPr>
        <w:spacing w:after="240"/>
        <w:rPr>
          <w:rFonts w:eastAsiaTheme="minorHAnsi" w:cs="Arial"/>
          <w:b/>
        </w:rPr>
      </w:pPr>
      <w:r w:rsidRPr="002F46E7">
        <w:rPr>
          <w:rFonts w:eastAsiaTheme="minorHAnsi" w:cs="Arial"/>
          <w:b/>
        </w:rPr>
        <w:t>Figure 1</w:t>
      </w:r>
    </w:p>
    <w:p w14:paraId="4E239892" w14:textId="2F6C00FA" w:rsidR="00CA66E7" w:rsidRPr="002F46E7" w:rsidRDefault="00A5496A" w:rsidP="00A5496A">
      <w:pPr>
        <w:spacing w:after="240"/>
        <w:rPr>
          <w:rFonts w:eastAsiaTheme="minorHAnsi" w:cs="Arial"/>
        </w:rPr>
      </w:pPr>
      <w:r w:rsidRPr="002F46E7">
        <w:rPr>
          <w:rFonts w:asciiTheme="minorHAnsi" w:eastAsiaTheme="minorHAnsi" w:hAnsiTheme="minorHAnsi" w:cstheme="minorBidi"/>
          <w:noProof/>
          <w:sz w:val="22"/>
          <w:szCs w:val="22"/>
        </w:rPr>
        <w:drawing>
          <wp:inline distT="0" distB="0" distL="0" distR="0" wp14:anchorId="0CD884E3" wp14:editId="0B018417">
            <wp:extent cx="3547745" cy="3286125"/>
            <wp:effectExtent l="0" t="0" r="0" b="9525"/>
            <wp:docPr id="1" name="Picture 1" descr="This diagram illustrates the five-part process involved with building the College/Career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47745" cy="3286125"/>
                    </a:xfrm>
                    <a:prstGeom prst="rect">
                      <a:avLst/>
                    </a:prstGeom>
                  </pic:spPr>
                </pic:pic>
              </a:graphicData>
            </a:graphic>
          </wp:inline>
        </w:drawing>
      </w:r>
    </w:p>
    <w:p w14:paraId="46A0F474" w14:textId="0384FF30" w:rsidR="00CA66E7" w:rsidRPr="002F46E7" w:rsidRDefault="00CA66E7" w:rsidP="00A5496A">
      <w:pPr>
        <w:spacing w:after="240"/>
        <w:rPr>
          <w:rFonts w:eastAsiaTheme="minorHAnsi" w:cs="Arial"/>
        </w:rPr>
      </w:pPr>
      <w:r w:rsidRPr="002F46E7">
        <w:rPr>
          <w:rFonts w:eastAsiaTheme="minorHAnsi" w:cs="Arial"/>
        </w:rPr>
        <w:t>The CDE has adhered to this iterative and collaborative process from the earliest stages of the CCI’s development (in 2014) through the pres</w:t>
      </w:r>
      <w:r w:rsidR="00A5496A" w:rsidRPr="002F46E7">
        <w:rPr>
          <w:rFonts w:eastAsiaTheme="minorHAnsi" w:cs="Arial"/>
        </w:rPr>
        <w:t>ent, as detailed in this paper.</w:t>
      </w:r>
    </w:p>
    <w:p w14:paraId="27CED0B2" w14:textId="77777777" w:rsidR="00CA66E7" w:rsidRPr="002F46E7" w:rsidRDefault="00CA66E7" w:rsidP="00A5496A">
      <w:pPr>
        <w:pStyle w:val="Heading2"/>
        <w:spacing w:before="0" w:after="240"/>
        <w:rPr>
          <w:sz w:val="32"/>
          <w:szCs w:val="32"/>
        </w:rPr>
      </w:pPr>
      <w:r w:rsidRPr="002F46E7">
        <w:rPr>
          <w:sz w:val="32"/>
          <w:szCs w:val="32"/>
        </w:rPr>
        <w:t>Research Foundations of the CCI Model</w:t>
      </w:r>
    </w:p>
    <w:p w14:paraId="44290C3D" w14:textId="0A8B352E" w:rsidR="00CA66E7" w:rsidRPr="002F46E7" w:rsidRDefault="00CA66E7" w:rsidP="001D4602">
      <w:pPr>
        <w:spacing w:after="240"/>
        <w:rPr>
          <w:rFonts w:eastAsiaTheme="minorHAnsi" w:cs="Arial"/>
        </w:rPr>
      </w:pPr>
      <w:r w:rsidRPr="002F46E7">
        <w:rPr>
          <w:rFonts w:eastAsiaTheme="minorHAnsi" w:cs="Arial"/>
        </w:rPr>
        <w:t xml:space="preserve">The foundation of the CCI is built upon the research of the leading experts in college and career readiness. Foremost among them is Dr. David Conley, a </w:t>
      </w:r>
      <w:r w:rsidRPr="002F46E7">
        <w:rPr>
          <w:rFonts w:eastAsiaTheme="minorHAnsi" w:cs="Arial"/>
          <w:lang w:val="en"/>
        </w:rPr>
        <w:t xml:space="preserve">national leader in defining and promoting college and career readiness, with a strong focus on alignment to the </w:t>
      </w:r>
      <w:r w:rsidRPr="002F46E7">
        <w:rPr>
          <w:rFonts w:eastAsiaTheme="minorHAnsi" w:cs="Arial"/>
          <w:color w:val="333333"/>
          <w:lang w:val="en"/>
        </w:rPr>
        <w:t>common core</w:t>
      </w:r>
      <w:r w:rsidR="006C641F" w:rsidRPr="002F46E7">
        <w:rPr>
          <w:rFonts w:eastAsiaTheme="minorHAnsi" w:cs="Arial"/>
          <w:color w:val="333333"/>
          <w:lang w:val="en"/>
        </w:rPr>
        <w:t xml:space="preserve"> state</w:t>
      </w:r>
      <w:r w:rsidRPr="002F46E7">
        <w:rPr>
          <w:rFonts w:eastAsiaTheme="minorHAnsi" w:cs="Arial"/>
          <w:color w:val="333333"/>
          <w:lang w:val="en"/>
        </w:rPr>
        <w:t xml:space="preserve"> education standards, college and high school course content analysis, high school-college alignment and transition, and large-scale diagnosis and assessment of college readiness. At the University of Oregon, he is the director of the Center for Educational Policy Research, which is housed in the department of Educational Methodology, Policy, and Leadership. He is also co-chair of the Common Core State Standards Validation Committee and the Smarter Balanced Technical Advisory Committee.</w:t>
      </w:r>
      <w:r w:rsidRPr="002F46E7">
        <w:rPr>
          <w:rFonts w:eastAsiaTheme="minorHAnsi" w:cs="Arial"/>
        </w:rPr>
        <w:t xml:space="preserve"> In 2014, the CDE contracted with the Educational Policy Improvement Center (EPIC), with </w:t>
      </w:r>
      <w:r w:rsidR="001F1186" w:rsidRPr="002F46E7">
        <w:rPr>
          <w:rFonts w:eastAsiaTheme="minorHAnsi" w:cs="Arial"/>
        </w:rPr>
        <w:t xml:space="preserve">Dr. </w:t>
      </w:r>
      <w:r w:rsidRPr="002F46E7">
        <w:rPr>
          <w:rFonts w:eastAsiaTheme="minorHAnsi" w:cs="Arial"/>
        </w:rPr>
        <w:t>Conley—who at the time was the center’s Chief Executive Officer—as the project lead, to provide analyses of potential measures of college and career preparedness to include in the CCI.</w:t>
      </w:r>
    </w:p>
    <w:p w14:paraId="75C75640" w14:textId="79FBBD1E" w:rsidR="00CA66E7" w:rsidRPr="002F46E7" w:rsidRDefault="00CA66E7" w:rsidP="00A5496A">
      <w:pPr>
        <w:pStyle w:val="Heading3"/>
        <w:spacing w:before="0" w:after="240"/>
        <w:rPr>
          <w:rFonts w:ascii="Arial" w:hAnsi="Arial" w:cs="Arial"/>
          <w:b/>
          <w:sz w:val="28"/>
          <w:szCs w:val="28"/>
        </w:rPr>
      </w:pPr>
      <w:r w:rsidRPr="002F46E7">
        <w:rPr>
          <w:rFonts w:ascii="Arial" w:hAnsi="Arial" w:cs="Arial"/>
          <w:b/>
          <w:color w:val="auto"/>
          <w:sz w:val="28"/>
          <w:szCs w:val="28"/>
        </w:rPr>
        <w:lastRenderedPageBreak/>
        <w:t>Framework for Evaluation</w:t>
      </w:r>
    </w:p>
    <w:p w14:paraId="7B44CA23" w14:textId="1983D957" w:rsidR="00CA66E7" w:rsidRPr="002F46E7" w:rsidRDefault="001F1186" w:rsidP="001D4602">
      <w:pPr>
        <w:spacing w:after="240"/>
        <w:rPr>
          <w:rFonts w:eastAsiaTheme="minorHAnsi" w:cs="Arial"/>
        </w:rPr>
      </w:pPr>
      <w:r w:rsidRPr="002F46E7">
        <w:rPr>
          <w:rFonts w:eastAsiaTheme="minorHAnsi" w:cs="Arial"/>
        </w:rPr>
        <w:t xml:space="preserve">Dr. </w:t>
      </w:r>
      <w:r w:rsidR="00CA66E7" w:rsidRPr="002F46E7">
        <w:rPr>
          <w:rFonts w:eastAsiaTheme="minorHAnsi" w:cs="Arial"/>
        </w:rPr>
        <w:t xml:space="preserve">Conley and </w:t>
      </w:r>
      <w:r w:rsidR="006C641F" w:rsidRPr="002F46E7">
        <w:rPr>
          <w:rFonts w:eastAsiaTheme="minorHAnsi" w:cs="Arial"/>
        </w:rPr>
        <w:t>EPIC staff members</w:t>
      </w:r>
      <w:r w:rsidR="00CA66E7" w:rsidRPr="002F46E7">
        <w:rPr>
          <w:rFonts w:eastAsiaTheme="minorHAnsi" w:cs="Arial"/>
        </w:rPr>
        <w:t xml:space="preserve"> developed a framework—based on technical quality, stakeholder relevance, and system utility—to provide rigorous criteria by which measures could be evaluated for inclusion in the CCI. The criteria, and their descriptions, are identified in Table 1.</w:t>
      </w:r>
    </w:p>
    <w:p w14:paraId="71E3981E" w14:textId="2A17E5FE" w:rsidR="00CA66E7" w:rsidRPr="002F46E7" w:rsidRDefault="00CA66E7" w:rsidP="001D4602">
      <w:pPr>
        <w:spacing w:after="240"/>
        <w:rPr>
          <w:rFonts w:eastAsiaTheme="minorHAnsi" w:cs="Arial"/>
        </w:rPr>
      </w:pPr>
      <w:r w:rsidRPr="002F46E7">
        <w:rPr>
          <w:rFonts w:eastAsiaTheme="minorHAnsi" w:cs="Arial"/>
          <w:b/>
        </w:rPr>
        <w:t>Table 1. Criteria Used to Evaluate Potential Measures for Inclusion in the CCI</w:t>
      </w:r>
    </w:p>
    <w:tbl>
      <w:tblPr>
        <w:tblStyle w:val="TableGrid"/>
        <w:tblW w:w="5000" w:type="pct"/>
        <w:tblLook w:val="04A0" w:firstRow="1" w:lastRow="0" w:firstColumn="1" w:lastColumn="0" w:noHBand="0" w:noVBand="1"/>
        <w:tblDescription w:val="Table 1 lists and explains the 10 criteria used to evaluate potential measures for inclusion in the CCI."/>
      </w:tblPr>
      <w:tblGrid>
        <w:gridCol w:w="2390"/>
        <w:gridCol w:w="6960"/>
      </w:tblGrid>
      <w:tr w:rsidR="00CA66E7" w:rsidRPr="002F46E7" w14:paraId="65A4807D" w14:textId="77777777" w:rsidTr="00C65524">
        <w:trPr>
          <w:tblHeader/>
        </w:trPr>
        <w:tc>
          <w:tcPr>
            <w:tcW w:w="1278" w:type="pct"/>
            <w:shd w:val="clear" w:color="auto" w:fill="E7E6E6" w:themeFill="background2"/>
            <w:vAlign w:val="center"/>
          </w:tcPr>
          <w:p w14:paraId="434F9F93" w14:textId="77777777" w:rsidR="00CA66E7" w:rsidRPr="002F46E7" w:rsidRDefault="00CA66E7" w:rsidP="00533AD4">
            <w:pPr>
              <w:spacing w:before="120" w:after="120"/>
              <w:rPr>
                <w:rFonts w:eastAsiaTheme="minorHAnsi" w:cs="Arial"/>
                <w:b/>
              </w:rPr>
            </w:pPr>
            <w:r w:rsidRPr="002F46E7">
              <w:rPr>
                <w:rFonts w:eastAsiaTheme="minorHAnsi" w:cs="Arial"/>
                <w:b/>
              </w:rPr>
              <w:t>Criterion</w:t>
            </w:r>
          </w:p>
        </w:tc>
        <w:tc>
          <w:tcPr>
            <w:tcW w:w="3722" w:type="pct"/>
            <w:shd w:val="clear" w:color="auto" w:fill="E7E6E6" w:themeFill="background2"/>
            <w:vAlign w:val="center"/>
          </w:tcPr>
          <w:p w14:paraId="60A99ACC" w14:textId="77777777" w:rsidR="00CA66E7" w:rsidRPr="002F46E7" w:rsidRDefault="00CA66E7" w:rsidP="00533AD4">
            <w:pPr>
              <w:spacing w:before="120" w:after="120"/>
              <w:rPr>
                <w:rFonts w:eastAsiaTheme="minorHAnsi" w:cs="Arial"/>
                <w:b/>
              </w:rPr>
            </w:pPr>
            <w:r w:rsidRPr="002F46E7">
              <w:rPr>
                <w:rFonts w:eastAsiaTheme="minorHAnsi" w:cs="Arial"/>
                <w:b/>
              </w:rPr>
              <w:t>Description</w:t>
            </w:r>
          </w:p>
        </w:tc>
      </w:tr>
      <w:tr w:rsidR="00CA66E7" w:rsidRPr="002F46E7" w14:paraId="2CDB5BEF" w14:textId="77777777" w:rsidTr="00C65524">
        <w:tc>
          <w:tcPr>
            <w:tcW w:w="1278" w:type="pct"/>
          </w:tcPr>
          <w:p w14:paraId="72E22954"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 xml:space="preserve">Research base </w:t>
            </w:r>
          </w:p>
        </w:tc>
        <w:tc>
          <w:tcPr>
            <w:tcW w:w="3722" w:type="pct"/>
            <w:vAlign w:val="center"/>
          </w:tcPr>
          <w:p w14:paraId="7F7E56F8" w14:textId="6518F71A" w:rsidR="00CA66E7" w:rsidRPr="002F46E7" w:rsidRDefault="00CA66E7" w:rsidP="00C65524">
            <w:pPr>
              <w:spacing w:after="120"/>
              <w:rPr>
                <w:rFonts w:eastAsiaTheme="minorHAnsi" w:cs="Arial"/>
              </w:rPr>
            </w:pPr>
            <w:r w:rsidRPr="002F46E7">
              <w:rPr>
                <w:rFonts w:eastAsiaTheme="minorHAnsi" w:cs="Arial"/>
              </w:rPr>
              <w:t>Has predictive validity in fo</w:t>
            </w:r>
            <w:r w:rsidR="00E144E4" w:rsidRPr="002F46E7">
              <w:rPr>
                <w:rFonts w:eastAsiaTheme="minorHAnsi" w:cs="Arial"/>
              </w:rPr>
              <w:t>recasting postsecondary success</w:t>
            </w:r>
          </w:p>
        </w:tc>
      </w:tr>
      <w:tr w:rsidR="00CA66E7" w:rsidRPr="002F46E7" w14:paraId="62F2C78F" w14:textId="77777777" w:rsidTr="00C65524">
        <w:tc>
          <w:tcPr>
            <w:tcW w:w="1278" w:type="pct"/>
          </w:tcPr>
          <w:p w14:paraId="7662B2C4" w14:textId="5F3D1D41"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Fair comparison</w:t>
            </w:r>
          </w:p>
        </w:tc>
        <w:tc>
          <w:tcPr>
            <w:tcW w:w="3722" w:type="pct"/>
            <w:vAlign w:val="center"/>
          </w:tcPr>
          <w:p w14:paraId="43710C54" w14:textId="77777777" w:rsidR="00CA66E7" w:rsidRPr="002F46E7" w:rsidRDefault="00CA66E7" w:rsidP="00C65524">
            <w:pPr>
              <w:spacing w:after="120"/>
              <w:rPr>
                <w:rFonts w:eastAsiaTheme="minorHAnsi" w:cs="Arial"/>
              </w:rPr>
            </w:pPr>
            <w:r w:rsidRPr="002F46E7">
              <w:rPr>
                <w:rFonts w:eastAsiaTheme="minorHAnsi" w:cs="Arial"/>
              </w:rPr>
              <w:t>Allows for fair comparisons of subpopulations with attention paid to systematic bias</w:t>
            </w:r>
          </w:p>
        </w:tc>
      </w:tr>
      <w:tr w:rsidR="00CA66E7" w:rsidRPr="002F46E7" w14:paraId="547F4466" w14:textId="77777777" w:rsidTr="00C65524">
        <w:tc>
          <w:tcPr>
            <w:tcW w:w="1278" w:type="pct"/>
          </w:tcPr>
          <w:p w14:paraId="16DE9903"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Stability</w:t>
            </w:r>
          </w:p>
        </w:tc>
        <w:tc>
          <w:tcPr>
            <w:tcW w:w="3722" w:type="pct"/>
            <w:vAlign w:val="center"/>
          </w:tcPr>
          <w:p w14:paraId="74A0B651" w14:textId="32CC6033" w:rsidR="00CA66E7" w:rsidRPr="002F46E7" w:rsidRDefault="00CA66E7">
            <w:pPr>
              <w:spacing w:after="120"/>
              <w:rPr>
                <w:rFonts w:eastAsiaTheme="minorHAnsi" w:cs="Arial"/>
              </w:rPr>
            </w:pPr>
            <w:r w:rsidRPr="002F46E7">
              <w:rPr>
                <w:rFonts w:eastAsiaTheme="minorHAnsi" w:cs="Arial"/>
              </w:rPr>
              <w:t xml:space="preserve">Demonstrates </w:t>
            </w:r>
            <w:r w:rsidR="006C641F" w:rsidRPr="002F46E7">
              <w:rPr>
                <w:rFonts w:eastAsiaTheme="minorHAnsi" w:cs="Arial"/>
              </w:rPr>
              <w:t xml:space="preserve">sufficient </w:t>
            </w:r>
            <w:r w:rsidRPr="002F46E7">
              <w:rPr>
                <w:rFonts w:eastAsiaTheme="minorHAnsi" w:cs="Arial"/>
              </w:rPr>
              <w:t xml:space="preserve">reliability and allows trend examination over time </w:t>
            </w:r>
          </w:p>
        </w:tc>
      </w:tr>
      <w:tr w:rsidR="00CA66E7" w:rsidRPr="002F46E7" w14:paraId="05A9E340" w14:textId="77777777" w:rsidTr="00C65524">
        <w:tc>
          <w:tcPr>
            <w:tcW w:w="1278" w:type="pct"/>
          </w:tcPr>
          <w:p w14:paraId="316FEA60"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Value to students</w:t>
            </w:r>
          </w:p>
        </w:tc>
        <w:tc>
          <w:tcPr>
            <w:tcW w:w="3722" w:type="pct"/>
            <w:vAlign w:val="center"/>
          </w:tcPr>
          <w:p w14:paraId="2D7F3F3D" w14:textId="77777777" w:rsidR="00CA66E7" w:rsidRPr="002F46E7" w:rsidRDefault="00CA66E7" w:rsidP="00C65524">
            <w:pPr>
              <w:spacing w:after="120"/>
              <w:rPr>
                <w:rFonts w:eastAsiaTheme="minorHAnsi" w:cs="Arial"/>
              </w:rPr>
            </w:pPr>
            <w:r w:rsidRPr="002F46E7">
              <w:rPr>
                <w:rFonts w:eastAsiaTheme="minorHAnsi" w:cs="Arial"/>
              </w:rPr>
              <w:t>Is actionable and accepted by students as an indicator of their postsecondary success</w:t>
            </w:r>
          </w:p>
        </w:tc>
      </w:tr>
      <w:tr w:rsidR="00CA66E7" w:rsidRPr="002F46E7" w14:paraId="003806B0" w14:textId="77777777" w:rsidTr="00C65524">
        <w:tc>
          <w:tcPr>
            <w:tcW w:w="1278" w:type="pct"/>
          </w:tcPr>
          <w:p w14:paraId="617FCACA"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Public understanding</w:t>
            </w:r>
          </w:p>
        </w:tc>
        <w:tc>
          <w:tcPr>
            <w:tcW w:w="3722" w:type="pct"/>
            <w:vAlign w:val="center"/>
          </w:tcPr>
          <w:p w14:paraId="7E939E97" w14:textId="77777777" w:rsidR="00CA66E7" w:rsidRPr="002F46E7" w:rsidRDefault="00CA66E7" w:rsidP="00C65524">
            <w:pPr>
              <w:spacing w:after="120"/>
              <w:rPr>
                <w:rFonts w:eastAsiaTheme="minorHAnsi" w:cs="Arial"/>
              </w:rPr>
            </w:pPr>
            <w:r w:rsidRPr="002F46E7">
              <w:rPr>
                <w:rFonts w:eastAsiaTheme="minorHAnsi" w:cs="Arial"/>
              </w:rPr>
              <w:t>Provides a clear picture of a school’s status or growth in a manner understood by both educators and non-educators</w:t>
            </w:r>
          </w:p>
        </w:tc>
      </w:tr>
      <w:tr w:rsidR="00CA66E7" w:rsidRPr="002F46E7" w14:paraId="6E356808" w14:textId="77777777" w:rsidTr="00C65524">
        <w:tc>
          <w:tcPr>
            <w:tcW w:w="1278" w:type="pct"/>
          </w:tcPr>
          <w:p w14:paraId="00653CEC"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Instructional sensitivity</w:t>
            </w:r>
          </w:p>
        </w:tc>
        <w:tc>
          <w:tcPr>
            <w:tcW w:w="3722" w:type="pct"/>
            <w:vAlign w:val="center"/>
          </w:tcPr>
          <w:p w14:paraId="46DED8F1" w14:textId="77777777" w:rsidR="00CA66E7" w:rsidRPr="002F46E7" w:rsidRDefault="00CA66E7" w:rsidP="00C65524">
            <w:pPr>
              <w:spacing w:after="120"/>
              <w:rPr>
                <w:rFonts w:eastAsiaTheme="minorHAnsi" w:cs="Arial"/>
              </w:rPr>
            </w:pPr>
            <w:r w:rsidRPr="002F46E7">
              <w:rPr>
                <w:rFonts w:eastAsiaTheme="minorHAnsi" w:cs="Arial"/>
              </w:rPr>
              <w:t>Measures content, skills, and competencies that can be taught and learned in school</w:t>
            </w:r>
          </w:p>
        </w:tc>
      </w:tr>
      <w:tr w:rsidR="00CA66E7" w:rsidRPr="002F46E7" w14:paraId="035A56B3" w14:textId="77777777" w:rsidTr="00C65524">
        <w:tc>
          <w:tcPr>
            <w:tcW w:w="1278" w:type="pct"/>
          </w:tcPr>
          <w:p w14:paraId="11E4F4F8"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Student performance</w:t>
            </w:r>
          </w:p>
        </w:tc>
        <w:tc>
          <w:tcPr>
            <w:tcW w:w="3722" w:type="pct"/>
            <w:vAlign w:val="center"/>
          </w:tcPr>
          <w:p w14:paraId="17967D87" w14:textId="77777777" w:rsidR="00CA66E7" w:rsidRPr="002F46E7" w:rsidRDefault="00CA66E7" w:rsidP="00C65524">
            <w:pPr>
              <w:spacing w:after="120"/>
              <w:rPr>
                <w:rFonts w:eastAsiaTheme="minorHAnsi" w:cs="Arial"/>
              </w:rPr>
            </w:pPr>
            <w:r w:rsidRPr="002F46E7">
              <w:rPr>
                <w:rFonts w:eastAsiaTheme="minorHAnsi" w:cs="Arial"/>
              </w:rPr>
              <w:t>Emphasizes student performance, not educational processes and inputs</w:t>
            </w:r>
          </w:p>
        </w:tc>
      </w:tr>
      <w:tr w:rsidR="00CA66E7" w:rsidRPr="002F46E7" w14:paraId="35A866F8" w14:textId="77777777" w:rsidTr="00C65524">
        <w:tc>
          <w:tcPr>
            <w:tcW w:w="1278" w:type="pct"/>
          </w:tcPr>
          <w:p w14:paraId="3BBCBC69"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Minimizes burden</w:t>
            </w:r>
          </w:p>
        </w:tc>
        <w:tc>
          <w:tcPr>
            <w:tcW w:w="3722" w:type="pct"/>
            <w:vAlign w:val="center"/>
          </w:tcPr>
          <w:p w14:paraId="5294E880" w14:textId="77777777" w:rsidR="00CA66E7" w:rsidRPr="002F46E7" w:rsidRDefault="00CA66E7" w:rsidP="00C65524">
            <w:pPr>
              <w:spacing w:after="120"/>
              <w:rPr>
                <w:rFonts w:eastAsiaTheme="minorHAnsi" w:cs="Arial"/>
              </w:rPr>
            </w:pPr>
            <w:r w:rsidRPr="002F46E7">
              <w:rPr>
                <w:rFonts w:eastAsiaTheme="minorHAnsi" w:cs="Arial"/>
              </w:rPr>
              <w:t>Minimizes burden to the CDE, districts, and/or schools in terms of time and cost to implement and collect data</w:t>
            </w:r>
          </w:p>
        </w:tc>
      </w:tr>
      <w:tr w:rsidR="00CA66E7" w:rsidRPr="002F46E7" w14:paraId="10F6628A" w14:textId="77777777" w:rsidTr="00C65524">
        <w:tc>
          <w:tcPr>
            <w:tcW w:w="1278" w:type="pct"/>
          </w:tcPr>
          <w:p w14:paraId="18830439" w14:textId="77777777" w:rsidR="00CA66E7" w:rsidRPr="002F46E7" w:rsidRDefault="00CA66E7" w:rsidP="00C65524">
            <w:pPr>
              <w:numPr>
                <w:ilvl w:val="0"/>
                <w:numId w:val="23"/>
              </w:numPr>
              <w:spacing w:before="120" w:after="120"/>
              <w:contextualSpacing/>
              <w:rPr>
                <w:rFonts w:eastAsiaTheme="minorHAnsi" w:cs="Arial"/>
              </w:rPr>
            </w:pPr>
            <w:r w:rsidRPr="002F46E7">
              <w:rPr>
                <w:rFonts w:eastAsiaTheme="minorHAnsi" w:cs="Arial"/>
              </w:rPr>
              <w:t>Student coverage</w:t>
            </w:r>
          </w:p>
        </w:tc>
        <w:tc>
          <w:tcPr>
            <w:tcW w:w="3722" w:type="pct"/>
            <w:vAlign w:val="center"/>
          </w:tcPr>
          <w:p w14:paraId="7545C729" w14:textId="77777777" w:rsidR="00CA66E7" w:rsidRPr="002F46E7" w:rsidRDefault="00CA66E7" w:rsidP="00C65524">
            <w:pPr>
              <w:spacing w:after="120"/>
              <w:rPr>
                <w:rFonts w:eastAsiaTheme="minorHAnsi" w:cs="Arial"/>
              </w:rPr>
            </w:pPr>
            <w:r w:rsidRPr="002F46E7">
              <w:rPr>
                <w:rFonts w:eastAsiaTheme="minorHAnsi" w:cs="Arial"/>
              </w:rPr>
              <w:t>Includes as many students as possible, considering conditional and universal measures and preferring scale or scalable measures over local or unique measures</w:t>
            </w:r>
          </w:p>
        </w:tc>
      </w:tr>
      <w:tr w:rsidR="00CA66E7" w:rsidRPr="002F46E7" w14:paraId="4AC4132B" w14:textId="77777777" w:rsidTr="00C65524">
        <w:tc>
          <w:tcPr>
            <w:tcW w:w="1278" w:type="pct"/>
          </w:tcPr>
          <w:p w14:paraId="572EF850" w14:textId="40581223" w:rsidR="00CA66E7" w:rsidRPr="002F46E7" w:rsidRDefault="006C641F" w:rsidP="00C65524">
            <w:pPr>
              <w:numPr>
                <w:ilvl w:val="0"/>
                <w:numId w:val="23"/>
              </w:numPr>
              <w:spacing w:before="120" w:after="120"/>
              <w:contextualSpacing/>
              <w:rPr>
                <w:rFonts w:eastAsiaTheme="minorHAnsi" w:cs="Arial"/>
              </w:rPr>
            </w:pPr>
            <w:r w:rsidRPr="002F46E7">
              <w:rPr>
                <w:rFonts w:eastAsiaTheme="minorHAnsi" w:cs="Arial"/>
              </w:rPr>
              <w:t xml:space="preserve">Various </w:t>
            </w:r>
            <w:r w:rsidR="00CA66E7" w:rsidRPr="002F46E7">
              <w:rPr>
                <w:rFonts w:eastAsiaTheme="minorHAnsi" w:cs="Arial"/>
              </w:rPr>
              <w:t>pathways</w:t>
            </w:r>
          </w:p>
        </w:tc>
        <w:tc>
          <w:tcPr>
            <w:tcW w:w="3722" w:type="pct"/>
            <w:vAlign w:val="center"/>
          </w:tcPr>
          <w:p w14:paraId="3FF8E709" w14:textId="77777777" w:rsidR="00CA66E7" w:rsidRPr="002F46E7" w:rsidRDefault="00CA66E7" w:rsidP="00C65524">
            <w:pPr>
              <w:spacing w:after="120"/>
              <w:rPr>
                <w:rFonts w:eastAsiaTheme="minorHAnsi" w:cs="Arial"/>
              </w:rPr>
            </w:pPr>
            <w:r w:rsidRPr="002F46E7">
              <w:rPr>
                <w:rFonts w:eastAsiaTheme="minorHAnsi" w:cs="Arial"/>
              </w:rPr>
              <w:t>Recognizes diverse set of postsecondary pathways (e.g., college and/or career)</w:t>
            </w:r>
          </w:p>
        </w:tc>
      </w:tr>
    </w:tbl>
    <w:p w14:paraId="72C678D2" w14:textId="77777777" w:rsidR="00CA66E7" w:rsidRPr="002F46E7" w:rsidRDefault="00CA66E7" w:rsidP="00CA66E7">
      <w:pPr>
        <w:rPr>
          <w:rFonts w:eastAsiaTheme="minorHAnsi" w:cs="Arial"/>
        </w:rPr>
      </w:pPr>
      <w:r w:rsidRPr="002F46E7">
        <w:rPr>
          <w:rFonts w:eastAsiaTheme="minorHAnsi" w:cs="Arial"/>
        </w:rPr>
        <w:br w:type="page"/>
      </w:r>
    </w:p>
    <w:p w14:paraId="4315F48B" w14:textId="77777777" w:rsidR="00CA66E7" w:rsidRPr="002F46E7" w:rsidRDefault="00CA66E7" w:rsidP="001D4602">
      <w:pPr>
        <w:spacing w:after="240"/>
        <w:rPr>
          <w:rFonts w:eastAsiaTheme="minorHAnsi" w:cs="Arial"/>
        </w:rPr>
      </w:pPr>
      <w:r w:rsidRPr="002F46E7">
        <w:rPr>
          <w:rFonts w:eastAsiaTheme="minorHAnsi" w:cs="Arial"/>
        </w:rPr>
        <w:lastRenderedPageBreak/>
        <w:t>Each of these criteria was applied to a broad range of measures—which the CDE had provided based on extensive stakeholder input and expert guidance from the TDG—for possible inclusion in the CCI. The measures, clustered into four general areas, are shown in Table 2.</w:t>
      </w:r>
    </w:p>
    <w:p w14:paraId="3C5353D6" w14:textId="77777777" w:rsidR="00CA66E7" w:rsidRPr="002F46E7" w:rsidRDefault="00CA66E7" w:rsidP="001D4602">
      <w:pPr>
        <w:spacing w:after="240"/>
        <w:rPr>
          <w:rFonts w:eastAsia="MS Gothic"/>
          <w:b/>
        </w:rPr>
      </w:pPr>
      <w:r w:rsidRPr="002F46E7">
        <w:rPr>
          <w:rFonts w:eastAsia="MS Gothic"/>
          <w:b/>
        </w:rPr>
        <w:t>Table 2. CCI Clusters and Measures</w:t>
      </w:r>
    </w:p>
    <w:tbl>
      <w:tblPr>
        <w:tblStyle w:val="TableGrid"/>
        <w:tblW w:w="5000" w:type="pct"/>
        <w:tblLook w:val="04A0" w:firstRow="1" w:lastRow="0" w:firstColumn="1" w:lastColumn="0" w:noHBand="0" w:noVBand="1"/>
        <w:tblDescription w:val="Table 2 defines the four CCI clusters and their associated measures."/>
      </w:tblPr>
      <w:tblGrid>
        <w:gridCol w:w="3459"/>
        <w:gridCol w:w="5891"/>
      </w:tblGrid>
      <w:tr w:rsidR="00CA66E7" w:rsidRPr="002F46E7" w14:paraId="42F94B56" w14:textId="77777777" w:rsidTr="00C65524">
        <w:trPr>
          <w:tblHeader/>
        </w:trPr>
        <w:tc>
          <w:tcPr>
            <w:tcW w:w="1850" w:type="pct"/>
            <w:shd w:val="clear" w:color="auto" w:fill="E7E6E6" w:themeFill="background2"/>
            <w:vAlign w:val="center"/>
          </w:tcPr>
          <w:p w14:paraId="63C3FC53" w14:textId="77777777" w:rsidR="00CA66E7" w:rsidRPr="002F46E7" w:rsidRDefault="00CA66E7" w:rsidP="00C65524">
            <w:pPr>
              <w:spacing w:before="120" w:after="120"/>
              <w:rPr>
                <w:rFonts w:eastAsiaTheme="minorHAnsi" w:cs="Arial"/>
                <w:b/>
              </w:rPr>
            </w:pPr>
            <w:r w:rsidRPr="002F46E7">
              <w:rPr>
                <w:rFonts w:eastAsiaTheme="minorHAnsi" w:cs="Arial"/>
                <w:b/>
              </w:rPr>
              <w:t>CCI Clusters</w:t>
            </w:r>
          </w:p>
        </w:tc>
        <w:tc>
          <w:tcPr>
            <w:tcW w:w="3150" w:type="pct"/>
            <w:shd w:val="clear" w:color="auto" w:fill="E7E6E6" w:themeFill="background2"/>
            <w:vAlign w:val="center"/>
          </w:tcPr>
          <w:p w14:paraId="70B3F635" w14:textId="77777777" w:rsidR="00CA66E7" w:rsidRPr="002F46E7" w:rsidRDefault="00CA66E7" w:rsidP="00C65524">
            <w:pPr>
              <w:spacing w:before="120" w:after="120"/>
              <w:rPr>
                <w:rFonts w:eastAsiaTheme="minorHAnsi" w:cs="Arial"/>
                <w:b/>
              </w:rPr>
            </w:pPr>
            <w:r w:rsidRPr="002F46E7">
              <w:rPr>
                <w:rFonts w:eastAsiaTheme="minorHAnsi" w:cs="Arial"/>
                <w:b/>
              </w:rPr>
              <w:t>CCI Measures</w:t>
            </w:r>
          </w:p>
        </w:tc>
      </w:tr>
      <w:tr w:rsidR="00CA66E7" w:rsidRPr="002F46E7" w14:paraId="516DBAAA" w14:textId="77777777" w:rsidTr="00C65524">
        <w:tc>
          <w:tcPr>
            <w:tcW w:w="1850" w:type="pct"/>
            <w:vAlign w:val="center"/>
          </w:tcPr>
          <w:p w14:paraId="70CBF449" w14:textId="77777777" w:rsidR="00CA66E7" w:rsidRPr="002F46E7" w:rsidRDefault="00CA66E7" w:rsidP="00C65524">
            <w:pPr>
              <w:spacing w:before="120" w:after="120"/>
              <w:rPr>
                <w:rFonts w:eastAsiaTheme="minorHAnsi" w:cs="Arial"/>
              </w:rPr>
            </w:pPr>
            <w:r w:rsidRPr="002F46E7">
              <w:rPr>
                <w:rFonts w:eastAsiaTheme="minorHAnsi" w:cs="Arial"/>
              </w:rPr>
              <w:t>Advanced Coursework</w:t>
            </w:r>
          </w:p>
        </w:tc>
        <w:tc>
          <w:tcPr>
            <w:tcW w:w="3150" w:type="pct"/>
          </w:tcPr>
          <w:p w14:paraId="5B6790C0" w14:textId="6E4AE865" w:rsidR="00CA66E7" w:rsidRPr="002F46E7" w:rsidRDefault="00912D1A" w:rsidP="00C65524">
            <w:pPr>
              <w:numPr>
                <w:ilvl w:val="0"/>
                <w:numId w:val="8"/>
              </w:numPr>
              <w:spacing w:before="120" w:after="120"/>
              <w:contextualSpacing/>
              <w:rPr>
                <w:rFonts w:eastAsiaTheme="minorHAnsi" w:cs="Arial"/>
              </w:rPr>
            </w:pPr>
            <w:r w:rsidRPr="002F46E7">
              <w:rPr>
                <w:rFonts w:eastAsiaTheme="minorHAnsi" w:cs="Arial"/>
              </w:rPr>
              <w:t>AP</w:t>
            </w:r>
          </w:p>
          <w:p w14:paraId="2F28F5E2" w14:textId="77777777" w:rsidR="00CA66E7" w:rsidRPr="002F46E7" w:rsidRDefault="00CA66E7" w:rsidP="00C65524">
            <w:pPr>
              <w:numPr>
                <w:ilvl w:val="0"/>
                <w:numId w:val="8"/>
              </w:numPr>
              <w:spacing w:before="120" w:after="120"/>
              <w:contextualSpacing/>
              <w:rPr>
                <w:rFonts w:eastAsiaTheme="minorHAnsi" w:cs="Arial"/>
              </w:rPr>
            </w:pPr>
            <w:r w:rsidRPr="002F46E7">
              <w:rPr>
                <w:rFonts w:eastAsiaTheme="minorHAnsi" w:cs="Arial"/>
              </w:rPr>
              <w:t>International Baccalaureate (IB)</w:t>
            </w:r>
          </w:p>
        </w:tc>
      </w:tr>
      <w:tr w:rsidR="00CA66E7" w:rsidRPr="002F46E7" w14:paraId="39BF2AF7" w14:textId="77777777" w:rsidTr="00C65524">
        <w:tc>
          <w:tcPr>
            <w:tcW w:w="1850" w:type="pct"/>
            <w:vAlign w:val="center"/>
          </w:tcPr>
          <w:p w14:paraId="799EE43F" w14:textId="77777777" w:rsidR="00CA66E7" w:rsidRPr="002F46E7" w:rsidRDefault="00CA66E7" w:rsidP="00C65524">
            <w:pPr>
              <w:spacing w:before="120" w:after="120"/>
              <w:rPr>
                <w:rFonts w:eastAsiaTheme="minorHAnsi" w:cs="Arial"/>
              </w:rPr>
            </w:pPr>
            <w:r w:rsidRPr="002F46E7">
              <w:rPr>
                <w:rFonts w:eastAsiaTheme="minorHAnsi" w:cs="Arial"/>
              </w:rPr>
              <w:t>Innovative Measures</w:t>
            </w:r>
          </w:p>
        </w:tc>
        <w:tc>
          <w:tcPr>
            <w:tcW w:w="3150" w:type="pct"/>
          </w:tcPr>
          <w:p w14:paraId="5FA73295"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Metacognitive assessment</w:t>
            </w:r>
          </w:p>
          <w:p w14:paraId="2C4C54F9"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Performance assessment</w:t>
            </w:r>
            <w:r w:rsidRPr="002F46E7">
              <w:rPr>
                <w:rFonts w:eastAsiaTheme="minorHAnsi" w:cs="Arial"/>
                <w:vertAlign w:val="superscript"/>
              </w:rPr>
              <w:footnoteReference w:id="1"/>
            </w:r>
          </w:p>
          <w:p w14:paraId="07649BF1"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 xml:space="preserve">California Seal of </w:t>
            </w:r>
            <w:proofErr w:type="spellStart"/>
            <w:r w:rsidRPr="002F46E7">
              <w:rPr>
                <w:rFonts w:eastAsiaTheme="minorHAnsi" w:cs="Arial"/>
              </w:rPr>
              <w:t>Bilteracy</w:t>
            </w:r>
            <w:proofErr w:type="spellEnd"/>
          </w:p>
        </w:tc>
      </w:tr>
      <w:tr w:rsidR="00CA66E7" w:rsidRPr="002F46E7" w14:paraId="1F5DF929" w14:textId="77777777" w:rsidTr="00C65524">
        <w:tc>
          <w:tcPr>
            <w:tcW w:w="1850" w:type="pct"/>
            <w:vAlign w:val="center"/>
          </w:tcPr>
          <w:p w14:paraId="75E02B55" w14:textId="77777777" w:rsidR="00CA66E7" w:rsidRPr="002F46E7" w:rsidRDefault="00CA66E7" w:rsidP="00C65524">
            <w:pPr>
              <w:spacing w:before="120" w:after="120"/>
              <w:rPr>
                <w:rFonts w:eastAsiaTheme="minorHAnsi" w:cs="Arial"/>
              </w:rPr>
            </w:pPr>
            <w:r w:rsidRPr="002F46E7">
              <w:rPr>
                <w:rFonts w:eastAsiaTheme="minorHAnsi" w:cs="Arial"/>
              </w:rPr>
              <w:t>Course Taking Behavior</w:t>
            </w:r>
          </w:p>
        </w:tc>
        <w:tc>
          <w:tcPr>
            <w:tcW w:w="3150" w:type="pct"/>
          </w:tcPr>
          <w:p w14:paraId="33EB4168" w14:textId="17F798DF" w:rsidR="00CA66E7" w:rsidRPr="002F46E7" w:rsidRDefault="000329DC" w:rsidP="00C65524">
            <w:pPr>
              <w:numPr>
                <w:ilvl w:val="0"/>
                <w:numId w:val="9"/>
              </w:numPr>
              <w:spacing w:before="120" w:after="120"/>
              <w:contextualSpacing/>
              <w:rPr>
                <w:rFonts w:eastAsiaTheme="minorHAnsi" w:cs="Arial"/>
              </w:rPr>
            </w:pPr>
            <w:r w:rsidRPr="002F46E7">
              <w:rPr>
                <w:rFonts w:eastAsiaTheme="minorHAnsi" w:cs="Arial"/>
              </w:rPr>
              <w:t xml:space="preserve">a–g </w:t>
            </w:r>
            <w:r w:rsidR="00CA66E7" w:rsidRPr="002F46E7">
              <w:rPr>
                <w:rFonts w:eastAsiaTheme="minorHAnsi" w:cs="Arial"/>
              </w:rPr>
              <w:t>subject requirements (a–g)</w:t>
            </w:r>
          </w:p>
          <w:p w14:paraId="6339116A" w14:textId="60336A76" w:rsidR="00CA66E7" w:rsidRPr="002F46E7" w:rsidRDefault="00912D1A" w:rsidP="00C65524">
            <w:pPr>
              <w:numPr>
                <w:ilvl w:val="0"/>
                <w:numId w:val="9"/>
              </w:numPr>
              <w:spacing w:before="120" w:after="120"/>
              <w:contextualSpacing/>
              <w:rPr>
                <w:rFonts w:eastAsiaTheme="minorHAnsi" w:cs="Arial"/>
              </w:rPr>
            </w:pPr>
            <w:r w:rsidRPr="002F46E7">
              <w:rPr>
                <w:rFonts w:eastAsiaTheme="minorHAnsi" w:cs="Arial"/>
              </w:rPr>
              <w:t>CTE</w:t>
            </w:r>
            <w:r w:rsidR="00CA66E7" w:rsidRPr="002F46E7">
              <w:rPr>
                <w:rFonts w:eastAsiaTheme="minorHAnsi" w:cs="Arial"/>
              </w:rPr>
              <w:t xml:space="preserve"> Pathway</w:t>
            </w:r>
          </w:p>
        </w:tc>
      </w:tr>
      <w:tr w:rsidR="00CA66E7" w:rsidRPr="002F46E7" w14:paraId="3E717DA9" w14:textId="77777777" w:rsidTr="00C65524">
        <w:tc>
          <w:tcPr>
            <w:tcW w:w="1850" w:type="pct"/>
            <w:vAlign w:val="center"/>
          </w:tcPr>
          <w:p w14:paraId="732C51B7" w14:textId="77777777" w:rsidR="00CA66E7" w:rsidRPr="002F46E7" w:rsidRDefault="00CA66E7" w:rsidP="00C65524">
            <w:pPr>
              <w:spacing w:before="120" w:after="120"/>
              <w:rPr>
                <w:rFonts w:eastAsiaTheme="minorHAnsi" w:cs="Arial"/>
              </w:rPr>
            </w:pPr>
            <w:r w:rsidRPr="002F46E7">
              <w:rPr>
                <w:rFonts w:eastAsiaTheme="minorHAnsi" w:cs="Arial"/>
              </w:rPr>
              <w:t>Career Preparedness Assessments</w:t>
            </w:r>
          </w:p>
        </w:tc>
        <w:tc>
          <w:tcPr>
            <w:tcW w:w="3150" w:type="pct"/>
          </w:tcPr>
          <w:p w14:paraId="0647BFB0"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 xml:space="preserve">ACT </w:t>
            </w:r>
            <w:proofErr w:type="spellStart"/>
            <w:r w:rsidRPr="002F46E7">
              <w:rPr>
                <w:rFonts w:eastAsiaTheme="minorHAnsi" w:cs="Arial"/>
              </w:rPr>
              <w:t>WorkKeys</w:t>
            </w:r>
            <w:proofErr w:type="spellEnd"/>
          </w:p>
          <w:p w14:paraId="09916D20"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National Occupational Competency Testing Institute (NOCTI)</w:t>
            </w:r>
          </w:p>
          <w:p w14:paraId="2B142238" w14:textId="77777777" w:rsidR="00CA66E7" w:rsidRPr="002F46E7" w:rsidRDefault="00CA66E7" w:rsidP="00C65524">
            <w:pPr>
              <w:numPr>
                <w:ilvl w:val="0"/>
                <w:numId w:val="9"/>
              </w:numPr>
              <w:spacing w:before="120" w:after="120"/>
              <w:contextualSpacing/>
              <w:rPr>
                <w:rFonts w:eastAsiaTheme="minorHAnsi" w:cs="Arial"/>
              </w:rPr>
            </w:pPr>
            <w:r w:rsidRPr="002F46E7">
              <w:rPr>
                <w:rFonts w:eastAsiaTheme="minorHAnsi" w:cs="Arial"/>
              </w:rPr>
              <w:t>Industry certifications</w:t>
            </w:r>
          </w:p>
        </w:tc>
      </w:tr>
    </w:tbl>
    <w:p w14:paraId="33124F7C" w14:textId="77777777" w:rsidR="00CA66E7" w:rsidRPr="002F46E7" w:rsidRDefault="00CA66E7" w:rsidP="001D4602">
      <w:pPr>
        <w:pStyle w:val="Heading3"/>
        <w:spacing w:before="240" w:after="240"/>
        <w:rPr>
          <w:rFonts w:ascii="Arial" w:hAnsi="Arial" w:cs="Arial"/>
          <w:b/>
          <w:color w:val="auto"/>
          <w:sz w:val="28"/>
          <w:szCs w:val="28"/>
        </w:rPr>
      </w:pPr>
      <w:r w:rsidRPr="002F46E7">
        <w:rPr>
          <w:rFonts w:ascii="Arial" w:hAnsi="Arial" w:cs="Arial"/>
          <w:b/>
          <w:color w:val="auto"/>
          <w:sz w:val="28"/>
          <w:szCs w:val="28"/>
        </w:rPr>
        <w:t xml:space="preserve">Application of the Framework to the Proposed CCI Measures </w:t>
      </w:r>
    </w:p>
    <w:p w14:paraId="2A42A572" w14:textId="1B05189F" w:rsidR="00CA66E7" w:rsidRPr="002F46E7" w:rsidRDefault="00CA66E7" w:rsidP="001D4602">
      <w:pPr>
        <w:spacing w:after="240"/>
        <w:rPr>
          <w:rFonts w:eastAsiaTheme="minorHAnsi" w:cs="Arial"/>
        </w:rPr>
      </w:pPr>
      <w:r w:rsidRPr="002F46E7">
        <w:rPr>
          <w:rFonts w:eastAsiaTheme="minorHAnsi" w:cs="Arial"/>
        </w:rPr>
        <w:t>Each of the proposed measures w</w:t>
      </w:r>
      <w:r w:rsidR="00EC333B" w:rsidRPr="002F46E7">
        <w:rPr>
          <w:rFonts w:eastAsiaTheme="minorHAnsi" w:cs="Arial"/>
        </w:rPr>
        <w:t>ere</w:t>
      </w:r>
      <w:r w:rsidRPr="002F46E7">
        <w:rPr>
          <w:rFonts w:eastAsiaTheme="minorHAnsi" w:cs="Arial"/>
        </w:rPr>
        <w:t xml:space="preserve"> evaluated based on the ten criteria cited in Table 1. It is important to note that EPIC’s objective at this stage was not to recommend specific measures for inclusion in the CCI but rather to identify strengths, weaknesses, and trade-offs associated with each measure. Each measure was rated on a three-point scale—strong (S), moderate (M), or weak (W)—across each of the ten criteria.</w:t>
      </w:r>
    </w:p>
    <w:p w14:paraId="59D1D7A3" w14:textId="7D14F34D" w:rsidR="001D4602" w:rsidRPr="002F46E7" w:rsidRDefault="00CA66E7" w:rsidP="001D4602">
      <w:pPr>
        <w:spacing w:after="240"/>
        <w:rPr>
          <w:rFonts w:eastAsiaTheme="minorHAnsi" w:cs="Arial"/>
        </w:rPr>
      </w:pPr>
      <w:r w:rsidRPr="002F46E7">
        <w:rPr>
          <w:rFonts w:eastAsiaTheme="minorHAnsi" w:cs="Arial"/>
        </w:rPr>
        <w:t xml:space="preserve">The results of the evaluations were presented in six white papers and summarized in a final report, “Measures for a College and Career Indicator: Final Report,” published at </w:t>
      </w:r>
      <w:hyperlink r:id="rId11" w:tooltip="Measures For A College And Career Indicator: Final Report" w:history="1">
        <w:r w:rsidRPr="002F46E7">
          <w:rPr>
            <w:rStyle w:val="Hyperlink"/>
            <w:rFonts w:eastAsiaTheme="minorHAnsi" w:cs="Arial"/>
            <w:color w:val="2E74B5" w:themeColor="accent1" w:themeShade="BF"/>
          </w:rPr>
          <w:t>https://www.inflexion.org/measures-for-a-college-and-career-indicator-final-report</w:t>
        </w:r>
      </w:hyperlink>
      <w:r w:rsidRPr="002F46E7">
        <w:rPr>
          <w:rFonts w:eastAsiaTheme="minorHAnsi" w:cs="Arial"/>
        </w:rPr>
        <w:t xml:space="preserve">. The analyses were also shared </w:t>
      </w:r>
      <w:r w:rsidR="000329DC" w:rsidRPr="002F46E7">
        <w:rPr>
          <w:rFonts w:eastAsiaTheme="minorHAnsi" w:cs="Arial"/>
        </w:rPr>
        <w:t xml:space="preserve">as an informational item </w:t>
      </w:r>
      <w:r w:rsidRPr="002F46E7">
        <w:rPr>
          <w:rFonts w:eastAsiaTheme="minorHAnsi" w:cs="Arial"/>
        </w:rPr>
        <w:t xml:space="preserve">with the SBE at the May 2015 SBE meeting </w:t>
      </w:r>
      <w:r w:rsidRPr="002F46E7">
        <w:rPr>
          <w:rFonts w:asciiTheme="minorHAnsi" w:eastAsiaTheme="minorHAnsi" w:hAnsiTheme="minorHAnsi" w:cs="Arial"/>
          <w:sz w:val="22"/>
          <w:szCs w:val="22"/>
        </w:rPr>
        <w:t>(</w:t>
      </w:r>
      <w:hyperlink r:id="rId12" w:tooltip="State Board of Education May 2015 Meeting Agenda" w:history="1">
        <w:r w:rsidRPr="002F46E7">
          <w:rPr>
            <w:rFonts w:eastAsiaTheme="minorHAnsi" w:cs="Arial"/>
            <w:color w:val="0563C1" w:themeColor="hyperlink"/>
            <w:u w:val="single"/>
          </w:rPr>
          <w:t>https://www.cde.ca.gov/be/ag/ag/yr15/documents/may15item10.doc</w:t>
        </w:r>
      </w:hyperlink>
      <w:r w:rsidRPr="002F46E7">
        <w:rPr>
          <w:rFonts w:eastAsiaTheme="minorHAnsi" w:cs="Arial"/>
        </w:rPr>
        <w:t>) and are summarized in Table 3.</w:t>
      </w:r>
    </w:p>
    <w:p w14:paraId="624A5E28" w14:textId="6FD4E56A" w:rsidR="00CA66E7" w:rsidRPr="002F46E7" w:rsidRDefault="001D4602" w:rsidP="00AB71D9">
      <w:pPr>
        <w:spacing w:after="240" w:line="259" w:lineRule="auto"/>
        <w:rPr>
          <w:rFonts w:eastAsia="MS Gothic"/>
          <w:b/>
        </w:rPr>
      </w:pPr>
      <w:r w:rsidRPr="002F46E7">
        <w:rPr>
          <w:rFonts w:eastAsiaTheme="minorHAnsi" w:cs="Arial"/>
        </w:rPr>
        <w:br w:type="page"/>
      </w:r>
      <w:r w:rsidR="00CA66E7" w:rsidRPr="002F46E7">
        <w:rPr>
          <w:rFonts w:eastAsia="MS Gothic"/>
          <w:b/>
        </w:rPr>
        <w:lastRenderedPageBreak/>
        <w:t>Table 3. EPIC Evaluation of Measures of College and Career Preparedness</w:t>
      </w:r>
    </w:p>
    <w:tbl>
      <w:tblPr>
        <w:tblStyle w:val="TableGrid"/>
        <w:tblW w:w="5000" w:type="pct"/>
        <w:tblLook w:val="04A0" w:firstRow="1" w:lastRow="0" w:firstColumn="1" w:lastColumn="0" w:noHBand="0" w:noVBand="1"/>
        <w:tblDescription w:val="Table 3 reports EPIC's evaluations of each CCI measure."/>
      </w:tblPr>
      <w:tblGrid>
        <w:gridCol w:w="4074"/>
        <w:gridCol w:w="528"/>
        <w:gridCol w:w="528"/>
        <w:gridCol w:w="528"/>
        <w:gridCol w:w="528"/>
        <w:gridCol w:w="528"/>
        <w:gridCol w:w="528"/>
        <w:gridCol w:w="527"/>
        <w:gridCol w:w="527"/>
        <w:gridCol w:w="527"/>
        <w:gridCol w:w="527"/>
      </w:tblGrid>
      <w:tr w:rsidR="00CA66E7" w:rsidRPr="002F46E7" w14:paraId="1FF74D83" w14:textId="77777777" w:rsidTr="00C65524">
        <w:trPr>
          <w:cantSplit/>
          <w:trHeight w:val="2843"/>
          <w:tblHeader/>
        </w:trPr>
        <w:tc>
          <w:tcPr>
            <w:tcW w:w="2177" w:type="pct"/>
            <w:shd w:val="clear" w:color="auto" w:fill="D9D9D9" w:themeFill="background1" w:themeFillShade="D9"/>
            <w:vAlign w:val="center"/>
          </w:tcPr>
          <w:p w14:paraId="5A0B0B7B" w14:textId="77777777" w:rsidR="00CA66E7" w:rsidRPr="002F46E7" w:rsidRDefault="00CA66E7" w:rsidP="00CA66E7">
            <w:pPr>
              <w:jc w:val="center"/>
              <w:rPr>
                <w:rFonts w:eastAsiaTheme="minorHAnsi" w:cs="Arial"/>
                <w:b/>
                <w:sz w:val="22"/>
                <w:szCs w:val="22"/>
              </w:rPr>
            </w:pPr>
            <w:r w:rsidRPr="002F46E7">
              <w:rPr>
                <w:rFonts w:eastAsiaTheme="minorHAnsi" w:cs="Arial"/>
                <w:b/>
                <w:sz w:val="22"/>
                <w:szCs w:val="22"/>
              </w:rPr>
              <w:t>Measures</w:t>
            </w:r>
          </w:p>
        </w:tc>
        <w:tc>
          <w:tcPr>
            <w:tcW w:w="282" w:type="pct"/>
            <w:shd w:val="clear" w:color="auto" w:fill="D9D9D9" w:themeFill="background1" w:themeFillShade="D9"/>
            <w:textDirection w:val="btLr"/>
            <w:vAlign w:val="center"/>
          </w:tcPr>
          <w:p w14:paraId="74C45D8C"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Research Base</w:t>
            </w:r>
          </w:p>
        </w:tc>
        <w:tc>
          <w:tcPr>
            <w:tcW w:w="282" w:type="pct"/>
            <w:shd w:val="clear" w:color="auto" w:fill="D9D9D9" w:themeFill="background1" w:themeFillShade="D9"/>
            <w:textDirection w:val="btLr"/>
            <w:vAlign w:val="center"/>
          </w:tcPr>
          <w:p w14:paraId="2C45CB55"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Fair Comparison</w:t>
            </w:r>
          </w:p>
        </w:tc>
        <w:tc>
          <w:tcPr>
            <w:tcW w:w="282" w:type="pct"/>
            <w:shd w:val="clear" w:color="auto" w:fill="D9D9D9" w:themeFill="background1" w:themeFillShade="D9"/>
            <w:textDirection w:val="btLr"/>
            <w:vAlign w:val="center"/>
          </w:tcPr>
          <w:p w14:paraId="0C963EF1"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Stability</w:t>
            </w:r>
          </w:p>
        </w:tc>
        <w:tc>
          <w:tcPr>
            <w:tcW w:w="282" w:type="pct"/>
            <w:shd w:val="clear" w:color="auto" w:fill="D9D9D9" w:themeFill="background1" w:themeFillShade="D9"/>
            <w:textDirection w:val="btLr"/>
            <w:vAlign w:val="center"/>
          </w:tcPr>
          <w:p w14:paraId="7AF96CD4"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Value to Students</w:t>
            </w:r>
          </w:p>
        </w:tc>
        <w:tc>
          <w:tcPr>
            <w:tcW w:w="282" w:type="pct"/>
            <w:shd w:val="clear" w:color="auto" w:fill="D9D9D9" w:themeFill="background1" w:themeFillShade="D9"/>
            <w:textDirection w:val="btLr"/>
            <w:vAlign w:val="center"/>
          </w:tcPr>
          <w:p w14:paraId="4DD0F395"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Publicly Understandable</w:t>
            </w:r>
          </w:p>
        </w:tc>
        <w:tc>
          <w:tcPr>
            <w:tcW w:w="282" w:type="pct"/>
            <w:shd w:val="clear" w:color="auto" w:fill="D9D9D9" w:themeFill="background1" w:themeFillShade="D9"/>
            <w:textDirection w:val="btLr"/>
            <w:vAlign w:val="center"/>
          </w:tcPr>
          <w:p w14:paraId="641D6AA0"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Instructional Sensitivity</w:t>
            </w:r>
          </w:p>
        </w:tc>
        <w:tc>
          <w:tcPr>
            <w:tcW w:w="282" w:type="pct"/>
            <w:shd w:val="clear" w:color="auto" w:fill="D9D9D9" w:themeFill="background1" w:themeFillShade="D9"/>
            <w:textDirection w:val="btLr"/>
            <w:vAlign w:val="center"/>
          </w:tcPr>
          <w:p w14:paraId="5790719D"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Student Performance</w:t>
            </w:r>
          </w:p>
        </w:tc>
        <w:tc>
          <w:tcPr>
            <w:tcW w:w="282" w:type="pct"/>
            <w:shd w:val="clear" w:color="auto" w:fill="D9D9D9" w:themeFill="background1" w:themeFillShade="D9"/>
            <w:textDirection w:val="btLr"/>
            <w:vAlign w:val="center"/>
          </w:tcPr>
          <w:p w14:paraId="5B6366AE"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Minimizes Burden</w:t>
            </w:r>
          </w:p>
        </w:tc>
        <w:tc>
          <w:tcPr>
            <w:tcW w:w="282" w:type="pct"/>
            <w:shd w:val="clear" w:color="auto" w:fill="D9D9D9" w:themeFill="background1" w:themeFillShade="D9"/>
            <w:textDirection w:val="btLr"/>
            <w:vAlign w:val="center"/>
          </w:tcPr>
          <w:p w14:paraId="0F670877"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Student Coverage</w:t>
            </w:r>
          </w:p>
        </w:tc>
        <w:tc>
          <w:tcPr>
            <w:tcW w:w="282" w:type="pct"/>
            <w:shd w:val="clear" w:color="auto" w:fill="D9D9D9" w:themeFill="background1" w:themeFillShade="D9"/>
            <w:textDirection w:val="btLr"/>
            <w:vAlign w:val="center"/>
          </w:tcPr>
          <w:p w14:paraId="7EBC7C3E" w14:textId="77777777" w:rsidR="00CA66E7" w:rsidRPr="002F46E7" w:rsidRDefault="00CA66E7" w:rsidP="00CA66E7">
            <w:pPr>
              <w:ind w:left="113" w:right="113"/>
              <w:rPr>
                <w:rFonts w:eastAsiaTheme="minorHAnsi" w:cs="Arial"/>
                <w:b/>
                <w:sz w:val="22"/>
                <w:szCs w:val="22"/>
              </w:rPr>
            </w:pPr>
            <w:r w:rsidRPr="002F46E7">
              <w:rPr>
                <w:rFonts w:eastAsiaTheme="minorHAnsi" w:cs="Arial"/>
                <w:b/>
                <w:sz w:val="22"/>
                <w:szCs w:val="22"/>
              </w:rPr>
              <w:t>Various Pathways</w:t>
            </w:r>
          </w:p>
        </w:tc>
      </w:tr>
      <w:tr w:rsidR="00CA66E7" w:rsidRPr="002F46E7" w14:paraId="13D57BAC" w14:textId="77777777" w:rsidTr="00C65524">
        <w:tc>
          <w:tcPr>
            <w:tcW w:w="2177" w:type="pct"/>
            <w:vAlign w:val="center"/>
          </w:tcPr>
          <w:p w14:paraId="6D655F26" w14:textId="77777777" w:rsidR="00CA66E7" w:rsidRPr="002F46E7" w:rsidRDefault="00CA66E7" w:rsidP="00CA66E7">
            <w:pPr>
              <w:rPr>
                <w:rFonts w:eastAsiaTheme="minorHAnsi" w:cs="Arial"/>
                <w:b/>
                <w:sz w:val="22"/>
                <w:szCs w:val="22"/>
              </w:rPr>
            </w:pPr>
            <w:r w:rsidRPr="002F46E7">
              <w:rPr>
                <w:rFonts w:eastAsiaTheme="minorHAnsi" w:cs="Arial"/>
                <w:b/>
                <w:sz w:val="22"/>
                <w:szCs w:val="22"/>
              </w:rPr>
              <w:t xml:space="preserve">AP </w:t>
            </w:r>
          </w:p>
        </w:tc>
        <w:tc>
          <w:tcPr>
            <w:tcW w:w="282" w:type="pct"/>
            <w:vAlign w:val="center"/>
          </w:tcPr>
          <w:p w14:paraId="6500165C"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4F66B47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22537E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58DE857D"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6BB3EDD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70B749D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42995C2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10713F47"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3954AFA"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716A3DE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429687CB" w14:textId="77777777" w:rsidTr="00C65524">
        <w:tc>
          <w:tcPr>
            <w:tcW w:w="2177" w:type="pct"/>
            <w:vAlign w:val="center"/>
          </w:tcPr>
          <w:p w14:paraId="7FF62429" w14:textId="77777777" w:rsidR="00CA66E7" w:rsidRPr="002F46E7" w:rsidRDefault="00CA66E7" w:rsidP="00CA66E7">
            <w:pPr>
              <w:rPr>
                <w:rFonts w:eastAsiaTheme="minorHAnsi" w:cs="Arial"/>
                <w:b/>
                <w:sz w:val="22"/>
                <w:szCs w:val="22"/>
              </w:rPr>
            </w:pPr>
            <w:r w:rsidRPr="002F46E7">
              <w:rPr>
                <w:rFonts w:eastAsiaTheme="minorHAnsi" w:cs="Arial"/>
                <w:b/>
                <w:sz w:val="22"/>
                <w:szCs w:val="22"/>
              </w:rPr>
              <w:t>IB</w:t>
            </w:r>
          </w:p>
        </w:tc>
        <w:tc>
          <w:tcPr>
            <w:tcW w:w="282" w:type="pct"/>
            <w:vAlign w:val="center"/>
          </w:tcPr>
          <w:p w14:paraId="20D63F5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5647DB2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1DAFEB2C"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0DDB5B4"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54906F24"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44048D1F"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7DA6C9C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297F09A"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19F5E9A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0A10D3B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4A7E4FB3" w14:textId="77777777" w:rsidTr="00C65524">
        <w:tc>
          <w:tcPr>
            <w:tcW w:w="2177" w:type="pct"/>
            <w:vAlign w:val="center"/>
          </w:tcPr>
          <w:p w14:paraId="23E443B3" w14:textId="77777777" w:rsidR="00CA66E7" w:rsidRPr="002F46E7" w:rsidRDefault="00CA66E7" w:rsidP="00CA66E7">
            <w:pPr>
              <w:rPr>
                <w:rFonts w:eastAsiaTheme="minorHAnsi" w:cs="Arial"/>
                <w:b/>
                <w:sz w:val="22"/>
                <w:szCs w:val="22"/>
              </w:rPr>
            </w:pPr>
            <w:r w:rsidRPr="002F46E7">
              <w:rPr>
                <w:rFonts w:eastAsiaTheme="minorHAnsi" w:cs="Arial"/>
                <w:b/>
                <w:sz w:val="22"/>
                <w:szCs w:val="22"/>
              </w:rPr>
              <w:t xml:space="preserve">California State Seal of </w:t>
            </w:r>
            <w:proofErr w:type="spellStart"/>
            <w:r w:rsidRPr="002F46E7">
              <w:rPr>
                <w:rFonts w:eastAsiaTheme="minorHAnsi" w:cs="Arial"/>
                <w:b/>
                <w:sz w:val="22"/>
                <w:szCs w:val="22"/>
              </w:rPr>
              <w:t>Biliteracy</w:t>
            </w:r>
            <w:proofErr w:type="spellEnd"/>
          </w:p>
        </w:tc>
        <w:tc>
          <w:tcPr>
            <w:tcW w:w="282" w:type="pct"/>
            <w:vAlign w:val="center"/>
          </w:tcPr>
          <w:p w14:paraId="0705F269"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0A316B7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24F41BA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43D5BFB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7A27C3F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295AC5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300E504"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745E7D67"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7FDC609"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0DA33D9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r>
      <w:tr w:rsidR="00CA66E7" w:rsidRPr="002F46E7" w14:paraId="09C719BA" w14:textId="77777777" w:rsidTr="00C65524">
        <w:tc>
          <w:tcPr>
            <w:tcW w:w="2177" w:type="pct"/>
            <w:vAlign w:val="center"/>
          </w:tcPr>
          <w:p w14:paraId="6AC4664F" w14:textId="77777777" w:rsidR="00CA66E7" w:rsidRPr="002F46E7" w:rsidRDefault="00CA66E7" w:rsidP="00CA66E7">
            <w:pPr>
              <w:rPr>
                <w:rFonts w:eastAsiaTheme="minorHAnsi" w:cs="Arial"/>
                <w:b/>
                <w:sz w:val="22"/>
                <w:szCs w:val="22"/>
              </w:rPr>
            </w:pPr>
            <w:r w:rsidRPr="002F46E7">
              <w:rPr>
                <w:rFonts w:eastAsiaTheme="minorHAnsi" w:cs="Arial"/>
                <w:b/>
                <w:sz w:val="22"/>
                <w:szCs w:val="22"/>
              </w:rPr>
              <w:t xml:space="preserve">a–g </w:t>
            </w:r>
          </w:p>
        </w:tc>
        <w:tc>
          <w:tcPr>
            <w:tcW w:w="282" w:type="pct"/>
            <w:vAlign w:val="center"/>
          </w:tcPr>
          <w:p w14:paraId="0B95CE34"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D144AC7"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E857C5F"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42013EAD"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44CE377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3633523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69E5A400"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9D191A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67CDA4F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73E3D6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53247B43" w14:textId="77777777" w:rsidTr="00C65524">
        <w:tc>
          <w:tcPr>
            <w:tcW w:w="2177" w:type="pct"/>
            <w:vAlign w:val="center"/>
          </w:tcPr>
          <w:p w14:paraId="36329E9B" w14:textId="77777777" w:rsidR="00CA66E7" w:rsidRPr="002F46E7" w:rsidRDefault="00CA66E7" w:rsidP="00CA66E7">
            <w:pPr>
              <w:rPr>
                <w:rFonts w:eastAsiaTheme="minorHAnsi" w:cs="Arial"/>
                <w:b/>
                <w:sz w:val="22"/>
                <w:szCs w:val="22"/>
              </w:rPr>
            </w:pPr>
            <w:r w:rsidRPr="002F46E7">
              <w:rPr>
                <w:rFonts w:eastAsiaTheme="minorHAnsi" w:cs="Arial"/>
                <w:b/>
                <w:sz w:val="22"/>
                <w:szCs w:val="22"/>
              </w:rPr>
              <w:t>CTE Pathway</w:t>
            </w:r>
          </w:p>
        </w:tc>
        <w:tc>
          <w:tcPr>
            <w:tcW w:w="282" w:type="pct"/>
            <w:vAlign w:val="center"/>
          </w:tcPr>
          <w:p w14:paraId="4EFB765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1FF73C1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AC86A49"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25A2540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F7D69FA"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69577DD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5C82F7F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76FC9A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697B602"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052E0FE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0C93C273" w14:textId="77777777" w:rsidTr="00C65524">
        <w:tc>
          <w:tcPr>
            <w:tcW w:w="2177" w:type="pct"/>
            <w:vAlign w:val="center"/>
          </w:tcPr>
          <w:p w14:paraId="3999A696" w14:textId="77777777" w:rsidR="00CA66E7" w:rsidRPr="002F46E7" w:rsidRDefault="00CA66E7" w:rsidP="00CA66E7">
            <w:pPr>
              <w:rPr>
                <w:rFonts w:eastAsiaTheme="minorHAnsi" w:cs="Arial"/>
                <w:b/>
                <w:sz w:val="22"/>
                <w:szCs w:val="22"/>
              </w:rPr>
            </w:pPr>
            <w:r w:rsidRPr="002F46E7">
              <w:rPr>
                <w:rFonts w:eastAsiaTheme="minorHAnsi" w:cs="Arial"/>
                <w:b/>
                <w:sz w:val="22"/>
                <w:szCs w:val="22"/>
              </w:rPr>
              <w:t xml:space="preserve">ACT </w:t>
            </w:r>
            <w:proofErr w:type="spellStart"/>
            <w:r w:rsidRPr="002F46E7">
              <w:rPr>
                <w:rFonts w:eastAsiaTheme="minorHAnsi" w:cs="Arial"/>
                <w:b/>
                <w:sz w:val="22"/>
                <w:szCs w:val="22"/>
              </w:rPr>
              <w:t>WorkKeys</w:t>
            </w:r>
            <w:proofErr w:type="spellEnd"/>
          </w:p>
        </w:tc>
        <w:tc>
          <w:tcPr>
            <w:tcW w:w="282" w:type="pct"/>
            <w:vAlign w:val="center"/>
          </w:tcPr>
          <w:p w14:paraId="56989BE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7A133AC"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E483004"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7266DDD2"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F58AF5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84C2FD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DD3453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D12EBC2"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9EB1B5D"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B8586DE"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6D4A1A9A" w14:textId="77777777" w:rsidTr="00C65524">
        <w:tc>
          <w:tcPr>
            <w:tcW w:w="2177" w:type="pct"/>
            <w:vAlign w:val="center"/>
          </w:tcPr>
          <w:p w14:paraId="1B977A6A" w14:textId="77777777" w:rsidR="00CA66E7" w:rsidRPr="002F46E7" w:rsidRDefault="00CA66E7" w:rsidP="00CA66E7">
            <w:pPr>
              <w:rPr>
                <w:rFonts w:eastAsiaTheme="minorHAnsi" w:cs="Arial"/>
                <w:b/>
                <w:sz w:val="22"/>
                <w:szCs w:val="22"/>
              </w:rPr>
            </w:pPr>
            <w:r w:rsidRPr="002F46E7">
              <w:rPr>
                <w:rFonts w:eastAsiaTheme="minorHAnsi" w:cs="Arial"/>
                <w:b/>
                <w:sz w:val="22"/>
                <w:szCs w:val="22"/>
              </w:rPr>
              <w:t>NOCTI</w:t>
            </w:r>
          </w:p>
        </w:tc>
        <w:tc>
          <w:tcPr>
            <w:tcW w:w="282" w:type="pct"/>
            <w:vAlign w:val="center"/>
          </w:tcPr>
          <w:p w14:paraId="1D3FF6AC"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39E6E6DF"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A33D04D"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0CB0B43"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687BFBC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777602F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055C8E22"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4AC55E15"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10B71A2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B7331C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r w:rsidR="00CA66E7" w:rsidRPr="002F46E7" w14:paraId="11EBC260" w14:textId="77777777" w:rsidTr="00C65524">
        <w:tc>
          <w:tcPr>
            <w:tcW w:w="2177" w:type="pct"/>
            <w:vAlign w:val="center"/>
          </w:tcPr>
          <w:p w14:paraId="4EEB6853" w14:textId="2D8E39D8" w:rsidR="00CA66E7" w:rsidRPr="002F46E7" w:rsidRDefault="00CA66E7" w:rsidP="00CA66E7">
            <w:pPr>
              <w:rPr>
                <w:rFonts w:eastAsiaTheme="minorHAnsi" w:cs="Arial"/>
                <w:b/>
                <w:sz w:val="22"/>
                <w:szCs w:val="22"/>
              </w:rPr>
            </w:pPr>
            <w:r w:rsidRPr="002F46E7">
              <w:rPr>
                <w:rFonts w:eastAsiaTheme="minorHAnsi" w:cs="Arial"/>
                <w:b/>
                <w:sz w:val="22"/>
                <w:szCs w:val="22"/>
              </w:rPr>
              <w:t xml:space="preserve">Industry </w:t>
            </w:r>
            <w:r w:rsidR="006C641F" w:rsidRPr="002F46E7">
              <w:rPr>
                <w:rFonts w:eastAsiaTheme="minorHAnsi" w:cs="Arial"/>
                <w:b/>
                <w:sz w:val="22"/>
                <w:szCs w:val="22"/>
              </w:rPr>
              <w:t>C</w:t>
            </w:r>
            <w:r w:rsidRPr="002F46E7">
              <w:rPr>
                <w:rFonts w:eastAsiaTheme="minorHAnsi" w:cs="Arial"/>
                <w:b/>
                <w:sz w:val="22"/>
                <w:szCs w:val="22"/>
              </w:rPr>
              <w:t>ertifications</w:t>
            </w:r>
          </w:p>
        </w:tc>
        <w:tc>
          <w:tcPr>
            <w:tcW w:w="282" w:type="pct"/>
            <w:vAlign w:val="center"/>
          </w:tcPr>
          <w:p w14:paraId="380E250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11AF2E1A"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08884389"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6E939910"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F63E0CB"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25B38777"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7360B126"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S</w:t>
            </w:r>
          </w:p>
        </w:tc>
        <w:tc>
          <w:tcPr>
            <w:tcW w:w="282" w:type="pct"/>
            <w:vAlign w:val="center"/>
          </w:tcPr>
          <w:p w14:paraId="5F790599"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W</w:t>
            </w:r>
          </w:p>
        </w:tc>
        <w:tc>
          <w:tcPr>
            <w:tcW w:w="282" w:type="pct"/>
            <w:vAlign w:val="center"/>
          </w:tcPr>
          <w:p w14:paraId="40D8B618"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c>
          <w:tcPr>
            <w:tcW w:w="282" w:type="pct"/>
            <w:vAlign w:val="center"/>
          </w:tcPr>
          <w:p w14:paraId="54CE85B1" w14:textId="77777777" w:rsidR="00CA66E7" w:rsidRPr="002F46E7" w:rsidRDefault="00CA66E7" w:rsidP="00CA66E7">
            <w:pPr>
              <w:jc w:val="center"/>
              <w:rPr>
                <w:rFonts w:eastAsiaTheme="minorHAnsi" w:cs="Arial"/>
                <w:sz w:val="22"/>
                <w:szCs w:val="22"/>
              </w:rPr>
            </w:pPr>
            <w:r w:rsidRPr="002F46E7">
              <w:rPr>
                <w:rFonts w:eastAsiaTheme="minorHAnsi" w:cs="Arial"/>
                <w:sz w:val="22"/>
                <w:szCs w:val="22"/>
              </w:rPr>
              <w:t>M</w:t>
            </w:r>
          </w:p>
        </w:tc>
      </w:tr>
    </w:tbl>
    <w:p w14:paraId="5AC958FE" w14:textId="77777777" w:rsidR="00CA66E7" w:rsidRPr="002F46E7" w:rsidRDefault="00CA66E7" w:rsidP="005F07BE">
      <w:pPr>
        <w:pStyle w:val="Heading3"/>
        <w:spacing w:before="240" w:after="240"/>
        <w:rPr>
          <w:rFonts w:ascii="Arial" w:hAnsi="Arial" w:cs="Arial"/>
          <w:b/>
          <w:color w:val="auto"/>
          <w:sz w:val="28"/>
          <w:szCs w:val="28"/>
        </w:rPr>
      </w:pPr>
      <w:r w:rsidRPr="002F46E7">
        <w:rPr>
          <w:rFonts w:ascii="Arial" w:hAnsi="Arial" w:cs="Arial"/>
          <w:b/>
          <w:color w:val="auto"/>
          <w:sz w:val="28"/>
          <w:szCs w:val="28"/>
        </w:rPr>
        <w:t>Literature Reviews</w:t>
      </w:r>
    </w:p>
    <w:p w14:paraId="2106E7F6" w14:textId="3477E358" w:rsidR="00CA66E7" w:rsidRPr="002F46E7" w:rsidRDefault="00CA66E7" w:rsidP="005F07BE">
      <w:pPr>
        <w:spacing w:after="240"/>
        <w:rPr>
          <w:rFonts w:eastAsiaTheme="minorHAnsi" w:cs="Arial"/>
        </w:rPr>
      </w:pPr>
      <w:r w:rsidRPr="002F46E7">
        <w:rPr>
          <w:rFonts w:eastAsiaTheme="minorHAnsi" w:cs="Arial"/>
        </w:rPr>
        <w:t>As previously mentioned, EPIC produced six white papers detailing its findings on</w:t>
      </w:r>
      <w:r w:rsidR="00EC5947" w:rsidRPr="002F46E7">
        <w:rPr>
          <w:rFonts w:eastAsiaTheme="minorHAnsi" w:cs="Arial"/>
        </w:rPr>
        <w:t xml:space="preserve"> the</w:t>
      </w:r>
      <w:r w:rsidRPr="002F46E7">
        <w:rPr>
          <w:rFonts w:eastAsiaTheme="minorHAnsi" w:cs="Arial"/>
        </w:rPr>
        <w:t xml:space="preserve"> selected measure</w:t>
      </w:r>
      <w:r w:rsidR="00EC5947" w:rsidRPr="002F46E7">
        <w:rPr>
          <w:rFonts w:eastAsiaTheme="minorHAnsi" w:cs="Arial"/>
        </w:rPr>
        <w:t>s</w:t>
      </w:r>
      <w:r w:rsidRPr="002F46E7">
        <w:rPr>
          <w:rFonts w:eastAsiaTheme="minorHAnsi" w:cs="Arial"/>
        </w:rPr>
        <w:t>. For each white paper, EPIC conducted comprehensive literature reviews examining if and how a selected measure:</w:t>
      </w:r>
    </w:p>
    <w:p w14:paraId="38201828" w14:textId="0BD613A5" w:rsidR="00CA66E7" w:rsidRPr="002F46E7" w:rsidRDefault="00CA66E7" w:rsidP="005F07BE">
      <w:pPr>
        <w:numPr>
          <w:ilvl w:val="0"/>
          <w:numId w:val="17"/>
        </w:numPr>
        <w:spacing w:after="240"/>
        <w:ind w:left="720"/>
        <w:rPr>
          <w:rFonts w:eastAsiaTheme="minorHAnsi" w:cs="Arial"/>
        </w:rPr>
      </w:pPr>
      <w:r w:rsidRPr="002F46E7">
        <w:rPr>
          <w:rFonts w:eastAsiaTheme="minorHAnsi" w:cs="Arial"/>
        </w:rPr>
        <w:t>Is associated with postsecondary preparedness and success</w:t>
      </w:r>
    </w:p>
    <w:p w14:paraId="690251C4" w14:textId="57619B6E" w:rsidR="00CA66E7" w:rsidRPr="002F46E7" w:rsidRDefault="00CA66E7" w:rsidP="005F07BE">
      <w:pPr>
        <w:numPr>
          <w:ilvl w:val="0"/>
          <w:numId w:val="17"/>
        </w:numPr>
        <w:spacing w:after="240"/>
        <w:ind w:left="720"/>
        <w:rPr>
          <w:rFonts w:eastAsiaTheme="minorHAnsi" w:cs="Arial"/>
        </w:rPr>
      </w:pPr>
      <w:r w:rsidRPr="002F46E7">
        <w:rPr>
          <w:rFonts w:eastAsiaTheme="minorHAnsi" w:cs="Arial"/>
        </w:rPr>
        <w:t>Has been incorporated into other systems of accountability</w:t>
      </w:r>
    </w:p>
    <w:p w14:paraId="1907BFF8" w14:textId="444DE225" w:rsidR="00CA66E7" w:rsidRPr="002F46E7" w:rsidRDefault="00CA66E7" w:rsidP="005F07BE">
      <w:pPr>
        <w:numPr>
          <w:ilvl w:val="0"/>
          <w:numId w:val="17"/>
        </w:numPr>
        <w:spacing w:before="120" w:after="240"/>
        <w:ind w:left="720"/>
        <w:rPr>
          <w:rFonts w:eastAsiaTheme="minorHAnsi" w:cs="Arial"/>
        </w:rPr>
      </w:pPr>
      <w:r w:rsidRPr="002F46E7">
        <w:rPr>
          <w:rFonts w:eastAsiaTheme="minorHAnsi" w:cs="Arial"/>
        </w:rPr>
        <w:t>Carries important tradeoffs or considerations within the context of California’s educational policy</w:t>
      </w:r>
    </w:p>
    <w:p w14:paraId="46CC28AE" w14:textId="5694ACE4" w:rsidR="00CA66E7" w:rsidRPr="002F46E7" w:rsidRDefault="00CA66E7" w:rsidP="005F07BE">
      <w:pPr>
        <w:spacing w:after="240"/>
        <w:rPr>
          <w:rFonts w:eastAsiaTheme="minorHAnsi" w:cs="Arial"/>
        </w:rPr>
      </w:pPr>
      <w:r w:rsidRPr="002F46E7">
        <w:rPr>
          <w:rFonts w:eastAsiaTheme="minorHAnsi" w:cs="Arial"/>
        </w:rPr>
        <w:t>The literature reviews examined measures related to academic knowledge as well as others measures strongly correlated with college and career preparedness and success (e.g., persistence or grit). The literature reviews were current (e.g., based on data generated within the previous ten years) and encompassed:</w:t>
      </w:r>
    </w:p>
    <w:p w14:paraId="67A46059" w14:textId="3555A3B8" w:rsidR="00CA66E7" w:rsidRPr="002F46E7" w:rsidRDefault="00CA66E7" w:rsidP="005F07BE">
      <w:pPr>
        <w:numPr>
          <w:ilvl w:val="0"/>
          <w:numId w:val="18"/>
        </w:numPr>
        <w:spacing w:after="240"/>
        <w:rPr>
          <w:rFonts w:eastAsiaTheme="minorHAnsi" w:cs="Arial"/>
        </w:rPr>
      </w:pPr>
      <w:r w:rsidRPr="002F46E7">
        <w:rPr>
          <w:rFonts w:eastAsiaTheme="minorHAnsi" w:cs="Arial"/>
        </w:rPr>
        <w:t>Theoretical and empirical research (e.g., articles from peer-reviewed journals, books published by university presses)</w:t>
      </w:r>
    </w:p>
    <w:p w14:paraId="363DE4C3" w14:textId="7840D673" w:rsidR="00CA66E7" w:rsidRPr="002F46E7" w:rsidRDefault="00CA66E7" w:rsidP="005F07BE">
      <w:pPr>
        <w:numPr>
          <w:ilvl w:val="0"/>
          <w:numId w:val="18"/>
        </w:numPr>
        <w:spacing w:after="240"/>
        <w:rPr>
          <w:rFonts w:eastAsiaTheme="minorHAnsi" w:cs="Arial"/>
        </w:rPr>
      </w:pPr>
      <w:r w:rsidRPr="002F46E7">
        <w:rPr>
          <w:rFonts w:eastAsiaTheme="minorHAnsi" w:cs="Arial"/>
        </w:rPr>
        <w:t>Evaluation studies (e.g., university and government reports)</w:t>
      </w:r>
    </w:p>
    <w:p w14:paraId="7F7DE8B3" w14:textId="7AE974A3" w:rsidR="00CA66E7" w:rsidRPr="002F46E7" w:rsidRDefault="00CA66E7" w:rsidP="005F07BE">
      <w:pPr>
        <w:numPr>
          <w:ilvl w:val="0"/>
          <w:numId w:val="18"/>
        </w:numPr>
        <w:spacing w:after="240"/>
        <w:rPr>
          <w:rFonts w:eastAsiaTheme="minorHAnsi" w:cs="Arial"/>
        </w:rPr>
      </w:pPr>
      <w:r w:rsidRPr="002F46E7">
        <w:rPr>
          <w:rFonts w:eastAsiaTheme="minorHAnsi" w:cs="Arial"/>
        </w:rPr>
        <w:t>Strategies adopted or considered in other states</w:t>
      </w:r>
    </w:p>
    <w:p w14:paraId="1C550F65" w14:textId="77777777" w:rsidR="00CA66E7" w:rsidRPr="002F46E7" w:rsidRDefault="00CA66E7" w:rsidP="00A5496A">
      <w:pPr>
        <w:pStyle w:val="Heading3"/>
        <w:spacing w:before="0" w:after="240"/>
        <w:rPr>
          <w:rFonts w:ascii="Arial" w:hAnsi="Arial" w:cs="Arial"/>
          <w:b/>
          <w:color w:val="auto"/>
          <w:sz w:val="28"/>
          <w:szCs w:val="28"/>
        </w:rPr>
      </w:pPr>
      <w:r w:rsidRPr="002F46E7">
        <w:rPr>
          <w:rFonts w:ascii="Arial" w:hAnsi="Arial" w:cs="Arial"/>
          <w:b/>
          <w:color w:val="auto"/>
          <w:sz w:val="28"/>
          <w:szCs w:val="28"/>
        </w:rPr>
        <w:lastRenderedPageBreak/>
        <w:t>EPIC Findings</w:t>
      </w:r>
    </w:p>
    <w:p w14:paraId="52540258" w14:textId="6CCD5621" w:rsidR="00CA66E7" w:rsidRPr="002F46E7" w:rsidRDefault="00CA66E7" w:rsidP="005F07BE">
      <w:pPr>
        <w:spacing w:after="240"/>
        <w:rPr>
          <w:rFonts w:eastAsiaTheme="minorHAnsi" w:cs="Arial"/>
        </w:rPr>
      </w:pPr>
      <w:r w:rsidRPr="002F46E7">
        <w:rPr>
          <w:rFonts w:eastAsiaTheme="minorHAnsi" w:cs="Arial"/>
        </w:rPr>
        <w:t>Several important findings emerged from the research, as summarized below:</w:t>
      </w:r>
    </w:p>
    <w:p w14:paraId="78ABAAC4" w14:textId="3C0A4096" w:rsidR="00CA66E7" w:rsidRPr="002F46E7" w:rsidRDefault="00CA66E7" w:rsidP="005F07BE">
      <w:pPr>
        <w:numPr>
          <w:ilvl w:val="0"/>
          <w:numId w:val="16"/>
        </w:numPr>
        <w:spacing w:after="240"/>
        <w:rPr>
          <w:rFonts w:eastAsiaTheme="minorHAnsi" w:cs="Arial"/>
        </w:rPr>
      </w:pPr>
      <w:r w:rsidRPr="002F46E7">
        <w:rPr>
          <w:rFonts w:eastAsiaTheme="minorHAnsi" w:cs="Arial"/>
        </w:rPr>
        <w:t>A multi-tiered, multi-dimensional model is a more valid representation of college and career preparedness than one relying on a single measure.</w:t>
      </w:r>
    </w:p>
    <w:p w14:paraId="11870B54" w14:textId="723597D9" w:rsidR="00CA66E7" w:rsidRPr="002F46E7" w:rsidRDefault="00CA66E7" w:rsidP="005F07BE">
      <w:pPr>
        <w:numPr>
          <w:ilvl w:val="0"/>
          <w:numId w:val="16"/>
        </w:numPr>
        <w:spacing w:after="240"/>
        <w:rPr>
          <w:rFonts w:eastAsiaTheme="minorHAnsi" w:cs="Arial"/>
        </w:rPr>
      </w:pPr>
      <w:r w:rsidRPr="002F46E7">
        <w:rPr>
          <w:rFonts w:eastAsiaTheme="minorHAnsi" w:cs="Arial"/>
        </w:rPr>
        <w:t xml:space="preserve">No one measure was rated strong or weak across all ten criteria. </w:t>
      </w:r>
      <w:r w:rsidR="001F1186" w:rsidRPr="002F46E7">
        <w:rPr>
          <w:rFonts w:eastAsiaTheme="minorHAnsi" w:cs="Arial"/>
        </w:rPr>
        <w:t xml:space="preserve">Dr. </w:t>
      </w:r>
      <w:r w:rsidRPr="002F46E7">
        <w:rPr>
          <w:rFonts w:eastAsiaTheme="minorHAnsi" w:cs="Arial"/>
        </w:rPr>
        <w:t>Conley noted that “(T</w:t>
      </w:r>
      <w:proofErr w:type="gramStart"/>
      <w:r w:rsidRPr="002F46E7">
        <w:rPr>
          <w:rFonts w:eastAsiaTheme="minorHAnsi" w:cs="Arial"/>
        </w:rPr>
        <w:t>)he</w:t>
      </w:r>
      <w:proofErr w:type="gramEnd"/>
      <w:r w:rsidRPr="002F46E7">
        <w:rPr>
          <w:rFonts w:eastAsiaTheme="minorHAnsi" w:cs="Arial"/>
        </w:rPr>
        <w:t xml:space="preserve"> framework’s design acknowledges that satisfaction of the above criteria is not a simple binary decision of yes or no. Analyses may sometimes place criteria in conflict with one another (e.g., a measure may have a strong research base but place an extraordinary implementation burden on schools).” This was evident in the analysis. While established accountability measures, such as AP and IB exam scores, received the highest measures for stability, measures of course-taking behavior, such as a–g and CTE course completion, rated higher on public understandability while also imposing a lower burden on the state, districts, and schools.</w:t>
      </w:r>
    </w:p>
    <w:p w14:paraId="61A96F90" w14:textId="0D0F5759" w:rsidR="00CA66E7" w:rsidRPr="002F46E7" w:rsidRDefault="00CA66E7" w:rsidP="005F07BE">
      <w:pPr>
        <w:numPr>
          <w:ilvl w:val="0"/>
          <w:numId w:val="16"/>
        </w:numPr>
        <w:spacing w:after="240"/>
        <w:rPr>
          <w:rFonts w:eastAsiaTheme="minorHAnsi" w:cs="Arial"/>
        </w:rPr>
      </w:pPr>
      <w:r w:rsidRPr="002F46E7">
        <w:rPr>
          <w:rFonts w:eastAsiaTheme="minorHAnsi" w:cs="Arial"/>
        </w:rPr>
        <w:t xml:space="preserve">Course-taking behavior was singled out as the best predictor of college success, relatively stable over time, understood by educators and non-educators, having little additional impact on schools, and covering all students. “Measuring course-taking behaviors,” writes </w:t>
      </w:r>
      <w:r w:rsidR="001F1186" w:rsidRPr="002F46E7">
        <w:rPr>
          <w:rFonts w:eastAsiaTheme="minorHAnsi" w:cs="Arial"/>
        </w:rPr>
        <w:t xml:space="preserve">Dr. </w:t>
      </w:r>
      <w:r w:rsidRPr="002F46E7">
        <w:rPr>
          <w:rFonts w:eastAsiaTheme="minorHAnsi" w:cs="Arial"/>
        </w:rPr>
        <w:t>Conley, “has the potential to represent multiple secondary pathways. The a–g subject requirements align most immediately with the four–year college pathway. CTE course pathways are most applicable to career pathways. An integrated course pathway has the advantage of being applicable to both the college and career pathways.”</w:t>
      </w:r>
    </w:p>
    <w:p w14:paraId="295101ED" w14:textId="3AEED03A" w:rsidR="00CA66E7" w:rsidRPr="002F46E7" w:rsidRDefault="00CA66E7" w:rsidP="005F07BE">
      <w:pPr>
        <w:numPr>
          <w:ilvl w:val="0"/>
          <w:numId w:val="16"/>
        </w:numPr>
        <w:spacing w:after="240"/>
        <w:rPr>
          <w:rFonts w:eastAsiaTheme="minorHAnsi" w:cs="Arial"/>
        </w:rPr>
      </w:pPr>
      <w:r w:rsidRPr="002F46E7">
        <w:rPr>
          <w:rFonts w:eastAsiaTheme="minorHAnsi" w:cs="Arial"/>
        </w:rPr>
        <w:t xml:space="preserve">One additional measure—which was not rated in the study but which was addressed in EPIC’s final report to the CDE and identified as warranting future attention—was dual enrollment. Dual enrollment programs allow students to take college courses for college credit while they are still enrolled in high school. In its final report, the authors confirm its positive relationships with college aspirations, preparedness, grade point average, enrollment, persistence, and graduation. Although the report acknowledged the variation in quality among dual enrollment programs, it maintained that they “could conceivably be included in a course-taking behavior measure as an indicator of challenging coursework or as an outcome measure based on </w:t>
      </w:r>
      <w:r w:rsidR="00AC2F41" w:rsidRPr="002F46E7">
        <w:rPr>
          <w:rFonts w:eastAsiaTheme="minorHAnsi" w:cs="Arial"/>
        </w:rPr>
        <w:t>the grades students receive..</w:t>
      </w:r>
      <w:r w:rsidRPr="002F46E7">
        <w:rPr>
          <w:rFonts w:eastAsiaTheme="minorHAnsi" w:cs="Arial"/>
        </w:rPr>
        <w:t>.”</w:t>
      </w:r>
    </w:p>
    <w:p w14:paraId="265D6112" w14:textId="08FB2717" w:rsidR="00CA66E7" w:rsidRPr="002F46E7" w:rsidRDefault="00CA66E7" w:rsidP="005F07BE">
      <w:pPr>
        <w:numPr>
          <w:ilvl w:val="0"/>
          <w:numId w:val="16"/>
        </w:numPr>
        <w:spacing w:after="240"/>
        <w:rPr>
          <w:rFonts w:eastAsiaTheme="minorHAnsi" w:cs="Arial"/>
        </w:rPr>
      </w:pPr>
      <w:r w:rsidRPr="002F46E7">
        <w:rPr>
          <w:rFonts w:eastAsiaTheme="minorHAnsi" w:cs="Arial"/>
        </w:rPr>
        <w:t xml:space="preserve">The report also brought attention to </w:t>
      </w:r>
      <w:proofErr w:type="spellStart"/>
      <w:r w:rsidRPr="002F46E7">
        <w:rPr>
          <w:rFonts w:eastAsiaTheme="minorHAnsi" w:cs="Arial"/>
        </w:rPr>
        <w:t>biliteracy</w:t>
      </w:r>
      <w:proofErr w:type="spellEnd"/>
      <w:r w:rsidRPr="002F46E7">
        <w:rPr>
          <w:rFonts w:eastAsiaTheme="minorHAnsi" w:cs="Arial"/>
        </w:rPr>
        <w:t xml:space="preserve">, which the Department of Labor has recognized as enhancing employment opportunities, especially within the new global economy. Innovative measures, such as the State Seal of </w:t>
      </w:r>
      <w:proofErr w:type="spellStart"/>
      <w:r w:rsidRPr="002F46E7">
        <w:rPr>
          <w:rFonts w:eastAsiaTheme="minorHAnsi" w:cs="Arial"/>
        </w:rPr>
        <w:t>Biliteracy</w:t>
      </w:r>
      <w:proofErr w:type="spellEnd"/>
      <w:r w:rsidRPr="002F46E7">
        <w:rPr>
          <w:rFonts w:eastAsiaTheme="minorHAnsi" w:cs="Arial"/>
        </w:rPr>
        <w:t xml:space="preserve">, received a high system utility rating for its ability to be applied universally </w:t>
      </w:r>
      <w:r w:rsidR="005F07BE" w:rsidRPr="002F46E7">
        <w:rPr>
          <w:rFonts w:eastAsiaTheme="minorHAnsi" w:cs="Arial"/>
        </w:rPr>
        <w:t>across all students.</w:t>
      </w:r>
    </w:p>
    <w:p w14:paraId="288C588E" w14:textId="4C9F7D7E" w:rsidR="00CA66E7" w:rsidRPr="002F46E7" w:rsidRDefault="00CA66E7" w:rsidP="005F07BE">
      <w:pPr>
        <w:spacing w:after="240"/>
        <w:rPr>
          <w:rFonts w:asciiTheme="minorHAnsi" w:eastAsiaTheme="minorHAnsi" w:hAnsiTheme="minorHAnsi" w:cstheme="minorBidi"/>
          <w:color w:val="555555"/>
          <w:sz w:val="21"/>
          <w:szCs w:val="21"/>
        </w:rPr>
      </w:pPr>
      <w:r w:rsidRPr="002F46E7">
        <w:rPr>
          <w:rFonts w:eastAsiaTheme="minorHAnsi" w:cs="Arial"/>
        </w:rPr>
        <w:t>Bas</w:t>
      </w:r>
      <w:r w:rsidR="00227E0B" w:rsidRPr="002F46E7">
        <w:rPr>
          <w:rFonts w:eastAsiaTheme="minorHAnsi" w:cs="Arial"/>
        </w:rPr>
        <w:t xml:space="preserve">ed on </w:t>
      </w:r>
      <w:r w:rsidR="001F1186" w:rsidRPr="002F46E7">
        <w:rPr>
          <w:rFonts w:eastAsiaTheme="minorHAnsi" w:cs="Arial"/>
        </w:rPr>
        <w:t xml:space="preserve">Dr. </w:t>
      </w:r>
      <w:r w:rsidR="00227E0B" w:rsidRPr="002F46E7">
        <w:rPr>
          <w:rFonts w:eastAsiaTheme="minorHAnsi" w:cs="Arial"/>
        </w:rPr>
        <w:t xml:space="preserve">Conley’s research findings and the </w:t>
      </w:r>
      <w:r w:rsidR="002D2403" w:rsidRPr="002F46E7">
        <w:rPr>
          <w:rFonts w:eastAsiaTheme="minorHAnsi" w:cs="Arial"/>
        </w:rPr>
        <w:t xml:space="preserve">academic </w:t>
      </w:r>
      <w:r w:rsidR="00227E0B" w:rsidRPr="002F46E7">
        <w:rPr>
          <w:rFonts w:eastAsiaTheme="minorHAnsi" w:cs="Arial"/>
        </w:rPr>
        <w:t>measures</w:t>
      </w:r>
      <w:r w:rsidR="002D2403" w:rsidRPr="002F46E7">
        <w:rPr>
          <w:rFonts w:eastAsiaTheme="minorHAnsi" w:cs="Arial"/>
        </w:rPr>
        <w:t xml:space="preserve"> included in LCFF for high school students</w:t>
      </w:r>
      <w:r w:rsidRPr="002F46E7">
        <w:rPr>
          <w:rFonts w:eastAsiaTheme="minorHAnsi" w:cs="Arial"/>
        </w:rPr>
        <w:t>, the CDE moved forward with the development of a multi-</w:t>
      </w:r>
      <w:r w:rsidRPr="002F46E7">
        <w:rPr>
          <w:rFonts w:eastAsiaTheme="minorHAnsi" w:cs="Arial"/>
        </w:rPr>
        <w:lastRenderedPageBreak/>
        <w:t xml:space="preserve">measured CCI that strongly emphasizes course-taking behavior (a–g and CTE courses)—which were identified by </w:t>
      </w:r>
      <w:r w:rsidR="001F1186" w:rsidRPr="002F46E7">
        <w:rPr>
          <w:rFonts w:eastAsiaTheme="minorHAnsi" w:cs="Arial"/>
        </w:rPr>
        <w:t xml:space="preserve">Dr. </w:t>
      </w:r>
      <w:r w:rsidRPr="002F46E7">
        <w:rPr>
          <w:rFonts w:eastAsiaTheme="minorHAnsi" w:cs="Arial"/>
        </w:rPr>
        <w:t xml:space="preserve">Conley as the best predictor of college success—while also incorporating well-established accountability measures with high degrees of stability (AP and IB exam scores) as well as measures that are positively correlated with preparedness, persistence, and aspiration (dual enrollment). The next step was to determine </w:t>
      </w:r>
      <w:r w:rsidR="006C641F" w:rsidRPr="002F46E7">
        <w:rPr>
          <w:rFonts w:eastAsiaTheme="minorHAnsi" w:cs="Arial"/>
        </w:rPr>
        <w:t xml:space="preserve">performance </w:t>
      </w:r>
      <w:r w:rsidRPr="002F46E7">
        <w:rPr>
          <w:rFonts w:eastAsiaTheme="minorHAnsi" w:cs="Arial"/>
        </w:rPr>
        <w:t>levels for each of these measures, as detailed in the next section.</w:t>
      </w:r>
    </w:p>
    <w:p w14:paraId="2B2E1AED" w14:textId="77777777" w:rsidR="00CA66E7" w:rsidRPr="002F46E7" w:rsidRDefault="00CA66E7" w:rsidP="00A5496A">
      <w:pPr>
        <w:pStyle w:val="Heading2"/>
        <w:spacing w:before="0" w:after="240"/>
        <w:rPr>
          <w:sz w:val="32"/>
          <w:szCs w:val="32"/>
        </w:rPr>
      </w:pPr>
      <w:r w:rsidRPr="002F46E7">
        <w:rPr>
          <w:sz w:val="32"/>
          <w:szCs w:val="32"/>
        </w:rPr>
        <w:t>Setting the Performance Levels</w:t>
      </w:r>
    </w:p>
    <w:p w14:paraId="22CBB9AF" w14:textId="6276F56F" w:rsidR="00CA66E7" w:rsidRPr="002F46E7" w:rsidRDefault="00CA66E7" w:rsidP="00CA66E7">
      <w:pPr>
        <w:spacing w:after="240"/>
        <w:rPr>
          <w:rFonts w:cs="Arial"/>
        </w:rPr>
      </w:pPr>
      <w:r w:rsidRPr="002F46E7">
        <w:rPr>
          <w:rFonts w:cs="Arial"/>
        </w:rPr>
        <w:t xml:space="preserve">In 2016, </w:t>
      </w:r>
      <w:r w:rsidR="005639D2" w:rsidRPr="002F46E7">
        <w:rPr>
          <w:rFonts w:cs="Arial"/>
        </w:rPr>
        <w:t xml:space="preserve">to </w:t>
      </w:r>
      <w:r w:rsidR="00301FFD" w:rsidRPr="002F46E7">
        <w:rPr>
          <w:rFonts w:eastAsiaTheme="minorHAnsi" w:cs="Arial"/>
        </w:rPr>
        <w:t>implement the</w:t>
      </w:r>
      <w:r w:rsidR="005639D2" w:rsidRPr="002F46E7">
        <w:rPr>
          <w:rFonts w:eastAsiaTheme="minorHAnsi" w:cs="Arial"/>
        </w:rPr>
        <w:t xml:space="preserve"> LCFF focus on postsecondary preparedness</w:t>
      </w:r>
      <w:r w:rsidR="00301FFD" w:rsidRPr="002F46E7">
        <w:rPr>
          <w:rFonts w:eastAsiaTheme="minorHAnsi" w:cs="Arial"/>
        </w:rPr>
        <w:t xml:space="preserve"> and to align with the newly adopted evaluation rubrics</w:t>
      </w:r>
      <w:r w:rsidR="005639D2" w:rsidRPr="002F46E7">
        <w:rPr>
          <w:rFonts w:cs="Arial"/>
        </w:rPr>
        <w:t xml:space="preserve">, the CDE utilized </w:t>
      </w:r>
      <w:r w:rsidRPr="002F46E7">
        <w:rPr>
          <w:rFonts w:cs="Arial"/>
        </w:rPr>
        <w:t xml:space="preserve">the research of </w:t>
      </w:r>
      <w:r w:rsidR="006C641F" w:rsidRPr="002F46E7">
        <w:rPr>
          <w:rFonts w:cs="Arial"/>
        </w:rPr>
        <w:t>University of California (</w:t>
      </w:r>
      <w:r w:rsidRPr="002F46E7">
        <w:rPr>
          <w:rFonts w:cs="Arial"/>
        </w:rPr>
        <w:t>UC</w:t>
      </w:r>
      <w:r w:rsidR="006C641F" w:rsidRPr="002F46E7">
        <w:rPr>
          <w:rFonts w:cs="Arial"/>
        </w:rPr>
        <w:t>)</w:t>
      </w:r>
      <w:r w:rsidRPr="002F46E7">
        <w:rPr>
          <w:rFonts w:cs="Arial"/>
        </w:rPr>
        <w:t xml:space="preserve"> Davis Professor Michal </w:t>
      </w:r>
      <w:proofErr w:type="spellStart"/>
      <w:r w:rsidRPr="002F46E7">
        <w:rPr>
          <w:rFonts w:cs="Arial"/>
        </w:rPr>
        <w:t>Kurlaender</w:t>
      </w:r>
      <w:proofErr w:type="spellEnd"/>
      <w:r w:rsidR="00301FFD" w:rsidRPr="002F46E7">
        <w:rPr>
          <w:rFonts w:cs="Arial"/>
        </w:rPr>
        <w:t xml:space="preserve"> to conduct </w:t>
      </w:r>
      <w:r w:rsidR="005639D2" w:rsidRPr="002F46E7">
        <w:rPr>
          <w:rFonts w:cs="Arial"/>
        </w:rPr>
        <w:t>analyses</w:t>
      </w:r>
      <w:r w:rsidR="00301FFD" w:rsidRPr="002F46E7">
        <w:rPr>
          <w:rFonts w:cs="Arial"/>
        </w:rPr>
        <w:t>,</w:t>
      </w:r>
      <w:r w:rsidRPr="002F46E7">
        <w:rPr>
          <w:rFonts w:cs="Arial"/>
        </w:rPr>
        <w:t xml:space="preserve"> </w:t>
      </w:r>
      <w:r w:rsidR="00301FFD" w:rsidRPr="002F46E7">
        <w:rPr>
          <w:rFonts w:cs="Arial"/>
        </w:rPr>
        <w:t xml:space="preserve">obtained </w:t>
      </w:r>
      <w:r w:rsidRPr="002F46E7">
        <w:rPr>
          <w:rFonts w:cs="Arial"/>
        </w:rPr>
        <w:t xml:space="preserve">technical guidance from the TDG, and </w:t>
      </w:r>
      <w:r w:rsidR="00301FFD" w:rsidRPr="002F46E7">
        <w:rPr>
          <w:rFonts w:cs="Arial"/>
        </w:rPr>
        <w:t xml:space="preserve">gathered </w:t>
      </w:r>
      <w:r w:rsidRPr="002F46E7">
        <w:rPr>
          <w:rFonts w:cs="Arial"/>
        </w:rPr>
        <w:t xml:space="preserve">broad stakeholder feedback, </w:t>
      </w:r>
      <w:r w:rsidR="00301FFD" w:rsidRPr="002F46E7">
        <w:rPr>
          <w:rFonts w:cs="Arial"/>
        </w:rPr>
        <w:t xml:space="preserve">to </w:t>
      </w:r>
      <w:r w:rsidRPr="002F46E7">
        <w:rPr>
          <w:rFonts w:cs="Arial"/>
        </w:rPr>
        <w:t xml:space="preserve">recommend placement levels for each measure in the CCI model (i.e., </w:t>
      </w:r>
      <w:r w:rsidR="00301FFD" w:rsidRPr="002F46E7">
        <w:rPr>
          <w:rFonts w:cs="Arial"/>
        </w:rPr>
        <w:t xml:space="preserve">CDE </w:t>
      </w:r>
      <w:r w:rsidRPr="002F46E7">
        <w:rPr>
          <w:rFonts w:cs="Arial"/>
        </w:rPr>
        <w:t>recommended whether completion of one CCI measure alone sufficed to qualify a student as “Prepared” or whether it should be paired with an additional CCI measure).</w:t>
      </w:r>
    </w:p>
    <w:p w14:paraId="7C9F4244" w14:textId="77777777" w:rsidR="00CA66E7" w:rsidRPr="002F46E7" w:rsidRDefault="00CA66E7" w:rsidP="00A5496A">
      <w:pPr>
        <w:pStyle w:val="Heading3"/>
        <w:spacing w:before="0" w:after="240"/>
        <w:rPr>
          <w:rFonts w:ascii="Arial" w:hAnsi="Arial" w:cs="Arial"/>
          <w:b/>
          <w:color w:val="auto"/>
          <w:sz w:val="28"/>
          <w:szCs w:val="28"/>
        </w:rPr>
      </w:pPr>
      <w:r w:rsidRPr="002F46E7">
        <w:rPr>
          <w:rFonts w:ascii="Arial" w:hAnsi="Arial" w:cs="Arial"/>
          <w:b/>
          <w:color w:val="auto"/>
          <w:sz w:val="28"/>
          <w:szCs w:val="28"/>
        </w:rPr>
        <w:t>Research Underpinnings</w:t>
      </w:r>
    </w:p>
    <w:p w14:paraId="04BE26CA" w14:textId="308CCFB9" w:rsidR="00CA66E7" w:rsidRPr="002F46E7" w:rsidRDefault="001F1186" w:rsidP="00CA66E7">
      <w:pPr>
        <w:spacing w:after="240"/>
        <w:rPr>
          <w:rFonts w:cs="Arial"/>
        </w:rPr>
      </w:pPr>
      <w:r w:rsidRPr="002F46E7">
        <w:rPr>
          <w:rFonts w:cs="Arial"/>
        </w:rPr>
        <w:t xml:space="preserve">Dr. </w:t>
      </w:r>
      <w:r w:rsidR="00CA66E7" w:rsidRPr="002F46E7">
        <w:rPr>
          <w:rFonts w:cs="Arial"/>
        </w:rPr>
        <w:t xml:space="preserve">Michal </w:t>
      </w:r>
      <w:proofErr w:type="spellStart"/>
      <w:r w:rsidR="00CA66E7" w:rsidRPr="002F46E7">
        <w:rPr>
          <w:rFonts w:cs="Arial"/>
        </w:rPr>
        <w:t>Kurlaender</w:t>
      </w:r>
      <w:proofErr w:type="spellEnd"/>
      <w:r w:rsidR="00CA66E7" w:rsidRPr="002F46E7">
        <w:rPr>
          <w:rFonts w:cs="Arial"/>
        </w:rPr>
        <w:t>, a professor in the Education Department at the University of California, Davis, has conducted extensive research on the effectiveness of high school assessments—including the SAT and the Smarter Balanced Summative Assessments</w:t>
      </w:r>
      <w:r w:rsidR="006C641F" w:rsidRPr="002F46E7">
        <w:rPr>
          <w:rStyle w:val="FootnoteReference"/>
          <w:rFonts w:cs="Arial"/>
        </w:rPr>
        <w:footnoteReference w:id="2"/>
      </w:r>
      <w:r w:rsidR="00CA66E7" w:rsidRPr="002F46E7">
        <w:rPr>
          <w:rFonts w:cs="Arial"/>
        </w:rPr>
        <w:t>—to predict college success. In one early study</w:t>
      </w:r>
      <w:r w:rsidR="00CA66E7" w:rsidRPr="002F46E7">
        <w:rPr>
          <w:rFonts w:cs="Arial"/>
          <w:vertAlign w:val="superscript"/>
        </w:rPr>
        <w:footnoteReference w:id="3"/>
      </w:r>
      <w:r w:rsidR="00CA66E7" w:rsidRPr="002F46E7">
        <w:rPr>
          <w:rFonts w:cs="Arial"/>
        </w:rPr>
        <w:t>, she used postsecondary data from the California State University (CSU) and Community College campuses, along with high school assessment data for all grade eleven students in California, in order to evaluate the relationship between college course-taking behavior and the need for postsecondary remedial coursework.</w:t>
      </w:r>
      <w:r w:rsidR="00CA66E7" w:rsidRPr="002F46E7">
        <w:rPr>
          <w:rFonts w:cs="Arial"/>
          <w:vertAlign w:val="superscript"/>
        </w:rPr>
        <w:footnoteReference w:id="4"/>
      </w:r>
      <w:r w:rsidR="00CA66E7" w:rsidRPr="002F46E7">
        <w:rPr>
          <w:rFonts w:cs="Arial"/>
        </w:rPr>
        <w:t xml:space="preserve"> Her early analyses revealed the following findings:</w:t>
      </w:r>
    </w:p>
    <w:p w14:paraId="0DE2BF12" w14:textId="77777777" w:rsidR="00CA66E7" w:rsidRPr="002F46E7" w:rsidRDefault="00CA66E7" w:rsidP="00CA66E7">
      <w:pPr>
        <w:numPr>
          <w:ilvl w:val="0"/>
          <w:numId w:val="19"/>
        </w:numPr>
        <w:spacing w:after="240"/>
        <w:rPr>
          <w:rFonts w:cs="Arial"/>
        </w:rPr>
      </w:pPr>
      <w:r w:rsidRPr="002F46E7">
        <w:rPr>
          <w:rFonts w:cs="Arial"/>
        </w:rPr>
        <w:t>Students in higher level math courses are more likely to be ready for college level courses</w:t>
      </w:r>
    </w:p>
    <w:p w14:paraId="4EC8C50B" w14:textId="77777777" w:rsidR="00CA66E7" w:rsidRPr="002F46E7" w:rsidRDefault="00CA66E7" w:rsidP="00CA66E7">
      <w:pPr>
        <w:numPr>
          <w:ilvl w:val="0"/>
          <w:numId w:val="19"/>
        </w:numPr>
        <w:autoSpaceDE w:val="0"/>
        <w:autoSpaceDN w:val="0"/>
        <w:adjustRightInd w:val="0"/>
        <w:spacing w:after="240"/>
        <w:rPr>
          <w:rFonts w:cs="Arial"/>
        </w:rPr>
      </w:pPr>
      <w:r w:rsidRPr="002F46E7">
        <w:rPr>
          <w:rFonts w:cs="Arial"/>
        </w:rPr>
        <w:t>Students who were proficient or advanced on the mathematics high school assessments were very likely to be ready for college level courses</w:t>
      </w:r>
    </w:p>
    <w:p w14:paraId="073C16FC" w14:textId="77777777" w:rsidR="00CA66E7" w:rsidRPr="002F46E7" w:rsidRDefault="00CA66E7" w:rsidP="00CA66E7">
      <w:pPr>
        <w:numPr>
          <w:ilvl w:val="0"/>
          <w:numId w:val="19"/>
        </w:numPr>
        <w:autoSpaceDE w:val="0"/>
        <w:autoSpaceDN w:val="0"/>
        <w:adjustRightInd w:val="0"/>
        <w:spacing w:after="240"/>
        <w:rPr>
          <w:rFonts w:cs="Arial"/>
        </w:rPr>
      </w:pPr>
      <w:r w:rsidRPr="002F46E7">
        <w:rPr>
          <w:rFonts w:cs="Arial"/>
        </w:rPr>
        <w:lastRenderedPageBreak/>
        <w:t>Students who were advanced on the English language arts (ELA) high school assessments were very likely to be ready for college level courses.</w:t>
      </w:r>
    </w:p>
    <w:p w14:paraId="274A68D0" w14:textId="232CA304" w:rsidR="00CA66E7" w:rsidRPr="002F46E7" w:rsidRDefault="006C641F" w:rsidP="00CA66E7">
      <w:pPr>
        <w:numPr>
          <w:ilvl w:val="0"/>
          <w:numId w:val="19"/>
        </w:numPr>
        <w:autoSpaceDE w:val="0"/>
        <w:autoSpaceDN w:val="0"/>
        <w:adjustRightInd w:val="0"/>
        <w:spacing w:after="240"/>
        <w:rPr>
          <w:rFonts w:cs="Arial"/>
        </w:rPr>
      </w:pPr>
      <w:proofErr w:type="gramStart"/>
      <w:r w:rsidRPr="002F46E7">
        <w:rPr>
          <w:rFonts w:cs="Arial"/>
        </w:rPr>
        <w:t>a</w:t>
      </w:r>
      <w:r w:rsidR="00CA66E7" w:rsidRPr="002F46E7">
        <w:rPr>
          <w:rFonts w:cs="Arial"/>
        </w:rPr>
        <w:t>–g</w:t>
      </w:r>
      <w:proofErr w:type="gramEnd"/>
      <w:r w:rsidR="00CA66E7" w:rsidRPr="002F46E7">
        <w:rPr>
          <w:rFonts w:cs="Arial"/>
        </w:rPr>
        <w:t xml:space="preserve"> completion alone does not ensure that students are prepared for college-level coursework, as evidenced by the high percentage of students who completed these courses and later enrolled in remedial classes in college.</w:t>
      </w:r>
    </w:p>
    <w:p w14:paraId="6CA3ADEE" w14:textId="2509B14B" w:rsidR="00CA66E7" w:rsidRPr="002F46E7" w:rsidRDefault="002D2403" w:rsidP="00CA66E7">
      <w:pPr>
        <w:spacing w:after="240"/>
        <w:rPr>
          <w:rFonts w:cs="Arial"/>
        </w:rPr>
      </w:pPr>
      <w:r w:rsidRPr="002F46E7">
        <w:rPr>
          <w:rFonts w:cs="Arial"/>
        </w:rPr>
        <w:t>Because the state assessments are an included measure for high school students in LCFF and b</w:t>
      </w:r>
      <w:r w:rsidR="00CA66E7" w:rsidRPr="002F46E7">
        <w:rPr>
          <w:rFonts w:cs="Arial"/>
        </w:rPr>
        <w:t xml:space="preserve">ased on </w:t>
      </w:r>
      <w:r w:rsidR="001F1186" w:rsidRPr="002F46E7">
        <w:rPr>
          <w:rFonts w:cs="Arial"/>
        </w:rPr>
        <w:t xml:space="preserve">Dr. </w:t>
      </w:r>
      <w:proofErr w:type="spellStart"/>
      <w:r w:rsidR="00CA66E7" w:rsidRPr="002F46E7">
        <w:rPr>
          <w:rFonts w:cs="Arial"/>
        </w:rPr>
        <w:t>Kurlaender’s</w:t>
      </w:r>
      <w:proofErr w:type="spellEnd"/>
      <w:r w:rsidR="00CA66E7" w:rsidRPr="002F46E7">
        <w:rPr>
          <w:rFonts w:cs="Arial"/>
        </w:rPr>
        <w:t xml:space="preserve"> findings, the CDE decided that it was appropriate to compare each proposed CCI measure against student performance on state standardized tests. The CDE worked with the TDG—along with key stakeholders across the state—to set initial placement levels for the CCI measures. The recommended placement levels were presented to the SBE in an August 2016 Information Memorandum (</w:t>
      </w:r>
      <w:hyperlink r:id="rId13" w:tooltip="State Board Memorandum August 2016" w:history="1">
        <w:r w:rsidR="00CA66E7" w:rsidRPr="002F46E7">
          <w:rPr>
            <w:rFonts w:cs="Arial"/>
            <w:color w:val="0563C1" w:themeColor="hyperlink"/>
            <w:u w:val="single"/>
          </w:rPr>
          <w:t>https://www.cde.ca.gov/be/pn/im/documents/memo-dsib-amard-aug16item01.doc</w:t>
        </w:r>
      </w:hyperlink>
      <w:r w:rsidR="00CA66E7" w:rsidRPr="002F46E7">
        <w:rPr>
          <w:rFonts w:cs="Arial"/>
        </w:rPr>
        <w:t>) and are summarized below.</w:t>
      </w:r>
    </w:p>
    <w:p w14:paraId="5E547068" w14:textId="77777777" w:rsidR="00CA66E7" w:rsidRPr="002F46E7" w:rsidRDefault="00CA66E7" w:rsidP="005F07BE">
      <w:pPr>
        <w:pStyle w:val="Heading4"/>
        <w:spacing w:before="0" w:after="240"/>
        <w:rPr>
          <w:rFonts w:ascii="Arial" w:hAnsi="Arial" w:cs="Arial"/>
          <w:b/>
          <w:color w:val="auto"/>
        </w:rPr>
      </w:pPr>
      <w:r w:rsidRPr="002F46E7">
        <w:rPr>
          <w:rFonts w:ascii="Arial" w:hAnsi="Arial" w:cs="Arial"/>
          <w:b/>
          <w:color w:val="auto"/>
        </w:rPr>
        <w:t>CTE Pathway Completion</w:t>
      </w:r>
    </w:p>
    <w:p w14:paraId="686923D0" w14:textId="027688BA" w:rsidR="00CA66E7" w:rsidRPr="002F46E7" w:rsidRDefault="00CA66E7" w:rsidP="00CA66E7">
      <w:pPr>
        <w:spacing w:after="240"/>
        <w:rPr>
          <w:rFonts w:cs="Arial"/>
        </w:rPr>
      </w:pPr>
      <w:r w:rsidRPr="002F46E7">
        <w:rPr>
          <w:rFonts w:cs="Arial"/>
        </w:rPr>
        <w:t>Approximately 17 percent of students in the four-year graduation cohort were found to have completed at least one CTE Pathway. Further analyses on these students revealed that CTE Pathway completion is evenly distributed among racial and ethnic student groups</w:t>
      </w:r>
      <w:r w:rsidR="006C641F" w:rsidRPr="002F46E7">
        <w:rPr>
          <w:rFonts w:cs="Arial"/>
        </w:rPr>
        <w:t>,</w:t>
      </w:r>
      <w:r w:rsidRPr="002F46E7">
        <w:rPr>
          <w:rFonts w:cs="Arial"/>
        </w:rPr>
        <w:t xml:space="preserve"> as well as among English learners, socioeconomically disadvantaged students, and students with disabilities, making this an attractive CCI measure. However, analyses showed that over 64 percent of students who completed a CTE Pathway scored “Not Ready” on the EAP for ELA. For this reason, CTE</w:t>
      </w:r>
      <w:r w:rsidR="006C641F" w:rsidRPr="002F46E7">
        <w:rPr>
          <w:rFonts w:cs="Arial"/>
        </w:rPr>
        <w:t xml:space="preserve"> Pathway</w:t>
      </w:r>
      <w:r w:rsidRPr="002F46E7">
        <w:rPr>
          <w:rFonts w:cs="Arial"/>
        </w:rPr>
        <w:t xml:space="preserve"> completion alone was deemed insufficient to qualify a student as “Prepared” and should be paired with an additional CCI measure.</w:t>
      </w:r>
    </w:p>
    <w:p w14:paraId="248FE131" w14:textId="77777777" w:rsidR="00CA66E7" w:rsidRPr="002F46E7" w:rsidRDefault="00CA66E7" w:rsidP="005F07BE">
      <w:pPr>
        <w:pStyle w:val="Heading4"/>
        <w:spacing w:before="0" w:after="240"/>
        <w:rPr>
          <w:rFonts w:ascii="Arial" w:hAnsi="Arial" w:cs="Arial"/>
          <w:b/>
          <w:color w:val="auto"/>
        </w:rPr>
      </w:pPr>
      <w:r w:rsidRPr="002F46E7">
        <w:rPr>
          <w:rFonts w:ascii="Arial" w:hAnsi="Arial" w:cs="Arial"/>
          <w:b/>
          <w:color w:val="auto"/>
        </w:rPr>
        <w:t>Completion of a–g Requirements</w:t>
      </w:r>
    </w:p>
    <w:p w14:paraId="3EBEED97" w14:textId="18680ADC" w:rsidR="00CA66E7" w:rsidRPr="002F46E7" w:rsidRDefault="00CA66E7" w:rsidP="00CA66E7">
      <w:pPr>
        <w:spacing w:after="240"/>
        <w:rPr>
          <w:rFonts w:cs="Arial"/>
        </w:rPr>
      </w:pPr>
      <w:r w:rsidRPr="002F46E7">
        <w:rPr>
          <w:rFonts w:cs="Arial"/>
        </w:rPr>
        <w:t>Over 35 percent of students in the four-year graduation cohort were reported to have met a–g requirements. Among these students, 36.2 percent scored “Not Ready” on the EAP for ELA. In addition, 40 percent of students admitted to CSU campuses—almost all of whom completed a–g courses or an equivalent—were required to enroll in at least one remedial English or mathematics course. Therefore, it was determined that a–g completion alone was not a sufficient indicator of college preparedness and that it should be paired with an additional CCI measure.</w:t>
      </w:r>
    </w:p>
    <w:p w14:paraId="3DAD9D10" w14:textId="5DDFCDE2" w:rsidR="00CA66E7" w:rsidRPr="002F46E7" w:rsidRDefault="00CA66E7" w:rsidP="005F07BE">
      <w:pPr>
        <w:pStyle w:val="Heading4"/>
        <w:spacing w:before="0" w:after="240"/>
        <w:rPr>
          <w:rFonts w:ascii="Arial" w:hAnsi="Arial" w:cs="Arial"/>
          <w:b/>
          <w:color w:val="auto"/>
        </w:rPr>
      </w:pPr>
      <w:r w:rsidRPr="002F46E7">
        <w:rPr>
          <w:rFonts w:ascii="Arial" w:hAnsi="Arial" w:cs="Arial"/>
          <w:b/>
          <w:color w:val="auto"/>
        </w:rPr>
        <w:t>A</w:t>
      </w:r>
      <w:r w:rsidR="00851771" w:rsidRPr="002F46E7">
        <w:rPr>
          <w:rFonts w:ascii="Arial" w:hAnsi="Arial" w:cs="Arial"/>
          <w:b/>
          <w:color w:val="auto"/>
        </w:rPr>
        <w:t xml:space="preserve">dvanced </w:t>
      </w:r>
      <w:r w:rsidRPr="002F46E7">
        <w:rPr>
          <w:rFonts w:ascii="Arial" w:hAnsi="Arial" w:cs="Arial"/>
          <w:b/>
          <w:color w:val="auto"/>
        </w:rPr>
        <w:t>P</w:t>
      </w:r>
      <w:r w:rsidR="00851771" w:rsidRPr="002F46E7">
        <w:rPr>
          <w:rFonts w:ascii="Arial" w:hAnsi="Arial" w:cs="Arial"/>
          <w:b/>
          <w:color w:val="auto"/>
        </w:rPr>
        <w:t>lacement</w:t>
      </w:r>
    </w:p>
    <w:p w14:paraId="486F352C" w14:textId="5CE60A8E" w:rsidR="00CA66E7" w:rsidRPr="002F46E7" w:rsidRDefault="00CA66E7" w:rsidP="00CA66E7">
      <w:pPr>
        <w:spacing w:after="240"/>
        <w:rPr>
          <w:rFonts w:cs="Arial"/>
        </w:rPr>
      </w:pPr>
      <w:r w:rsidRPr="002F46E7">
        <w:rPr>
          <w:rFonts w:cs="Arial"/>
        </w:rPr>
        <w:t>Among those students who passed two AP exams, 77.3 percent scored “Ready” on the EAP for both ELA and mathematics or “Ready” in one content area and “Conditionally Ready” in the other. Given this evidence of preparedness, students who passed two AP exams were</w:t>
      </w:r>
      <w:r w:rsidR="00AC2F41" w:rsidRPr="002F46E7">
        <w:rPr>
          <w:rFonts w:cs="Arial"/>
        </w:rPr>
        <w:t xml:space="preserve"> placed in the “Prepared” level.</w:t>
      </w:r>
      <w:r w:rsidRPr="002F46E7">
        <w:rPr>
          <w:rFonts w:cs="Arial"/>
        </w:rPr>
        <w:t xml:space="preserve"> There was no need, it was concluded, to supplement the AP with an additional measure.</w:t>
      </w:r>
    </w:p>
    <w:p w14:paraId="6D57A1F6" w14:textId="0EB9A236" w:rsidR="00CA66E7" w:rsidRPr="002F46E7" w:rsidRDefault="00CA66E7" w:rsidP="005F07BE">
      <w:pPr>
        <w:pStyle w:val="Heading4"/>
        <w:spacing w:before="0" w:after="240"/>
        <w:rPr>
          <w:rFonts w:ascii="Arial" w:hAnsi="Arial" w:cs="Arial"/>
          <w:b/>
          <w:color w:val="auto"/>
        </w:rPr>
      </w:pPr>
      <w:r w:rsidRPr="002F46E7">
        <w:rPr>
          <w:rFonts w:ascii="Arial" w:hAnsi="Arial" w:cs="Arial"/>
          <w:b/>
          <w:color w:val="auto"/>
        </w:rPr>
        <w:lastRenderedPageBreak/>
        <w:t>I</w:t>
      </w:r>
      <w:r w:rsidR="00851771" w:rsidRPr="002F46E7">
        <w:rPr>
          <w:rFonts w:ascii="Arial" w:hAnsi="Arial" w:cs="Arial"/>
          <w:b/>
          <w:color w:val="auto"/>
        </w:rPr>
        <w:t>nternational Baccalaureate</w:t>
      </w:r>
    </w:p>
    <w:p w14:paraId="55ED576C" w14:textId="3B9BFD3E" w:rsidR="00CA66E7" w:rsidRPr="002F46E7" w:rsidRDefault="00CA66E7" w:rsidP="00CA66E7">
      <w:pPr>
        <w:spacing w:after="240"/>
        <w:rPr>
          <w:rFonts w:cs="Arial"/>
        </w:rPr>
      </w:pPr>
      <w:r w:rsidRPr="002F46E7">
        <w:rPr>
          <w:rFonts w:cs="Arial"/>
        </w:rPr>
        <w:t>Students who passed two IB exams were placed in the “Prepared” level, indicating that the IB program was rigorous and academically challenging.</w:t>
      </w:r>
    </w:p>
    <w:p w14:paraId="0D3FAA39" w14:textId="09CC9ABB" w:rsidR="00CA66E7" w:rsidRPr="002F46E7" w:rsidRDefault="00CA66E7" w:rsidP="005F07BE">
      <w:pPr>
        <w:pStyle w:val="Heading4"/>
        <w:spacing w:before="0" w:after="240"/>
        <w:rPr>
          <w:rFonts w:ascii="Arial" w:hAnsi="Arial" w:cs="Arial"/>
          <w:b/>
          <w:color w:val="auto"/>
        </w:rPr>
      </w:pPr>
      <w:r w:rsidRPr="002F46E7">
        <w:rPr>
          <w:rFonts w:ascii="Arial" w:hAnsi="Arial" w:cs="Arial"/>
          <w:b/>
          <w:color w:val="auto"/>
        </w:rPr>
        <w:t>Dual Enrollment</w:t>
      </w:r>
    </w:p>
    <w:p w14:paraId="5E71F3F8" w14:textId="2C62672A" w:rsidR="00CA66E7" w:rsidRPr="002F46E7" w:rsidRDefault="00CA66E7" w:rsidP="00CA66E7">
      <w:pPr>
        <w:spacing w:after="240"/>
        <w:rPr>
          <w:rFonts w:cs="Arial"/>
        </w:rPr>
      </w:pPr>
      <w:r w:rsidRPr="002F46E7">
        <w:rPr>
          <w:rFonts w:cs="Arial"/>
        </w:rPr>
        <w:t xml:space="preserve">Among students who took two dual enrollment courses, 48 percent scored “Ready” on the EAP for ELA. Among those who took three dual enrollment courses, 61 percent scored “Ready.” Given the strong alignment of this measure with college preparedness, it was agreed that students who complete two semester or three quarters of college coursework with a grade of C- or better (and received college credit) should be placed in the “Prepared” level of </w:t>
      </w:r>
      <w:r w:rsidR="006C641F" w:rsidRPr="002F46E7">
        <w:rPr>
          <w:rFonts w:cs="Arial"/>
        </w:rPr>
        <w:t xml:space="preserve">the </w:t>
      </w:r>
      <w:r w:rsidRPr="002F46E7">
        <w:rPr>
          <w:rFonts w:cs="Arial"/>
        </w:rPr>
        <w:t>CCI. There was no need, it was concluded, to supplement Dual Enrollment with an additional measure.</w:t>
      </w:r>
    </w:p>
    <w:p w14:paraId="54A951D3" w14:textId="77777777" w:rsidR="00CA66E7" w:rsidRPr="002F46E7" w:rsidRDefault="00CA66E7" w:rsidP="00A5496A">
      <w:pPr>
        <w:pStyle w:val="Heading2"/>
        <w:spacing w:before="0" w:after="240"/>
        <w:rPr>
          <w:sz w:val="32"/>
          <w:szCs w:val="32"/>
        </w:rPr>
      </w:pPr>
      <w:r w:rsidRPr="002F46E7">
        <w:rPr>
          <w:sz w:val="32"/>
          <w:szCs w:val="32"/>
        </w:rPr>
        <w:t>Data Supporting the Placement Settings</w:t>
      </w:r>
    </w:p>
    <w:p w14:paraId="7EB4F898" w14:textId="77777777" w:rsidR="00CA66E7" w:rsidRPr="002F46E7" w:rsidRDefault="00CA66E7" w:rsidP="00CA66E7">
      <w:pPr>
        <w:spacing w:after="240"/>
        <w:rPr>
          <w:rFonts w:eastAsiaTheme="minorHAnsi" w:cs="Arial"/>
          <w:color w:val="000000"/>
        </w:rPr>
      </w:pPr>
      <w:r w:rsidRPr="002F46E7">
        <w:rPr>
          <w:rFonts w:eastAsiaTheme="minorHAnsi" w:cs="Arial"/>
          <w:color w:val="000000"/>
        </w:rPr>
        <w:t>In order to demonstrate the soundness of the CCI model and its measures, the CDE conducted analyses comparing results from the Smarter Balanced Summative Assessment and performance on other CCI measures. The results, based on student data from the Class of 2016, are summarized in Table 4.</w:t>
      </w:r>
    </w:p>
    <w:p w14:paraId="7FB1E377" w14:textId="77777777" w:rsidR="00CA66E7" w:rsidRPr="002F46E7" w:rsidRDefault="00CA66E7" w:rsidP="00162BB5">
      <w:pPr>
        <w:spacing w:after="240"/>
        <w:rPr>
          <w:rFonts w:eastAsiaTheme="minorHAnsi" w:cs="Arial"/>
        </w:rPr>
      </w:pPr>
      <w:r w:rsidRPr="002F46E7">
        <w:rPr>
          <w:rFonts w:eastAsiaTheme="minorHAnsi" w:cs="Arial"/>
          <w:b/>
        </w:rPr>
        <w:t>Table 4</w:t>
      </w:r>
    </w:p>
    <w:tbl>
      <w:tblPr>
        <w:tblStyle w:val="TableGrid3"/>
        <w:tblW w:w="0" w:type="auto"/>
        <w:tblLook w:val="04A0" w:firstRow="1" w:lastRow="0" w:firstColumn="1" w:lastColumn="0" w:noHBand="0" w:noVBand="1"/>
        <w:tblDescription w:val="Table showing the CCI Criteria percentages for each content area."/>
      </w:tblPr>
      <w:tblGrid>
        <w:gridCol w:w="1686"/>
        <w:gridCol w:w="1316"/>
        <w:gridCol w:w="1576"/>
        <w:gridCol w:w="1576"/>
        <w:gridCol w:w="1598"/>
        <w:gridCol w:w="1598"/>
      </w:tblGrid>
      <w:tr w:rsidR="002878A8" w:rsidRPr="002F46E7" w14:paraId="4F0E40CD" w14:textId="77777777" w:rsidTr="00070C1D">
        <w:trPr>
          <w:cantSplit/>
          <w:tblHeader/>
        </w:trPr>
        <w:tc>
          <w:tcPr>
            <w:tcW w:w="0" w:type="auto"/>
            <w:shd w:val="clear" w:color="auto" w:fill="D9D9D9" w:themeFill="background1" w:themeFillShade="D9"/>
            <w:vAlign w:val="center"/>
          </w:tcPr>
          <w:p w14:paraId="66703CFF" w14:textId="77777777" w:rsidR="00CA66E7" w:rsidRPr="002F46E7" w:rsidRDefault="00CA66E7" w:rsidP="00CA66E7">
            <w:pPr>
              <w:jc w:val="center"/>
              <w:rPr>
                <w:rFonts w:eastAsiaTheme="minorEastAsia" w:cs="Arial"/>
                <w:b/>
                <w:sz w:val="22"/>
              </w:rPr>
            </w:pPr>
            <w:r w:rsidRPr="002F46E7">
              <w:rPr>
                <w:rFonts w:eastAsiaTheme="minorEastAsia" w:cs="Arial"/>
                <w:b/>
                <w:sz w:val="22"/>
              </w:rPr>
              <w:t>CCI Criteria</w:t>
            </w:r>
          </w:p>
        </w:tc>
        <w:tc>
          <w:tcPr>
            <w:tcW w:w="0" w:type="auto"/>
            <w:shd w:val="clear" w:color="auto" w:fill="D9D9D9" w:themeFill="background1" w:themeFillShade="D9"/>
            <w:vAlign w:val="center"/>
          </w:tcPr>
          <w:p w14:paraId="7AE0EAB5" w14:textId="77777777" w:rsidR="00CA66E7" w:rsidRPr="002F46E7" w:rsidRDefault="00CA66E7" w:rsidP="00CA66E7">
            <w:pPr>
              <w:jc w:val="center"/>
              <w:rPr>
                <w:rFonts w:eastAsiaTheme="minorEastAsia" w:cs="Arial"/>
                <w:b/>
                <w:sz w:val="22"/>
              </w:rPr>
            </w:pPr>
            <w:r w:rsidRPr="002F46E7">
              <w:rPr>
                <w:rFonts w:eastAsiaTheme="minorEastAsia" w:cs="Arial"/>
                <w:b/>
                <w:sz w:val="22"/>
              </w:rPr>
              <w:t xml:space="preserve">Number of Prepared Students Who Met CCI Criteria </w:t>
            </w:r>
          </w:p>
        </w:tc>
        <w:tc>
          <w:tcPr>
            <w:tcW w:w="0" w:type="auto"/>
            <w:shd w:val="clear" w:color="auto" w:fill="D9D9D9" w:themeFill="background1" w:themeFillShade="D9"/>
            <w:vAlign w:val="center"/>
          </w:tcPr>
          <w:p w14:paraId="21992D6C" w14:textId="77777777" w:rsidR="00CA66E7" w:rsidRPr="002F46E7" w:rsidRDefault="00CA66E7" w:rsidP="00CA66E7">
            <w:pPr>
              <w:jc w:val="center"/>
              <w:rPr>
                <w:rFonts w:eastAsiaTheme="minorEastAsia" w:cs="Arial"/>
                <w:b/>
                <w:sz w:val="22"/>
              </w:rPr>
            </w:pPr>
            <w:r w:rsidRPr="002F46E7">
              <w:rPr>
                <w:rFonts w:eastAsiaTheme="minorEastAsia" w:cs="Arial"/>
                <w:b/>
                <w:sz w:val="22"/>
              </w:rPr>
              <w:t>ELA:</w:t>
            </w:r>
          </w:p>
          <w:p w14:paraId="0C7051E4" w14:textId="07675A1F" w:rsidR="00CA66E7" w:rsidRPr="002F46E7" w:rsidRDefault="00CA66E7" w:rsidP="00CA66E7">
            <w:pPr>
              <w:jc w:val="center"/>
              <w:rPr>
                <w:rFonts w:eastAsiaTheme="minorEastAsia" w:cs="Arial"/>
                <w:b/>
                <w:sz w:val="22"/>
              </w:rPr>
            </w:pPr>
            <w:r w:rsidRPr="002F46E7">
              <w:rPr>
                <w:rFonts w:eastAsiaTheme="minorEastAsia" w:cs="Arial"/>
                <w:b/>
                <w:sz w:val="22"/>
              </w:rPr>
              <w:t>Number &amp; Percent</w:t>
            </w:r>
            <w:r w:rsidR="006C641F" w:rsidRPr="002F46E7">
              <w:rPr>
                <w:rFonts w:eastAsiaTheme="minorEastAsia" w:cs="Arial"/>
                <w:b/>
                <w:sz w:val="22"/>
              </w:rPr>
              <w:t>age</w:t>
            </w:r>
            <w:r w:rsidRPr="002F46E7">
              <w:rPr>
                <w:rFonts w:eastAsiaTheme="minorEastAsia" w:cs="Arial"/>
                <w:b/>
                <w:sz w:val="22"/>
              </w:rPr>
              <w:t xml:space="preserve"> of Students Who Received Level 1 or 2</w:t>
            </w:r>
          </w:p>
        </w:tc>
        <w:tc>
          <w:tcPr>
            <w:tcW w:w="0" w:type="auto"/>
            <w:shd w:val="clear" w:color="auto" w:fill="D9D9D9" w:themeFill="background1" w:themeFillShade="D9"/>
            <w:vAlign w:val="center"/>
          </w:tcPr>
          <w:p w14:paraId="4C026082" w14:textId="77777777" w:rsidR="00CA66E7" w:rsidRPr="002F46E7" w:rsidRDefault="00CA66E7" w:rsidP="00CA66E7">
            <w:pPr>
              <w:jc w:val="center"/>
              <w:rPr>
                <w:rFonts w:eastAsiaTheme="minorEastAsia" w:cs="Arial"/>
                <w:b/>
                <w:sz w:val="22"/>
              </w:rPr>
            </w:pPr>
            <w:r w:rsidRPr="002F46E7">
              <w:rPr>
                <w:rFonts w:eastAsiaTheme="minorEastAsia" w:cs="Arial"/>
                <w:b/>
                <w:sz w:val="22"/>
              </w:rPr>
              <w:t>ELA:</w:t>
            </w:r>
          </w:p>
          <w:p w14:paraId="123D3C69" w14:textId="6A98F0B9" w:rsidR="00CA66E7" w:rsidRPr="002F46E7" w:rsidRDefault="00CA66E7" w:rsidP="00CA66E7">
            <w:pPr>
              <w:jc w:val="center"/>
              <w:rPr>
                <w:rFonts w:eastAsiaTheme="minorEastAsia" w:cs="Arial"/>
                <w:b/>
                <w:sz w:val="22"/>
              </w:rPr>
            </w:pPr>
            <w:r w:rsidRPr="002F46E7">
              <w:rPr>
                <w:rFonts w:eastAsiaTheme="minorEastAsia" w:cs="Arial"/>
                <w:b/>
                <w:sz w:val="22"/>
              </w:rPr>
              <w:t>Number &amp; Percent</w:t>
            </w:r>
            <w:r w:rsidR="006C641F" w:rsidRPr="002F46E7">
              <w:rPr>
                <w:rFonts w:eastAsiaTheme="minorEastAsia" w:cs="Arial"/>
                <w:b/>
                <w:sz w:val="22"/>
              </w:rPr>
              <w:t>age</w:t>
            </w:r>
            <w:r w:rsidRPr="002F46E7">
              <w:rPr>
                <w:rFonts w:eastAsiaTheme="minorEastAsia" w:cs="Arial"/>
                <w:b/>
                <w:sz w:val="22"/>
              </w:rPr>
              <w:t xml:space="preserve"> of Students Who Received Level 3 or 4</w:t>
            </w:r>
          </w:p>
        </w:tc>
        <w:tc>
          <w:tcPr>
            <w:tcW w:w="0" w:type="auto"/>
            <w:shd w:val="clear" w:color="auto" w:fill="D9D9D9" w:themeFill="background1" w:themeFillShade="D9"/>
            <w:vAlign w:val="center"/>
          </w:tcPr>
          <w:p w14:paraId="5243522C" w14:textId="59EFFA12" w:rsidR="00CA66E7" w:rsidRPr="002F46E7" w:rsidRDefault="00CA66E7" w:rsidP="00CA66E7">
            <w:pPr>
              <w:jc w:val="center"/>
              <w:rPr>
                <w:rFonts w:eastAsiaTheme="minorEastAsia" w:cs="Arial"/>
                <w:b/>
                <w:sz w:val="22"/>
              </w:rPr>
            </w:pPr>
            <w:r w:rsidRPr="002F46E7">
              <w:rPr>
                <w:rFonts w:eastAsiaTheme="minorEastAsia" w:cs="Arial"/>
                <w:b/>
                <w:sz w:val="22"/>
              </w:rPr>
              <w:t>Math: Number &amp; Percent</w:t>
            </w:r>
            <w:r w:rsidR="006C641F" w:rsidRPr="002F46E7">
              <w:rPr>
                <w:rFonts w:eastAsiaTheme="minorEastAsia" w:cs="Arial"/>
                <w:b/>
                <w:sz w:val="22"/>
              </w:rPr>
              <w:t>age</w:t>
            </w:r>
            <w:r w:rsidRPr="002F46E7">
              <w:rPr>
                <w:rFonts w:eastAsiaTheme="minorEastAsia" w:cs="Arial"/>
                <w:b/>
                <w:sz w:val="22"/>
              </w:rPr>
              <w:t xml:space="preserve"> of Students Who Received Level 1 or 2</w:t>
            </w:r>
          </w:p>
        </w:tc>
        <w:tc>
          <w:tcPr>
            <w:tcW w:w="0" w:type="auto"/>
            <w:shd w:val="clear" w:color="auto" w:fill="D9D9D9" w:themeFill="background1" w:themeFillShade="D9"/>
            <w:vAlign w:val="center"/>
          </w:tcPr>
          <w:p w14:paraId="7BB44D81" w14:textId="134BF168" w:rsidR="00CA66E7" w:rsidRPr="002F46E7" w:rsidRDefault="00CA66E7" w:rsidP="00CA66E7">
            <w:pPr>
              <w:jc w:val="center"/>
              <w:rPr>
                <w:rFonts w:eastAsiaTheme="minorEastAsia" w:cs="Arial"/>
                <w:b/>
                <w:sz w:val="22"/>
              </w:rPr>
            </w:pPr>
            <w:r w:rsidRPr="002F46E7">
              <w:rPr>
                <w:rFonts w:eastAsiaTheme="minorEastAsia" w:cs="Arial"/>
                <w:b/>
                <w:sz w:val="22"/>
              </w:rPr>
              <w:t>Math: Number &amp; Percent</w:t>
            </w:r>
            <w:r w:rsidR="006C641F" w:rsidRPr="002F46E7">
              <w:rPr>
                <w:rFonts w:eastAsiaTheme="minorEastAsia" w:cs="Arial"/>
                <w:b/>
                <w:sz w:val="22"/>
              </w:rPr>
              <w:t>age</w:t>
            </w:r>
            <w:r w:rsidRPr="002F46E7">
              <w:rPr>
                <w:rFonts w:eastAsiaTheme="minorEastAsia" w:cs="Arial"/>
                <w:b/>
                <w:sz w:val="22"/>
              </w:rPr>
              <w:t xml:space="preserve"> of Students Who Received Level 3 or 4</w:t>
            </w:r>
          </w:p>
        </w:tc>
      </w:tr>
      <w:tr w:rsidR="002878A8" w:rsidRPr="002F46E7" w14:paraId="1F487376" w14:textId="77777777" w:rsidTr="00070C1D">
        <w:trPr>
          <w:cantSplit/>
        </w:trPr>
        <w:tc>
          <w:tcPr>
            <w:tcW w:w="0" w:type="auto"/>
            <w:shd w:val="clear" w:color="auto" w:fill="auto"/>
            <w:vAlign w:val="center"/>
          </w:tcPr>
          <w:p w14:paraId="70D8EAE3" w14:textId="77777777" w:rsidR="00CA66E7" w:rsidRPr="002F46E7" w:rsidRDefault="00CA66E7" w:rsidP="00CA66E7">
            <w:pPr>
              <w:jc w:val="center"/>
              <w:rPr>
                <w:rFonts w:eastAsiaTheme="minorEastAsia" w:cs="Arial"/>
                <w:sz w:val="22"/>
              </w:rPr>
            </w:pPr>
            <w:r w:rsidRPr="002F46E7">
              <w:rPr>
                <w:rFonts w:eastAsiaTheme="minorEastAsia" w:cs="Arial"/>
                <w:sz w:val="22"/>
              </w:rPr>
              <w:t>Two AP Exams</w:t>
            </w:r>
          </w:p>
        </w:tc>
        <w:tc>
          <w:tcPr>
            <w:tcW w:w="0" w:type="auto"/>
            <w:shd w:val="clear" w:color="auto" w:fill="auto"/>
            <w:vAlign w:val="center"/>
          </w:tcPr>
          <w:p w14:paraId="4CB7EE51" w14:textId="77777777" w:rsidR="00CA66E7" w:rsidRPr="002F46E7" w:rsidRDefault="00CA66E7" w:rsidP="00CA66E7">
            <w:pPr>
              <w:jc w:val="center"/>
              <w:rPr>
                <w:rFonts w:eastAsiaTheme="minorEastAsia" w:cs="Arial"/>
                <w:sz w:val="22"/>
              </w:rPr>
            </w:pPr>
            <w:r w:rsidRPr="002F46E7">
              <w:rPr>
                <w:rFonts w:eastAsiaTheme="minorEastAsia" w:cs="Arial"/>
                <w:sz w:val="22"/>
              </w:rPr>
              <w:t>64,818</w:t>
            </w:r>
          </w:p>
        </w:tc>
        <w:tc>
          <w:tcPr>
            <w:tcW w:w="0" w:type="auto"/>
            <w:shd w:val="clear" w:color="auto" w:fill="auto"/>
            <w:vAlign w:val="center"/>
          </w:tcPr>
          <w:p w14:paraId="473E69F9" w14:textId="77777777" w:rsidR="00CA66E7" w:rsidRPr="002F46E7" w:rsidRDefault="00CA66E7" w:rsidP="00CA66E7">
            <w:pPr>
              <w:jc w:val="center"/>
              <w:rPr>
                <w:rFonts w:eastAsiaTheme="minorEastAsia" w:cs="Arial"/>
                <w:sz w:val="22"/>
              </w:rPr>
            </w:pPr>
            <w:r w:rsidRPr="002F46E7">
              <w:rPr>
                <w:rFonts w:eastAsiaTheme="minorEastAsia" w:cs="Arial"/>
                <w:sz w:val="22"/>
              </w:rPr>
              <w:t>2,164 (3%)</w:t>
            </w:r>
          </w:p>
        </w:tc>
        <w:tc>
          <w:tcPr>
            <w:tcW w:w="0" w:type="auto"/>
            <w:shd w:val="clear" w:color="auto" w:fill="auto"/>
            <w:vAlign w:val="center"/>
          </w:tcPr>
          <w:p w14:paraId="40745969" w14:textId="77777777" w:rsidR="00CA66E7" w:rsidRPr="002F46E7" w:rsidRDefault="00CA66E7" w:rsidP="00CA66E7">
            <w:pPr>
              <w:jc w:val="center"/>
              <w:rPr>
                <w:rFonts w:eastAsiaTheme="minorEastAsia" w:cs="Arial"/>
                <w:sz w:val="22"/>
              </w:rPr>
            </w:pPr>
            <w:r w:rsidRPr="002F46E7">
              <w:rPr>
                <w:rFonts w:eastAsiaTheme="minorEastAsia" w:cs="Arial"/>
                <w:sz w:val="22"/>
              </w:rPr>
              <w:t>59,071 (91%)</w:t>
            </w:r>
          </w:p>
        </w:tc>
        <w:tc>
          <w:tcPr>
            <w:tcW w:w="0" w:type="auto"/>
            <w:shd w:val="clear" w:color="auto" w:fill="auto"/>
            <w:vAlign w:val="center"/>
          </w:tcPr>
          <w:p w14:paraId="4A96F6D2" w14:textId="77777777" w:rsidR="00CA66E7" w:rsidRPr="002F46E7" w:rsidRDefault="00CA66E7" w:rsidP="00CA66E7">
            <w:pPr>
              <w:jc w:val="center"/>
              <w:rPr>
                <w:rFonts w:eastAsiaTheme="minorEastAsia" w:cs="Arial"/>
                <w:sz w:val="22"/>
              </w:rPr>
            </w:pPr>
            <w:r w:rsidRPr="002F46E7">
              <w:rPr>
                <w:rFonts w:eastAsiaTheme="minorEastAsia" w:cs="Arial"/>
                <w:sz w:val="22"/>
              </w:rPr>
              <w:t>7,719 (12%)</w:t>
            </w:r>
          </w:p>
        </w:tc>
        <w:tc>
          <w:tcPr>
            <w:tcW w:w="0" w:type="auto"/>
            <w:shd w:val="clear" w:color="auto" w:fill="auto"/>
            <w:vAlign w:val="center"/>
          </w:tcPr>
          <w:p w14:paraId="1C87C2CA" w14:textId="77777777" w:rsidR="00CA66E7" w:rsidRPr="002F46E7" w:rsidRDefault="00CA66E7" w:rsidP="00CA66E7">
            <w:pPr>
              <w:jc w:val="center"/>
              <w:rPr>
                <w:rFonts w:eastAsiaTheme="minorEastAsia" w:cs="Arial"/>
                <w:sz w:val="22"/>
              </w:rPr>
            </w:pPr>
            <w:r w:rsidRPr="002F46E7">
              <w:rPr>
                <w:rFonts w:eastAsiaTheme="minorEastAsia" w:cs="Arial"/>
                <w:sz w:val="22"/>
              </w:rPr>
              <w:t>53,325 (82%)</w:t>
            </w:r>
          </w:p>
        </w:tc>
      </w:tr>
      <w:tr w:rsidR="002878A8" w:rsidRPr="002F46E7" w14:paraId="48D6A494" w14:textId="77777777" w:rsidTr="00070C1D">
        <w:trPr>
          <w:cantSplit/>
        </w:trPr>
        <w:tc>
          <w:tcPr>
            <w:tcW w:w="0" w:type="auto"/>
            <w:shd w:val="clear" w:color="auto" w:fill="auto"/>
            <w:vAlign w:val="center"/>
          </w:tcPr>
          <w:p w14:paraId="3982328F" w14:textId="77777777" w:rsidR="00CA66E7" w:rsidRPr="002F46E7" w:rsidRDefault="00CA66E7" w:rsidP="00CA66E7">
            <w:pPr>
              <w:jc w:val="center"/>
              <w:rPr>
                <w:rFonts w:eastAsiaTheme="minorEastAsia" w:cs="Arial"/>
                <w:sz w:val="22"/>
              </w:rPr>
            </w:pPr>
            <w:r w:rsidRPr="002F46E7">
              <w:rPr>
                <w:rFonts w:eastAsiaTheme="minorEastAsia" w:cs="Arial"/>
                <w:sz w:val="22"/>
              </w:rPr>
              <w:t>Two IB Exams</w:t>
            </w:r>
          </w:p>
        </w:tc>
        <w:tc>
          <w:tcPr>
            <w:tcW w:w="0" w:type="auto"/>
            <w:shd w:val="clear" w:color="auto" w:fill="auto"/>
            <w:vAlign w:val="center"/>
          </w:tcPr>
          <w:p w14:paraId="52DA76BC" w14:textId="77777777" w:rsidR="00CA66E7" w:rsidRPr="002F46E7" w:rsidRDefault="00CA66E7" w:rsidP="00CA66E7">
            <w:pPr>
              <w:jc w:val="center"/>
              <w:rPr>
                <w:rFonts w:eastAsiaTheme="minorEastAsia" w:cs="Arial"/>
                <w:sz w:val="22"/>
              </w:rPr>
            </w:pPr>
            <w:r w:rsidRPr="002F46E7">
              <w:rPr>
                <w:rFonts w:eastAsiaTheme="minorEastAsia" w:cs="Arial"/>
                <w:sz w:val="22"/>
              </w:rPr>
              <w:t>3,868</w:t>
            </w:r>
          </w:p>
        </w:tc>
        <w:tc>
          <w:tcPr>
            <w:tcW w:w="0" w:type="auto"/>
            <w:shd w:val="clear" w:color="auto" w:fill="auto"/>
            <w:vAlign w:val="center"/>
          </w:tcPr>
          <w:p w14:paraId="2209DB85" w14:textId="77777777" w:rsidR="00CA66E7" w:rsidRPr="002F46E7" w:rsidRDefault="00CA66E7" w:rsidP="00CA66E7">
            <w:pPr>
              <w:jc w:val="center"/>
              <w:rPr>
                <w:rFonts w:eastAsiaTheme="minorEastAsia" w:cs="Arial"/>
                <w:sz w:val="22"/>
              </w:rPr>
            </w:pPr>
            <w:r w:rsidRPr="002F46E7">
              <w:rPr>
                <w:rFonts w:eastAsiaTheme="minorEastAsia" w:cs="Arial"/>
                <w:sz w:val="22"/>
              </w:rPr>
              <w:t>141 (4%)</w:t>
            </w:r>
          </w:p>
        </w:tc>
        <w:tc>
          <w:tcPr>
            <w:tcW w:w="0" w:type="auto"/>
            <w:shd w:val="clear" w:color="auto" w:fill="auto"/>
            <w:vAlign w:val="center"/>
          </w:tcPr>
          <w:p w14:paraId="6F375342" w14:textId="77777777" w:rsidR="00CA66E7" w:rsidRPr="002F46E7" w:rsidRDefault="00CA66E7" w:rsidP="00CA66E7">
            <w:pPr>
              <w:jc w:val="center"/>
              <w:rPr>
                <w:rFonts w:eastAsiaTheme="minorEastAsia" w:cs="Arial"/>
                <w:sz w:val="22"/>
              </w:rPr>
            </w:pPr>
            <w:r w:rsidRPr="002F46E7">
              <w:rPr>
                <w:rFonts w:eastAsiaTheme="minorEastAsia" w:cs="Arial"/>
                <w:sz w:val="22"/>
              </w:rPr>
              <w:t>3,580 (93%)</w:t>
            </w:r>
          </w:p>
        </w:tc>
        <w:tc>
          <w:tcPr>
            <w:tcW w:w="0" w:type="auto"/>
            <w:shd w:val="clear" w:color="auto" w:fill="auto"/>
            <w:vAlign w:val="center"/>
          </w:tcPr>
          <w:p w14:paraId="3881F1EE" w14:textId="77777777" w:rsidR="00CA66E7" w:rsidRPr="002F46E7" w:rsidRDefault="00CA66E7" w:rsidP="00CA66E7">
            <w:pPr>
              <w:jc w:val="center"/>
              <w:rPr>
                <w:rFonts w:eastAsiaTheme="minorEastAsia" w:cs="Arial"/>
                <w:sz w:val="22"/>
              </w:rPr>
            </w:pPr>
            <w:r w:rsidRPr="002F46E7">
              <w:rPr>
                <w:rFonts w:eastAsiaTheme="minorEastAsia" w:cs="Arial"/>
                <w:sz w:val="22"/>
              </w:rPr>
              <w:t>537 (14%)</w:t>
            </w:r>
          </w:p>
        </w:tc>
        <w:tc>
          <w:tcPr>
            <w:tcW w:w="0" w:type="auto"/>
            <w:shd w:val="clear" w:color="auto" w:fill="auto"/>
            <w:vAlign w:val="center"/>
          </w:tcPr>
          <w:p w14:paraId="6C2B011D" w14:textId="77777777" w:rsidR="00CA66E7" w:rsidRPr="002F46E7" w:rsidRDefault="00CA66E7" w:rsidP="00CA66E7">
            <w:pPr>
              <w:jc w:val="center"/>
              <w:rPr>
                <w:rFonts w:eastAsiaTheme="minorEastAsia" w:cs="Arial"/>
                <w:sz w:val="22"/>
              </w:rPr>
            </w:pPr>
            <w:r w:rsidRPr="002F46E7">
              <w:rPr>
                <w:rFonts w:eastAsiaTheme="minorEastAsia" w:cs="Arial"/>
                <w:sz w:val="22"/>
              </w:rPr>
              <w:t>3,163 (82%)</w:t>
            </w:r>
          </w:p>
        </w:tc>
      </w:tr>
      <w:tr w:rsidR="002878A8" w:rsidRPr="002F46E7" w14:paraId="1787E892" w14:textId="77777777" w:rsidTr="00070C1D">
        <w:trPr>
          <w:cantSplit/>
        </w:trPr>
        <w:tc>
          <w:tcPr>
            <w:tcW w:w="0" w:type="auto"/>
            <w:shd w:val="clear" w:color="auto" w:fill="auto"/>
            <w:vAlign w:val="center"/>
          </w:tcPr>
          <w:p w14:paraId="6D74A318" w14:textId="77777777" w:rsidR="00CA66E7" w:rsidRPr="002F46E7" w:rsidRDefault="00CA66E7" w:rsidP="00CA66E7">
            <w:pPr>
              <w:jc w:val="center"/>
              <w:rPr>
                <w:rFonts w:eastAsiaTheme="minorEastAsia" w:cs="Arial"/>
                <w:sz w:val="22"/>
              </w:rPr>
            </w:pPr>
            <w:r w:rsidRPr="002F46E7">
              <w:rPr>
                <w:rFonts w:eastAsiaTheme="minorEastAsia" w:cs="Arial"/>
                <w:sz w:val="22"/>
              </w:rPr>
              <w:t>Dual Enrollment (One Year)</w:t>
            </w:r>
          </w:p>
        </w:tc>
        <w:tc>
          <w:tcPr>
            <w:tcW w:w="0" w:type="auto"/>
            <w:shd w:val="clear" w:color="auto" w:fill="auto"/>
            <w:vAlign w:val="center"/>
          </w:tcPr>
          <w:p w14:paraId="2EA1CE0D" w14:textId="77777777" w:rsidR="00CA66E7" w:rsidRPr="002F46E7" w:rsidRDefault="00CA66E7" w:rsidP="00CA66E7">
            <w:pPr>
              <w:jc w:val="center"/>
              <w:rPr>
                <w:rFonts w:eastAsiaTheme="minorEastAsia" w:cs="Arial"/>
                <w:sz w:val="22"/>
              </w:rPr>
            </w:pPr>
            <w:r w:rsidRPr="002F46E7">
              <w:rPr>
                <w:rFonts w:eastAsiaTheme="minorEastAsia" w:cs="Arial"/>
                <w:sz w:val="22"/>
              </w:rPr>
              <w:t>725</w:t>
            </w:r>
          </w:p>
        </w:tc>
        <w:tc>
          <w:tcPr>
            <w:tcW w:w="0" w:type="auto"/>
            <w:shd w:val="clear" w:color="auto" w:fill="auto"/>
            <w:vAlign w:val="center"/>
          </w:tcPr>
          <w:p w14:paraId="106A85CB" w14:textId="77777777" w:rsidR="00CA66E7" w:rsidRPr="002F46E7" w:rsidRDefault="00CA66E7" w:rsidP="00CA66E7">
            <w:pPr>
              <w:jc w:val="center"/>
              <w:rPr>
                <w:rFonts w:eastAsiaTheme="minorEastAsia" w:cs="Arial"/>
                <w:sz w:val="22"/>
              </w:rPr>
            </w:pPr>
            <w:r w:rsidRPr="002F46E7">
              <w:rPr>
                <w:rFonts w:eastAsiaTheme="minorEastAsia" w:cs="Arial"/>
                <w:sz w:val="22"/>
              </w:rPr>
              <w:t>79 (11%)</w:t>
            </w:r>
          </w:p>
        </w:tc>
        <w:tc>
          <w:tcPr>
            <w:tcW w:w="0" w:type="auto"/>
            <w:shd w:val="clear" w:color="auto" w:fill="auto"/>
            <w:vAlign w:val="center"/>
          </w:tcPr>
          <w:p w14:paraId="619B71A5" w14:textId="77777777" w:rsidR="00CA66E7" w:rsidRPr="002F46E7" w:rsidRDefault="00CA66E7" w:rsidP="00CA66E7">
            <w:pPr>
              <w:jc w:val="center"/>
              <w:rPr>
                <w:rFonts w:eastAsiaTheme="minorEastAsia" w:cs="Arial"/>
                <w:sz w:val="22"/>
              </w:rPr>
            </w:pPr>
            <w:r w:rsidRPr="002F46E7">
              <w:rPr>
                <w:rFonts w:eastAsiaTheme="minorEastAsia" w:cs="Arial"/>
                <w:sz w:val="22"/>
              </w:rPr>
              <w:t>609 (84%)</w:t>
            </w:r>
          </w:p>
        </w:tc>
        <w:tc>
          <w:tcPr>
            <w:tcW w:w="0" w:type="auto"/>
            <w:shd w:val="clear" w:color="auto" w:fill="auto"/>
            <w:vAlign w:val="center"/>
          </w:tcPr>
          <w:p w14:paraId="2363A9EC" w14:textId="77777777" w:rsidR="00CA66E7" w:rsidRPr="002F46E7" w:rsidRDefault="00CA66E7" w:rsidP="00CA66E7">
            <w:pPr>
              <w:jc w:val="center"/>
              <w:rPr>
                <w:rFonts w:eastAsiaTheme="minorEastAsia" w:cs="Arial"/>
                <w:sz w:val="22"/>
              </w:rPr>
            </w:pPr>
            <w:r w:rsidRPr="002F46E7">
              <w:rPr>
                <w:rFonts w:eastAsiaTheme="minorEastAsia" w:cs="Arial"/>
                <w:sz w:val="22"/>
              </w:rPr>
              <w:t>262 (36%)</w:t>
            </w:r>
          </w:p>
        </w:tc>
        <w:tc>
          <w:tcPr>
            <w:tcW w:w="0" w:type="auto"/>
            <w:shd w:val="clear" w:color="auto" w:fill="auto"/>
            <w:vAlign w:val="center"/>
          </w:tcPr>
          <w:p w14:paraId="417A9A8D" w14:textId="77777777" w:rsidR="00CA66E7" w:rsidRPr="002F46E7" w:rsidRDefault="00CA66E7" w:rsidP="00CA66E7">
            <w:pPr>
              <w:jc w:val="center"/>
              <w:rPr>
                <w:rFonts w:eastAsiaTheme="minorEastAsia" w:cs="Arial"/>
                <w:sz w:val="22"/>
              </w:rPr>
            </w:pPr>
            <w:r w:rsidRPr="002F46E7">
              <w:rPr>
                <w:rFonts w:eastAsiaTheme="minorEastAsia" w:cs="Arial"/>
                <w:sz w:val="22"/>
              </w:rPr>
              <w:t>431 (59%)</w:t>
            </w:r>
          </w:p>
        </w:tc>
      </w:tr>
      <w:tr w:rsidR="002878A8" w:rsidRPr="002F46E7" w14:paraId="6B748E1A" w14:textId="77777777" w:rsidTr="00070C1D">
        <w:trPr>
          <w:cantSplit/>
        </w:trPr>
        <w:tc>
          <w:tcPr>
            <w:tcW w:w="0" w:type="auto"/>
            <w:shd w:val="clear" w:color="auto" w:fill="auto"/>
            <w:vAlign w:val="center"/>
          </w:tcPr>
          <w:p w14:paraId="53F1D83E" w14:textId="1F673293" w:rsidR="00CA66E7" w:rsidRPr="002F46E7" w:rsidRDefault="006C641F" w:rsidP="00CA66E7">
            <w:pPr>
              <w:jc w:val="center"/>
              <w:rPr>
                <w:rFonts w:eastAsiaTheme="minorEastAsia" w:cs="Arial"/>
                <w:sz w:val="22"/>
              </w:rPr>
            </w:pPr>
            <w:r w:rsidRPr="002F46E7">
              <w:rPr>
                <w:rFonts w:eastAsiaTheme="minorEastAsia" w:cs="Arial"/>
                <w:sz w:val="22"/>
              </w:rPr>
              <w:t>a</w:t>
            </w:r>
            <w:r w:rsidR="00AC2F41" w:rsidRPr="002F46E7">
              <w:rPr>
                <w:rFonts w:eastAsiaTheme="minorEastAsia" w:cs="Arial"/>
                <w:sz w:val="22"/>
              </w:rPr>
              <w:t>–</w:t>
            </w:r>
            <w:r w:rsidR="00CA66E7" w:rsidRPr="002F46E7">
              <w:rPr>
                <w:rFonts w:eastAsiaTheme="minorEastAsia" w:cs="Arial"/>
                <w:sz w:val="22"/>
              </w:rPr>
              <w:t xml:space="preserve">g </w:t>
            </w:r>
            <w:r w:rsidR="00CA66E7" w:rsidRPr="002F46E7">
              <w:rPr>
                <w:rFonts w:eastAsiaTheme="minorEastAsia" w:cs="Arial"/>
                <w:i/>
                <w:sz w:val="22"/>
              </w:rPr>
              <w:t>plus</w:t>
            </w:r>
            <w:r w:rsidR="00CA66E7" w:rsidRPr="002F46E7">
              <w:rPr>
                <w:rFonts w:eastAsiaTheme="minorEastAsia" w:cs="Arial"/>
                <w:sz w:val="22"/>
              </w:rPr>
              <w:t xml:space="preserve"> Smarter Balanced Summative Assessments</w:t>
            </w:r>
          </w:p>
        </w:tc>
        <w:tc>
          <w:tcPr>
            <w:tcW w:w="0" w:type="auto"/>
            <w:shd w:val="clear" w:color="auto" w:fill="auto"/>
            <w:vAlign w:val="center"/>
          </w:tcPr>
          <w:p w14:paraId="0001AD00" w14:textId="77777777" w:rsidR="00CA66E7" w:rsidRPr="002F46E7" w:rsidRDefault="00CA66E7" w:rsidP="00CA66E7">
            <w:pPr>
              <w:jc w:val="center"/>
              <w:rPr>
                <w:rFonts w:eastAsiaTheme="minorEastAsia" w:cs="Arial"/>
                <w:sz w:val="22"/>
              </w:rPr>
            </w:pPr>
            <w:r w:rsidRPr="002F46E7">
              <w:rPr>
                <w:rFonts w:eastAsiaTheme="minorEastAsia" w:cs="Arial"/>
                <w:sz w:val="22"/>
              </w:rPr>
              <w:t>140,234</w:t>
            </w:r>
          </w:p>
        </w:tc>
        <w:tc>
          <w:tcPr>
            <w:tcW w:w="0" w:type="auto"/>
            <w:shd w:val="clear" w:color="auto" w:fill="auto"/>
            <w:vAlign w:val="center"/>
          </w:tcPr>
          <w:p w14:paraId="5B5690BF" w14:textId="77777777" w:rsidR="00CA66E7" w:rsidRPr="002F46E7" w:rsidRDefault="00CA66E7" w:rsidP="00CA66E7">
            <w:pPr>
              <w:jc w:val="center"/>
              <w:rPr>
                <w:rFonts w:eastAsiaTheme="minorEastAsia" w:cs="Arial"/>
                <w:sz w:val="22"/>
              </w:rPr>
            </w:pPr>
            <w:r w:rsidRPr="002F46E7">
              <w:rPr>
                <w:rFonts w:eastAsiaTheme="minorEastAsia" w:cs="Arial"/>
                <w:sz w:val="22"/>
              </w:rPr>
              <w:t>3,882 (3%)</w:t>
            </w:r>
          </w:p>
        </w:tc>
        <w:tc>
          <w:tcPr>
            <w:tcW w:w="0" w:type="auto"/>
            <w:shd w:val="clear" w:color="auto" w:fill="auto"/>
            <w:vAlign w:val="center"/>
          </w:tcPr>
          <w:p w14:paraId="22FBCEA0" w14:textId="77777777" w:rsidR="00CA66E7" w:rsidRPr="002F46E7" w:rsidRDefault="00CA66E7" w:rsidP="00CA66E7">
            <w:pPr>
              <w:jc w:val="center"/>
              <w:rPr>
                <w:rFonts w:eastAsiaTheme="minorEastAsia" w:cs="Arial"/>
                <w:sz w:val="22"/>
              </w:rPr>
            </w:pPr>
            <w:r w:rsidRPr="002F46E7">
              <w:rPr>
                <w:rFonts w:eastAsiaTheme="minorEastAsia" w:cs="Arial"/>
                <w:sz w:val="22"/>
              </w:rPr>
              <w:t>136,352 (97%)</w:t>
            </w:r>
          </w:p>
        </w:tc>
        <w:tc>
          <w:tcPr>
            <w:tcW w:w="0" w:type="auto"/>
            <w:shd w:val="clear" w:color="auto" w:fill="auto"/>
            <w:vAlign w:val="center"/>
          </w:tcPr>
          <w:p w14:paraId="31328C4B" w14:textId="77777777" w:rsidR="00CA66E7" w:rsidRPr="002F46E7" w:rsidRDefault="00CA66E7" w:rsidP="00CA66E7">
            <w:pPr>
              <w:jc w:val="center"/>
              <w:rPr>
                <w:rFonts w:eastAsiaTheme="minorEastAsia" w:cs="Arial"/>
                <w:sz w:val="22"/>
              </w:rPr>
            </w:pPr>
            <w:r w:rsidRPr="002F46E7">
              <w:rPr>
                <w:rFonts w:eastAsiaTheme="minorEastAsia" w:cs="Arial"/>
                <w:sz w:val="22"/>
              </w:rPr>
              <w:t>40,570 (29%)</w:t>
            </w:r>
          </w:p>
        </w:tc>
        <w:tc>
          <w:tcPr>
            <w:tcW w:w="0" w:type="auto"/>
            <w:shd w:val="clear" w:color="auto" w:fill="auto"/>
            <w:vAlign w:val="center"/>
          </w:tcPr>
          <w:p w14:paraId="7B3CED9D" w14:textId="77777777" w:rsidR="00CA66E7" w:rsidRPr="002F46E7" w:rsidRDefault="00CA66E7" w:rsidP="00CA66E7">
            <w:pPr>
              <w:jc w:val="center"/>
              <w:rPr>
                <w:rFonts w:eastAsiaTheme="minorEastAsia" w:cs="Arial"/>
                <w:sz w:val="22"/>
              </w:rPr>
            </w:pPr>
            <w:r w:rsidRPr="002F46E7">
              <w:rPr>
                <w:rFonts w:eastAsiaTheme="minorEastAsia" w:cs="Arial"/>
                <w:sz w:val="22"/>
              </w:rPr>
              <w:t>99,664 (71%)</w:t>
            </w:r>
          </w:p>
        </w:tc>
      </w:tr>
      <w:tr w:rsidR="002878A8" w:rsidRPr="002F46E7" w14:paraId="60BE8899" w14:textId="77777777" w:rsidTr="00070C1D">
        <w:trPr>
          <w:cantSplit/>
        </w:trPr>
        <w:tc>
          <w:tcPr>
            <w:tcW w:w="0" w:type="auto"/>
            <w:shd w:val="clear" w:color="auto" w:fill="auto"/>
            <w:vAlign w:val="center"/>
          </w:tcPr>
          <w:p w14:paraId="717C7533" w14:textId="27B1FB38" w:rsidR="00CA66E7" w:rsidRPr="002F46E7" w:rsidRDefault="006C641F" w:rsidP="00AC2F41">
            <w:pPr>
              <w:jc w:val="center"/>
              <w:rPr>
                <w:rFonts w:eastAsiaTheme="minorEastAsia" w:cs="Arial"/>
                <w:sz w:val="22"/>
              </w:rPr>
            </w:pPr>
            <w:r w:rsidRPr="002F46E7">
              <w:rPr>
                <w:rFonts w:eastAsiaTheme="minorEastAsia" w:cs="Arial"/>
                <w:sz w:val="22"/>
              </w:rPr>
              <w:t>a</w:t>
            </w:r>
            <w:r w:rsidR="00AC2F41" w:rsidRPr="002F46E7">
              <w:rPr>
                <w:rFonts w:eastAsiaTheme="minorEastAsia" w:cs="Arial"/>
                <w:sz w:val="22"/>
              </w:rPr>
              <w:t>–</w:t>
            </w:r>
            <w:r w:rsidR="00CA66E7" w:rsidRPr="002F46E7">
              <w:rPr>
                <w:rFonts w:eastAsiaTheme="minorEastAsia" w:cs="Arial"/>
                <w:sz w:val="22"/>
              </w:rPr>
              <w:t xml:space="preserve">g </w:t>
            </w:r>
            <w:r w:rsidR="00CA66E7" w:rsidRPr="002F46E7">
              <w:rPr>
                <w:rFonts w:eastAsiaTheme="minorEastAsia" w:cs="Arial"/>
                <w:i/>
                <w:sz w:val="22"/>
              </w:rPr>
              <w:t>plus</w:t>
            </w:r>
            <w:r w:rsidR="00CA66E7" w:rsidRPr="002F46E7">
              <w:rPr>
                <w:rFonts w:eastAsiaTheme="minorEastAsia" w:cs="Arial"/>
                <w:sz w:val="22"/>
              </w:rPr>
              <w:t xml:space="preserve"> CTE Pathway</w:t>
            </w:r>
          </w:p>
        </w:tc>
        <w:tc>
          <w:tcPr>
            <w:tcW w:w="0" w:type="auto"/>
            <w:shd w:val="clear" w:color="auto" w:fill="auto"/>
            <w:vAlign w:val="center"/>
          </w:tcPr>
          <w:p w14:paraId="4EA92C2C" w14:textId="77777777" w:rsidR="00CA66E7" w:rsidRPr="002F46E7" w:rsidRDefault="00CA66E7" w:rsidP="00CA66E7">
            <w:pPr>
              <w:jc w:val="center"/>
              <w:rPr>
                <w:rFonts w:eastAsiaTheme="minorEastAsia" w:cs="Arial"/>
                <w:sz w:val="22"/>
              </w:rPr>
            </w:pPr>
            <w:r w:rsidRPr="002F46E7">
              <w:rPr>
                <w:rFonts w:eastAsiaTheme="minorEastAsia" w:cs="Arial"/>
                <w:sz w:val="22"/>
              </w:rPr>
              <w:t>35,045</w:t>
            </w:r>
          </w:p>
        </w:tc>
        <w:tc>
          <w:tcPr>
            <w:tcW w:w="0" w:type="auto"/>
            <w:shd w:val="clear" w:color="auto" w:fill="auto"/>
            <w:vAlign w:val="center"/>
          </w:tcPr>
          <w:p w14:paraId="4B107D8F" w14:textId="77777777" w:rsidR="00CA66E7" w:rsidRPr="002F46E7" w:rsidRDefault="00CA66E7" w:rsidP="00CA66E7">
            <w:pPr>
              <w:jc w:val="center"/>
              <w:rPr>
                <w:rFonts w:eastAsiaTheme="minorEastAsia" w:cs="Arial"/>
                <w:sz w:val="22"/>
              </w:rPr>
            </w:pPr>
            <w:r w:rsidRPr="002F46E7">
              <w:rPr>
                <w:rFonts w:eastAsiaTheme="minorEastAsia" w:cs="Arial"/>
                <w:sz w:val="22"/>
              </w:rPr>
              <w:t>7,009 (20%)</w:t>
            </w:r>
          </w:p>
        </w:tc>
        <w:tc>
          <w:tcPr>
            <w:tcW w:w="0" w:type="auto"/>
            <w:shd w:val="clear" w:color="auto" w:fill="auto"/>
            <w:vAlign w:val="center"/>
          </w:tcPr>
          <w:p w14:paraId="52ADAE2A" w14:textId="77777777" w:rsidR="00CA66E7" w:rsidRPr="002F46E7" w:rsidRDefault="00CA66E7" w:rsidP="00CA66E7">
            <w:pPr>
              <w:jc w:val="center"/>
              <w:rPr>
                <w:rFonts w:eastAsiaTheme="minorEastAsia" w:cs="Arial"/>
                <w:sz w:val="22"/>
              </w:rPr>
            </w:pPr>
            <w:r w:rsidRPr="002F46E7">
              <w:rPr>
                <w:rFonts w:eastAsiaTheme="minorEastAsia" w:cs="Arial"/>
                <w:sz w:val="22"/>
              </w:rPr>
              <w:t>26,729 (76%)</w:t>
            </w:r>
          </w:p>
        </w:tc>
        <w:tc>
          <w:tcPr>
            <w:tcW w:w="0" w:type="auto"/>
            <w:shd w:val="clear" w:color="auto" w:fill="auto"/>
            <w:vAlign w:val="center"/>
          </w:tcPr>
          <w:p w14:paraId="6BFF6B94" w14:textId="77777777" w:rsidR="00CA66E7" w:rsidRPr="002F46E7" w:rsidRDefault="00CA66E7" w:rsidP="00CA66E7">
            <w:pPr>
              <w:jc w:val="center"/>
              <w:rPr>
                <w:rFonts w:eastAsiaTheme="minorEastAsia" w:cs="Arial"/>
                <w:sz w:val="22"/>
              </w:rPr>
            </w:pPr>
            <w:r w:rsidRPr="002F46E7">
              <w:rPr>
                <w:rFonts w:eastAsiaTheme="minorEastAsia" w:cs="Arial"/>
                <w:sz w:val="22"/>
              </w:rPr>
              <w:t>16,591 (47%)</w:t>
            </w:r>
          </w:p>
        </w:tc>
        <w:tc>
          <w:tcPr>
            <w:tcW w:w="0" w:type="auto"/>
            <w:shd w:val="clear" w:color="auto" w:fill="auto"/>
            <w:vAlign w:val="center"/>
          </w:tcPr>
          <w:p w14:paraId="40CF034D" w14:textId="77777777" w:rsidR="00CA66E7" w:rsidRPr="002F46E7" w:rsidRDefault="00CA66E7" w:rsidP="00CA66E7">
            <w:pPr>
              <w:jc w:val="center"/>
              <w:rPr>
                <w:rFonts w:eastAsiaTheme="minorEastAsia" w:cs="Arial"/>
                <w:sz w:val="22"/>
              </w:rPr>
            </w:pPr>
            <w:r w:rsidRPr="002F46E7">
              <w:rPr>
                <w:rFonts w:eastAsiaTheme="minorEastAsia" w:cs="Arial"/>
                <w:sz w:val="22"/>
              </w:rPr>
              <w:t>17,009 (49%)</w:t>
            </w:r>
          </w:p>
        </w:tc>
      </w:tr>
      <w:tr w:rsidR="00CA66E7" w:rsidRPr="002F46E7" w14:paraId="3CBABA52" w14:textId="77777777" w:rsidTr="00070C1D">
        <w:trPr>
          <w:cantSplit/>
        </w:trPr>
        <w:tc>
          <w:tcPr>
            <w:tcW w:w="0" w:type="auto"/>
            <w:shd w:val="clear" w:color="auto" w:fill="auto"/>
            <w:vAlign w:val="center"/>
          </w:tcPr>
          <w:p w14:paraId="088B3771"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lastRenderedPageBreak/>
              <w:t xml:space="preserve">CTE Pathway </w:t>
            </w:r>
            <w:r w:rsidRPr="002F46E7">
              <w:rPr>
                <w:rFonts w:eastAsiaTheme="minorEastAsia" w:cs="Arial"/>
                <w:i/>
                <w:color w:val="000000"/>
                <w:sz w:val="22"/>
              </w:rPr>
              <w:t xml:space="preserve">plus </w:t>
            </w:r>
            <w:r w:rsidRPr="002F46E7">
              <w:rPr>
                <w:rFonts w:eastAsiaTheme="minorEastAsia" w:cs="Arial"/>
                <w:color w:val="000000"/>
                <w:sz w:val="22"/>
              </w:rPr>
              <w:t xml:space="preserve">Smarter Balanced Summative Assessments </w:t>
            </w:r>
          </w:p>
        </w:tc>
        <w:tc>
          <w:tcPr>
            <w:tcW w:w="0" w:type="auto"/>
            <w:shd w:val="clear" w:color="auto" w:fill="auto"/>
            <w:vAlign w:val="center"/>
          </w:tcPr>
          <w:p w14:paraId="5FDAA611"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35,093</w:t>
            </w:r>
          </w:p>
        </w:tc>
        <w:tc>
          <w:tcPr>
            <w:tcW w:w="0" w:type="auto"/>
            <w:shd w:val="clear" w:color="auto" w:fill="auto"/>
            <w:vAlign w:val="center"/>
          </w:tcPr>
          <w:p w14:paraId="6221C6F8"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1,258 (4%)</w:t>
            </w:r>
          </w:p>
        </w:tc>
        <w:tc>
          <w:tcPr>
            <w:tcW w:w="0" w:type="auto"/>
            <w:shd w:val="clear" w:color="auto" w:fill="auto"/>
            <w:vAlign w:val="center"/>
          </w:tcPr>
          <w:p w14:paraId="44DB0E68"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33,835 (96%)</w:t>
            </w:r>
          </w:p>
        </w:tc>
        <w:tc>
          <w:tcPr>
            <w:tcW w:w="0" w:type="auto"/>
            <w:shd w:val="clear" w:color="auto" w:fill="auto"/>
            <w:vAlign w:val="center"/>
          </w:tcPr>
          <w:p w14:paraId="22C47E5B"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14,091 (40%)</w:t>
            </w:r>
          </w:p>
        </w:tc>
        <w:tc>
          <w:tcPr>
            <w:tcW w:w="0" w:type="auto"/>
            <w:shd w:val="clear" w:color="auto" w:fill="auto"/>
            <w:vAlign w:val="center"/>
          </w:tcPr>
          <w:p w14:paraId="673022FA"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21,002 (60%)</w:t>
            </w:r>
          </w:p>
        </w:tc>
      </w:tr>
      <w:tr w:rsidR="00CA66E7" w:rsidRPr="002F46E7" w14:paraId="2082D167" w14:textId="77777777" w:rsidTr="00070C1D">
        <w:trPr>
          <w:cantSplit/>
        </w:trPr>
        <w:tc>
          <w:tcPr>
            <w:tcW w:w="0" w:type="auto"/>
            <w:shd w:val="clear" w:color="auto" w:fill="auto"/>
            <w:vAlign w:val="center"/>
          </w:tcPr>
          <w:p w14:paraId="628AAC09"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 xml:space="preserve">CTE Pathway </w:t>
            </w:r>
            <w:r w:rsidRPr="002F46E7">
              <w:rPr>
                <w:rFonts w:eastAsiaTheme="minorEastAsia" w:cs="Arial"/>
                <w:i/>
                <w:color w:val="000000"/>
                <w:sz w:val="22"/>
              </w:rPr>
              <w:t xml:space="preserve">plus </w:t>
            </w:r>
            <w:r w:rsidRPr="002F46E7">
              <w:rPr>
                <w:rFonts w:eastAsiaTheme="minorEastAsia" w:cs="Arial"/>
                <w:color w:val="000000"/>
                <w:sz w:val="22"/>
              </w:rPr>
              <w:t>Dual Enrollment (One Year)</w:t>
            </w:r>
          </w:p>
        </w:tc>
        <w:tc>
          <w:tcPr>
            <w:tcW w:w="0" w:type="auto"/>
            <w:shd w:val="clear" w:color="auto" w:fill="auto"/>
            <w:vAlign w:val="center"/>
          </w:tcPr>
          <w:p w14:paraId="7CF6C3B6"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75</w:t>
            </w:r>
          </w:p>
        </w:tc>
        <w:tc>
          <w:tcPr>
            <w:tcW w:w="0" w:type="auto"/>
            <w:shd w:val="clear" w:color="auto" w:fill="auto"/>
            <w:vAlign w:val="center"/>
          </w:tcPr>
          <w:p w14:paraId="21BF1348"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14 (19%)</w:t>
            </w:r>
          </w:p>
        </w:tc>
        <w:tc>
          <w:tcPr>
            <w:tcW w:w="0" w:type="auto"/>
            <w:shd w:val="clear" w:color="auto" w:fill="auto"/>
            <w:vAlign w:val="center"/>
          </w:tcPr>
          <w:p w14:paraId="3A5375DE"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60 (80%)</w:t>
            </w:r>
          </w:p>
        </w:tc>
        <w:tc>
          <w:tcPr>
            <w:tcW w:w="0" w:type="auto"/>
            <w:shd w:val="clear" w:color="auto" w:fill="auto"/>
            <w:vAlign w:val="center"/>
          </w:tcPr>
          <w:p w14:paraId="2EDD8EC8"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36 (48%)</w:t>
            </w:r>
          </w:p>
        </w:tc>
        <w:tc>
          <w:tcPr>
            <w:tcW w:w="0" w:type="auto"/>
            <w:shd w:val="clear" w:color="auto" w:fill="auto"/>
            <w:vAlign w:val="center"/>
          </w:tcPr>
          <w:p w14:paraId="04BB4CED" w14:textId="77777777" w:rsidR="00CA66E7" w:rsidRPr="002F46E7" w:rsidRDefault="00CA66E7" w:rsidP="00CA66E7">
            <w:pPr>
              <w:jc w:val="center"/>
              <w:rPr>
                <w:rFonts w:eastAsiaTheme="minorEastAsia" w:cs="Arial"/>
                <w:color w:val="000000"/>
                <w:sz w:val="22"/>
              </w:rPr>
            </w:pPr>
            <w:r w:rsidRPr="002F46E7">
              <w:rPr>
                <w:rFonts w:eastAsiaTheme="minorEastAsia" w:cs="Arial"/>
                <w:color w:val="000000"/>
                <w:sz w:val="22"/>
              </w:rPr>
              <w:t>37 (49%)</w:t>
            </w:r>
          </w:p>
        </w:tc>
      </w:tr>
    </w:tbl>
    <w:p w14:paraId="55A823D3" w14:textId="77777777" w:rsidR="00CA66E7" w:rsidRPr="002F46E7" w:rsidRDefault="00CA66E7" w:rsidP="00CA66E7">
      <w:pPr>
        <w:spacing w:before="240" w:after="240"/>
        <w:rPr>
          <w:rFonts w:eastAsiaTheme="minorHAnsi" w:cs="Arial"/>
        </w:rPr>
      </w:pPr>
      <w:r w:rsidRPr="002F46E7">
        <w:rPr>
          <w:rFonts w:eastAsiaTheme="minorHAnsi" w:cs="Arial"/>
        </w:rPr>
        <w:t>Table 4 shows that performance on the Smarter Balanced Summative Assessments positively correlates with performance on other CCI measures. For instance, 91 percent of students who received a score of 3 or higher on two AP exams also met or exceeded the standard for ELA.</w:t>
      </w:r>
    </w:p>
    <w:p w14:paraId="2E733377" w14:textId="77777777" w:rsidR="00CA66E7" w:rsidRPr="002F46E7" w:rsidRDefault="00CA66E7" w:rsidP="00CA66E7">
      <w:pPr>
        <w:spacing w:after="240"/>
        <w:rPr>
          <w:rFonts w:cs="Arial"/>
          <w:b/>
          <w:sz w:val="28"/>
          <w:szCs w:val="28"/>
        </w:rPr>
      </w:pPr>
      <w:r w:rsidRPr="002F46E7">
        <w:rPr>
          <w:rFonts w:cs="Arial"/>
          <w:b/>
          <w:sz w:val="28"/>
          <w:szCs w:val="28"/>
        </w:rPr>
        <w:t>New Research Supporting the Placement Settings</w:t>
      </w:r>
    </w:p>
    <w:p w14:paraId="148A1F98" w14:textId="08B28170" w:rsidR="00CA66E7" w:rsidRPr="002F46E7" w:rsidRDefault="00CA66E7" w:rsidP="00CA66E7">
      <w:pPr>
        <w:spacing w:after="240"/>
        <w:rPr>
          <w:rFonts w:cs="Arial"/>
        </w:rPr>
      </w:pPr>
      <w:r w:rsidRPr="002F46E7">
        <w:rPr>
          <w:rFonts w:cs="Arial"/>
        </w:rPr>
        <w:t xml:space="preserve">As mentioned earlier, the original performance levels were set based on EAP (and STAR) data. The Smarter Balanced Summative Assessments have since replaced the EAP for use in the CCI determinations. In March 2018, </w:t>
      </w:r>
      <w:r w:rsidR="001F1186" w:rsidRPr="002F46E7">
        <w:rPr>
          <w:rFonts w:cs="Arial"/>
        </w:rPr>
        <w:t xml:space="preserve">Dr. </w:t>
      </w:r>
      <w:proofErr w:type="spellStart"/>
      <w:r w:rsidRPr="002F46E7">
        <w:rPr>
          <w:rFonts w:cs="Arial"/>
        </w:rPr>
        <w:t>Kurlaender</w:t>
      </w:r>
      <w:proofErr w:type="spellEnd"/>
      <w:r w:rsidRPr="002F46E7">
        <w:rPr>
          <w:rFonts w:cs="Arial"/>
        </w:rPr>
        <w:t xml:space="preserve"> published a new report—“Predicting College Success: How Do Different High School Assessments Measure Up?”—which incorporates new assessment data</w:t>
      </w:r>
      <w:r w:rsidR="006C641F" w:rsidRPr="002F46E7">
        <w:rPr>
          <w:rFonts w:cs="Arial"/>
        </w:rPr>
        <w:t xml:space="preserve"> </w:t>
      </w:r>
      <w:r w:rsidRPr="002F46E7">
        <w:rPr>
          <w:rFonts w:cs="Arial"/>
        </w:rPr>
        <w:t>from the Smarter Balanced Summative Assessments</w:t>
      </w:r>
      <w:r w:rsidR="006C641F" w:rsidRPr="002F46E7">
        <w:rPr>
          <w:rFonts w:cs="Arial"/>
        </w:rPr>
        <w:t xml:space="preserve"> </w:t>
      </w:r>
      <w:r w:rsidRPr="002F46E7">
        <w:rPr>
          <w:rFonts w:cs="Arial"/>
        </w:rPr>
        <w:t>and its effectiveness in predicting college readiness. It describes early college outcomes for the 2014–15 cohort of California students in grade eleven, the first cohort of grade eleven students to take the Smarter Balanced Summative Assessments</w:t>
      </w:r>
      <w:r w:rsidRPr="002F46E7">
        <w:rPr>
          <w:rFonts w:cs="Arial"/>
          <w:vertAlign w:val="superscript"/>
        </w:rPr>
        <w:footnoteReference w:id="5"/>
      </w:r>
      <w:r w:rsidRPr="002F46E7">
        <w:rPr>
          <w:rFonts w:cs="Arial"/>
        </w:rPr>
        <w:t xml:space="preserve">. The findings of the study, posted at </w:t>
      </w:r>
      <w:hyperlink r:id="rId14" w:tooltip="Predicting College Success: How Do Different High School Assessments Measure Up?" w:history="1">
        <w:r w:rsidRPr="002F46E7">
          <w:rPr>
            <w:rFonts w:cs="Arial"/>
            <w:color w:val="0563C1" w:themeColor="hyperlink"/>
            <w:u w:val="single"/>
          </w:rPr>
          <w:t>https://edpolicyinca.org/sites/default/files/SBAC-SAT%20Paper.pdf</w:t>
        </w:r>
      </w:hyperlink>
      <w:r w:rsidRPr="002F46E7">
        <w:rPr>
          <w:rFonts w:cs="Arial"/>
        </w:rPr>
        <w:t>, are summarized below:</w:t>
      </w:r>
    </w:p>
    <w:p w14:paraId="11EAC903" w14:textId="77777777" w:rsidR="00CA66E7" w:rsidRPr="002F46E7" w:rsidRDefault="00CA66E7" w:rsidP="00162BB5">
      <w:pPr>
        <w:numPr>
          <w:ilvl w:val="0"/>
          <w:numId w:val="21"/>
        </w:numPr>
        <w:spacing w:after="240"/>
        <w:ind w:left="720"/>
        <w:rPr>
          <w:rFonts w:cs="Arial"/>
        </w:rPr>
      </w:pPr>
      <w:r w:rsidRPr="002F46E7">
        <w:rPr>
          <w:rFonts w:cs="Arial"/>
        </w:rPr>
        <w:t>The Smarter Balanced Summative Assessments are as strong a predictor of college performance at the CSU as the SAT</w:t>
      </w:r>
    </w:p>
    <w:p w14:paraId="772E33CE" w14:textId="77777777" w:rsidR="00CA66E7" w:rsidRPr="002F46E7" w:rsidRDefault="00CA66E7" w:rsidP="00162BB5">
      <w:pPr>
        <w:numPr>
          <w:ilvl w:val="0"/>
          <w:numId w:val="21"/>
        </w:numPr>
        <w:spacing w:after="240"/>
        <w:ind w:left="720"/>
        <w:rPr>
          <w:rFonts w:cs="Arial"/>
        </w:rPr>
      </w:pPr>
      <w:r w:rsidRPr="002F46E7">
        <w:rPr>
          <w:rFonts w:cs="Arial"/>
        </w:rPr>
        <w:t xml:space="preserve">Both the Smarter Balanced Summative Assessments and the SAT are strong predictors of college performance at UC Davis, although the SAT is a slightly stronger predictor of first year performance. </w:t>
      </w:r>
    </w:p>
    <w:p w14:paraId="42865D1F" w14:textId="6250B844" w:rsidR="00CA66E7" w:rsidRPr="002F46E7" w:rsidRDefault="00CA66E7" w:rsidP="00162BB5">
      <w:pPr>
        <w:numPr>
          <w:ilvl w:val="0"/>
          <w:numId w:val="21"/>
        </w:numPr>
        <w:spacing w:after="240"/>
        <w:ind w:left="720"/>
        <w:rPr>
          <w:rFonts w:cs="Arial"/>
        </w:rPr>
      </w:pPr>
      <w:r w:rsidRPr="002F46E7">
        <w:rPr>
          <w:rFonts w:cs="Arial"/>
        </w:rPr>
        <w:lastRenderedPageBreak/>
        <w:t>The overall pattern of results holds for different student groups (race/ethnicity, socioeconomic</w:t>
      </w:r>
      <w:r w:rsidR="006C641F" w:rsidRPr="002F46E7">
        <w:rPr>
          <w:rFonts w:cs="Arial"/>
        </w:rPr>
        <w:t>ally</w:t>
      </w:r>
      <w:r w:rsidRPr="002F46E7">
        <w:rPr>
          <w:rFonts w:cs="Arial"/>
        </w:rPr>
        <w:t xml:space="preserve"> disadvantage</w:t>
      </w:r>
      <w:r w:rsidR="006C641F" w:rsidRPr="002F46E7">
        <w:rPr>
          <w:rFonts w:cs="Arial"/>
        </w:rPr>
        <w:t>d</w:t>
      </w:r>
      <w:r w:rsidRPr="002F46E7">
        <w:rPr>
          <w:rFonts w:cs="Arial"/>
        </w:rPr>
        <w:t xml:space="preserve">, and by high school quality) at both the CSU and the </w:t>
      </w:r>
      <w:r w:rsidR="006C641F" w:rsidRPr="002F46E7">
        <w:rPr>
          <w:rFonts w:cs="Arial"/>
        </w:rPr>
        <w:t>UC</w:t>
      </w:r>
      <w:r w:rsidRPr="002F46E7">
        <w:rPr>
          <w:rFonts w:cs="Arial"/>
        </w:rPr>
        <w:t xml:space="preserve"> Davis.</w:t>
      </w:r>
    </w:p>
    <w:p w14:paraId="37AF4EB2" w14:textId="77777777" w:rsidR="00CA66E7" w:rsidRPr="002F46E7" w:rsidRDefault="00CA66E7" w:rsidP="00A5496A">
      <w:pPr>
        <w:pStyle w:val="Heading2"/>
        <w:spacing w:before="0" w:after="240"/>
        <w:rPr>
          <w:sz w:val="32"/>
          <w:szCs w:val="32"/>
        </w:rPr>
      </w:pPr>
      <w:r w:rsidRPr="002F46E7">
        <w:rPr>
          <w:sz w:val="32"/>
          <w:szCs w:val="32"/>
        </w:rPr>
        <w:t xml:space="preserve">Technical Soundness of the Methodology </w:t>
      </w:r>
    </w:p>
    <w:p w14:paraId="2C49C1AB" w14:textId="48714A09" w:rsidR="00CA66E7" w:rsidRPr="002F46E7" w:rsidRDefault="00CA66E7" w:rsidP="00162BB5">
      <w:pPr>
        <w:spacing w:after="240"/>
        <w:rPr>
          <w:rFonts w:cs="Arial"/>
        </w:rPr>
      </w:pPr>
      <w:r w:rsidRPr="002F46E7">
        <w:rPr>
          <w:rFonts w:cs="Arial"/>
        </w:rPr>
        <w:t>The CDE engaged the TDG to evaluate the technical soundness of the methodology of the CCI model. The TDG is compose</w:t>
      </w:r>
      <w:r w:rsidR="00AC2F41" w:rsidRPr="002F46E7">
        <w:rPr>
          <w:rFonts w:cs="Arial"/>
        </w:rPr>
        <w:t>d of the following experts in K–</w:t>
      </w:r>
      <w:r w:rsidRPr="002F46E7">
        <w:rPr>
          <w:rFonts w:cs="Arial"/>
        </w:rPr>
        <w:t>12 testing and assessment:</w:t>
      </w:r>
    </w:p>
    <w:p w14:paraId="63FAAA65" w14:textId="5AE863F5" w:rsidR="00CA66E7" w:rsidRPr="002F46E7" w:rsidRDefault="00CA66E7" w:rsidP="00162BB5">
      <w:pPr>
        <w:numPr>
          <w:ilvl w:val="0"/>
          <w:numId w:val="20"/>
        </w:numPr>
        <w:spacing w:after="240"/>
        <w:rPr>
          <w:rFonts w:cs="Arial"/>
        </w:rPr>
      </w:pPr>
      <w:r w:rsidRPr="002F46E7">
        <w:rPr>
          <w:rFonts w:cs="Arial"/>
        </w:rPr>
        <w:t xml:space="preserve">Edward </w:t>
      </w:r>
      <w:proofErr w:type="spellStart"/>
      <w:r w:rsidRPr="002F46E7">
        <w:rPr>
          <w:rFonts w:cs="Arial"/>
        </w:rPr>
        <w:t>Haertel</w:t>
      </w:r>
      <w:proofErr w:type="spellEnd"/>
      <w:r w:rsidRPr="002F46E7">
        <w:rPr>
          <w:rFonts w:cs="Arial"/>
        </w:rPr>
        <w:t>, Professor Emeritus at Stanford Graduate School of Education and a national leader in educational psychology</w:t>
      </w:r>
    </w:p>
    <w:p w14:paraId="2267CCD8" w14:textId="77777777" w:rsidR="00CA66E7" w:rsidRPr="002F46E7" w:rsidRDefault="00CA66E7" w:rsidP="00162BB5">
      <w:pPr>
        <w:numPr>
          <w:ilvl w:val="0"/>
          <w:numId w:val="20"/>
        </w:numPr>
        <w:spacing w:after="240"/>
        <w:rPr>
          <w:rFonts w:cs="Arial"/>
        </w:rPr>
      </w:pPr>
      <w:r w:rsidRPr="002F46E7">
        <w:rPr>
          <w:rFonts w:cs="Arial"/>
        </w:rPr>
        <w:t xml:space="preserve">Christine </w:t>
      </w:r>
      <w:proofErr w:type="spellStart"/>
      <w:r w:rsidRPr="002F46E7">
        <w:rPr>
          <w:rFonts w:cs="Arial"/>
        </w:rPr>
        <w:t>Hikido</w:t>
      </w:r>
      <w:proofErr w:type="spellEnd"/>
      <w:r w:rsidRPr="002F46E7">
        <w:rPr>
          <w:rFonts w:cs="Arial"/>
        </w:rPr>
        <w:t>, Director of Research and Evaluation at Elk Grove Unified School District</w:t>
      </w:r>
    </w:p>
    <w:p w14:paraId="6F160AFC" w14:textId="55482C69" w:rsidR="00CA66E7" w:rsidRPr="002F46E7" w:rsidRDefault="00CA66E7" w:rsidP="00162BB5">
      <w:pPr>
        <w:numPr>
          <w:ilvl w:val="0"/>
          <w:numId w:val="20"/>
        </w:numPr>
        <w:spacing w:after="240"/>
        <w:rPr>
          <w:rFonts w:eastAsiaTheme="minorHAnsi" w:cs="Arial"/>
          <w:sz w:val="22"/>
          <w:szCs w:val="22"/>
        </w:rPr>
      </w:pPr>
      <w:r w:rsidRPr="002F46E7">
        <w:rPr>
          <w:rFonts w:cs="Arial"/>
        </w:rPr>
        <w:t xml:space="preserve">Brian </w:t>
      </w:r>
      <w:proofErr w:type="spellStart"/>
      <w:r w:rsidRPr="002F46E7">
        <w:rPr>
          <w:rFonts w:cs="Arial"/>
        </w:rPr>
        <w:t>Stecher</w:t>
      </w:r>
      <w:proofErr w:type="spellEnd"/>
      <w:r w:rsidRPr="002F46E7">
        <w:rPr>
          <w:rFonts w:cs="Arial"/>
        </w:rPr>
        <w:t>, Adjunct Senior Social Scientist at the Rand Corporation</w:t>
      </w:r>
    </w:p>
    <w:p w14:paraId="77814066" w14:textId="7CE0FED9" w:rsidR="00CA66E7" w:rsidRPr="002F46E7" w:rsidRDefault="00CA66E7" w:rsidP="00162BB5">
      <w:pPr>
        <w:numPr>
          <w:ilvl w:val="0"/>
          <w:numId w:val="20"/>
        </w:numPr>
        <w:spacing w:after="240"/>
        <w:rPr>
          <w:rFonts w:eastAsiaTheme="minorHAnsi" w:cs="Arial"/>
          <w:sz w:val="22"/>
          <w:szCs w:val="22"/>
        </w:rPr>
      </w:pPr>
      <w:r w:rsidRPr="002F46E7">
        <w:rPr>
          <w:rFonts w:cs="Arial"/>
        </w:rPr>
        <w:t>Roger Yoho, Psychological Testing Director at Corona-Norco Unified School District</w:t>
      </w:r>
    </w:p>
    <w:p w14:paraId="25F77148" w14:textId="2DE72251" w:rsidR="00CA66E7" w:rsidRPr="002F46E7" w:rsidRDefault="00CA66E7" w:rsidP="00162BB5">
      <w:pPr>
        <w:numPr>
          <w:ilvl w:val="0"/>
          <w:numId w:val="20"/>
        </w:numPr>
        <w:spacing w:after="240"/>
        <w:rPr>
          <w:rFonts w:eastAsiaTheme="minorHAnsi" w:cs="Arial"/>
          <w:sz w:val="22"/>
          <w:szCs w:val="22"/>
        </w:rPr>
      </w:pPr>
      <w:r w:rsidRPr="002F46E7">
        <w:rPr>
          <w:rFonts w:cs="Arial"/>
        </w:rPr>
        <w:t xml:space="preserve">Eric Crane, Senior Research Associate with the Innovation Studies Program at </w:t>
      </w:r>
      <w:proofErr w:type="spellStart"/>
      <w:r w:rsidRPr="002F46E7">
        <w:rPr>
          <w:rFonts w:cs="Arial"/>
        </w:rPr>
        <w:t>WestEd</w:t>
      </w:r>
      <w:proofErr w:type="spellEnd"/>
    </w:p>
    <w:p w14:paraId="4076A668" w14:textId="4634B90D" w:rsidR="00CA66E7" w:rsidRPr="002F46E7" w:rsidRDefault="00CA66E7" w:rsidP="00162BB5">
      <w:pPr>
        <w:numPr>
          <w:ilvl w:val="0"/>
          <w:numId w:val="20"/>
        </w:numPr>
        <w:spacing w:after="240"/>
        <w:rPr>
          <w:rFonts w:eastAsiaTheme="minorHAnsi" w:cs="Arial"/>
          <w:sz w:val="22"/>
          <w:szCs w:val="22"/>
        </w:rPr>
      </w:pPr>
      <w:r w:rsidRPr="002F46E7">
        <w:rPr>
          <w:rFonts w:cs="Arial"/>
        </w:rPr>
        <w:t xml:space="preserve">Dominic </w:t>
      </w:r>
      <w:proofErr w:type="spellStart"/>
      <w:r w:rsidRPr="002F46E7">
        <w:rPr>
          <w:rFonts w:cs="Arial"/>
        </w:rPr>
        <w:t>Zarecki</w:t>
      </w:r>
      <w:proofErr w:type="spellEnd"/>
      <w:r w:rsidRPr="002F46E7">
        <w:rPr>
          <w:rFonts w:cs="Arial"/>
        </w:rPr>
        <w:t>, Senior Data Analyst at Fortune School of Education</w:t>
      </w:r>
    </w:p>
    <w:p w14:paraId="3AEBC27B" w14:textId="6025B419" w:rsidR="00CA66E7" w:rsidRPr="002F46E7" w:rsidRDefault="00CA66E7" w:rsidP="00162BB5">
      <w:pPr>
        <w:numPr>
          <w:ilvl w:val="0"/>
          <w:numId w:val="20"/>
        </w:numPr>
        <w:spacing w:after="240"/>
        <w:rPr>
          <w:rFonts w:eastAsiaTheme="minorHAnsi" w:cs="Arial"/>
          <w:sz w:val="22"/>
          <w:szCs w:val="22"/>
        </w:rPr>
      </w:pPr>
      <w:r w:rsidRPr="002F46E7">
        <w:rPr>
          <w:rFonts w:cs="Arial"/>
        </w:rPr>
        <w:t xml:space="preserve">Noah Bookman, Chief Strategy Officer of </w:t>
      </w:r>
      <w:r w:rsidR="009C5CF9" w:rsidRPr="002F46E7">
        <w:rPr>
          <w:rFonts w:cs="Arial"/>
        </w:rPr>
        <w:t>the C</w:t>
      </w:r>
      <w:r w:rsidR="00EC5947" w:rsidRPr="002F46E7">
        <w:rPr>
          <w:rFonts w:cs="Arial"/>
        </w:rPr>
        <w:t>ORE</w:t>
      </w:r>
      <w:r w:rsidR="009C5CF9" w:rsidRPr="002F46E7">
        <w:rPr>
          <w:rFonts w:cs="Arial"/>
        </w:rPr>
        <w:t xml:space="preserve"> </w:t>
      </w:r>
      <w:r w:rsidRPr="002F46E7">
        <w:rPr>
          <w:rFonts w:cs="Arial"/>
        </w:rPr>
        <w:t>Districts</w:t>
      </w:r>
    </w:p>
    <w:p w14:paraId="276F9847" w14:textId="7CF0E167" w:rsidR="00CA66E7" w:rsidRPr="002F46E7" w:rsidRDefault="00CA66E7" w:rsidP="00162BB5">
      <w:pPr>
        <w:spacing w:after="240"/>
        <w:rPr>
          <w:rFonts w:cs="Arial"/>
        </w:rPr>
      </w:pPr>
      <w:r w:rsidRPr="002F46E7">
        <w:rPr>
          <w:rFonts w:cs="Arial"/>
        </w:rPr>
        <w:t>The TDG reviewed several CCI model</w:t>
      </w:r>
      <w:r w:rsidR="00005A35" w:rsidRPr="002F46E7">
        <w:rPr>
          <w:rFonts w:cs="Arial"/>
        </w:rPr>
        <w:t>s</w:t>
      </w:r>
      <w:r w:rsidRPr="002F46E7">
        <w:rPr>
          <w:rFonts w:cs="Arial"/>
        </w:rPr>
        <w:t xml:space="preserve"> as well as different options for calculating the CCI. In addition, the TDG evaluated several methodologies for determining Status and Change cut scores for the CCI, including using an average </w:t>
      </w:r>
      <w:r w:rsidR="00005A35" w:rsidRPr="002F46E7">
        <w:rPr>
          <w:rFonts w:cs="Arial"/>
        </w:rPr>
        <w:t xml:space="preserve">of all </w:t>
      </w:r>
      <w:r w:rsidRPr="002F46E7">
        <w:rPr>
          <w:rFonts w:cs="Arial"/>
        </w:rPr>
        <w:t>students</w:t>
      </w:r>
      <w:r w:rsidR="00005A35" w:rsidRPr="002F46E7">
        <w:rPr>
          <w:rFonts w:cs="Arial"/>
        </w:rPr>
        <w:t xml:space="preserve"> in the graduating cohort across the three CCI performance levels</w:t>
      </w:r>
      <w:r w:rsidRPr="002F46E7">
        <w:rPr>
          <w:rFonts w:cs="Arial"/>
        </w:rPr>
        <w:t xml:space="preserve">. At its June 2017 meeting, the TDG shared that the average methodology does not provide meaningful information for schools or the public. The TDG expressed concerns that using an average would detract from the original intent of using the CCI to provide information on the number of graduates who are </w:t>
      </w:r>
      <w:r w:rsidR="00005A35" w:rsidRPr="002F46E7">
        <w:rPr>
          <w:rFonts w:cs="Arial"/>
        </w:rPr>
        <w:t>prepared</w:t>
      </w:r>
      <w:r w:rsidRPr="002F46E7">
        <w:rPr>
          <w:rFonts w:cs="Arial"/>
        </w:rPr>
        <w:t xml:space="preserve"> for college or career. </w:t>
      </w:r>
      <w:r w:rsidR="00005A35" w:rsidRPr="002F46E7">
        <w:rPr>
          <w:rFonts w:cs="Arial"/>
        </w:rPr>
        <w:t xml:space="preserve">Therefore, the TDG recommended that the methodology be based on the percent of students in </w:t>
      </w:r>
      <w:r w:rsidR="00162BB5" w:rsidRPr="002F46E7">
        <w:rPr>
          <w:rFonts w:cs="Arial"/>
        </w:rPr>
        <w:t>the prepared performance level.</w:t>
      </w:r>
    </w:p>
    <w:p w14:paraId="3045CE35" w14:textId="706BBA3F" w:rsidR="00CA66E7" w:rsidRPr="002F46E7" w:rsidRDefault="001D45AE" w:rsidP="00AB71D9">
      <w:pPr>
        <w:spacing w:after="240" w:line="259" w:lineRule="auto"/>
        <w:rPr>
          <w:b/>
          <w:sz w:val="32"/>
          <w:szCs w:val="32"/>
        </w:rPr>
      </w:pPr>
      <w:r w:rsidRPr="002F46E7">
        <w:rPr>
          <w:sz w:val="32"/>
          <w:szCs w:val="32"/>
        </w:rPr>
        <w:br w:type="page"/>
      </w:r>
      <w:r w:rsidR="00CA66E7" w:rsidRPr="002F46E7">
        <w:rPr>
          <w:b/>
          <w:sz w:val="32"/>
          <w:szCs w:val="32"/>
        </w:rPr>
        <w:lastRenderedPageBreak/>
        <w:t>Identification and Vetting of Career Measures: Convening Advisory Groups</w:t>
      </w:r>
    </w:p>
    <w:p w14:paraId="53FCD1E0" w14:textId="053532C2" w:rsidR="001D45AE" w:rsidRPr="002F46E7" w:rsidRDefault="00816F8F" w:rsidP="001D45AE">
      <w:pPr>
        <w:spacing w:after="240"/>
        <w:rPr>
          <w:rFonts w:eastAsiaTheme="minorHAnsi"/>
        </w:rPr>
      </w:pPr>
      <w:r w:rsidRPr="002F46E7">
        <w:rPr>
          <w:rFonts w:eastAsiaTheme="minorHAnsi"/>
        </w:rPr>
        <w:t>From the earliest stages of its work to develop CCI measures, the CDE has been</w:t>
      </w:r>
      <w:r w:rsidR="001D45AE" w:rsidRPr="002F46E7">
        <w:rPr>
          <w:rFonts w:eastAsiaTheme="minorHAnsi"/>
        </w:rPr>
        <w:t>, and continues to be,</w:t>
      </w:r>
      <w:r w:rsidRPr="002F46E7">
        <w:rPr>
          <w:rFonts w:eastAsiaTheme="minorHAnsi"/>
        </w:rPr>
        <w:t xml:space="preserve"> committed to collaborati</w:t>
      </w:r>
      <w:r w:rsidR="001D45AE" w:rsidRPr="002F46E7">
        <w:rPr>
          <w:rFonts w:eastAsiaTheme="minorHAnsi"/>
        </w:rPr>
        <w:t>ng with a broad and</w:t>
      </w:r>
      <w:r w:rsidRPr="002F46E7">
        <w:rPr>
          <w:rFonts w:eastAsiaTheme="minorHAnsi"/>
        </w:rPr>
        <w:t xml:space="preserve"> geographical diverse </w:t>
      </w:r>
      <w:r w:rsidR="001D45AE" w:rsidRPr="002F46E7">
        <w:rPr>
          <w:rFonts w:eastAsiaTheme="minorHAnsi"/>
        </w:rPr>
        <w:t xml:space="preserve">group of stakeholders, including researchers, educators, and industry leaders throughout the state. This section discusses the collaborative work undertaken to develop career measures for the CCI. </w:t>
      </w:r>
    </w:p>
    <w:p w14:paraId="0104A119" w14:textId="77777777" w:rsidR="00CA66E7" w:rsidRPr="002F46E7" w:rsidRDefault="00CA66E7" w:rsidP="00A5496A">
      <w:pPr>
        <w:pStyle w:val="Heading3"/>
        <w:spacing w:before="0" w:after="240"/>
        <w:rPr>
          <w:rFonts w:ascii="Arial" w:hAnsi="Arial" w:cs="Arial"/>
          <w:b/>
          <w:color w:val="auto"/>
          <w:sz w:val="28"/>
          <w:szCs w:val="28"/>
        </w:rPr>
      </w:pPr>
      <w:r w:rsidRPr="002F46E7">
        <w:rPr>
          <w:rFonts w:ascii="Arial" w:hAnsi="Arial" w:cs="Arial"/>
          <w:b/>
          <w:color w:val="auto"/>
          <w:sz w:val="28"/>
          <w:szCs w:val="28"/>
        </w:rPr>
        <w:t>Research Underpinnings</w:t>
      </w:r>
    </w:p>
    <w:p w14:paraId="364DC0B8" w14:textId="0F6F4BD6" w:rsidR="00CA66E7" w:rsidRPr="002F46E7" w:rsidRDefault="00CA66E7" w:rsidP="00162BB5">
      <w:pPr>
        <w:spacing w:after="240"/>
        <w:rPr>
          <w:rFonts w:eastAsiaTheme="minorHAnsi" w:cs="Arial"/>
        </w:rPr>
      </w:pPr>
      <w:r w:rsidRPr="002F46E7">
        <w:rPr>
          <w:rFonts w:eastAsiaTheme="minorHAnsi" w:cs="Arial"/>
        </w:rPr>
        <w:t xml:space="preserve">While the initial research, conducted by EPIC, emphasized college readiness measures, the CDE relied upon the research of </w:t>
      </w:r>
      <w:r w:rsidR="001F1186" w:rsidRPr="002F46E7">
        <w:rPr>
          <w:rFonts w:eastAsiaTheme="minorHAnsi" w:cs="Arial"/>
        </w:rPr>
        <w:t xml:space="preserve">Dr. </w:t>
      </w:r>
      <w:r w:rsidRPr="002F46E7">
        <w:rPr>
          <w:rFonts w:eastAsiaTheme="minorHAnsi" w:cs="Arial"/>
        </w:rPr>
        <w:t xml:space="preserve">Linda Darling Hammond, and her colleagues at the Stanford Center for Opportunity Policy in Education (SCOPE), to identify appropriate career readiness measures. In their report, “Recognizing College and Career Readiness in the California School Accountability System,” Dr. Darling-Hammond and </w:t>
      </w:r>
      <w:proofErr w:type="spellStart"/>
      <w:r w:rsidRPr="002F46E7">
        <w:rPr>
          <w:rFonts w:eastAsiaTheme="minorHAnsi" w:cs="Arial"/>
        </w:rPr>
        <w:t>Soung</w:t>
      </w:r>
      <w:proofErr w:type="spellEnd"/>
      <w:r w:rsidRPr="002F46E7">
        <w:rPr>
          <w:rFonts w:eastAsiaTheme="minorHAnsi" w:cs="Arial"/>
        </w:rPr>
        <w:t xml:space="preserve"> Bae proposed three types of career readiness measures for inclusion in the CCI:</w:t>
      </w:r>
    </w:p>
    <w:p w14:paraId="42A5B767" w14:textId="6E857915" w:rsidR="00CA66E7" w:rsidRPr="002F46E7" w:rsidRDefault="00CA66E7" w:rsidP="00162BB5">
      <w:pPr>
        <w:numPr>
          <w:ilvl w:val="0"/>
          <w:numId w:val="7"/>
        </w:numPr>
        <w:autoSpaceDE w:val="0"/>
        <w:autoSpaceDN w:val="0"/>
        <w:adjustRightInd w:val="0"/>
        <w:spacing w:after="240"/>
        <w:rPr>
          <w:rFonts w:eastAsiaTheme="minorHAnsi" w:cs="Arial"/>
        </w:rPr>
      </w:pPr>
      <w:r w:rsidRPr="002F46E7">
        <w:rPr>
          <w:rFonts w:eastAsiaTheme="minorHAnsi" w:cs="Arial"/>
        </w:rPr>
        <w:t>Completion of high-quality, integrated courses of study that support career readiness, analogous to the completion of a</w:t>
      </w:r>
      <w:r w:rsidR="00AC2F41" w:rsidRPr="002F46E7">
        <w:rPr>
          <w:rFonts w:eastAsiaTheme="minorHAnsi" w:cs="Arial"/>
        </w:rPr>
        <w:t>–</w:t>
      </w:r>
      <w:r w:rsidRPr="002F46E7">
        <w:rPr>
          <w:rFonts w:eastAsiaTheme="minorHAnsi" w:cs="Arial"/>
        </w:rPr>
        <w:t>g courses (e.g., CTE pathways)</w:t>
      </w:r>
    </w:p>
    <w:p w14:paraId="5CC125C4" w14:textId="6B55788B" w:rsidR="00CA66E7" w:rsidRPr="002F46E7" w:rsidRDefault="00CA66E7" w:rsidP="00162BB5">
      <w:pPr>
        <w:numPr>
          <w:ilvl w:val="0"/>
          <w:numId w:val="7"/>
        </w:numPr>
        <w:autoSpaceDE w:val="0"/>
        <w:autoSpaceDN w:val="0"/>
        <w:adjustRightInd w:val="0"/>
        <w:spacing w:after="240"/>
        <w:rPr>
          <w:rFonts w:eastAsiaTheme="minorHAnsi" w:cs="Arial"/>
        </w:rPr>
      </w:pPr>
      <w:r w:rsidRPr="002F46E7">
        <w:rPr>
          <w:rFonts w:eastAsiaTheme="minorHAnsi" w:cs="Arial"/>
        </w:rPr>
        <w:t>Satisfactory performance in a work-based learning experience (e.g., internships, apprenticeships) that meets specific standards, such as those adopted by the California Partnership Academies or the National Academy Foundation.</w:t>
      </w:r>
    </w:p>
    <w:p w14:paraId="493906F9" w14:textId="3EA8332E" w:rsidR="00CA66E7" w:rsidRPr="002F46E7" w:rsidRDefault="00CA66E7" w:rsidP="00162BB5">
      <w:pPr>
        <w:numPr>
          <w:ilvl w:val="0"/>
          <w:numId w:val="7"/>
        </w:numPr>
        <w:autoSpaceDE w:val="0"/>
        <w:autoSpaceDN w:val="0"/>
        <w:adjustRightInd w:val="0"/>
        <w:spacing w:after="240"/>
        <w:rPr>
          <w:rFonts w:eastAsiaTheme="minorHAnsi" w:cs="Arial"/>
          <w:sz w:val="22"/>
          <w:szCs w:val="22"/>
        </w:rPr>
      </w:pPr>
      <w:r w:rsidRPr="002F46E7">
        <w:rPr>
          <w:rFonts w:eastAsiaTheme="minorHAnsi" w:cs="Arial"/>
        </w:rPr>
        <w:t xml:space="preserve">Achievement on career-readiness assessments (e.g., </w:t>
      </w:r>
      <w:proofErr w:type="spellStart"/>
      <w:r w:rsidRPr="002F46E7">
        <w:rPr>
          <w:rFonts w:eastAsiaTheme="minorHAnsi" w:cs="Arial"/>
          <w:sz w:val="22"/>
          <w:szCs w:val="22"/>
        </w:rPr>
        <w:t>ACTWorkKeys</w:t>
      </w:r>
      <w:proofErr w:type="spellEnd"/>
      <w:r w:rsidRPr="002F46E7">
        <w:rPr>
          <w:rFonts w:eastAsiaTheme="minorHAnsi" w:cs="Arial"/>
          <w:sz w:val="22"/>
          <w:szCs w:val="22"/>
        </w:rPr>
        <w:t xml:space="preserve">, NOCTI Job-Ready and Pathway Assessments), </w:t>
      </w:r>
      <w:r w:rsidRPr="002F46E7">
        <w:rPr>
          <w:rFonts w:eastAsiaTheme="minorHAnsi" w:cs="Arial"/>
        </w:rPr>
        <w:t>including those that result in industry-approved certificates, credentials, licenses, and badges that are valued by postsecondary institutions and businesses.</w:t>
      </w:r>
    </w:p>
    <w:p w14:paraId="7F14B50A" w14:textId="5BED1E97" w:rsidR="00CA66E7" w:rsidRPr="002F46E7" w:rsidRDefault="00CA66E7" w:rsidP="00162BB5">
      <w:pPr>
        <w:spacing w:after="240"/>
        <w:rPr>
          <w:rFonts w:eastAsiaTheme="minorHAnsi" w:cs="Arial"/>
          <w:sz w:val="22"/>
          <w:szCs w:val="22"/>
        </w:rPr>
      </w:pPr>
      <w:r w:rsidRPr="002F46E7">
        <w:rPr>
          <w:rFonts w:eastAsiaTheme="minorHAnsi" w:cs="Arial"/>
        </w:rPr>
        <w:t xml:space="preserve">In addition, the report recognized the value of student profiles in motivating students to create and pursue important goals for themselves. These profiles would accompany students when they leave high school. The report singled out the State Seal of </w:t>
      </w:r>
      <w:proofErr w:type="spellStart"/>
      <w:r w:rsidRPr="002F46E7">
        <w:rPr>
          <w:rFonts w:eastAsiaTheme="minorHAnsi" w:cs="Arial"/>
        </w:rPr>
        <w:t>Biliteracy</w:t>
      </w:r>
      <w:proofErr w:type="spellEnd"/>
      <w:r w:rsidRPr="002F46E7">
        <w:rPr>
          <w:rFonts w:eastAsiaTheme="minorHAnsi" w:cs="Arial"/>
        </w:rPr>
        <w:t xml:space="preserve"> as an example of an accomplishment that might warrant formal recognition on the diploma or be included in a graduation portfolio.</w:t>
      </w:r>
    </w:p>
    <w:p w14:paraId="2EEC88FF" w14:textId="7A623CC4" w:rsidR="00CA66E7" w:rsidRPr="002F46E7" w:rsidRDefault="00CA66E7" w:rsidP="00162BB5">
      <w:pPr>
        <w:spacing w:after="240"/>
        <w:rPr>
          <w:rFonts w:eastAsiaTheme="minorHAnsi" w:cs="Arial"/>
        </w:rPr>
      </w:pPr>
      <w:r w:rsidRPr="002F46E7">
        <w:rPr>
          <w:rFonts w:eastAsiaTheme="minorHAnsi" w:cs="Arial"/>
        </w:rPr>
        <w:t xml:space="preserve">Dr. Darling-Hammond presented her policy recommendations to the SBE </w:t>
      </w:r>
      <w:r w:rsidR="000329DC" w:rsidRPr="002F46E7">
        <w:rPr>
          <w:rFonts w:eastAsiaTheme="minorHAnsi" w:cs="Arial"/>
        </w:rPr>
        <w:t xml:space="preserve">as an informational item </w:t>
      </w:r>
      <w:r w:rsidRPr="002F46E7">
        <w:rPr>
          <w:rFonts w:eastAsiaTheme="minorHAnsi" w:cs="Arial"/>
        </w:rPr>
        <w:t>at the May 2015 meeting. The full report is published on the Stanford University Web</w:t>
      </w:r>
      <w:r w:rsidR="00CC4C9B" w:rsidRPr="002F46E7">
        <w:rPr>
          <w:rFonts w:eastAsiaTheme="minorHAnsi" w:cs="Arial"/>
        </w:rPr>
        <w:t xml:space="preserve"> </w:t>
      </w:r>
      <w:r w:rsidRPr="002F46E7">
        <w:rPr>
          <w:rFonts w:eastAsiaTheme="minorHAnsi" w:cs="Arial"/>
        </w:rPr>
        <w:t xml:space="preserve">site, at </w:t>
      </w:r>
      <w:hyperlink r:id="rId15" w:tooltip="Recognizing College And Career Readiness In The California School Accountability System" w:history="1">
        <w:r w:rsidRPr="002F46E7">
          <w:rPr>
            <w:rFonts w:eastAsiaTheme="minorHAnsi" w:cs="Arial"/>
            <w:color w:val="0563C1" w:themeColor="hyperlink"/>
            <w:u w:val="single"/>
          </w:rPr>
          <w:t>https://edpolicy.stanford.edu/sites/default/files/publications/recognizing-college-and-career-readiness-california-school-accountability-system_1.pdf</w:t>
        </w:r>
      </w:hyperlink>
      <w:r w:rsidRPr="002F46E7">
        <w:rPr>
          <w:rFonts w:eastAsiaTheme="minorHAnsi" w:cs="Arial"/>
        </w:rPr>
        <w:t>.</w:t>
      </w:r>
    </w:p>
    <w:p w14:paraId="43505E7A" w14:textId="1CD7ACF7" w:rsidR="00CA66E7" w:rsidRPr="002F46E7" w:rsidRDefault="00CA66E7" w:rsidP="00162BB5">
      <w:pPr>
        <w:spacing w:after="240"/>
        <w:rPr>
          <w:rFonts w:eastAsiaTheme="minorHAnsi" w:cs="Arial"/>
        </w:rPr>
      </w:pPr>
      <w:r w:rsidRPr="002F46E7">
        <w:rPr>
          <w:rFonts w:eastAsiaTheme="minorHAnsi" w:cs="Arial"/>
        </w:rPr>
        <w:t xml:space="preserve">Based on Dr. Darling-Hammond’s recommendations, </w:t>
      </w:r>
      <w:r w:rsidR="00EC3B33" w:rsidRPr="002F46E7">
        <w:rPr>
          <w:rFonts w:eastAsiaTheme="minorHAnsi" w:cs="Arial"/>
        </w:rPr>
        <w:t xml:space="preserve">and at the request the SBE members to strengthen career measures in the CCI, </w:t>
      </w:r>
      <w:r w:rsidRPr="002F46E7">
        <w:rPr>
          <w:rFonts w:eastAsiaTheme="minorHAnsi" w:cs="Arial"/>
        </w:rPr>
        <w:t xml:space="preserve">the CDE </w:t>
      </w:r>
      <w:r w:rsidR="00EC333B" w:rsidRPr="002F46E7">
        <w:rPr>
          <w:rFonts w:eastAsiaTheme="minorHAnsi" w:cs="Arial"/>
        </w:rPr>
        <w:t>is</w:t>
      </w:r>
      <w:r w:rsidRPr="002F46E7">
        <w:rPr>
          <w:rFonts w:eastAsiaTheme="minorHAnsi" w:cs="Arial"/>
        </w:rPr>
        <w:t xml:space="preserve"> </w:t>
      </w:r>
      <w:r w:rsidR="00EC333B" w:rsidRPr="002F46E7">
        <w:rPr>
          <w:rFonts w:eastAsiaTheme="minorHAnsi" w:cs="Arial"/>
        </w:rPr>
        <w:t xml:space="preserve">now </w:t>
      </w:r>
      <w:r w:rsidRPr="002F46E7">
        <w:rPr>
          <w:rFonts w:eastAsiaTheme="minorHAnsi" w:cs="Arial"/>
        </w:rPr>
        <w:t>collect</w:t>
      </w:r>
      <w:r w:rsidR="00EC333B" w:rsidRPr="002F46E7">
        <w:rPr>
          <w:rFonts w:eastAsiaTheme="minorHAnsi" w:cs="Arial"/>
        </w:rPr>
        <w:t>ing</w:t>
      </w:r>
      <w:r w:rsidRPr="002F46E7">
        <w:rPr>
          <w:rFonts w:eastAsiaTheme="minorHAnsi" w:cs="Arial"/>
        </w:rPr>
        <w:t xml:space="preserve"> data on </w:t>
      </w:r>
      <w:r w:rsidR="00EC3B33" w:rsidRPr="002F46E7">
        <w:rPr>
          <w:rFonts w:eastAsiaTheme="minorHAnsi" w:cs="Arial"/>
        </w:rPr>
        <w:t xml:space="preserve">career-centered </w:t>
      </w:r>
      <w:r w:rsidRPr="002F46E7">
        <w:rPr>
          <w:rFonts w:eastAsiaTheme="minorHAnsi" w:cs="Arial"/>
        </w:rPr>
        <w:t xml:space="preserve">coursework completion, work-based learning experiences, and </w:t>
      </w:r>
      <w:proofErr w:type="spellStart"/>
      <w:r w:rsidRPr="002F46E7">
        <w:rPr>
          <w:rFonts w:eastAsiaTheme="minorHAnsi" w:cs="Arial"/>
        </w:rPr>
        <w:lastRenderedPageBreak/>
        <w:t>biliteracy</w:t>
      </w:r>
      <w:proofErr w:type="spellEnd"/>
      <w:r w:rsidRPr="002F46E7">
        <w:rPr>
          <w:rFonts w:eastAsiaTheme="minorHAnsi" w:cs="Arial"/>
        </w:rPr>
        <w:t xml:space="preserve">, which will be </w:t>
      </w:r>
      <w:r w:rsidR="006C641F" w:rsidRPr="002F46E7">
        <w:rPr>
          <w:rFonts w:eastAsiaTheme="minorHAnsi" w:cs="Arial"/>
        </w:rPr>
        <w:t xml:space="preserve">considered for inclusion </w:t>
      </w:r>
      <w:r w:rsidRPr="002F46E7">
        <w:rPr>
          <w:rFonts w:eastAsiaTheme="minorHAnsi" w:cs="Arial"/>
        </w:rPr>
        <w:t xml:space="preserve">in the </w:t>
      </w:r>
      <w:r w:rsidR="00CC4C9B" w:rsidRPr="002F46E7">
        <w:rPr>
          <w:rFonts w:eastAsiaTheme="minorHAnsi" w:cs="Arial"/>
        </w:rPr>
        <w:t>California School Dashboard (</w:t>
      </w:r>
      <w:r w:rsidRPr="002F46E7">
        <w:rPr>
          <w:rFonts w:eastAsiaTheme="minorHAnsi" w:cs="Arial"/>
        </w:rPr>
        <w:t>Dashboard</w:t>
      </w:r>
      <w:r w:rsidR="00CC4C9B" w:rsidRPr="002F46E7">
        <w:rPr>
          <w:rFonts w:eastAsiaTheme="minorHAnsi" w:cs="Arial"/>
        </w:rPr>
        <w:t>)</w:t>
      </w:r>
      <w:r w:rsidRPr="002F46E7">
        <w:rPr>
          <w:rFonts w:eastAsiaTheme="minorHAnsi" w:cs="Arial"/>
        </w:rPr>
        <w:t xml:space="preserve"> for the CCI.</w:t>
      </w:r>
    </w:p>
    <w:p w14:paraId="7D453EDD" w14:textId="77777777" w:rsidR="00CA66E7" w:rsidRPr="002F46E7" w:rsidRDefault="00CA66E7" w:rsidP="00A5496A">
      <w:pPr>
        <w:pStyle w:val="Heading3"/>
        <w:spacing w:before="0" w:after="240"/>
        <w:rPr>
          <w:rFonts w:ascii="Arial" w:hAnsi="Arial" w:cs="Arial"/>
          <w:b/>
          <w:color w:val="auto"/>
          <w:sz w:val="28"/>
          <w:szCs w:val="28"/>
        </w:rPr>
      </w:pPr>
      <w:r w:rsidRPr="002F46E7">
        <w:rPr>
          <w:rFonts w:ascii="Arial" w:hAnsi="Arial" w:cs="Arial"/>
          <w:b/>
          <w:color w:val="auto"/>
          <w:sz w:val="28"/>
          <w:szCs w:val="28"/>
        </w:rPr>
        <w:t>Industry Engagement</w:t>
      </w:r>
    </w:p>
    <w:p w14:paraId="6489AE9A" w14:textId="1A16CC1D" w:rsidR="00CA66E7" w:rsidRPr="002F46E7" w:rsidRDefault="00CA66E7" w:rsidP="00CA66E7">
      <w:pPr>
        <w:spacing w:after="240"/>
        <w:rPr>
          <w:rFonts w:cs="Arial"/>
        </w:rPr>
      </w:pPr>
      <w:r w:rsidRPr="002F46E7">
        <w:rPr>
          <w:rFonts w:cs="Arial"/>
        </w:rPr>
        <w:t xml:space="preserve">In 2017, the CCI Work Group was established to advise the CDE on the development of additional career measures to counterweigh the overemphasis of college measures in the indicator. The </w:t>
      </w:r>
      <w:r w:rsidR="00CC4C9B" w:rsidRPr="002F46E7">
        <w:rPr>
          <w:rFonts w:cs="Arial"/>
        </w:rPr>
        <w:t>CCI W</w:t>
      </w:r>
      <w:r w:rsidRPr="002F46E7">
        <w:rPr>
          <w:rFonts w:cs="Arial"/>
        </w:rPr>
        <w:t xml:space="preserve">ork </w:t>
      </w:r>
      <w:r w:rsidR="00CC4C9B" w:rsidRPr="002F46E7">
        <w:rPr>
          <w:rFonts w:cs="Arial"/>
        </w:rPr>
        <w:t>G</w:t>
      </w:r>
      <w:r w:rsidRPr="002F46E7">
        <w:rPr>
          <w:rFonts w:cs="Arial"/>
        </w:rPr>
        <w:t xml:space="preserve">roup is composed of both practitioners and researchers from across the state, </w:t>
      </w:r>
      <w:r w:rsidR="006A0248" w:rsidRPr="002F46E7">
        <w:rPr>
          <w:rFonts w:cs="Arial"/>
        </w:rPr>
        <w:t xml:space="preserve">including: </w:t>
      </w:r>
    </w:p>
    <w:p w14:paraId="627E739C" w14:textId="77777777" w:rsidR="00A02F0A" w:rsidRPr="002F46E7" w:rsidRDefault="00A02F0A" w:rsidP="00CA66E7">
      <w:pPr>
        <w:numPr>
          <w:ilvl w:val="0"/>
          <w:numId w:val="10"/>
        </w:numPr>
        <w:rPr>
          <w:rFonts w:cs="Arial"/>
        </w:rPr>
      </w:pPr>
      <w:r w:rsidRPr="002F46E7">
        <w:rPr>
          <w:rFonts w:cs="Arial"/>
        </w:rPr>
        <w:t xml:space="preserve">Bonnie </w:t>
      </w:r>
      <w:proofErr w:type="spellStart"/>
      <w:r w:rsidRPr="002F46E7">
        <w:rPr>
          <w:rFonts w:cs="Arial"/>
        </w:rPr>
        <w:t>Munguia</w:t>
      </w:r>
      <w:proofErr w:type="spellEnd"/>
      <w:r w:rsidRPr="002F46E7">
        <w:rPr>
          <w:rFonts w:cs="Arial"/>
        </w:rPr>
        <w:t>, Brawley Union High School District</w:t>
      </w:r>
    </w:p>
    <w:p w14:paraId="7993177E" w14:textId="77777777" w:rsidR="002E2577" w:rsidRPr="002F46E7" w:rsidRDefault="00A02F0A" w:rsidP="00CA66E7">
      <w:pPr>
        <w:numPr>
          <w:ilvl w:val="0"/>
          <w:numId w:val="10"/>
        </w:numPr>
        <w:rPr>
          <w:rFonts w:cs="Arial"/>
        </w:rPr>
      </w:pPr>
      <w:r w:rsidRPr="002F46E7">
        <w:rPr>
          <w:rFonts w:cs="Arial"/>
        </w:rPr>
        <w:t xml:space="preserve">Brian </w:t>
      </w:r>
      <w:proofErr w:type="spellStart"/>
      <w:r w:rsidRPr="002F46E7">
        <w:rPr>
          <w:rFonts w:cs="Arial"/>
        </w:rPr>
        <w:t>Rowse</w:t>
      </w:r>
      <w:proofErr w:type="spellEnd"/>
      <w:r w:rsidRPr="002F46E7">
        <w:rPr>
          <w:rFonts w:cs="Arial"/>
        </w:rPr>
        <w:t xml:space="preserve">, Santa Barbara Unified School District </w:t>
      </w:r>
    </w:p>
    <w:p w14:paraId="45A14528" w14:textId="04843DF2" w:rsidR="002E2577" w:rsidRPr="002F46E7" w:rsidRDefault="002E2577" w:rsidP="00CA66E7">
      <w:pPr>
        <w:numPr>
          <w:ilvl w:val="0"/>
          <w:numId w:val="10"/>
        </w:numPr>
        <w:rPr>
          <w:rFonts w:cs="Arial"/>
        </w:rPr>
      </w:pPr>
      <w:r w:rsidRPr="002F46E7">
        <w:rPr>
          <w:rFonts w:cs="Arial"/>
        </w:rPr>
        <w:t xml:space="preserve">Gina </w:t>
      </w:r>
      <w:proofErr w:type="spellStart"/>
      <w:r w:rsidRPr="002F46E7">
        <w:rPr>
          <w:rFonts w:cs="Arial"/>
        </w:rPr>
        <w:t>Boster</w:t>
      </w:r>
      <w:proofErr w:type="spellEnd"/>
      <w:r w:rsidRPr="002F46E7">
        <w:rPr>
          <w:rFonts w:cs="Arial"/>
        </w:rPr>
        <w:t xml:space="preserve">, </w:t>
      </w:r>
      <w:r w:rsidR="00CA66E7" w:rsidRPr="002F46E7">
        <w:rPr>
          <w:rFonts w:cs="Arial"/>
        </w:rPr>
        <w:t>Corona-</w:t>
      </w:r>
      <w:proofErr w:type="spellStart"/>
      <w:r w:rsidR="00CA66E7" w:rsidRPr="002F46E7">
        <w:rPr>
          <w:rFonts w:cs="Arial"/>
        </w:rPr>
        <w:t>Norca</w:t>
      </w:r>
      <w:proofErr w:type="spellEnd"/>
      <w:r w:rsidRPr="002F46E7">
        <w:rPr>
          <w:rFonts w:cs="Arial"/>
        </w:rPr>
        <w:t xml:space="preserve"> Unified School District</w:t>
      </w:r>
    </w:p>
    <w:p w14:paraId="10FC2FC7" w14:textId="5DF4699B" w:rsidR="00CA66E7" w:rsidRPr="002F46E7" w:rsidRDefault="001C57FD" w:rsidP="00CA66E7">
      <w:pPr>
        <w:numPr>
          <w:ilvl w:val="0"/>
          <w:numId w:val="10"/>
        </w:numPr>
        <w:rPr>
          <w:rFonts w:cs="Arial"/>
        </w:rPr>
      </w:pPr>
      <w:r w:rsidRPr="002F46E7">
        <w:rPr>
          <w:rFonts w:cs="Arial"/>
        </w:rPr>
        <w:t xml:space="preserve">Kathy Ruble, </w:t>
      </w:r>
      <w:r w:rsidR="00CA66E7" w:rsidRPr="002F46E7">
        <w:rPr>
          <w:rFonts w:cs="Arial"/>
        </w:rPr>
        <w:t>Manteca Unified</w:t>
      </w:r>
      <w:r w:rsidR="002E2577" w:rsidRPr="002F46E7">
        <w:rPr>
          <w:rFonts w:cs="Arial"/>
        </w:rPr>
        <w:t xml:space="preserve"> School District</w:t>
      </w:r>
    </w:p>
    <w:p w14:paraId="596B10C4" w14:textId="77777777" w:rsidR="00A02F0A" w:rsidRPr="002F46E7" w:rsidRDefault="00A02F0A" w:rsidP="00CA66E7">
      <w:pPr>
        <w:numPr>
          <w:ilvl w:val="0"/>
          <w:numId w:val="10"/>
        </w:numPr>
        <w:rPr>
          <w:rFonts w:cs="Arial"/>
        </w:rPr>
      </w:pPr>
      <w:r w:rsidRPr="002F46E7">
        <w:rPr>
          <w:rFonts w:cs="Arial"/>
        </w:rPr>
        <w:t>Chun-Wu Li, Riverside County Office of Education</w:t>
      </w:r>
    </w:p>
    <w:p w14:paraId="1FF8CF14" w14:textId="272CFE3F" w:rsidR="002E2577" w:rsidRPr="002F46E7" w:rsidRDefault="002E2577" w:rsidP="00CA66E7">
      <w:pPr>
        <w:numPr>
          <w:ilvl w:val="0"/>
          <w:numId w:val="10"/>
        </w:numPr>
        <w:rPr>
          <w:rFonts w:cs="Arial"/>
        </w:rPr>
      </w:pPr>
      <w:r w:rsidRPr="002F46E7">
        <w:rPr>
          <w:rFonts w:cs="Arial"/>
        </w:rPr>
        <w:t xml:space="preserve">Jeff </w:t>
      </w:r>
      <w:proofErr w:type="spellStart"/>
      <w:r w:rsidRPr="002F46E7">
        <w:rPr>
          <w:rFonts w:cs="Arial"/>
        </w:rPr>
        <w:t>Hittenberg</w:t>
      </w:r>
      <w:proofErr w:type="spellEnd"/>
      <w:r w:rsidRPr="002F46E7">
        <w:rPr>
          <w:rFonts w:cs="Arial"/>
        </w:rPr>
        <w:t>, Orange County Office of Education</w:t>
      </w:r>
    </w:p>
    <w:p w14:paraId="4D028F8F" w14:textId="764A3AC9" w:rsidR="002E2577" w:rsidRPr="002F46E7" w:rsidRDefault="002E2577" w:rsidP="00CA66E7">
      <w:pPr>
        <w:numPr>
          <w:ilvl w:val="0"/>
          <w:numId w:val="10"/>
        </w:numPr>
        <w:rPr>
          <w:rFonts w:cs="Arial"/>
        </w:rPr>
      </w:pPr>
      <w:r w:rsidRPr="002F46E7">
        <w:rPr>
          <w:rFonts w:cs="Arial"/>
        </w:rPr>
        <w:t>Susan Steward, Butte County Office of Education</w:t>
      </w:r>
    </w:p>
    <w:p w14:paraId="5E313932" w14:textId="5E50B5A0" w:rsidR="00CA66E7" w:rsidRPr="002F46E7" w:rsidRDefault="002E2577" w:rsidP="00CA66E7">
      <w:pPr>
        <w:numPr>
          <w:ilvl w:val="0"/>
          <w:numId w:val="10"/>
        </w:numPr>
        <w:rPr>
          <w:rFonts w:cs="Arial"/>
        </w:rPr>
      </w:pPr>
      <w:r w:rsidRPr="002F46E7">
        <w:rPr>
          <w:rFonts w:cs="Arial"/>
        </w:rPr>
        <w:t xml:space="preserve">Mike Patterson, </w:t>
      </w:r>
      <w:r w:rsidR="00CA66E7" w:rsidRPr="002F46E7">
        <w:rPr>
          <w:rFonts w:cs="Arial"/>
        </w:rPr>
        <w:t>California Teachers Association</w:t>
      </w:r>
    </w:p>
    <w:p w14:paraId="216C16F9" w14:textId="46FF63B6" w:rsidR="00CA66E7" w:rsidRPr="002F46E7" w:rsidRDefault="002E2577" w:rsidP="00CA66E7">
      <w:pPr>
        <w:numPr>
          <w:ilvl w:val="0"/>
          <w:numId w:val="10"/>
        </w:numPr>
        <w:rPr>
          <w:rFonts w:cs="Arial"/>
        </w:rPr>
      </w:pPr>
      <w:r w:rsidRPr="002F46E7">
        <w:rPr>
          <w:rFonts w:cs="Arial"/>
        </w:rPr>
        <w:t xml:space="preserve">Matt Roberts, </w:t>
      </w:r>
      <w:r w:rsidR="00CA66E7" w:rsidRPr="002F46E7">
        <w:rPr>
          <w:rFonts w:cs="Arial"/>
        </w:rPr>
        <w:t>California Community Colleges Chancellor’s Office</w:t>
      </w:r>
    </w:p>
    <w:p w14:paraId="4AB9FFD6" w14:textId="21EC1D2E" w:rsidR="00CA66E7" w:rsidRPr="002F46E7" w:rsidRDefault="002E2577" w:rsidP="00CA66E7">
      <w:pPr>
        <w:numPr>
          <w:ilvl w:val="0"/>
          <w:numId w:val="10"/>
        </w:numPr>
        <w:rPr>
          <w:rFonts w:cs="Arial"/>
        </w:rPr>
      </w:pPr>
      <w:r w:rsidRPr="002F46E7">
        <w:rPr>
          <w:rFonts w:cs="Arial"/>
        </w:rPr>
        <w:t xml:space="preserve">Michal </w:t>
      </w:r>
      <w:proofErr w:type="spellStart"/>
      <w:r w:rsidRPr="002F46E7">
        <w:rPr>
          <w:rFonts w:cs="Arial"/>
        </w:rPr>
        <w:t>Kurlaender</w:t>
      </w:r>
      <w:proofErr w:type="spellEnd"/>
      <w:r w:rsidRPr="002F46E7">
        <w:rPr>
          <w:rFonts w:cs="Arial"/>
        </w:rPr>
        <w:t>, UC Davis</w:t>
      </w:r>
    </w:p>
    <w:p w14:paraId="5C98831E" w14:textId="7A282BF9" w:rsidR="00CA66E7" w:rsidRPr="002F46E7" w:rsidRDefault="002E2577" w:rsidP="00CA66E7">
      <w:pPr>
        <w:numPr>
          <w:ilvl w:val="0"/>
          <w:numId w:val="10"/>
        </w:numPr>
        <w:rPr>
          <w:rFonts w:cs="Arial"/>
        </w:rPr>
      </w:pPr>
      <w:r w:rsidRPr="002F46E7">
        <w:rPr>
          <w:rFonts w:cs="Arial"/>
        </w:rPr>
        <w:t xml:space="preserve">Wendell Callahan, </w:t>
      </w:r>
      <w:r w:rsidR="009E2027" w:rsidRPr="002F46E7">
        <w:rPr>
          <w:rFonts w:cs="Arial"/>
        </w:rPr>
        <w:t>UC</w:t>
      </w:r>
      <w:r w:rsidR="00CA66E7" w:rsidRPr="002F46E7">
        <w:rPr>
          <w:rFonts w:cs="Arial"/>
        </w:rPr>
        <w:t xml:space="preserve"> San Diego</w:t>
      </w:r>
    </w:p>
    <w:p w14:paraId="61EAEF96" w14:textId="722BED7C" w:rsidR="00CA66E7" w:rsidRPr="002F46E7" w:rsidRDefault="002E2577" w:rsidP="00CA66E7">
      <w:pPr>
        <w:numPr>
          <w:ilvl w:val="0"/>
          <w:numId w:val="10"/>
        </w:numPr>
        <w:rPr>
          <w:rFonts w:cs="Arial"/>
        </w:rPr>
      </w:pPr>
      <w:proofErr w:type="spellStart"/>
      <w:r w:rsidRPr="002F46E7">
        <w:rPr>
          <w:rFonts w:cs="Arial"/>
        </w:rPr>
        <w:t>Soung</w:t>
      </w:r>
      <w:proofErr w:type="spellEnd"/>
      <w:r w:rsidRPr="002F46E7">
        <w:rPr>
          <w:rFonts w:cs="Arial"/>
        </w:rPr>
        <w:t xml:space="preserve"> Bae, </w:t>
      </w:r>
      <w:r w:rsidR="00CA66E7" w:rsidRPr="002F46E7">
        <w:rPr>
          <w:rFonts w:cs="Arial"/>
        </w:rPr>
        <w:t>Stanford University</w:t>
      </w:r>
    </w:p>
    <w:p w14:paraId="0CF63798" w14:textId="5E1B905F" w:rsidR="00CA66E7" w:rsidRPr="002F46E7" w:rsidRDefault="00A02F0A" w:rsidP="00CA66E7">
      <w:pPr>
        <w:numPr>
          <w:ilvl w:val="0"/>
          <w:numId w:val="10"/>
        </w:numPr>
        <w:rPr>
          <w:rFonts w:cs="Arial"/>
        </w:rPr>
      </w:pPr>
      <w:r w:rsidRPr="002F46E7">
        <w:rPr>
          <w:rFonts w:cs="Arial"/>
        </w:rPr>
        <w:t xml:space="preserve">Eric Crane, </w:t>
      </w:r>
      <w:proofErr w:type="spellStart"/>
      <w:r w:rsidR="00CA66E7" w:rsidRPr="002F46E7">
        <w:rPr>
          <w:rFonts w:cs="Arial"/>
        </w:rPr>
        <w:t>WestEd</w:t>
      </w:r>
      <w:proofErr w:type="spellEnd"/>
    </w:p>
    <w:p w14:paraId="71DEC6D7" w14:textId="0A7F0C16" w:rsidR="002E2577" w:rsidRPr="002F46E7" w:rsidRDefault="002E2577" w:rsidP="00CA66E7">
      <w:pPr>
        <w:numPr>
          <w:ilvl w:val="0"/>
          <w:numId w:val="10"/>
        </w:numPr>
        <w:rPr>
          <w:rFonts w:cs="Arial"/>
        </w:rPr>
      </w:pPr>
      <w:r w:rsidRPr="002F46E7">
        <w:rPr>
          <w:rFonts w:cs="Arial"/>
        </w:rPr>
        <w:t xml:space="preserve">Jason Willis, </w:t>
      </w:r>
      <w:proofErr w:type="spellStart"/>
      <w:r w:rsidRPr="002F46E7">
        <w:rPr>
          <w:rFonts w:cs="Arial"/>
        </w:rPr>
        <w:t>WestEd</w:t>
      </w:r>
      <w:proofErr w:type="spellEnd"/>
    </w:p>
    <w:p w14:paraId="5CBF7D7C" w14:textId="6C9D1A14" w:rsidR="00CA66E7" w:rsidRPr="002F46E7" w:rsidRDefault="002E2577" w:rsidP="00CA66E7">
      <w:pPr>
        <w:numPr>
          <w:ilvl w:val="0"/>
          <w:numId w:val="10"/>
        </w:numPr>
        <w:rPr>
          <w:rFonts w:cs="Arial"/>
        </w:rPr>
      </w:pPr>
      <w:r w:rsidRPr="002F46E7">
        <w:rPr>
          <w:rFonts w:cs="Arial"/>
        </w:rPr>
        <w:t xml:space="preserve">Diane </w:t>
      </w:r>
      <w:proofErr w:type="spellStart"/>
      <w:r w:rsidRPr="002F46E7">
        <w:rPr>
          <w:rFonts w:cs="Arial"/>
        </w:rPr>
        <w:t>Grotjohn</w:t>
      </w:r>
      <w:proofErr w:type="spellEnd"/>
      <w:r w:rsidRPr="002F46E7">
        <w:rPr>
          <w:rFonts w:cs="Arial"/>
        </w:rPr>
        <w:t xml:space="preserve">, </w:t>
      </w:r>
      <w:r w:rsidR="00CA66E7" w:rsidRPr="002F46E7">
        <w:rPr>
          <w:rFonts w:cs="Arial"/>
        </w:rPr>
        <w:t>Coalition of Alternative Education Accountability</w:t>
      </w:r>
    </w:p>
    <w:p w14:paraId="393DF1E3" w14:textId="61FE731D" w:rsidR="00CA66E7" w:rsidRPr="002F46E7" w:rsidRDefault="002E2577" w:rsidP="00CA66E7">
      <w:pPr>
        <w:numPr>
          <w:ilvl w:val="0"/>
          <w:numId w:val="10"/>
        </w:numPr>
        <w:rPr>
          <w:rFonts w:cs="Arial"/>
        </w:rPr>
      </w:pPr>
      <w:r w:rsidRPr="002F46E7">
        <w:rPr>
          <w:rFonts w:cs="Arial"/>
        </w:rPr>
        <w:t xml:space="preserve">Dustin Sperling, </w:t>
      </w:r>
      <w:r w:rsidR="00CA66E7" w:rsidRPr="002F46E7">
        <w:rPr>
          <w:rFonts w:cs="Arial"/>
        </w:rPr>
        <w:t>Central Region Agriculture Education Pathways Grant</w:t>
      </w:r>
    </w:p>
    <w:p w14:paraId="18756443" w14:textId="04227169" w:rsidR="00CA66E7" w:rsidRPr="002F46E7" w:rsidRDefault="002E2577" w:rsidP="00CA66E7">
      <w:pPr>
        <w:numPr>
          <w:ilvl w:val="0"/>
          <w:numId w:val="10"/>
        </w:numPr>
        <w:rPr>
          <w:rFonts w:cs="Arial"/>
        </w:rPr>
      </w:pPr>
      <w:r w:rsidRPr="002F46E7">
        <w:rPr>
          <w:rFonts w:cs="Arial"/>
        </w:rPr>
        <w:t xml:space="preserve">Jeremy Smith, </w:t>
      </w:r>
      <w:r w:rsidR="00CA66E7" w:rsidRPr="002F46E7">
        <w:rPr>
          <w:rFonts w:cs="Arial"/>
        </w:rPr>
        <w:t>State Building and Construction Trades Council of California</w:t>
      </w:r>
    </w:p>
    <w:p w14:paraId="6A942D2A" w14:textId="5954B3AF" w:rsidR="00CA66E7" w:rsidRPr="002F46E7" w:rsidRDefault="002E2577" w:rsidP="00CA66E7">
      <w:pPr>
        <w:numPr>
          <w:ilvl w:val="0"/>
          <w:numId w:val="10"/>
        </w:numPr>
        <w:rPr>
          <w:rFonts w:cs="Arial"/>
        </w:rPr>
      </w:pPr>
      <w:r w:rsidRPr="002F46E7">
        <w:rPr>
          <w:rFonts w:cs="Arial"/>
        </w:rPr>
        <w:t xml:space="preserve">Rebecca Bettencourt, </w:t>
      </w:r>
      <w:r w:rsidR="00CA66E7" w:rsidRPr="002F46E7">
        <w:rPr>
          <w:rFonts w:cs="Arial"/>
        </w:rPr>
        <w:t>E.</w:t>
      </w:r>
      <w:r w:rsidR="009E2027" w:rsidRPr="002F46E7">
        <w:rPr>
          <w:rFonts w:cs="Arial"/>
        </w:rPr>
        <w:t xml:space="preserve"> </w:t>
      </w:r>
      <w:r w:rsidR="00CA66E7" w:rsidRPr="002F46E7">
        <w:rPr>
          <w:rFonts w:cs="Arial"/>
        </w:rPr>
        <w:t>&amp; J. Gallo Winery</w:t>
      </w:r>
    </w:p>
    <w:p w14:paraId="6F91D110" w14:textId="7F4674FA" w:rsidR="00CA66E7" w:rsidRPr="002F46E7" w:rsidRDefault="002E2577" w:rsidP="00162BB5">
      <w:pPr>
        <w:numPr>
          <w:ilvl w:val="0"/>
          <w:numId w:val="10"/>
        </w:numPr>
        <w:spacing w:after="240"/>
        <w:rPr>
          <w:rFonts w:cs="Arial"/>
        </w:rPr>
      </w:pPr>
      <w:r w:rsidRPr="002F46E7">
        <w:rPr>
          <w:rFonts w:cs="Arial"/>
        </w:rPr>
        <w:t xml:space="preserve">Stephanie Houston, </w:t>
      </w:r>
      <w:r w:rsidR="00CA66E7" w:rsidRPr="002F46E7">
        <w:rPr>
          <w:rFonts w:cs="Arial"/>
        </w:rPr>
        <w:t>Colton-Redlands-Yucaipa Regional Occupational Program</w:t>
      </w:r>
    </w:p>
    <w:p w14:paraId="7F60B748" w14:textId="1FB954DB" w:rsidR="00CA66E7" w:rsidRPr="002F46E7" w:rsidRDefault="00CA66E7" w:rsidP="00162BB5">
      <w:pPr>
        <w:spacing w:after="240"/>
        <w:rPr>
          <w:rFonts w:cs="Arial"/>
        </w:rPr>
      </w:pPr>
      <w:r w:rsidRPr="002F46E7">
        <w:rPr>
          <w:rFonts w:cs="Arial"/>
        </w:rPr>
        <w:t xml:space="preserve">Based on their collective work, three new career measures—Articulated CTE Courses, State Seal of </w:t>
      </w:r>
      <w:proofErr w:type="spellStart"/>
      <w:r w:rsidRPr="002F46E7">
        <w:rPr>
          <w:rFonts w:cs="Arial"/>
        </w:rPr>
        <w:t>Bilteracy</w:t>
      </w:r>
      <w:proofErr w:type="spellEnd"/>
      <w:r w:rsidRPr="002F46E7">
        <w:rPr>
          <w:rFonts w:cs="Arial"/>
        </w:rPr>
        <w:t xml:space="preserve">, and Golden State Seal Merit Diploma—have been proposed for inclusion in the 2018 Dashboard. Data on these measures are currently being collected in the CDE’s </w:t>
      </w:r>
      <w:r w:rsidRPr="002F46E7">
        <w:rPr>
          <w:rFonts w:cs="Arial"/>
          <w:color w:val="000000"/>
        </w:rPr>
        <w:t>California Longitudinal Pupil Achievement Data System, and s</w:t>
      </w:r>
      <w:r w:rsidRPr="002F46E7">
        <w:rPr>
          <w:rFonts w:cs="Arial"/>
        </w:rPr>
        <w:t xml:space="preserve">imulations comparing these measures against Smarter Balanced </w:t>
      </w:r>
      <w:r w:rsidR="009E2027" w:rsidRPr="002F46E7">
        <w:rPr>
          <w:rFonts w:cs="Arial"/>
        </w:rPr>
        <w:t xml:space="preserve">Summative Assessment </w:t>
      </w:r>
      <w:r w:rsidRPr="002F46E7">
        <w:rPr>
          <w:rFonts w:cs="Arial"/>
        </w:rPr>
        <w:t>test scores are being prepared for the TDG and CCI Work Group. Based on the groups’ feedback, the CDE will propose criteria for these measures at the July 2018 SBE meeting.</w:t>
      </w:r>
    </w:p>
    <w:p w14:paraId="3C6437DF" w14:textId="1CCBC394" w:rsidR="00CA66E7" w:rsidRPr="002F46E7" w:rsidRDefault="00CA66E7" w:rsidP="00CA66E7">
      <w:pPr>
        <w:spacing w:after="240"/>
        <w:rPr>
          <w:rFonts w:cs="Arial"/>
        </w:rPr>
      </w:pPr>
      <w:r w:rsidRPr="002F46E7">
        <w:rPr>
          <w:rFonts w:cs="Arial"/>
        </w:rPr>
        <w:t>In 2017, the CDE and the John W</w:t>
      </w:r>
      <w:r w:rsidR="00EC3B33" w:rsidRPr="002F46E7">
        <w:rPr>
          <w:rFonts w:cs="Arial"/>
        </w:rPr>
        <w:t>. Gardner Center for Youth and T</w:t>
      </w:r>
      <w:r w:rsidRPr="002F46E7">
        <w:rPr>
          <w:rFonts w:cs="Arial"/>
        </w:rPr>
        <w:t>heir Communities at Stanford University</w:t>
      </w:r>
      <w:r w:rsidR="00E56EA4" w:rsidRPr="002F46E7">
        <w:rPr>
          <w:rFonts w:cs="Arial"/>
        </w:rPr>
        <w:t xml:space="preserve">, under the leadership of Dr. </w:t>
      </w:r>
      <w:r w:rsidR="00E56EA4" w:rsidRPr="002F46E7">
        <w:rPr>
          <w:bCs/>
        </w:rPr>
        <w:t>Jorge Ruiz de Velasco,</w:t>
      </w:r>
      <w:r w:rsidRPr="002F46E7">
        <w:rPr>
          <w:rFonts w:cs="Arial"/>
        </w:rPr>
        <w:t xml:space="preserve"> established the California Advisory Task Force on Alternative Schools. </w:t>
      </w:r>
      <w:r w:rsidR="00E233D2" w:rsidRPr="002F46E7">
        <w:rPr>
          <w:rFonts w:cs="Arial"/>
        </w:rPr>
        <w:t>The Task Force has broad and geographically diverse representation and is comprised of 22 members</w:t>
      </w:r>
      <w:r w:rsidR="00E42CB7" w:rsidRPr="002F46E7">
        <w:rPr>
          <w:rFonts w:cs="Arial"/>
        </w:rPr>
        <w:t>. To facilitate the work of the Task Force,</w:t>
      </w:r>
      <w:r w:rsidR="00E233D2" w:rsidRPr="002F46E7">
        <w:rPr>
          <w:rFonts w:cs="Arial"/>
        </w:rPr>
        <w:t xml:space="preserve"> three subcommittees</w:t>
      </w:r>
      <w:r w:rsidR="00E42CB7" w:rsidRPr="002F46E7">
        <w:rPr>
          <w:rFonts w:cs="Arial"/>
        </w:rPr>
        <w:t xml:space="preserve"> were formed: 1) Modified Academic Indicators, 2) Local Indicators of Student Progress, and 3) Emerging Best Practices</w:t>
      </w:r>
      <w:r w:rsidR="00E233D2" w:rsidRPr="002F46E7">
        <w:rPr>
          <w:rFonts w:cs="Arial"/>
        </w:rPr>
        <w:t xml:space="preserve">. </w:t>
      </w:r>
      <w:r w:rsidR="00E42CB7" w:rsidRPr="002F46E7">
        <w:rPr>
          <w:rFonts w:cs="Arial"/>
        </w:rPr>
        <w:lastRenderedPageBreak/>
        <w:t xml:space="preserve">The charge of the Modified Academic Indicators Subcommittee </w:t>
      </w:r>
      <w:r w:rsidRPr="002F46E7">
        <w:rPr>
          <w:rFonts w:cs="Arial"/>
        </w:rPr>
        <w:t>is to develop modified measures for alternative schools</w:t>
      </w:r>
      <w:r w:rsidR="00E42CB7" w:rsidRPr="002F46E7">
        <w:rPr>
          <w:rFonts w:cs="Arial"/>
        </w:rPr>
        <w:t>. This Subcommittee consist of</w:t>
      </w:r>
      <w:r w:rsidR="00816F8F" w:rsidRPr="002F46E7">
        <w:rPr>
          <w:rFonts w:cs="Arial"/>
        </w:rPr>
        <w:t xml:space="preserve"> the following members: </w:t>
      </w:r>
    </w:p>
    <w:p w14:paraId="6BC04372" w14:textId="4EFA2F8A" w:rsidR="00CA66E7" w:rsidRPr="002F46E7" w:rsidRDefault="00816F8F" w:rsidP="00CA66E7">
      <w:pPr>
        <w:numPr>
          <w:ilvl w:val="0"/>
          <w:numId w:val="12"/>
        </w:numPr>
        <w:rPr>
          <w:rFonts w:cs="Arial"/>
        </w:rPr>
      </w:pPr>
      <w:proofErr w:type="spellStart"/>
      <w:r w:rsidRPr="002F46E7">
        <w:rPr>
          <w:rFonts w:cs="Arial"/>
        </w:rPr>
        <w:t>Alysse</w:t>
      </w:r>
      <w:proofErr w:type="spellEnd"/>
      <w:r w:rsidRPr="002F46E7">
        <w:rPr>
          <w:rFonts w:cs="Arial"/>
        </w:rPr>
        <w:t xml:space="preserve"> Castro, </w:t>
      </w:r>
      <w:r w:rsidR="00CA66E7" w:rsidRPr="002F46E7">
        <w:rPr>
          <w:rFonts w:cs="Arial"/>
        </w:rPr>
        <w:t>San Francisco Unified School District</w:t>
      </w:r>
    </w:p>
    <w:p w14:paraId="49E859A9" w14:textId="6EFEAAEE" w:rsidR="00CA66E7" w:rsidRPr="002F46E7" w:rsidRDefault="00816F8F" w:rsidP="00CA66E7">
      <w:pPr>
        <w:numPr>
          <w:ilvl w:val="0"/>
          <w:numId w:val="12"/>
        </w:numPr>
        <w:rPr>
          <w:rFonts w:cs="Arial"/>
        </w:rPr>
      </w:pPr>
      <w:proofErr w:type="spellStart"/>
      <w:r w:rsidRPr="002F46E7">
        <w:rPr>
          <w:rFonts w:cs="Arial"/>
        </w:rPr>
        <w:t>Milisav</w:t>
      </w:r>
      <w:proofErr w:type="spellEnd"/>
      <w:r w:rsidRPr="002F46E7">
        <w:rPr>
          <w:rFonts w:cs="Arial"/>
        </w:rPr>
        <w:t xml:space="preserve"> </w:t>
      </w:r>
      <w:proofErr w:type="spellStart"/>
      <w:r w:rsidRPr="002F46E7">
        <w:rPr>
          <w:rFonts w:cs="Arial"/>
        </w:rPr>
        <w:t>Illic</w:t>
      </w:r>
      <w:proofErr w:type="spellEnd"/>
      <w:r w:rsidRPr="002F46E7">
        <w:rPr>
          <w:rFonts w:cs="Arial"/>
        </w:rPr>
        <w:t xml:space="preserve">, </w:t>
      </w:r>
      <w:r w:rsidR="00CA66E7" w:rsidRPr="002F46E7">
        <w:rPr>
          <w:rFonts w:cs="Arial"/>
        </w:rPr>
        <w:t>Corona-Norco</w:t>
      </w:r>
      <w:r w:rsidR="006C641F" w:rsidRPr="002F46E7">
        <w:rPr>
          <w:rFonts w:cs="Arial"/>
        </w:rPr>
        <w:t xml:space="preserve"> </w:t>
      </w:r>
      <w:r w:rsidR="00CA66E7" w:rsidRPr="002F46E7">
        <w:rPr>
          <w:rFonts w:cs="Arial"/>
        </w:rPr>
        <w:t>Unified School District</w:t>
      </w:r>
    </w:p>
    <w:p w14:paraId="71C47BF0" w14:textId="3AF05895" w:rsidR="00CA66E7" w:rsidRPr="002F46E7" w:rsidRDefault="00816F8F" w:rsidP="00CA66E7">
      <w:pPr>
        <w:numPr>
          <w:ilvl w:val="0"/>
          <w:numId w:val="12"/>
        </w:numPr>
        <w:rPr>
          <w:rFonts w:cs="Arial"/>
        </w:rPr>
      </w:pPr>
      <w:r w:rsidRPr="002F46E7">
        <w:rPr>
          <w:rFonts w:cs="Arial"/>
        </w:rPr>
        <w:t xml:space="preserve">Robert </w:t>
      </w:r>
      <w:proofErr w:type="spellStart"/>
      <w:r w:rsidRPr="002F46E7">
        <w:rPr>
          <w:rFonts w:cs="Arial"/>
        </w:rPr>
        <w:t>Eiseman</w:t>
      </w:r>
      <w:proofErr w:type="spellEnd"/>
      <w:r w:rsidRPr="002F46E7">
        <w:rPr>
          <w:rFonts w:cs="Arial"/>
        </w:rPr>
        <w:t xml:space="preserve">, </w:t>
      </w:r>
      <w:r w:rsidR="00CA66E7" w:rsidRPr="002F46E7">
        <w:rPr>
          <w:rFonts w:cs="Arial"/>
        </w:rPr>
        <w:t>Los Angeles Unified School District</w:t>
      </w:r>
    </w:p>
    <w:p w14:paraId="31832A2A" w14:textId="0FF56587" w:rsidR="00816F8F" w:rsidRPr="002F46E7" w:rsidRDefault="00816F8F" w:rsidP="00CA66E7">
      <w:pPr>
        <w:numPr>
          <w:ilvl w:val="0"/>
          <w:numId w:val="12"/>
        </w:numPr>
        <w:rPr>
          <w:rFonts w:cs="Arial"/>
        </w:rPr>
      </w:pPr>
      <w:r w:rsidRPr="002F46E7">
        <w:rPr>
          <w:rFonts w:cs="Arial"/>
        </w:rPr>
        <w:t>Roger Rice, Ventura County Office of Education</w:t>
      </w:r>
    </w:p>
    <w:p w14:paraId="19D39456" w14:textId="49192A12" w:rsidR="00CA66E7" w:rsidRPr="002F46E7" w:rsidRDefault="00816F8F" w:rsidP="00CA66E7">
      <w:pPr>
        <w:numPr>
          <w:ilvl w:val="0"/>
          <w:numId w:val="12"/>
        </w:numPr>
        <w:rPr>
          <w:rFonts w:cs="Arial"/>
        </w:rPr>
      </w:pPr>
      <w:r w:rsidRPr="002F46E7">
        <w:rPr>
          <w:rFonts w:cs="Arial"/>
        </w:rPr>
        <w:t>Diana Walsh-</w:t>
      </w:r>
      <w:proofErr w:type="spellStart"/>
      <w:r w:rsidRPr="002F46E7">
        <w:rPr>
          <w:rFonts w:cs="Arial"/>
        </w:rPr>
        <w:t>Reuss</w:t>
      </w:r>
      <w:proofErr w:type="spellEnd"/>
      <w:r w:rsidRPr="002F46E7">
        <w:rPr>
          <w:rFonts w:cs="Arial"/>
        </w:rPr>
        <w:t xml:space="preserve">, </w:t>
      </w:r>
      <w:r w:rsidR="00CA66E7" w:rsidRPr="002F46E7">
        <w:rPr>
          <w:rFonts w:cs="Arial"/>
        </w:rPr>
        <w:t>Riverside County Office of Education</w:t>
      </w:r>
    </w:p>
    <w:p w14:paraId="64EE5B51" w14:textId="3EDC32D5" w:rsidR="00CA66E7" w:rsidRPr="002F46E7" w:rsidRDefault="00816F8F" w:rsidP="00CA66E7">
      <w:pPr>
        <w:numPr>
          <w:ilvl w:val="0"/>
          <w:numId w:val="12"/>
        </w:numPr>
        <w:rPr>
          <w:rFonts w:cs="Arial"/>
        </w:rPr>
      </w:pPr>
      <w:r w:rsidRPr="002F46E7">
        <w:rPr>
          <w:rFonts w:cs="Arial"/>
        </w:rPr>
        <w:t xml:space="preserve">Joel </w:t>
      </w:r>
      <w:proofErr w:type="spellStart"/>
      <w:r w:rsidRPr="002F46E7">
        <w:rPr>
          <w:rFonts w:cs="Arial"/>
        </w:rPr>
        <w:t>Leagans</w:t>
      </w:r>
      <w:proofErr w:type="spellEnd"/>
      <w:r w:rsidRPr="002F46E7">
        <w:rPr>
          <w:rFonts w:cs="Arial"/>
        </w:rPr>
        <w:t xml:space="preserve">, </w:t>
      </w:r>
      <w:r w:rsidR="00CA66E7" w:rsidRPr="002F46E7">
        <w:rPr>
          <w:rFonts w:cs="Arial"/>
        </w:rPr>
        <w:t>Santa Clara County Juvenile Court Schools</w:t>
      </w:r>
    </w:p>
    <w:p w14:paraId="2732157C" w14:textId="656FD965" w:rsidR="00CA66E7" w:rsidRPr="002F46E7" w:rsidRDefault="00816F8F" w:rsidP="00816F8F">
      <w:pPr>
        <w:numPr>
          <w:ilvl w:val="0"/>
          <w:numId w:val="12"/>
        </w:numPr>
        <w:rPr>
          <w:rFonts w:cs="Arial"/>
        </w:rPr>
      </w:pPr>
      <w:r w:rsidRPr="002F46E7">
        <w:rPr>
          <w:rFonts w:cs="Arial"/>
        </w:rPr>
        <w:t xml:space="preserve">Heather </w:t>
      </w:r>
      <w:proofErr w:type="spellStart"/>
      <w:r w:rsidRPr="002F46E7">
        <w:rPr>
          <w:rFonts w:cs="Arial"/>
        </w:rPr>
        <w:t>DiFede</w:t>
      </w:r>
      <w:proofErr w:type="spellEnd"/>
      <w:r w:rsidRPr="002F46E7">
        <w:rPr>
          <w:rFonts w:cs="Arial"/>
        </w:rPr>
        <w:t xml:space="preserve">, </w:t>
      </w:r>
      <w:r w:rsidR="00CA66E7" w:rsidRPr="002F46E7">
        <w:rPr>
          <w:rFonts w:cs="Arial"/>
        </w:rPr>
        <w:t>East County Special Education Local Plan Area</w:t>
      </w:r>
    </w:p>
    <w:p w14:paraId="476EEE78" w14:textId="54449E78" w:rsidR="00CA66E7" w:rsidRPr="002F46E7" w:rsidRDefault="00816F8F" w:rsidP="00816F8F">
      <w:pPr>
        <w:numPr>
          <w:ilvl w:val="0"/>
          <w:numId w:val="12"/>
        </w:numPr>
        <w:rPr>
          <w:rFonts w:cs="Arial"/>
        </w:rPr>
      </w:pPr>
      <w:r w:rsidRPr="002F46E7">
        <w:rPr>
          <w:rFonts w:cs="Arial"/>
        </w:rPr>
        <w:t xml:space="preserve">Mike Ervin, </w:t>
      </w:r>
      <w:r w:rsidR="00CA66E7" w:rsidRPr="002F46E7">
        <w:rPr>
          <w:rFonts w:cs="Arial"/>
        </w:rPr>
        <w:t>Home Tech Charter School</w:t>
      </w:r>
    </w:p>
    <w:p w14:paraId="05BF42D2" w14:textId="678044CC" w:rsidR="00CA66E7" w:rsidRPr="002F46E7" w:rsidRDefault="00816F8F" w:rsidP="00816F8F">
      <w:pPr>
        <w:numPr>
          <w:ilvl w:val="0"/>
          <w:numId w:val="12"/>
        </w:numPr>
        <w:rPr>
          <w:rFonts w:cs="Arial"/>
        </w:rPr>
      </w:pPr>
      <w:r w:rsidRPr="002F46E7">
        <w:rPr>
          <w:rFonts w:cs="Arial"/>
        </w:rPr>
        <w:t xml:space="preserve">Ernie Silva, </w:t>
      </w:r>
      <w:proofErr w:type="spellStart"/>
      <w:r w:rsidR="00CA66E7" w:rsidRPr="002F46E7">
        <w:rPr>
          <w:rFonts w:cs="Arial"/>
        </w:rPr>
        <w:t>SIATech</w:t>
      </w:r>
      <w:proofErr w:type="spellEnd"/>
      <w:r w:rsidR="00CA66E7" w:rsidRPr="002F46E7">
        <w:rPr>
          <w:rFonts w:cs="Arial"/>
        </w:rPr>
        <w:t xml:space="preserve"> Schools</w:t>
      </w:r>
    </w:p>
    <w:p w14:paraId="157321DF" w14:textId="2096DE5C" w:rsidR="00CA66E7" w:rsidRPr="002F46E7" w:rsidRDefault="00816F8F" w:rsidP="00816F8F">
      <w:pPr>
        <w:numPr>
          <w:ilvl w:val="0"/>
          <w:numId w:val="12"/>
        </w:numPr>
        <w:rPr>
          <w:rFonts w:cs="Arial"/>
        </w:rPr>
      </w:pPr>
      <w:r w:rsidRPr="002F46E7">
        <w:rPr>
          <w:rFonts w:cs="Arial"/>
        </w:rPr>
        <w:t xml:space="preserve">Diane </w:t>
      </w:r>
      <w:proofErr w:type="spellStart"/>
      <w:r w:rsidRPr="002F46E7">
        <w:rPr>
          <w:rFonts w:cs="Arial"/>
        </w:rPr>
        <w:t>Grotjohn</w:t>
      </w:r>
      <w:proofErr w:type="spellEnd"/>
      <w:r w:rsidRPr="002F46E7">
        <w:rPr>
          <w:rFonts w:cs="Arial"/>
        </w:rPr>
        <w:t xml:space="preserve">, </w:t>
      </w:r>
      <w:proofErr w:type="spellStart"/>
      <w:r w:rsidR="00CA66E7" w:rsidRPr="002F46E7">
        <w:rPr>
          <w:rFonts w:cs="Arial"/>
        </w:rPr>
        <w:t>APlus</w:t>
      </w:r>
      <w:proofErr w:type="spellEnd"/>
    </w:p>
    <w:p w14:paraId="73CE15BB" w14:textId="56B5D128" w:rsidR="00816F8F" w:rsidRPr="002F46E7" w:rsidRDefault="00816F8F" w:rsidP="00816F8F">
      <w:pPr>
        <w:numPr>
          <w:ilvl w:val="0"/>
          <w:numId w:val="12"/>
        </w:numPr>
        <w:rPr>
          <w:rFonts w:cs="Arial"/>
        </w:rPr>
      </w:pPr>
      <w:proofErr w:type="spellStart"/>
      <w:r w:rsidRPr="002F46E7">
        <w:rPr>
          <w:rFonts w:cs="Arial"/>
        </w:rPr>
        <w:t>Machele</w:t>
      </w:r>
      <w:proofErr w:type="spellEnd"/>
      <w:r w:rsidRPr="002F46E7">
        <w:rPr>
          <w:rFonts w:cs="Arial"/>
        </w:rPr>
        <w:t xml:space="preserve"> Kilgore, California Consortium of Independent Study,</w:t>
      </w:r>
    </w:p>
    <w:p w14:paraId="71A4EF14" w14:textId="1296A2D8" w:rsidR="00816F8F" w:rsidRPr="002F46E7" w:rsidRDefault="00E42CB7" w:rsidP="002F46E7">
      <w:pPr>
        <w:numPr>
          <w:ilvl w:val="0"/>
          <w:numId w:val="12"/>
        </w:numPr>
        <w:spacing w:after="480"/>
        <w:rPr>
          <w:rFonts w:cs="Arial"/>
        </w:rPr>
      </w:pPr>
      <w:r w:rsidRPr="002F46E7">
        <w:rPr>
          <w:bCs/>
        </w:rPr>
        <w:t>Jorge Ruiz de Velasco</w:t>
      </w:r>
      <w:r w:rsidR="00816F8F" w:rsidRPr="002F46E7">
        <w:rPr>
          <w:rFonts w:cs="Arial"/>
        </w:rPr>
        <w:t>, John W. Gardner Cente</w:t>
      </w:r>
      <w:r w:rsidR="00CA66E7" w:rsidRPr="002F46E7">
        <w:rPr>
          <w:rFonts w:cs="Arial"/>
        </w:rPr>
        <w:t>r for Youth and Their Communities, Stanford University</w:t>
      </w:r>
      <w:bookmarkStart w:id="0" w:name="_GoBack"/>
      <w:bookmarkEnd w:id="0"/>
    </w:p>
    <w:p w14:paraId="4B0D6573" w14:textId="24CBD67E" w:rsidR="00CA66E7" w:rsidRPr="002F46E7" w:rsidRDefault="00CA66E7" w:rsidP="00CA66E7">
      <w:pPr>
        <w:rPr>
          <w:rFonts w:eastAsiaTheme="minorHAnsi" w:cs="Arial"/>
        </w:rPr>
      </w:pPr>
      <w:r w:rsidRPr="002F46E7">
        <w:rPr>
          <w:rFonts w:eastAsiaTheme="minorHAnsi" w:cs="Arial"/>
        </w:rPr>
        <w:t>A full description of the career measures under consideration, along with proposed criteria for these measures, were presented to the SBE in a February 2018 Information Memorandum (</w:t>
      </w:r>
      <w:hyperlink r:id="rId16" w:tooltip="February 2018 CDE Info Memo 02" w:history="1">
        <w:r w:rsidRPr="002F46E7">
          <w:rPr>
            <w:rFonts w:eastAsiaTheme="minorHAnsi" w:cs="Arial"/>
            <w:color w:val="0563C1" w:themeColor="hyperlink"/>
            <w:u w:val="single"/>
          </w:rPr>
          <w:t>https://www.cde.ca.gov/be/pn/im/documents/memo-pptb-amard-feb18item02.docx</w:t>
        </w:r>
      </w:hyperlink>
      <w:r w:rsidRPr="002F46E7">
        <w:rPr>
          <w:rFonts w:eastAsiaTheme="minorHAnsi" w:cs="Arial"/>
        </w:rPr>
        <w:t>).</w:t>
      </w:r>
    </w:p>
    <w:p w14:paraId="5BF9CDF5" w14:textId="77777777" w:rsidR="00CA66E7" w:rsidRPr="002F46E7" w:rsidRDefault="00CA66E7" w:rsidP="00CA66E7">
      <w:pPr>
        <w:spacing w:before="240" w:after="240"/>
        <w:rPr>
          <w:rFonts w:eastAsiaTheme="minorHAnsi" w:cs="Arial"/>
          <w:b/>
          <w:sz w:val="32"/>
          <w:szCs w:val="32"/>
        </w:rPr>
      </w:pPr>
      <w:r w:rsidRPr="002F46E7">
        <w:rPr>
          <w:rFonts w:eastAsiaTheme="minorHAnsi" w:cs="Arial"/>
          <w:b/>
          <w:sz w:val="32"/>
          <w:szCs w:val="32"/>
        </w:rPr>
        <w:t>Collaboration with Stakeholders</w:t>
      </w:r>
    </w:p>
    <w:p w14:paraId="716AAE36" w14:textId="0BD2C47D" w:rsidR="00CA66E7" w:rsidRPr="002F46E7" w:rsidRDefault="00CA66E7" w:rsidP="00162BB5">
      <w:pPr>
        <w:spacing w:after="240"/>
        <w:rPr>
          <w:rFonts w:eastAsiaTheme="minorHAnsi" w:cs="Arial"/>
        </w:rPr>
      </w:pPr>
      <w:r w:rsidRPr="002F46E7">
        <w:rPr>
          <w:rFonts w:eastAsiaTheme="minorHAnsi" w:cs="Arial"/>
        </w:rPr>
        <w:t>Throughout the development of the CCI model, the CDE has created a continuous feedback loop, conferring with a broad, diverse, and geographically representative group of stakeholders. In addition to conducting statewide Webinars and regional meetings across the state, it reports regularly to the following groups:</w:t>
      </w:r>
    </w:p>
    <w:p w14:paraId="24AA408F" w14:textId="77777777" w:rsidR="00CA66E7" w:rsidRPr="002F46E7" w:rsidRDefault="00CA66E7" w:rsidP="00162BB5">
      <w:pPr>
        <w:numPr>
          <w:ilvl w:val="0"/>
          <w:numId w:val="22"/>
        </w:numPr>
        <w:ind w:left="720"/>
        <w:contextualSpacing/>
        <w:rPr>
          <w:rFonts w:eastAsiaTheme="minorHAnsi" w:cs="Arial"/>
        </w:rPr>
      </w:pPr>
      <w:r w:rsidRPr="002F46E7">
        <w:rPr>
          <w:rFonts w:eastAsiaTheme="minorHAnsi" w:cs="Arial"/>
        </w:rPr>
        <w:t>CPAG</w:t>
      </w:r>
    </w:p>
    <w:p w14:paraId="327B7A01" w14:textId="77777777" w:rsidR="00CA66E7" w:rsidRPr="002F46E7" w:rsidRDefault="00CA66E7" w:rsidP="00162BB5">
      <w:pPr>
        <w:numPr>
          <w:ilvl w:val="0"/>
          <w:numId w:val="22"/>
        </w:numPr>
        <w:ind w:left="720"/>
        <w:contextualSpacing/>
        <w:rPr>
          <w:rFonts w:eastAsiaTheme="minorHAnsi" w:cs="Arial"/>
        </w:rPr>
      </w:pPr>
      <w:r w:rsidRPr="002F46E7">
        <w:rPr>
          <w:rFonts w:eastAsiaTheme="minorHAnsi" w:cs="Arial"/>
        </w:rPr>
        <w:t>ACSE</w:t>
      </w:r>
    </w:p>
    <w:p w14:paraId="460439DA" w14:textId="23F92030" w:rsidR="00CA66E7" w:rsidRPr="002F46E7" w:rsidRDefault="00CA66E7" w:rsidP="00162BB5">
      <w:pPr>
        <w:numPr>
          <w:ilvl w:val="0"/>
          <w:numId w:val="22"/>
        </w:numPr>
        <w:ind w:left="720"/>
        <w:contextualSpacing/>
        <w:rPr>
          <w:rFonts w:eastAsiaTheme="minorHAnsi" w:cs="Arial"/>
        </w:rPr>
      </w:pPr>
      <w:r w:rsidRPr="002F46E7">
        <w:rPr>
          <w:rFonts w:eastAsiaTheme="minorHAnsi" w:cs="Arial"/>
        </w:rPr>
        <w:t>Regional Assessment Network</w:t>
      </w:r>
    </w:p>
    <w:p w14:paraId="59510D3C" w14:textId="2B50FE39" w:rsidR="00CA66E7" w:rsidRPr="002F46E7" w:rsidRDefault="00912D1A" w:rsidP="00162BB5">
      <w:pPr>
        <w:numPr>
          <w:ilvl w:val="0"/>
          <w:numId w:val="22"/>
        </w:numPr>
        <w:spacing w:after="240"/>
        <w:ind w:left="720"/>
        <w:rPr>
          <w:rFonts w:eastAsiaTheme="minorHAnsi" w:cs="Arial"/>
        </w:rPr>
      </w:pPr>
      <w:r w:rsidRPr="002F46E7">
        <w:rPr>
          <w:rFonts w:eastAsiaTheme="minorHAnsi" w:cs="Arial"/>
        </w:rPr>
        <w:t>LCFF</w:t>
      </w:r>
      <w:r w:rsidR="00CA66E7" w:rsidRPr="002F46E7">
        <w:rPr>
          <w:rFonts w:eastAsiaTheme="minorHAnsi" w:cs="Arial"/>
        </w:rPr>
        <w:t xml:space="preserve"> Stakeholder Group</w:t>
      </w:r>
    </w:p>
    <w:p w14:paraId="5AEF7A54" w14:textId="4446420F" w:rsidR="00EC3B33" w:rsidRPr="00AA2D3D" w:rsidRDefault="00CA66E7" w:rsidP="00AA2D3D">
      <w:r w:rsidRPr="002F46E7">
        <w:rPr>
          <w:rFonts w:eastAsiaTheme="minorHAnsi" w:cs="Arial"/>
        </w:rPr>
        <w:t>During its meetings with these stakeholder groups, the CDE shares any new CCI measures under consideration and actively seeks their feedback and recommendations, which are incorporated into the final set of recommendations brought to the SBE.</w:t>
      </w:r>
    </w:p>
    <w:sectPr w:rsidR="00EC3B33" w:rsidRPr="00AA2D3D" w:rsidSect="004346A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55072" w14:textId="77777777" w:rsidR="00E92CEC" w:rsidRDefault="00E92CEC" w:rsidP="0046414C">
      <w:r>
        <w:separator/>
      </w:r>
    </w:p>
  </w:endnote>
  <w:endnote w:type="continuationSeparator" w:id="0">
    <w:p w14:paraId="233D26CB" w14:textId="77777777" w:rsidR="00E92CEC" w:rsidRDefault="00E92CEC" w:rsidP="0046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4BB18" w14:textId="77777777" w:rsidR="00E92CEC" w:rsidRDefault="00E92CEC" w:rsidP="0046414C">
      <w:r>
        <w:separator/>
      </w:r>
    </w:p>
  </w:footnote>
  <w:footnote w:type="continuationSeparator" w:id="0">
    <w:p w14:paraId="4DAF5514" w14:textId="77777777" w:rsidR="00E92CEC" w:rsidRDefault="00E92CEC" w:rsidP="0046414C">
      <w:r>
        <w:continuationSeparator/>
      </w:r>
    </w:p>
  </w:footnote>
  <w:footnote w:id="1">
    <w:p w14:paraId="25EFD4C2" w14:textId="1D9E3626" w:rsidR="00275DC1" w:rsidRPr="002F46E7" w:rsidRDefault="00275DC1" w:rsidP="00CA66E7">
      <w:pPr>
        <w:pStyle w:val="FootnoteText"/>
        <w:rPr>
          <w:rFonts w:ascii="Arial" w:hAnsi="Arial" w:cs="Arial"/>
          <w:sz w:val="24"/>
          <w:szCs w:val="24"/>
        </w:rPr>
      </w:pPr>
      <w:r w:rsidRPr="002F46E7">
        <w:rPr>
          <w:rStyle w:val="FootnoteReference"/>
          <w:rFonts w:ascii="Arial" w:hAnsi="Arial" w:cs="Arial"/>
          <w:sz w:val="24"/>
          <w:szCs w:val="24"/>
        </w:rPr>
        <w:footnoteRef/>
      </w:r>
      <w:r w:rsidRPr="002F46E7">
        <w:rPr>
          <w:rFonts w:ascii="Arial" w:hAnsi="Arial" w:cs="Arial"/>
          <w:sz w:val="24"/>
          <w:szCs w:val="24"/>
        </w:rPr>
        <w:t xml:space="preserve"> In his final report, </w:t>
      </w:r>
      <w:r w:rsidR="001F1186" w:rsidRPr="002F46E7">
        <w:rPr>
          <w:rFonts w:ascii="Arial" w:hAnsi="Arial" w:cs="Arial"/>
          <w:sz w:val="24"/>
          <w:szCs w:val="24"/>
        </w:rPr>
        <w:t xml:space="preserve">Dr. </w:t>
      </w:r>
      <w:r w:rsidRPr="002F46E7">
        <w:rPr>
          <w:rFonts w:ascii="Arial" w:hAnsi="Arial" w:cs="Arial"/>
          <w:sz w:val="24"/>
          <w:szCs w:val="24"/>
        </w:rPr>
        <w:t xml:space="preserve">Conley wrote that metacognitive assessment and performance assessment cannot currently match the type of institutional stability that other assessments (e.g., as produced by the ACT, College Board, and IB) offer, but that they hold great promise. The CDE did not include these measures in its initial recommendations but is investigating ways to incorporate them into the CCI in the future. </w:t>
      </w:r>
    </w:p>
  </w:footnote>
  <w:footnote w:id="2">
    <w:p w14:paraId="1343BBDB" w14:textId="0E68D12E" w:rsidR="006C641F" w:rsidRPr="002F46E7" w:rsidRDefault="006C641F">
      <w:pPr>
        <w:pStyle w:val="FootnoteText"/>
        <w:rPr>
          <w:rFonts w:ascii="Arial" w:hAnsi="Arial" w:cs="Arial"/>
          <w:sz w:val="24"/>
          <w:szCs w:val="24"/>
        </w:rPr>
      </w:pPr>
      <w:r w:rsidRPr="002F46E7">
        <w:rPr>
          <w:rStyle w:val="FootnoteReference"/>
          <w:rFonts w:ascii="Arial" w:hAnsi="Arial" w:cs="Arial"/>
          <w:sz w:val="24"/>
          <w:szCs w:val="24"/>
        </w:rPr>
        <w:footnoteRef/>
      </w:r>
      <w:r w:rsidRPr="002F46E7">
        <w:rPr>
          <w:rFonts w:ascii="Arial" w:hAnsi="Arial" w:cs="Arial"/>
          <w:sz w:val="24"/>
          <w:szCs w:val="24"/>
        </w:rPr>
        <w:t xml:space="preserve"> The sample includes grade eleven students statewide who took both the Smarter Balanced Summative Assessments and SAT and who subsequently enrolled as first time freshmen (in 2016–17) at one of the 23 campuses of the CSU system. (A smaller analytic sample included those who enrolled at the </w:t>
      </w:r>
      <w:r w:rsidR="00CC4C9B" w:rsidRPr="002F46E7">
        <w:rPr>
          <w:rFonts w:ascii="Arial" w:hAnsi="Arial" w:cs="Arial"/>
          <w:sz w:val="24"/>
          <w:szCs w:val="24"/>
        </w:rPr>
        <w:t>UC</w:t>
      </w:r>
      <w:r w:rsidRPr="002F46E7">
        <w:rPr>
          <w:rFonts w:ascii="Arial" w:hAnsi="Arial" w:cs="Arial"/>
          <w:sz w:val="24"/>
          <w:szCs w:val="24"/>
        </w:rPr>
        <w:t xml:space="preserve"> Davis.)</w:t>
      </w:r>
    </w:p>
  </w:footnote>
  <w:footnote w:id="3">
    <w:p w14:paraId="7CC1CBAC" w14:textId="4D64FF1F" w:rsidR="00275DC1" w:rsidRPr="002F46E7" w:rsidRDefault="00275DC1" w:rsidP="00CA66E7">
      <w:pPr>
        <w:pStyle w:val="FootnoteText"/>
        <w:rPr>
          <w:rFonts w:ascii="Arial" w:hAnsi="Arial" w:cs="Arial"/>
          <w:sz w:val="24"/>
          <w:szCs w:val="24"/>
        </w:rPr>
      </w:pPr>
      <w:r w:rsidRPr="002F46E7">
        <w:rPr>
          <w:rStyle w:val="FootnoteReference"/>
          <w:rFonts w:ascii="Arial" w:hAnsi="Arial" w:cs="Arial"/>
          <w:sz w:val="24"/>
          <w:szCs w:val="24"/>
        </w:rPr>
        <w:footnoteRef/>
      </w:r>
      <w:r w:rsidRPr="002F46E7">
        <w:rPr>
          <w:rFonts w:ascii="Arial" w:hAnsi="Arial" w:cs="Arial"/>
          <w:sz w:val="24"/>
          <w:szCs w:val="24"/>
        </w:rPr>
        <w:t xml:space="preserve"> Presented in September 2013 and posted at </w:t>
      </w:r>
      <w:hyperlink r:id="rId1" w:tooltip="Identifying Indicators of College Readiness &amp; Success" w:history="1">
        <w:r w:rsidRPr="002F46E7">
          <w:rPr>
            <w:rStyle w:val="Hyperlink"/>
            <w:rFonts w:ascii="Arial" w:hAnsi="Arial" w:cs="Arial"/>
            <w:color w:val="2E74B5" w:themeColor="accent1" w:themeShade="BF"/>
            <w:sz w:val="24"/>
            <w:szCs w:val="24"/>
          </w:rPr>
          <w:t>https://education.ucdavis.edu/sites/main/files/file-attachments/kurlaenderjacksonpsaa9-6-13_presentation-distribute.pdf</w:t>
        </w:r>
      </w:hyperlink>
      <w:r w:rsidR="006C641F" w:rsidRPr="002F46E7">
        <w:rPr>
          <w:rStyle w:val="Hyperlink"/>
          <w:rFonts w:ascii="Arial" w:hAnsi="Arial" w:cs="Arial"/>
          <w:color w:val="auto"/>
          <w:sz w:val="24"/>
          <w:szCs w:val="24"/>
          <w:u w:val="none"/>
        </w:rPr>
        <w:t>.</w:t>
      </w:r>
    </w:p>
  </w:footnote>
  <w:footnote w:id="4">
    <w:p w14:paraId="31AF8457" w14:textId="44586D8B" w:rsidR="00275DC1" w:rsidRPr="00FC33EB" w:rsidRDefault="00275DC1" w:rsidP="00CA66E7">
      <w:pPr>
        <w:pStyle w:val="BodyText"/>
        <w:spacing w:after="240"/>
        <w:rPr>
          <w:rFonts w:cs="Arial"/>
          <w:sz w:val="22"/>
          <w:szCs w:val="22"/>
        </w:rPr>
      </w:pPr>
      <w:r w:rsidRPr="002F46E7">
        <w:rPr>
          <w:rStyle w:val="FootnoteReference"/>
          <w:rFonts w:eastAsiaTheme="majorEastAsia" w:cs="Arial"/>
        </w:rPr>
        <w:footnoteRef/>
      </w:r>
      <w:r w:rsidRPr="002F46E7">
        <w:rPr>
          <w:rFonts w:cs="Arial"/>
        </w:rPr>
        <w:t xml:space="preserve"> </w:t>
      </w:r>
      <w:r w:rsidR="001F1186" w:rsidRPr="002F46E7">
        <w:rPr>
          <w:rFonts w:cs="Arial"/>
        </w:rPr>
        <w:t xml:space="preserve">Dr. </w:t>
      </w:r>
      <w:proofErr w:type="spellStart"/>
      <w:r w:rsidRPr="002F46E7">
        <w:rPr>
          <w:rFonts w:cs="Arial"/>
        </w:rPr>
        <w:t>Kurlaender’s</w:t>
      </w:r>
      <w:proofErr w:type="spellEnd"/>
      <w:r w:rsidRPr="002F46E7">
        <w:rPr>
          <w:rFonts w:cs="Arial"/>
        </w:rPr>
        <w:t xml:space="preserve"> early analyses were based on data from the Early Assessment Program (EAP), which were, in turn, based on results from the enhanced Standardized Testing and Reporting (STAR) Program. The Smarter Balanced Summative Assessments have since replaced the EAP</w:t>
      </w:r>
      <w:r w:rsidR="006C641F" w:rsidRPr="002F46E7">
        <w:rPr>
          <w:rFonts w:cs="Arial"/>
        </w:rPr>
        <w:t xml:space="preserve"> and STAR</w:t>
      </w:r>
      <w:r w:rsidRPr="002F46E7">
        <w:rPr>
          <w:rFonts w:cs="Arial"/>
        </w:rPr>
        <w:t xml:space="preserve">. </w:t>
      </w:r>
    </w:p>
  </w:footnote>
  <w:footnote w:id="5">
    <w:p w14:paraId="5BB6E1E6" w14:textId="6FE6F826" w:rsidR="00275DC1" w:rsidRPr="002F46E7" w:rsidRDefault="00275DC1" w:rsidP="00162BB5">
      <w:pPr>
        <w:pStyle w:val="BodyText"/>
        <w:spacing w:after="0"/>
      </w:pPr>
      <w:r w:rsidRPr="002F46E7">
        <w:rPr>
          <w:rStyle w:val="FootnoteReference"/>
          <w:rFonts w:eastAsiaTheme="majorEastAsia"/>
        </w:rPr>
        <w:footnoteRef/>
      </w:r>
      <w:r w:rsidRPr="002F46E7">
        <w:t xml:space="preserve"> </w:t>
      </w:r>
      <w:r w:rsidRPr="002F46E7">
        <w:rPr>
          <w:rFonts w:cs="Arial"/>
        </w:rPr>
        <w:t>The sample includes grade eleven students statewide who took both the Smarter Balanced Summative Assessments and SAT and who subsequently enrolled as first time freshmen (in 2016</w:t>
      </w:r>
      <w:r w:rsidR="00462F77" w:rsidRPr="002F46E7">
        <w:rPr>
          <w:rFonts w:cs="Arial"/>
        </w:rPr>
        <w:t>–</w:t>
      </w:r>
      <w:r w:rsidRPr="002F46E7">
        <w:rPr>
          <w:rFonts w:cs="Arial"/>
        </w:rPr>
        <w:t xml:space="preserve">17) at one of the 23 campuses of the CSU system. (A smaller analytic sample included those who enrolled at the </w:t>
      </w:r>
      <w:r w:rsidR="00CC4C9B" w:rsidRPr="002F46E7">
        <w:rPr>
          <w:rFonts w:cs="Arial"/>
        </w:rPr>
        <w:t>UC</w:t>
      </w:r>
      <w:r w:rsidRPr="002F46E7">
        <w:rPr>
          <w:rFonts w:cs="Arial"/>
        </w:rPr>
        <w:t xml:space="preserve"> Davis.)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6EBC0" w14:textId="5C13A495" w:rsidR="00275DC1" w:rsidRPr="002F46E7" w:rsidRDefault="00275DC1" w:rsidP="0046414C">
    <w:pPr>
      <w:pStyle w:val="Header"/>
      <w:jc w:val="right"/>
    </w:pPr>
    <w:proofErr w:type="gramStart"/>
    <w:r w:rsidRPr="002F46E7">
      <w:t>memo-pptb-amard-apr18item01</w:t>
    </w:r>
    <w:proofErr w:type="gramEnd"/>
  </w:p>
  <w:p w14:paraId="7917C1CF" w14:textId="1F730ECF" w:rsidR="00275DC1" w:rsidRPr="002F46E7" w:rsidRDefault="00275DC1" w:rsidP="0046414C">
    <w:pPr>
      <w:pStyle w:val="Header"/>
      <w:jc w:val="right"/>
    </w:pPr>
    <w:r w:rsidRPr="002F46E7">
      <w:t>Attachment 1</w:t>
    </w:r>
  </w:p>
  <w:p w14:paraId="150EEFF2" w14:textId="523D7F66" w:rsidR="00275DC1" w:rsidRPr="00E144E4" w:rsidRDefault="00275DC1" w:rsidP="002F46E7">
    <w:pPr>
      <w:pStyle w:val="Header"/>
      <w:spacing w:after="120"/>
      <w:jc w:val="right"/>
      <w:rPr>
        <w:sz w:val="22"/>
      </w:rPr>
    </w:pPr>
    <w:r w:rsidRPr="002F46E7">
      <w:t xml:space="preserve">Page </w:t>
    </w:r>
    <w:r w:rsidRPr="002F46E7">
      <w:fldChar w:fldCharType="begin"/>
    </w:r>
    <w:r w:rsidRPr="002F46E7">
      <w:instrText xml:space="preserve"> PAGE   \* MERGEFORMAT </w:instrText>
    </w:r>
    <w:r w:rsidRPr="002F46E7">
      <w:fldChar w:fldCharType="separate"/>
    </w:r>
    <w:r w:rsidR="00ED7376">
      <w:rPr>
        <w:noProof/>
      </w:rPr>
      <w:t>14</w:t>
    </w:r>
    <w:r w:rsidRPr="002F46E7">
      <w:rPr>
        <w:noProof/>
      </w:rPr>
      <w:fldChar w:fldCharType="end"/>
    </w:r>
    <w:r w:rsidRPr="002F46E7">
      <w:rPr>
        <w:noProof/>
      </w:rPr>
      <w:t xml:space="preserve"> of 1</w:t>
    </w:r>
    <w:r w:rsidR="00EC3B33" w:rsidRPr="002F46E7">
      <w:rPr>
        <w:noProof/>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E1D"/>
    <w:multiLevelType w:val="hybridMultilevel"/>
    <w:tmpl w:val="2F56778E"/>
    <w:lvl w:ilvl="0" w:tplc="FB7C8FFE">
      <w:start w:val="1"/>
      <w:numFmt w:val="bullet"/>
      <w:lvlText w:val="•"/>
      <w:lvlJc w:val="left"/>
      <w:pPr>
        <w:tabs>
          <w:tab w:val="num" w:pos="720"/>
        </w:tabs>
        <w:ind w:left="720" w:hanging="360"/>
      </w:pPr>
      <w:rPr>
        <w:rFonts w:ascii="Arial" w:hAnsi="Arial" w:hint="default"/>
      </w:rPr>
    </w:lvl>
    <w:lvl w:ilvl="1" w:tplc="67F21CA8">
      <w:start w:val="142"/>
      <w:numFmt w:val="bullet"/>
      <w:lvlText w:val="–"/>
      <w:lvlJc w:val="left"/>
      <w:pPr>
        <w:tabs>
          <w:tab w:val="num" w:pos="1440"/>
        </w:tabs>
        <w:ind w:left="1440" w:hanging="360"/>
      </w:pPr>
      <w:rPr>
        <w:rFonts w:ascii="Arial" w:hAnsi="Arial" w:hint="default"/>
      </w:rPr>
    </w:lvl>
    <w:lvl w:ilvl="2" w:tplc="D83E5CB4" w:tentative="1">
      <w:start w:val="1"/>
      <w:numFmt w:val="bullet"/>
      <w:lvlText w:val="•"/>
      <w:lvlJc w:val="left"/>
      <w:pPr>
        <w:tabs>
          <w:tab w:val="num" w:pos="2160"/>
        </w:tabs>
        <w:ind w:left="2160" w:hanging="360"/>
      </w:pPr>
      <w:rPr>
        <w:rFonts w:ascii="Arial" w:hAnsi="Arial" w:hint="default"/>
      </w:rPr>
    </w:lvl>
    <w:lvl w:ilvl="3" w:tplc="C1A45090" w:tentative="1">
      <w:start w:val="1"/>
      <w:numFmt w:val="bullet"/>
      <w:lvlText w:val="•"/>
      <w:lvlJc w:val="left"/>
      <w:pPr>
        <w:tabs>
          <w:tab w:val="num" w:pos="2880"/>
        </w:tabs>
        <w:ind w:left="2880" w:hanging="360"/>
      </w:pPr>
      <w:rPr>
        <w:rFonts w:ascii="Arial" w:hAnsi="Arial" w:hint="default"/>
      </w:rPr>
    </w:lvl>
    <w:lvl w:ilvl="4" w:tplc="0FCC449A" w:tentative="1">
      <w:start w:val="1"/>
      <w:numFmt w:val="bullet"/>
      <w:lvlText w:val="•"/>
      <w:lvlJc w:val="left"/>
      <w:pPr>
        <w:tabs>
          <w:tab w:val="num" w:pos="3600"/>
        </w:tabs>
        <w:ind w:left="3600" w:hanging="360"/>
      </w:pPr>
      <w:rPr>
        <w:rFonts w:ascii="Arial" w:hAnsi="Arial" w:hint="default"/>
      </w:rPr>
    </w:lvl>
    <w:lvl w:ilvl="5" w:tplc="450C72EA" w:tentative="1">
      <w:start w:val="1"/>
      <w:numFmt w:val="bullet"/>
      <w:lvlText w:val="•"/>
      <w:lvlJc w:val="left"/>
      <w:pPr>
        <w:tabs>
          <w:tab w:val="num" w:pos="4320"/>
        </w:tabs>
        <w:ind w:left="4320" w:hanging="360"/>
      </w:pPr>
      <w:rPr>
        <w:rFonts w:ascii="Arial" w:hAnsi="Arial" w:hint="default"/>
      </w:rPr>
    </w:lvl>
    <w:lvl w:ilvl="6" w:tplc="E0AEF2B8" w:tentative="1">
      <w:start w:val="1"/>
      <w:numFmt w:val="bullet"/>
      <w:lvlText w:val="•"/>
      <w:lvlJc w:val="left"/>
      <w:pPr>
        <w:tabs>
          <w:tab w:val="num" w:pos="5040"/>
        </w:tabs>
        <w:ind w:left="5040" w:hanging="360"/>
      </w:pPr>
      <w:rPr>
        <w:rFonts w:ascii="Arial" w:hAnsi="Arial" w:hint="default"/>
      </w:rPr>
    </w:lvl>
    <w:lvl w:ilvl="7" w:tplc="09543F14" w:tentative="1">
      <w:start w:val="1"/>
      <w:numFmt w:val="bullet"/>
      <w:lvlText w:val="•"/>
      <w:lvlJc w:val="left"/>
      <w:pPr>
        <w:tabs>
          <w:tab w:val="num" w:pos="5760"/>
        </w:tabs>
        <w:ind w:left="5760" w:hanging="360"/>
      </w:pPr>
      <w:rPr>
        <w:rFonts w:ascii="Arial" w:hAnsi="Arial" w:hint="default"/>
      </w:rPr>
    </w:lvl>
    <w:lvl w:ilvl="8" w:tplc="52B098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1F5612"/>
    <w:multiLevelType w:val="hybridMultilevel"/>
    <w:tmpl w:val="5D842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3118"/>
    <w:multiLevelType w:val="hybridMultilevel"/>
    <w:tmpl w:val="656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B48AD"/>
    <w:multiLevelType w:val="hybridMultilevel"/>
    <w:tmpl w:val="C38C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70051A"/>
    <w:multiLevelType w:val="hybridMultilevel"/>
    <w:tmpl w:val="CD32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439FE"/>
    <w:multiLevelType w:val="hybridMultilevel"/>
    <w:tmpl w:val="2E641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B70689"/>
    <w:multiLevelType w:val="hybridMultilevel"/>
    <w:tmpl w:val="D5103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4F2523"/>
    <w:multiLevelType w:val="hybridMultilevel"/>
    <w:tmpl w:val="E7DC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56275"/>
    <w:multiLevelType w:val="hybridMultilevel"/>
    <w:tmpl w:val="299C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37F6C"/>
    <w:multiLevelType w:val="hybridMultilevel"/>
    <w:tmpl w:val="7330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04BC6"/>
    <w:multiLevelType w:val="hybridMultilevel"/>
    <w:tmpl w:val="4A5059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1D86D37"/>
    <w:multiLevelType w:val="hybridMultilevel"/>
    <w:tmpl w:val="524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1016"/>
    <w:multiLevelType w:val="hybridMultilevel"/>
    <w:tmpl w:val="8294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052A4"/>
    <w:multiLevelType w:val="hybridMultilevel"/>
    <w:tmpl w:val="ADC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16E9B"/>
    <w:multiLevelType w:val="hybridMultilevel"/>
    <w:tmpl w:val="F65E0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8EE1B42"/>
    <w:multiLevelType w:val="hybridMultilevel"/>
    <w:tmpl w:val="B46E9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06418E"/>
    <w:multiLevelType w:val="hybridMultilevel"/>
    <w:tmpl w:val="236E7A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898138E"/>
    <w:multiLevelType w:val="hybridMultilevel"/>
    <w:tmpl w:val="A50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5CEB"/>
    <w:multiLevelType w:val="hybridMultilevel"/>
    <w:tmpl w:val="F5625F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F557DA2"/>
    <w:multiLevelType w:val="hybridMultilevel"/>
    <w:tmpl w:val="27D8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014F9"/>
    <w:multiLevelType w:val="hybridMultilevel"/>
    <w:tmpl w:val="A95A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D4B1E"/>
    <w:multiLevelType w:val="hybridMultilevel"/>
    <w:tmpl w:val="C8ACE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8218FB"/>
    <w:multiLevelType w:val="hybridMultilevel"/>
    <w:tmpl w:val="128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D6907"/>
    <w:multiLevelType w:val="hybridMultilevel"/>
    <w:tmpl w:val="8004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5"/>
  </w:num>
  <w:num w:numId="4">
    <w:abstractNumId w:val="6"/>
  </w:num>
  <w:num w:numId="5">
    <w:abstractNumId w:val="0"/>
  </w:num>
  <w:num w:numId="6">
    <w:abstractNumId w:val="9"/>
  </w:num>
  <w:num w:numId="7">
    <w:abstractNumId w:val="22"/>
  </w:num>
  <w:num w:numId="8">
    <w:abstractNumId w:val="1"/>
  </w:num>
  <w:num w:numId="9">
    <w:abstractNumId w:val="3"/>
  </w:num>
  <w:num w:numId="10">
    <w:abstractNumId w:val="20"/>
  </w:num>
  <w:num w:numId="11">
    <w:abstractNumId w:val="12"/>
  </w:num>
  <w:num w:numId="12">
    <w:abstractNumId w:val="13"/>
  </w:num>
  <w:num w:numId="13">
    <w:abstractNumId w:val="10"/>
  </w:num>
  <w:num w:numId="14">
    <w:abstractNumId w:val="8"/>
  </w:num>
  <w:num w:numId="15">
    <w:abstractNumId w:val="5"/>
  </w:num>
  <w:num w:numId="16">
    <w:abstractNumId w:val="23"/>
  </w:num>
  <w:num w:numId="17">
    <w:abstractNumId w:val="14"/>
  </w:num>
  <w:num w:numId="18">
    <w:abstractNumId w:val="11"/>
  </w:num>
  <w:num w:numId="19">
    <w:abstractNumId w:val="2"/>
  </w:num>
  <w:num w:numId="20">
    <w:abstractNumId w:val="17"/>
  </w:num>
  <w:num w:numId="21">
    <w:abstractNumId w:val="16"/>
  </w:num>
  <w:num w:numId="22">
    <w:abstractNumId w:val="18"/>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05A35"/>
    <w:rsid w:val="0001526C"/>
    <w:rsid w:val="000329DC"/>
    <w:rsid w:val="00040DD7"/>
    <w:rsid w:val="000514D4"/>
    <w:rsid w:val="00053B2A"/>
    <w:rsid w:val="00056BC7"/>
    <w:rsid w:val="00057A96"/>
    <w:rsid w:val="00062B6A"/>
    <w:rsid w:val="00066E79"/>
    <w:rsid w:val="00070C1D"/>
    <w:rsid w:val="00077927"/>
    <w:rsid w:val="00091E08"/>
    <w:rsid w:val="000C139F"/>
    <w:rsid w:val="000E7371"/>
    <w:rsid w:val="001356F0"/>
    <w:rsid w:val="0015426D"/>
    <w:rsid w:val="0016173B"/>
    <w:rsid w:val="00162BB5"/>
    <w:rsid w:val="001648E9"/>
    <w:rsid w:val="00164C11"/>
    <w:rsid w:val="00184DEF"/>
    <w:rsid w:val="001A0EB3"/>
    <w:rsid w:val="001C57FD"/>
    <w:rsid w:val="001D45AE"/>
    <w:rsid w:val="001D4602"/>
    <w:rsid w:val="001F1186"/>
    <w:rsid w:val="002120CB"/>
    <w:rsid w:val="00227E0B"/>
    <w:rsid w:val="00230ADB"/>
    <w:rsid w:val="0023269E"/>
    <w:rsid w:val="002408E4"/>
    <w:rsid w:val="00275DC1"/>
    <w:rsid w:val="002878A8"/>
    <w:rsid w:val="0029286A"/>
    <w:rsid w:val="00297B10"/>
    <w:rsid w:val="002A7B71"/>
    <w:rsid w:val="002D2403"/>
    <w:rsid w:val="002E2577"/>
    <w:rsid w:val="002F46E7"/>
    <w:rsid w:val="00301FFD"/>
    <w:rsid w:val="0031735F"/>
    <w:rsid w:val="00321D49"/>
    <w:rsid w:val="00322C00"/>
    <w:rsid w:val="00325EAA"/>
    <w:rsid w:val="0033616F"/>
    <w:rsid w:val="00350938"/>
    <w:rsid w:val="00364C1F"/>
    <w:rsid w:val="003912F9"/>
    <w:rsid w:val="003A0FD7"/>
    <w:rsid w:val="003D1E70"/>
    <w:rsid w:val="003E23D8"/>
    <w:rsid w:val="003E3B94"/>
    <w:rsid w:val="004346A4"/>
    <w:rsid w:val="004463F9"/>
    <w:rsid w:val="00462F77"/>
    <w:rsid w:val="0046414C"/>
    <w:rsid w:val="00474A2F"/>
    <w:rsid w:val="004D06B7"/>
    <w:rsid w:val="004E121C"/>
    <w:rsid w:val="0051479B"/>
    <w:rsid w:val="00533AD4"/>
    <w:rsid w:val="0054334A"/>
    <w:rsid w:val="005639D2"/>
    <w:rsid w:val="005954AC"/>
    <w:rsid w:val="005A3271"/>
    <w:rsid w:val="005B1325"/>
    <w:rsid w:val="005D600A"/>
    <w:rsid w:val="005F07BE"/>
    <w:rsid w:val="005F10AA"/>
    <w:rsid w:val="005F44F1"/>
    <w:rsid w:val="0060302B"/>
    <w:rsid w:val="00616A85"/>
    <w:rsid w:val="006332BB"/>
    <w:rsid w:val="00662CE7"/>
    <w:rsid w:val="00681207"/>
    <w:rsid w:val="00685069"/>
    <w:rsid w:val="006A0248"/>
    <w:rsid w:val="006B279A"/>
    <w:rsid w:val="006C641F"/>
    <w:rsid w:val="007722B0"/>
    <w:rsid w:val="0078683C"/>
    <w:rsid w:val="007A2653"/>
    <w:rsid w:val="007A7F1B"/>
    <w:rsid w:val="00804F31"/>
    <w:rsid w:val="00816F8F"/>
    <w:rsid w:val="008213F2"/>
    <w:rsid w:val="00840BB6"/>
    <w:rsid w:val="00851771"/>
    <w:rsid w:val="00874F38"/>
    <w:rsid w:val="008B1135"/>
    <w:rsid w:val="008B4132"/>
    <w:rsid w:val="008D148D"/>
    <w:rsid w:val="008D2B05"/>
    <w:rsid w:val="008F6CA0"/>
    <w:rsid w:val="00912D1A"/>
    <w:rsid w:val="00962C0F"/>
    <w:rsid w:val="00963290"/>
    <w:rsid w:val="0096408D"/>
    <w:rsid w:val="00982A10"/>
    <w:rsid w:val="00985571"/>
    <w:rsid w:val="009A74FA"/>
    <w:rsid w:val="009C5CF9"/>
    <w:rsid w:val="009D78B4"/>
    <w:rsid w:val="009E2027"/>
    <w:rsid w:val="00A02F0A"/>
    <w:rsid w:val="00A0788D"/>
    <w:rsid w:val="00A11875"/>
    <w:rsid w:val="00A21A6F"/>
    <w:rsid w:val="00A33CBF"/>
    <w:rsid w:val="00A35C73"/>
    <w:rsid w:val="00A5496A"/>
    <w:rsid w:val="00A64FD1"/>
    <w:rsid w:val="00A86B0B"/>
    <w:rsid w:val="00AA2D3D"/>
    <w:rsid w:val="00AB4C92"/>
    <w:rsid w:val="00AB71D9"/>
    <w:rsid w:val="00AC2F41"/>
    <w:rsid w:val="00B212F0"/>
    <w:rsid w:val="00B73E6E"/>
    <w:rsid w:val="00BC3667"/>
    <w:rsid w:val="00BC376B"/>
    <w:rsid w:val="00BF7F32"/>
    <w:rsid w:val="00C055A3"/>
    <w:rsid w:val="00C420BB"/>
    <w:rsid w:val="00C520F2"/>
    <w:rsid w:val="00C61F78"/>
    <w:rsid w:val="00C63F38"/>
    <w:rsid w:val="00C63FAA"/>
    <w:rsid w:val="00C65524"/>
    <w:rsid w:val="00CA66E7"/>
    <w:rsid w:val="00CC4C9B"/>
    <w:rsid w:val="00CC5474"/>
    <w:rsid w:val="00D0380D"/>
    <w:rsid w:val="00D417A7"/>
    <w:rsid w:val="00D569B3"/>
    <w:rsid w:val="00D81E7D"/>
    <w:rsid w:val="00DC5FAA"/>
    <w:rsid w:val="00E0313C"/>
    <w:rsid w:val="00E064EB"/>
    <w:rsid w:val="00E144E4"/>
    <w:rsid w:val="00E233D2"/>
    <w:rsid w:val="00E32FDC"/>
    <w:rsid w:val="00E372C4"/>
    <w:rsid w:val="00E42CB7"/>
    <w:rsid w:val="00E56EA4"/>
    <w:rsid w:val="00E7789E"/>
    <w:rsid w:val="00E92CEC"/>
    <w:rsid w:val="00EC333B"/>
    <w:rsid w:val="00EC3B33"/>
    <w:rsid w:val="00EC3FF1"/>
    <w:rsid w:val="00EC5947"/>
    <w:rsid w:val="00ED7376"/>
    <w:rsid w:val="00F06887"/>
    <w:rsid w:val="00F37CA7"/>
    <w:rsid w:val="00FC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E524F1"/>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A0F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F07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rsid w:val="001356F0"/>
    <w:rPr>
      <w:color w:val="0000FF"/>
      <w:u w:val="single"/>
    </w:rPr>
  </w:style>
  <w:style w:type="character" w:styleId="Strong">
    <w:name w:val="Strong"/>
    <w:basedOn w:val="DefaultParagraphFont"/>
    <w:uiPriority w:val="22"/>
    <w:qFormat/>
    <w:rsid w:val="001356F0"/>
    <w:rPr>
      <w:b/>
      <w:bCs/>
    </w:rPr>
  </w:style>
  <w:style w:type="paragraph" w:styleId="BodyText">
    <w:name w:val="Body Text"/>
    <w:basedOn w:val="Normal"/>
    <w:link w:val="BodyTextChar"/>
    <w:rsid w:val="00E064EB"/>
    <w:pPr>
      <w:spacing w:after="120"/>
    </w:pPr>
  </w:style>
  <w:style w:type="character" w:customStyle="1" w:styleId="BodyTextChar">
    <w:name w:val="Body Text Char"/>
    <w:basedOn w:val="DefaultParagraphFont"/>
    <w:link w:val="BodyText"/>
    <w:rsid w:val="00E064EB"/>
    <w:rPr>
      <w:rFonts w:ascii="Arial" w:eastAsia="Times New Roman" w:hAnsi="Arial" w:cs="Times New Roman"/>
      <w:sz w:val="24"/>
      <w:szCs w:val="24"/>
    </w:rPr>
  </w:style>
  <w:style w:type="paragraph" w:styleId="ListParagraph">
    <w:name w:val="List Paragraph"/>
    <w:basedOn w:val="Normal"/>
    <w:uiPriority w:val="34"/>
    <w:qFormat/>
    <w:rsid w:val="000E7371"/>
    <w:pPr>
      <w:ind w:left="720"/>
    </w:pPr>
    <w:rPr>
      <w:rFonts w:ascii="Calibri" w:eastAsiaTheme="minorHAnsi" w:hAnsi="Calibri" w:cs="Calibri"/>
      <w:sz w:val="22"/>
      <w:szCs w:val="22"/>
    </w:rPr>
  </w:style>
  <w:style w:type="character" w:customStyle="1" w:styleId="Heading3Char">
    <w:name w:val="Heading 3 Char"/>
    <w:basedOn w:val="DefaultParagraphFont"/>
    <w:link w:val="Heading3"/>
    <w:uiPriority w:val="9"/>
    <w:rsid w:val="003A0FD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A0FD7"/>
    <w:pPr>
      <w:spacing w:after="0" w:line="240" w:lineRule="auto"/>
    </w:pPr>
    <w:rPr>
      <w:rFonts w:ascii="Arial" w:hAnsi="Arial"/>
      <w:sz w:val="24"/>
    </w:rPr>
  </w:style>
  <w:style w:type="paragraph" w:customStyle="1" w:styleId="ColorfulList-Accent11">
    <w:name w:val="Colorful List - Accent 11"/>
    <w:basedOn w:val="Normal"/>
    <w:uiPriority w:val="34"/>
    <w:qFormat/>
    <w:rsid w:val="003A0FD7"/>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A21A6F"/>
    <w:rPr>
      <w:sz w:val="16"/>
      <w:szCs w:val="16"/>
    </w:rPr>
  </w:style>
  <w:style w:type="paragraph" w:styleId="CommentText">
    <w:name w:val="annotation text"/>
    <w:basedOn w:val="Normal"/>
    <w:link w:val="CommentTextChar"/>
    <w:uiPriority w:val="99"/>
    <w:semiHidden/>
    <w:unhideWhenUsed/>
    <w:rsid w:val="00A21A6F"/>
    <w:rPr>
      <w:sz w:val="20"/>
      <w:szCs w:val="20"/>
    </w:rPr>
  </w:style>
  <w:style w:type="character" w:customStyle="1" w:styleId="CommentTextChar">
    <w:name w:val="Comment Text Char"/>
    <w:basedOn w:val="DefaultParagraphFont"/>
    <w:link w:val="CommentText"/>
    <w:uiPriority w:val="99"/>
    <w:semiHidden/>
    <w:rsid w:val="00A21A6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21A6F"/>
    <w:rPr>
      <w:b/>
      <w:bCs/>
    </w:rPr>
  </w:style>
  <w:style w:type="character" w:customStyle="1" w:styleId="CommentSubjectChar">
    <w:name w:val="Comment Subject Char"/>
    <w:basedOn w:val="CommentTextChar"/>
    <w:link w:val="CommentSubject"/>
    <w:uiPriority w:val="99"/>
    <w:semiHidden/>
    <w:rsid w:val="00A21A6F"/>
    <w:rPr>
      <w:rFonts w:ascii="Arial" w:eastAsia="Times New Roman" w:hAnsi="Arial" w:cs="Times New Roman"/>
      <w:b/>
      <w:bCs/>
      <w:sz w:val="20"/>
      <w:szCs w:val="20"/>
    </w:rPr>
  </w:style>
  <w:style w:type="paragraph" w:styleId="Header">
    <w:name w:val="header"/>
    <w:basedOn w:val="Normal"/>
    <w:link w:val="HeaderChar"/>
    <w:uiPriority w:val="99"/>
    <w:unhideWhenUsed/>
    <w:rsid w:val="0046414C"/>
    <w:pPr>
      <w:tabs>
        <w:tab w:val="center" w:pos="4680"/>
        <w:tab w:val="right" w:pos="9360"/>
      </w:tabs>
    </w:pPr>
  </w:style>
  <w:style w:type="character" w:customStyle="1" w:styleId="HeaderChar">
    <w:name w:val="Header Char"/>
    <w:basedOn w:val="DefaultParagraphFont"/>
    <w:link w:val="Header"/>
    <w:uiPriority w:val="99"/>
    <w:rsid w:val="0046414C"/>
    <w:rPr>
      <w:rFonts w:ascii="Arial" w:eastAsia="Times New Roman" w:hAnsi="Arial" w:cs="Times New Roman"/>
      <w:sz w:val="24"/>
      <w:szCs w:val="24"/>
    </w:rPr>
  </w:style>
  <w:style w:type="paragraph" w:styleId="Footer">
    <w:name w:val="footer"/>
    <w:basedOn w:val="Normal"/>
    <w:link w:val="FooterChar"/>
    <w:uiPriority w:val="99"/>
    <w:unhideWhenUsed/>
    <w:rsid w:val="0046414C"/>
    <w:pPr>
      <w:tabs>
        <w:tab w:val="center" w:pos="4680"/>
        <w:tab w:val="right" w:pos="9360"/>
      </w:tabs>
    </w:pPr>
  </w:style>
  <w:style w:type="character" w:customStyle="1" w:styleId="FooterChar">
    <w:name w:val="Footer Char"/>
    <w:basedOn w:val="DefaultParagraphFont"/>
    <w:link w:val="Footer"/>
    <w:uiPriority w:val="99"/>
    <w:rsid w:val="0046414C"/>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6414C"/>
    <w:rPr>
      <w:color w:val="954F72" w:themeColor="followedHyperlink"/>
      <w:u w:val="single"/>
    </w:rPr>
  </w:style>
  <w:style w:type="table" w:styleId="TableGrid">
    <w:name w:val="Table Grid"/>
    <w:basedOn w:val="TableNormal"/>
    <w:uiPriority w:val="59"/>
    <w:rsid w:val="00CA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66E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A66E7"/>
    <w:rPr>
      <w:sz w:val="20"/>
      <w:szCs w:val="20"/>
    </w:rPr>
  </w:style>
  <w:style w:type="character" w:styleId="FootnoteReference">
    <w:name w:val="footnote reference"/>
    <w:basedOn w:val="DefaultParagraphFont"/>
    <w:uiPriority w:val="99"/>
    <w:semiHidden/>
    <w:unhideWhenUsed/>
    <w:rsid w:val="00CA66E7"/>
    <w:rPr>
      <w:vertAlign w:val="superscript"/>
    </w:rPr>
  </w:style>
  <w:style w:type="table" w:customStyle="1" w:styleId="TableGrid3">
    <w:name w:val="Table Grid3"/>
    <w:basedOn w:val="TableNormal"/>
    <w:next w:val="TableGrid"/>
    <w:uiPriority w:val="39"/>
    <w:rsid w:val="00CA66E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F07B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73518">
      <w:bodyDiv w:val="1"/>
      <w:marLeft w:val="0"/>
      <w:marRight w:val="0"/>
      <w:marTop w:val="0"/>
      <w:marBottom w:val="0"/>
      <w:divBdr>
        <w:top w:val="none" w:sz="0" w:space="0" w:color="auto"/>
        <w:left w:val="none" w:sz="0" w:space="0" w:color="auto"/>
        <w:bottom w:val="none" w:sz="0" w:space="0" w:color="auto"/>
        <w:right w:val="none" w:sz="0" w:space="0" w:color="auto"/>
      </w:divBdr>
      <w:divsChild>
        <w:div w:id="1017122109">
          <w:marLeft w:val="360"/>
          <w:marRight w:val="0"/>
          <w:marTop w:val="120"/>
          <w:marBottom w:val="120"/>
          <w:divBdr>
            <w:top w:val="none" w:sz="0" w:space="0" w:color="auto"/>
            <w:left w:val="none" w:sz="0" w:space="0" w:color="auto"/>
            <w:bottom w:val="none" w:sz="0" w:space="0" w:color="auto"/>
            <w:right w:val="none" w:sz="0" w:space="0" w:color="auto"/>
          </w:divBdr>
        </w:div>
        <w:div w:id="16851504">
          <w:marLeft w:val="1080"/>
          <w:marRight w:val="0"/>
          <w:marTop w:val="120"/>
          <w:marBottom w:val="120"/>
          <w:divBdr>
            <w:top w:val="none" w:sz="0" w:space="0" w:color="auto"/>
            <w:left w:val="none" w:sz="0" w:space="0" w:color="auto"/>
            <w:bottom w:val="none" w:sz="0" w:space="0" w:color="auto"/>
            <w:right w:val="none" w:sz="0" w:space="0" w:color="auto"/>
          </w:divBdr>
        </w:div>
      </w:divsChild>
    </w:div>
    <w:div w:id="514080805">
      <w:bodyDiv w:val="1"/>
      <w:marLeft w:val="0"/>
      <w:marRight w:val="0"/>
      <w:marTop w:val="0"/>
      <w:marBottom w:val="0"/>
      <w:divBdr>
        <w:top w:val="none" w:sz="0" w:space="0" w:color="auto"/>
        <w:left w:val="none" w:sz="0" w:space="0" w:color="auto"/>
        <w:bottom w:val="none" w:sz="0" w:space="0" w:color="auto"/>
        <w:right w:val="none" w:sz="0" w:space="0" w:color="auto"/>
      </w:divBdr>
      <w:divsChild>
        <w:div w:id="1032610727">
          <w:marLeft w:val="0"/>
          <w:marRight w:val="0"/>
          <w:marTop w:val="0"/>
          <w:marBottom w:val="0"/>
          <w:divBdr>
            <w:top w:val="none" w:sz="0" w:space="0" w:color="auto"/>
            <w:left w:val="none" w:sz="0" w:space="0" w:color="auto"/>
            <w:bottom w:val="none" w:sz="0" w:space="0" w:color="auto"/>
            <w:right w:val="none" w:sz="0" w:space="0" w:color="auto"/>
          </w:divBdr>
          <w:divsChild>
            <w:div w:id="1078360301">
              <w:marLeft w:val="0"/>
              <w:marRight w:val="0"/>
              <w:marTop w:val="0"/>
              <w:marBottom w:val="0"/>
              <w:divBdr>
                <w:top w:val="none" w:sz="0" w:space="0" w:color="auto"/>
                <w:left w:val="none" w:sz="0" w:space="0" w:color="auto"/>
                <w:bottom w:val="none" w:sz="0" w:space="0" w:color="auto"/>
                <w:right w:val="none" w:sz="0" w:space="0" w:color="auto"/>
              </w:divBdr>
              <w:divsChild>
                <w:div w:id="204373793">
                  <w:marLeft w:val="-225"/>
                  <w:marRight w:val="-225"/>
                  <w:marTop w:val="0"/>
                  <w:marBottom w:val="0"/>
                  <w:divBdr>
                    <w:top w:val="none" w:sz="0" w:space="0" w:color="auto"/>
                    <w:left w:val="none" w:sz="0" w:space="0" w:color="auto"/>
                    <w:bottom w:val="none" w:sz="0" w:space="0" w:color="auto"/>
                    <w:right w:val="none" w:sz="0" w:space="0" w:color="auto"/>
                  </w:divBdr>
                  <w:divsChild>
                    <w:div w:id="18139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6835">
      <w:bodyDiv w:val="1"/>
      <w:marLeft w:val="0"/>
      <w:marRight w:val="0"/>
      <w:marTop w:val="0"/>
      <w:marBottom w:val="0"/>
      <w:divBdr>
        <w:top w:val="none" w:sz="0" w:space="0" w:color="auto"/>
        <w:left w:val="none" w:sz="0" w:space="0" w:color="auto"/>
        <w:bottom w:val="none" w:sz="0" w:space="0" w:color="auto"/>
        <w:right w:val="none" w:sz="0" w:space="0" w:color="auto"/>
      </w:divBdr>
    </w:div>
    <w:div w:id="119361437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038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be/pn/im/documents/memo-dsib-amard-aug16item01.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be/ag/ag/yr15/documents/may15item10.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be/pn/im/documents/memo-pptb-amard-feb18item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lexion.org/measures-for-a-college-and-career-indicator-final-report" TargetMode="External"/><Relationship Id="rId5" Type="http://schemas.openxmlformats.org/officeDocument/2006/relationships/webSettings" Target="webSettings.xml"/><Relationship Id="rId15" Type="http://schemas.openxmlformats.org/officeDocument/2006/relationships/hyperlink" Target="https://edpolicy.stanford.edu/sites/default/files/publications/recognizing-college-and-career-readiness-california-school-accountability-system_1.pd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de.ca.gov/be/pn/im/documents/memo-pptb-amard-feb18item02.docx" TargetMode="External"/><Relationship Id="rId14" Type="http://schemas.openxmlformats.org/officeDocument/2006/relationships/hyperlink" Target="https://edpolicyinca.org/sites/default/files/SBAC-SAT%20Pape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ducation.ucdavis.edu/sites/main/files/file-attachments/kurlaenderjacksonpsaa9-6-13_presentation-distribu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58AE-A348-4C32-AF09-B1BFBD54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April 2018 Item Addendum 01 - Meeting Agendas (CA Dept of Education)</vt:lpstr>
    </vt:vector>
  </TitlesOfParts>
  <Company>California State Board of Education</Company>
  <LinksUpToDate>false</LinksUpToDate>
  <CharactersWithSpaces>30074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2018 Memo PPTB AMARD Item 02 - Information Memorandum (CA State Board of Education)</dc:title>
  <dc:subject>Update on the Development of the College/Career Indicator, Including an Overview of the Research Supporting the Current Model. </dc:subject>
  <dc:creator>Kathleen Souza</dc:creator>
  <cp:keywords/>
  <dc:description/>
  <cp:lastModifiedBy>Malia Gonsalves</cp:lastModifiedBy>
  <cp:revision>8</cp:revision>
  <cp:lastPrinted>2018-04-10T21:00:00Z</cp:lastPrinted>
  <dcterms:created xsi:type="dcterms:W3CDTF">2018-04-10T21:55:00Z</dcterms:created>
  <dcterms:modified xsi:type="dcterms:W3CDTF">2018-04-16T16:34:00Z</dcterms:modified>
  <cp:category/>
</cp:coreProperties>
</file>