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12FF0F" w14:textId="77777777" w:rsidR="00057A96" w:rsidRPr="00A30368" w:rsidRDefault="00057A96" w:rsidP="00057A96">
      <w:bookmarkStart w:id="0" w:name="_GoBack"/>
      <w:bookmarkEnd w:id="0"/>
      <w:r w:rsidRPr="00A30368">
        <w:t>California Department of Education</w:t>
      </w:r>
    </w:p>
    <w:p w14:paraId="7E12FF10" w14:textId="77777777" w:rsidR="00057A96" w:rsidRPr="00A30368" w:rsidRDefault="00057A96" w:rsidP="00057A96">
      <w:r w:rsidRPr="00A30368">
        <w:t>Executive Office</w:t>
      </w:r>
    </w:p>
    <w:p w14:paraId="7E12FF11" w14:textId="77777777" w:rsidR="00982A10" w:rsidRPr="00A30368" w:rsidRDefault="00057A96" w:rsidP="00982A10">
      <w:r w:rsidRPr="00A30368">
        <w:t>SBE-00</w:t>
      </w:r>
      <w:r w:rsidR="00BC376B" w:rsidRPr="00A30368">
        <w:t>2</w:t>
      </w:r>
      <w:r w:rsidRPr="00A30368">
        <w:t xml:space="preserve"> (REV. 1</w:t>
      </w:r>
      <w:r w:rsidR="000C139F" w:rsidRPr="00A30368">
        <w:t>1</w:t>
      </w:r>
      <w:r w:rsidRPr="00A30368">
        <w:t>/2017)</w:t>
      </w:r>
    </w:p>
    <w:p w14:paraId="7E12FF12" w14:textId="77777777" w:rsidR="00982A10" w:rsidRPr="00A30368" w:rsidRDefault="00982A10" w:rsidP="00982A10">
      <w:r w:rsidRPr="00A30368">
        <w:br w:type="column"/>
      </w:r>
      <w:r w:rsidR="00516BD5" w:rsidRPr="00A30368">
        <w:t>memo-pptb-amard-apr19item03</w:t>
      </w:r>
    </w:p>
    <w:p w14:paraId="7E12FF13" w14:textId="77777777" w:rsidR="00982A10" w:rsidRPr="00A30368" w:rsidRDefault="00982A10" w:rsidP="0033616F">
      <w:pPr>
        <w:pStyle w:val="Heading1"/>
        <w:spacing w:line="360" w:lineRule="auto"/>
        <w:rPr>
          <w:rFonts w:ascii="Arial" w:hAnsi="Arial" w:cs="Arial"/>
          <w:b/>
          <w:color w:val="auto"/>
          <w:sz w:val="40"/>
          <w:szCs w:val="52"/>
        </w:rPr>
        <w:sectPr w:rsidR="00982A10" w:rsidRPr="00A30368" w:rsidSect="006C5082">
          <w:headerReference w:type="default" r:id="rId10"/>
          <w:type w:val="continuous"/>
          <w:pgSz w:w="12240" w:h="15840"/>
          <w:pgMar w:top="720" w:right="1440" w:bottom="1440" w:left="1440" w:header="720" w:footer="720" w:gutter="0"/>
          <w:cols w:num="2" w:space="144" w:equalWidth="0">
            <w:col w:w="5760" w:space="144"/>
            <w:col w:w="3456"/>
          </w:cols>
          <w:titlePg/>
          <w:docGrid w:linePitch="326"/>
        </w:sectPr>
      </w:pPr>
    </w:p>
    <w:p w14:paraId="7E12FF14" w14:textId="77777777" w:rsidR="00057A96" w:rsidRPr="00A30368" w:rsidRDefault="00BC376B" w:rsidP="0033616F">
      <w:pPr>
        <w:pStyle w:val="Heading1"/>
        <w:spacing w:line="360" w:lineRule="auto"/>
        <w:rPr>
          <w:rFonts w:ascii="Arial" w:hAnsi="Arial" w:cs="Arial"/>
          <w:b/>
          <w:color w:val="auto"/>
          <w:sz w:val="40"/>
          <w:szCs w:val="52"/>
        </w:rPr>
      </w:pPr>
      <w:r w:rsidRPr="00A30368">
        <w:rPr>
          <w:rFonts w:ascii="Arial" w:hAnsi="Arial" w:cs="Arial"/>
          <w:b/>
          <w:color w:val="auto"/>
          <w:sz w:val="40"/>
          <w:szCs w:val="52"/>
        </w:rPr>
        <w:t>MEMORANDUM</w:t>
      </w:r>
    </w:p>
    <w:p w14:paraId="7E12FF15" w14:textId="3DB8FE94" w:rsidR="00057A96" w:rsidRPr="00C94835" w:rsidRDefault="008F6CA0" w:rsidP="00C94835">
      <w:pPr>
        <w:pStyle w:val="MessageHeader"/>
      </w:pPr>
      <w:r w:rsidRPr="00C94835">
        <w:rPr>
          <w:b/>
        </w:rPr>
        <w:t>DATE:</w:t>
      </w:r>
      <w:r w:rsidRPr="00C94835">
        <w:tab/>
      </w:r>
      <w:r w:rsidR="00E34587" w:rsidRPr="00C94835">
        <w:t>April 2</w:t>
      </w:r>
      <w:r w:rsidR="00516BD5" w:rsidRPr="00C94835">
        <w:t>, 2019</w:t>
      </w:r>
      <w:r w:rsidR="00057A96" w:rsidRPr="00C94835">
        <w:t xml:space="preserve"> </w:t>
      </w:r>
    </w:p>
    <w:p w14:paraId="7E12FF16" w14:textId="77777777" w:rsidR="00057A96" w:rsidRPr="00C94835" w:rsidRDefault="00057A96" w:rsidP="00C94835">
      <w:pPr>
        <w:pStyle w:val="MessageHeader"/>
      </w:pPr>
      <w:r w:rsidRPr="00C94835">
        <w:rPr>
          <w:b/>
        </w:rPr>
        <w:t>TO:</w:t>
      </w:r>
      <w:r w:rsidRPr="00C94835">
        <w:tab/>
        <w:t>MEMBERS, State Board of Education</w:t>
      </w:r>
      <w:r w:rsidRPr="00C94835">
        <w:tab/>
      </w:r>
    </w:p>
    <w:p w14:paraId="7E12FF17" w14:textId="77777777" w:rsidR="00057A96" w:rsidRPr="00C94835" w:rsidRDefault="00057A96" w:rsidP="00C94835">
      <w:pPr>
        <w:pStyle w:val="MessageHeader"/>
      </w:pPr>
      <w:r w:rsidRPr="00C94835">
        <w:rPr>
          <w:b/>
        </w:rPr>
        <w:t>FROM:</w:t>
      </w:r>
      <w:r w:rsidR="00516BD5" w:rsidRPr="00C94835">
        <w:tab/>
        <w:t>TONY THURMOND</w:t>
      </w:r>
      <w:r w:rsidR="00C61F78" w:rsidRPr="00C94835">
        <w:t xml:space="preserve">, </w:t>
      </w:r>
      <w:r w:rsidRPr="00C94835">
        <w:t>State Superintendent of Public Instruction</w:t>
      </w:r>
    </w:p>
    <w:p w14:paraId="7E12FF18" w14:textId="35C4E66B" w:rsidR="00057A96" w:rsidRPr="00C94835" w:rsidRDefault="00057A96" w:rsidP="00C94835">
      <w:pPr>
        <w:pStyle w:val="MessageHeader"/>
      </w:pPr>
      <w:r w:rsidRPr="00C94835">
        <w:rPr>
          <w:b/>
        </w:rPr>
        <w:t>SUBJECT:</w:t>
      </w:r>
      <w:r w:rsidRPr="00C94835">
        <w:tab/>
      </w:r>
      <w:r w:rsidR="008F2B46" w:rsidRPr="00C94835">
        <w:t xml:space="preserve">Update on Continuous Improvement of the State </w:t>
      </w:r>
      <w:r w:rsidR="00F61AF9" w:rsidRPr="00C94835">
        <w:t xml:space="preserve">and Federal </w:t>
      </w:r>
      <w:r w:rsidR="008F2B46" w:rsidRPr="00C94835">
        <w:t xml:space="preserve">Accountability System: A Review of the </w:t>
      </w:r>
      <w:r w:rsidR="00113D81" w:rsidRPr="00C94835">
        <w:t xml:space="preserve">Design, Development, </w:t>
      </w:r>
      <w:r w:rsidR="008F2B46" w:rsidRPr="00C94835">
        <w:t>and Implementation of the California School Dashboard</w:t>
      </w:r>
      <w:r w:rsidR="007E4BE2" w:rsidRPr="00C94835">
        <w:t>.</w:t>
      </w:r>
    </w:p>
    <w:p w14:paraId="7E12FF19" w14:textId="77777777" w:rsidR="00057A96" w:rsidRPr="00A30368" w:rsidRDefault="00474A2F" w:rsidP="000A6F8D">
      <w:pPr>
        <w:pStyle w:val="Heading2"/>
        <w:spacing w:before="240" w:after="240"/>
        <w:rPr>
          <w:sz w:val="36"/>
        </w:rPr>
      </w:pPr>
      <w:r w:rsidRPr="00A30368">
        <w:rPr>
          <w:sz w:val="36"/>
        </w:rPr>
        <w:t>Summary o</w:t>
      </w:r>
      <w:r w:rsidR="00057A96" w:rsidRPr="00A30368">
        <w:rPr>
          <w:sz w:val="36"/>
        </w:rPr>
        <w:t>f Key Issues</w:t>
      </w:r>
    </w:p>
    <w:p w14:paraId="703B5601" w14:textId="77777777" w:rsidR="00844BBF" w:rsidRPr="00A30368" w:rsidRDefault="00516BD5" w:rsidP="000A6F8D">
      <w:pPr>
        <w:spacing w:before="240" w:after="240"/>
        <w:rPr>
          <w:rFonts w:cs="Arial"/>
        </w:rPr>
      </w:pPr>
      <w:r w:rsidRPr="00A30368">
        <w:rPr>
          <w:rFonts w:cs="Arial"/>
        </w:rPr>
        <w:t xml:space="preserve">In </w:t>
      </w:r>
      <w:r w:rsidR="0067153D" w:rsidRPr="00A30368">
        <w:rPr>
          <w:rFonts w:cs="Arial"/>
        </w:rPr>
        <w:t xml:space="preserve">December </w:t>
      </w:r>
      <w:r w:rsidRPr="00A30368">
        <w:rPr>
          <w:rFonts w:cs="Arial"/>
        </w:rPr>
        <w:t>2017,</w:t>
      </w:r>
      <w:r w:rsidR="00B64EC0" w:rsidRPr="00A30368">
        <w:rPr>
          <w:rFonts w:cs="Arial"/>
        </w:rPr>
        <w:t xml:space="preserve"> the California Department of Education (CDE) launched </w:t>
      </w:r>
      <w:r w:rsidR="00065EC1" w:rsidRPr="00A30368">
        <w:rPr>
          <w:rFonts w:cs="Arial"/>
        </w:rPr>
        <w:t xml:space="preserve">the </w:t>
      </w:r>
      <w:r w:rsidR="00B64EC0" w:rsidRPr="00A30368">
        <w:rPr>
          <w:rFonts w:cs="Arial"/>
        </w:rPr>
        <w:t xml:space="preserve">first operational release of </w:t>
      </w:r>
      <w:r w:rsidRPr="00A30368">
        <w:rPr>
          <w:rFonts w:cs="Arial"/>
        </w:rPr>
        <w:t xml:space="preserve">the California School Dashboard (Dashboard). </w:t>
      </w:r>
      <w:r w:rsidR="00FC2255" w:rsidRPr="00A30368">
        <w:rPr>
          <w:rFonts w:cs="Arial"/>
        </w:rPr>
        <w:t xml:space="preserve">After a major </w:t>
      </w:r>
      <w:r w:rsidRPr="00A30368">
        <w:rPr>
          <w:rFonts w:cs="Arial"/>
        </w:rPr>
        <w:t xml:space="preserve">redesign, the </w:t>
      </w:r>
      <w:r w:rsidR="00C05D5A" w:rsidRPr="00A30368">
        <w:rPr>
          <w:rFonts w:cs="Arial"/>
        </w:rPr>
        <w:t xml:space="preserve">second </w:t>
      </w:r>
      <w:r w:rsidR="00F61AF9" w:rsidRPr="00A30368">
        <w:rPr>
          <w:rFonts w:cs="Arial"/>
        </w:rPr>
        <w:t xml:space="preserve">operational </w:t>
      </w:r>
      <w:r w:rsidR="00C05D5A" w:rsidRPr="00A30368">
        <w:rPr>
          <w:rFonts w:cs="Arial"/>
        </w:rPr>
        <w:t xml:space="preserve">Dashboard was released in </w:t>
      </w:r>
      <w:r w:rsidRPr="00A30368">
        <w:rPr>
          <w:rFonts w:cs="Arial"/>
        </w:rPr>
        <w:t xml:space="preserve">December 2018. </w:t>
      </w:r>
      <w:r w:rsidR="00FA1B6C" w:rsidRPr="00A30368">
        <w:rPr>
          <w:rFonts w:cs="Arial"/>
        </w:rPr>
        <w:t xml:space="preserve">The third </w:t>
      </w:r>
      <w:r w:rsidR="00F61AF9" w:rsidRPr="00A30368">
        <w:rPr>
          <w:rFonts w:cs="Arial"/>
        </w:rPr>
        <w:t xml:space="preserve">operational </w:t>
      </w:r>
      <w:r w:rsidR="00FA1B6C" w:rsidRPr="00A30368">
        <w:rPr>
          <w:rFonts w:cs="Arial"/>
        </w:rPr>
        <w:t xml:space="preserve">release of the Dashboard is scheduled for </w:t>
      </w:r>
      <w:r w:rsidR="00F61AF9" w:rsidRPr="00A30368">
        <w:rPr>
          <w:rFonts w:cs="Arial"/>
        </w:rPr>
        <w:t xml:space="preserve">December </w:t>
      </w:r>
      <w:r w:rsidR="00FA1B6C" w:rsidRPr="00A30368">
        <w:rPr>
          <w:rFonts w:cs="Arial"/>
        </w:rPr>
        <w:t>2019. G</w:t>
      </w:r>
      <w:r w:rsidR="00B64EC0" w:rsidRPr="00A30368">
        <w:rPr>
          <w:rFonts w:cs="Arial"/>
        </w:rPr>
        <w:t xml:space="preserve">iven the </w:t>
      </w:r>
      <w:r w:rsidR="00A80019" w:rsidRPr="00A30368">
        <w:rPr>
          <w:rFonts w:cs="Arial"/>
        </w:rPr>
        <w:t xml:space="preserve">recent </w:t>
      </w:r>
      <w:r w:rsidR="00B64EC0" w:rsidRPr="00A30368">
        <w:rPr>
          <w:rFonts w:cs="Arial"/>
        </w:rPr>
        <w:t>addition of new State Board of Education (SBE) member</w:t>
      </w:r>
      <w:r w:rsidR="00F61AF9" w:rsidRPr="00A30368">
        <w:rPr>
          <w:rFonts w:cs="Arial"/>
        </w:rPr>
        <w:t>(</w:t>
      </w:r>
      <w:r w:rsidR="00B64EC0" w:rsidRPr="00A30368">
        <w:rPr>
          <w:rFonts w:cs="Arial"/>
        </w:rPr>
        <w:t>s</w:t>
      </w:r>
      <w:r w:rsidR="00F61AF9" w:rsidRPr="00A30368">
        <w:rPr>
          <w:rFonts w:cs="Arial"/>
        </w:rPr>
        <w:t>)</w:t>
      </w:r>
      <w:r w:rsidR="00B64EC0" w:rsidRPr="00A30368">
        <w:rPr>
          <w:rFonts w:cs="Arial"/>
        </w:rPr>
        <w:t>, this memorandum provides a summary of the</w:t>
      </w:r>
      <w:r w:rsidR="00844BBF" w:rsidRPr="00A30368">
        <w:rPr>
          <w:rFonts w:cs="Arial"/>
        </w:rPr>
        <w:t xml:space="preserve">: </w:t>
      </w:r>
    </w:p>
    <w:p w14:paraId="6D3AD528" w14:textId="2B4C44F4" w:rsidR="00844BBF" w:rsidRPr="00A30368" w:rsidRDefault="00844BBF" w:rsidP="00C04D83">
      <w:pPr>
        <w:pStyle w:val="ListParagraph"/>
        <w:numPr>
          <w:ilvl w:val="0"/>
          <w:numId w:val="10"/>
        </w:numPr>
        <w:spacing w:before="240" w:after="240"/>
        <w:ind w:left="720"/>
        <w:contextualSpacing w:val="0"/>
        <w:rPr>
          <w:rFonts w:cs="Arial"/>
        </w:rPr>
      </w:pPr>
      <w:r w:rsidRPr="00A30368">
        <w:rPr>
          <w:rFonts w:cs="Arial"/>
        </w:rPr>
        <w:t>Construction of the Dashboard</w:t>
      </w:r>
    </w:p>
    <w:p w14:paraId="201F2417" w14:textId="15D70CA0" w:rsidR="00844BBF" w:rsidRPr="00A30368" w:rsidRDefault="00844BBF" w:rsidP="00C04D83">
      <w:pPr>
        <w:pStyle w:val="ListParagraph"/>
        <w:numPr>
          <w:ilvl w:val="1"/>
          <w:numId w:val="10"/>
        </w:numPr>
        <w:spacing w:before="240" w:after="240"/>
        <w:ind w:left="1440"/>
        <w:contextualSpacing w:val="0"/>
        <w:rPr>
          <w:rFonts w:cs="Arial"/>
        </w:rPr>
      </w:pPr>
      <w:r w:rsidRPr="00A30368">
        <w:rPr>
          <w:rFonts w:cs="Arial"/>
        </w:rPr>
        <w:t xml:space="preserve">Background on </w:t>
      </w:r>
      <w:r w:rsidR="00B64EC0" w:rsidRPr="00A30368">
        <w:rPr>
          <w:rFonts w:cs="Arial"/>
        </w:rPr>
        <w:t>state</w:t>
      </w:r>
      <w:r w:rsidR="00065EC1" w:rsidRPr="00A30368">
        <w:rPr>
          <w:rFonts w:cs="Arial"/>
        </w:rPr>
        <w:t xml:space="preserve"> and local</w:t>
      </w:r>
      <w:r w:rsidR="00C05D5A" w:rsidRPr="00A30368">
        <w:rPr>
          <w:rFonts w:cs="Arial"/>
        </w:rPr>
        <w:t xml:space="preserve"> </w:t>
      </w:r>
      <w:r w:rsidRPr="00A30368">
        <w:rPr>
          <w:rFonts w:cs="Arial"/>
        </w:rPr>
        <w:t xml:space="preserve">indicators </w:t>
      </w:r>
    </w:p>
    <w:p w14:paraId="55049056" w14:textId="15BB7885" w:rsidR="00844BBF" w:rsidRPr="00A30368" w:rsidRDefault="00844BBF" w:rsidP="00C04D83">
      <w:pPr>
        <w:pStyle w:val="ListParagraph"/>
        <w:numPr>
          <w:ilvl w:val="0"/>
          <w:numId w:val="10"/>
        </w:numPr>
        <w:spacing w:before="240" w:after="240"/>
        <w:ind w:left="720"/>
        <w:contextualSpacing w:val="0"/>
        <w:rPr>
          <w:rFonts w:cs="Arial"/>
        </w:rPr>
      </w:pPr>
      <w:r w:rsidRPr="00A30368">
        <w:rPr>
          <w:rFonts w:cs="Arial"/>
        </w:rPr>
        <w:t>M</w:t>
      </w:r>
      <w:r w:rsidR="00EF3145" w:rsidRPr="00A30368">
        <w:rPr>
          <w:rFonts w:cs="Arial"/>
        </w:rPr>
        <w:t>ethodology for setting the standards</w:t>
      </w:r>
      <w:r w:rsidR="00EF4CEC" w:rsidRPr="00A30368">
        <w:rPr>
          <w:rFonts w:cs="Arial"/>
        </w:rPr>
        <w:t xml:space="preserve"> for state indicators</w:t>
      </w:r>
      <w:r w:rsidRPr="00A30368">
        <w:rPr>
          <w:rFonts w:cs="Arial"/>
        </w:rPr>
        <w:t xml:space="preserve">, which includes: </w:t>
      </w:r>
    </w:p>
    <w:p w14:paraId="7E12FF1A" w14:textId="724E8FF3" w:rsidR="00057A96" w:rsidRPr="00A30368" w:rsidRDefault="00844BBF" w:rsidP="00C04D83">
      <w:pPr>
        <w:pStyle w:val="ListParagraph"/>
        <w:numPr>
          <w:ilvl w:val="1"/>
          <w:numId w:val="10"/>
        </w:numPr>
        <w:spacing w:before="240" w:after="240"/>
        <w:ind w:left="1440"/>
        <w:contextualSpacing w:val="0"/>
        <w:rPr>
          <w:rFonts w:cs="Arial"/>
        </w:rPr>
      </w:pPr>
      <w:r w:rsidRPr="00A30368">
        <w:rPr>
          <w:rFonts w:cs="Arial"/>
        </w:rPr>
        <w:t>A description of Status</w:t>
      </w:r>
    </w:p>
    <w:p w14:paraId="51E7B77C" w14:textId="4AF55F94" w:rsidR="00844BBF" w:rsidRPr="00A30368" w:rsidRDefault="00844BBF" w:rsidP="00C04D83">
      <w:pPr>
        <w:pStyle w:val="ListParagraph"/>
        <w:numPr>
          <w:ilvl w:val="1"/>
          <w:numId w:val="10"/>
        </w:numPr>
        <w:spacing w:before="240" w:after="240"/>
        <w:ind w:left="1440"/>
        <w:contextualSpacing w:val="0"/>
        <w:rPr>
          <w:rFonts w:cs="Arial"/>
        </w:rPr>
      </w:pPr>
      <w:r w:rsidRPr="00A30368">
        <w:rPr>
          <w:rFonts w:cs="Arial"/>
        </w:rPr>
        <w:t>A description of Change</w:t>
      </w:r>
    </w:p>
    <w:p w14:paraId="4AD43900" w14:textId="6D10A256" w:rsidR="00844BBF" w:rsidRPr="00A30368" w:rsidRDefault="00844BBF" w:rsidP="00C04D83">
      <w:pPr>
        <w:pStyle w:val="ListParagraph"/>
        <w:numPr>
          <w:ilvl w:val="1"/>
          <w:numId w:val="10"/>
        </w:numPr>
        <w:spacing w:before="240" w:after="240"/>
        <w:ind w:left="1440"/>
        <w:contextualSpacing w:val="0"/>
        <w:rPr>
          <w:rFonts w:cs="Arial"/>
        </w:rPr>
      </w:pPr>
      <w:r w:rsidRPr="00A30368">
        <w:rPr>
          <w:rFonts w:cs="Arial"/>
        </w:rPr>
        <w:t xml:space="preserve">How cut scores are set separately for each state indicator </w:t>
      </w:r>
    </w:p>
    <w:p w14:paraId="64C527DA" w14:textId="4D11E12C" w:rsidR="00844BBF" w:rsidRPr="00A30368" w:rsidRDefault="00844BBF" w:rsidP="00C04D83">
      <w:pPr>
        <w:pStyle w:val="ListParagraph"/>
        <w:numPr>
          <w:ilvl w:val="1"/>
          <w:numId w:val="10"/>
        </w:numPr>
        <w:spacing w:before="240" w:after="240"/>
        <w:ind w:left="1440"/>
        <w:contextualSpacing w:val="0"/>
        <w:rPr>
          <w:rFonts w:cs="Arial"/>
        </w:rPr>
      </w:pPr>
      <w:r w:rsidRPr="00A30368">
        <w:rPr>
          <w:rFonts w:cs="Arial"/>
        </w:rPr>
        <w:t xml:space="preserve">The </w:t>
      </w:r>
      <w:r w:rsidR="003402BA" w:rsidRPr="00A30368">
        <w:rPr>
          <w:rFonts w:cs="Arial"/>
        </w:rPr>
        <w:t>application</w:t>
      </w:r>
      <w:r w:rsidRPr="00A30368">
        <w:rPr>
          <w:rFonts w:cs="Arial"/>
        </w:rPr>
        <w:t xml:space="preserve"> of the five-by-five colored table</w:t>
      </w:r>
      <w:r w:rsidR="003402BA" w:rsidRPr="00A30368">
        <w:rPr>
          <w:rFonts w:cs="Arial"/>
        </w:rPr>
        <w:t>s, the three-by-five colored tables,</w:t>
      </w:r>
      <w:r w:rsidRPr="00A30368">
        <w:rPr>
          <w:rFonts w:cs="Arial"/>
        </w:rPr>
        <w:t xml:space="preserve"> and performance levels (colors) </w:t>
      </w:r>
    </w:p>
    <w:p w14:paraId="018D2FB0" w14:textId="6044F6EB" w:rsidR="00844BBF" w:rsidRPr="00A30368" w:rsidRDefault="00B30409" w:rsidP="00C04D83">
      <w:pPr>
        <w:pStyle w:val="ListParagraph"/>
        <w:numPr>
          <w:ilvl w:val="0"/>
          <w:numId w:val="10"/>
        </w:numPr>
        <w:spacing w:before="240" w:after="240"/>
        <w:ind w:left="720"/>
        <w:contextualSpacing w:val="0"/>
        <w:rPr>
          <w:rFonts w:cs="Arial"/>
        </w:rPr>
      </w:pPr>
      <w:r w:rsidRPr="00A30368">
        <w:rPr>
          <w:rFonts w:cs="Arial"/>
        </w:rPr>
        <w:t>A</w:t>
      </w:r>
      <w:r w:rsidR="00571846" w:rsidRPr="00A30368">
        <w:rPr>
          <w:rFonts w:cs="Arial"/>
        </w:rPr>
        <w:t xml:space="preserve">nnual review </w:t>
      </w:r>
      <w:r w:rsidRPr="00A30368">
        <w:rPr>
          <w:rFonts w:cs="Arial"/>
        </w:rPr>
        <w:t xml:space="preserve">by the SBE </w:t>
      </w:r>
      <w:r w:rsidR="00571846" w:rsidRPr="00A30368">
        <w:rPr>
          <w:rFonts w:cs="Arial"/>
        </w:rPr>
        <w:t xml:space="preserve">of the Dashboard indicators and standards </w:t>
      </w:r>
    </w:p>
    <w:p w14:paraId="473504AA" w14:textId="0F03D0E1" w:rsidR="003402BA" w:rsidRPr="00A30368" w:rsidRDefault="003402BA" w:rsidP="00C04D83">
      <w:pPr>
        <w:pStyle w:val="ListParagraph"/>
        <w:numPr>
          <w:ilvl w:val="0"/>
          <w:numId w:val="10"/>
        </w:numPr>
        <w:spacing w:before="240" w:after="240"/>
        <w:ind w:left="720"/>
        <w:contextualSpacing w:val="0"/>
        <w:rPr>
          <w:rFonts w:cs="Arial"/>
        </w:rPr>
      </w:pPr>
      <w:r w:rsidRPr="00A30368">
        <w:rPr>
          <w:rFonts w:cs="Arial"/>
        </w:rPr>
        <w:t>Modified methods for schools with a Dashboard Alternative School Status (DASS) status</w:t>
      </w:r>
    </w:p>
    <w:p w14:paraId="7E12FF1B" w14:textId="77777777" w:rsidR="00FC2255" w:rsidRPr="00A30368" w:rsidRDefault="00F266B9" w:rsidP="000A6F8D">
      <w:pPr>
        <w:pStyle w:val="Heading3"/>
        <w:spacing w:before="240" w:after="240"/>
        <w:rPr>
          <w:rFonts w:ascii="Arial" w:hAnsi="Arial" w:cs="Arial"/>
          <w:b/>
          <w:color w:val="auto"/>
          <w:sz w:val="28"/>
          <w:szCs w:val="28"/>
        </w:rPr>
      </w:pPr>
      <w:r w:rsidRPr="00A30368">
        <w:rPr>
          <w:rFonts w:ascii="Arial" w:hAnsi="Arial" w:cs="Arial"/>
          <w:b/>
          <w:color w:val="auto"/>
          <w:sz w:val="28"/>
          <w:szCs w:val="28"/>
        </w:rPr>
        <w:lastRenderedPageBreak/>
        <w:t xml:space="preserve">New </w:t>
      </w:r>
      <w:r w:rsidR="00CF09DA" w:rsidRPr="00A30368">
        <w:rPr>
          <w:rFonts w:ascii="Arial" w:hAnsi="Arial" w:cs="Arial"/>
          <w:b/>
          <w:color w:val="auto"/>
          <w:sz w:val="28"/>
          <w:szCs w:val="28"/>
        </w:rPr>
        <w:t>Multiple Measures Accountability System:</w:t>
      </w:r>
      <w:r w:rsidR="00314DE5" w:rsidRPr="00A30368">
        <w:rPr>
          <w:rFonts w:ascii="Arial" w:hAnsi="Arial" w:cs="Arial"/>
          <w:b/>
          <w:color w:val="auto"/>
          <w:sz w:val="28"/>
          <w:szCs w:val="28"/>
        </w:rPr>
        <w:t xml:space="preserve"> Statutory Requirements</w:t>
      </w:r>
    </w:p>
    <w:p w14:paraId="7E12FF1D" w14:textId="18D594D2" w:rsidR="003830B8" w:rsidRPr="00A30368" w:rsidRDefault="003830B8" w:rsidP="000A6F8D">
      <w:pPr>
        <w:spacing w:before="240" w:after="240"/>
        <w:rPr>
          <w:rFonts w:cs="Arial"/>
        </w:rPr>
      </w:pPr>
      <w:r w:rsidRPr="00A30368">
        <w:rPr>
          <w:rFonts w:cs="Arial"/>
        </w:rPr>
        <w:t>Signed</w:t>
      </w:r>
      <w:r w:rsidR="0067153D" w:rsidRPr="00A30368">
        <w:rPr>
          <w:rFonts w:cs="Arial"/>
        </w:rPr>
        <w:t xml:space="preserve"> into law</w:t>
      </w:r>
      <w:r w:rsidRPr="00A30368">
        <w:rPr>
          <w:rFonts w:cs="Arial"/>
        </w:rPr>
        <w:t xml:space="preserve"> in 2013, the </w:t>
      </w:r>
      <w:r w:rsidRPr="00A30368">
        <w:t>Local Control Funding Formula (</w:t>
      </w:r>
      <w:r w:rsidRPr="00A30368">
        <w:rPr>
          <w:rFonts w:cs="Arial"/>
        </w:rPr>
        <w:t xml:space="preserve">LCFF) significantly changed how California provides resources to public schools and holds local educational agencies (LEAs) accountable for improving student performance. The </w:t>
      </w:r>
      <w:r w:rsidR="0067153D" w:rsidRPr="00A30368">
        <w:rPr>
          <w:rFonts w:cs="Arial"/>
        </w:rPr>
        <w:t xml:space="preserve">LCFF </w:t>
      </w:r>
      <w:r w:rsidRPr="00A30368">
        <w:rPr>
          <w:rFonts w:cs="Arial"/>
        </w:rPr>
        <w:t>includes eight priority areas for school districts and charter schools (with an additional two priority areas f</w:t>
      </w:r>
      <w:r w:rsidR="00F266B9" w:rsidRPr="00A30368">
        <w:rPr>
          <w:rFonts w:cs="Arial"/>
        </w:rPr>
        <w:t>or county offices of education</w:t>
      </w:r>
      <w:r w:rsidR="00321317" w:rsidRPr="00A30368">
        <w:rPr>
          <w:rFonts w:cs="Arial"/>
        </w:rPr>
        <w:t xml:space="preserve"> [COEs]</w:t>
      </w:r>
      <w:r w:rsidR="00F266B9" w:rsidRPr="00A30368">
        <w:rPr>
          <w:rFonts w:cs="Arial"/>
        </w:rPr>
        <w:t>), which signifies that a</w:t>
      </w:r>
      <w:r w:rsidRPr="00A30368">
        <w:rPr>
          <w:rFonts w:cs="Arial"/>
        </w:rPr>
        <w:t xml:space="preserve"> quality education </w:t>
      </w:r>
      <w:r w:rsidR="00F266B9" w:rsidRPr="00A30368">
        <w:rPr>
          <w:rFonts w:cs="Arial"/>
        </w:rPr>
        <w:t xml:space="preserve">is defined </w:t>
      </w:r>
      <w:r w:rsidRPr="00A30368">
        <w:rPr>
          <w:rFonts w:cs="Arial"/>
        </w:rPr>
        <w:t xml:space="preserve">more broadly than a single test score and requires that the accountability system consider </w:t>
      </w:r>
      <w:r w:rsidRPr="00A30368">
        <w:rPr>
          <w:rFonts w:cs="Arial"/>
          <w:b/>
          <w:i/>
        </w:rPr>
        <w:t>all</w:t>
      </w:r>
      <w:r w:rsidRPr="00A30368">
        <w:rPr>
          <w:rFonts w:cs="Arial"/>
        </w:rPr>
        <w:t xml:space="preserve"> LCFF priority areas.</w:t>
      </w:r>
    </w:p>
    <w:p w14:paraId="7E12FF1F" w14:textId="742FA55E" w:rsidR="003830B8" w:rsidRPr="00A30368" w:rsidRDefault="003830B8" w:rsidP="000A6F8D">
      <w:pPr>
        <w:spacing w:before="240" w:after="240"/>
        <w:rPr>
          <w:rFonts w:cs="Arial"/>
        </w:rPr>
      </w:pPr>
      <w:r w:rsidRPr="00A30368">
        <w:rPr>
          <w:rFonts w:cs="Arial"/>
        </w:rPr>
        <w:t>The LCFF also included a requirement for the SBE to adopt “evaluation rubrics”</w:t>
      </w:r>
      <w:r w:rsidR="00FA1B6C" w:rsidRPr="00A30368">
        <w:rPr>
          <w:rFonts w:cs="Arial"/>
        </w:rPr>
        <w:t xml:space="preserve">—now known as the Dashboard—as an </w:t>
      </w:r>
      <w:r w:rsidRPr="00A30368">
        <w:rPr>
          <w:rFonts w:cs="Arial"/>
        </w:rPr>
        <w:t xml:space="preserve">accountability tool that includes state and local performance </w:t>
      </w:r>
      <w:r w:rsidR="004475FA" w:rsidRPr="00A30368">
        <w:rPr>
          <w:rFonts w:cs="Arial"/>
        </w:rPr>
        <w:t xml:space="preserve">and improvement </w:t>
      </w:r>
      <w:r w:rsidRPr="00A30368">
        <w:rPr>
          <w:rFonts w:cs="Arial"/>
        </w:rPr>
        <w:t>standards for all LCFF priorities</w:t>
      </w:r>
      <w:r w:rsidR="006A3DB2" w:rsidRPr="00A30368">
        <w:rPr>
          <w:rFonts w:cs="Arial"/>
        </w:rPr>
        <w:t>.</w:t>
      </w:r>
      <w:r w:rsidR="00FA1B6C" w:rsidRPr="00A30368">
        <w:rPr>
          <w:rFonts w:cs="Arial"/>
        </w:rPr>
        <w:t xml:space="preserve"> Specifically,</w:t>
      </w:r>
      <w:r w:rsidR="00321317" w:rsidRPr="00A30368">
        <w:rPr>
          <w:rFonts w:cs="Arial"/>
        </w:rPr>
        <w:t xml:space="preserve"> California</w:t>
      </w:r>
      <w:r w:rsidR="006A3DB2" w:rsidRPr="00A30368">
        <w:rPr>
          <w:rFonts w:cs="Arial"/>
        </w:rPr>
        <w:t xml:space="preserve"> </w:t>
      </w:r>
      <w:r w:rsidR="006A3DB2" w:rsidRPr="00A30368">
        <w:rPr>
          <w:rFonts w:cs="Arial"/>
          <w:i/>
        </w:rPr>
        <w:t xml:space="preserve">Education Code </w:t>
      </w:r>
      <w:r w:rsidR="00CF548A" w:rsidRPr="00A30368">
        <w:rPr>
          <w:rFonts w:cs="Arial"/>
          <w:i/>
        </w:rPr>
        <w:t xml:space="preserve">(EC) </w:t>
      </w:r>
      <w:r w:rsidR="006A3DB2" w:rsidRPr="00A30368">
        <w:rPr>
          <w:rFonts w:cs="Arial"/>
        </w:rPr>
        <w:t>Section 52064.5 identif</w:t>
      </w:r>
      <w:r w:rsidR="00F266B9" w:rsidRPr="00A30368">
        <w:rPr>
          <w:rFonts w:cs="Arial"/>
        </w:rPr>
        <w:t>ies</w:t>
      </w:r>
      <w:r w:rsidR="006A3DB2" w:rsidRPr="00A30368">
        <w:rPr>
          <w:rFonts w:cs="Arial"/>
        </w:rPr>
        <w:t xml:space="preserve"> statutory purposes for these evaluation rubrics: (1) to </w:t>
      </w:r>
      <w:r w:rsidRPr="00A30368">
        <w:rPr>
          <w:rFonts w:cs="Arial"/>
        </w:rPr>
        <w:t>assist LEAs in identifying strengths, weaknesses, and areas in need of improvement</w:t>
      </w:r>
      <w:r w:rsidR="006A3DB2" w:rsidRPr="00A30368">
        <w:rPr>
          <w:rFonts w:cs="Arial"/>
        </w:rPr>
        <w:t>; and (2) to</w:t>
      </w:r>
      <w:r w:rsidRPr="00A30368">
        <w:rPr>
          <w:rFonts w:cs="Arial"/>
        </w:rPr>
        <w:t xml:space="preserve"> us</w:t>
      </w:r>
      <w:r w:rsidR="00065EC1" w:rsidRPr="00A30368">
        <w:rPr>
          <w:rFonts w:cs="Arial"/>
        </w:rPr>
        <w:t>e</w:t>
      </w:r>
      <w:r w:rsidRPr="00A30368">
        <w:rPr>
          <w:rFonts w:cs="Arial"/>
        </w:rPr>
        <w:t xml:space="preserve"> performance standards to identify LEAs in need of additional assistance or intervention.</w:t>
      </w:r>
    </w:p>
    <w:p w14:paraId="7E12FF21" w14:textId="78E22B49" w:rsidR="000859D4" w:rsidRPr="00A30368" w:rsidRDefault="00314DE5" w:rsidP="000A6F8D">
      <w:pPr>
        <w:spacing w:before="240" w:after="240"/>
      </w:pPr>
      <w:r w:rsidRPr="00A30368">
        <w:t xml:space="preserve">In December 2015, </w:t>
      </w:r>
      <w:r w:rsidR="00065EC1" w:rsidRPr="00A30368">
        <w:t xml:space="preserve">Congress enacted </w:t>
      </w:r>
      <w:r w:rsidRPr="00A30368">
        <w:t xml:space="preserve">the </w:t>
      </w:r>
      <w:r w:rsidR="003830B8" w:rsidRPr="00A30368">
        <w:t>Every Student Succeeds Act (ESSA)</w:t>
      </w:r>
      <w:r w:rsidRPr="00A30368">
        <w:t xml:space="preserve">, which </w:t>
      </w:r>
      <w:r w:rsidR="00586B64" w:rsidRPr="00A30368">
        <w:t xml:space="preserve">required states to develop a new multiple measures accountability system </w:t>
      </w:r>
      <w:r w:rsidR="00F177A9" w:rsidRPr="00A30368">
        <w:t xml:space="preserve">by </w:t>
      </w:r>
      <w:r w:rsidR="0067153D" w:rsidRPr="00A30368">
        <w:t xml:space="preserve">the </w:t>
      </w:r>
      <w:r w:rsidR="00F177A9" w:rsidRPr="00A30368">
        <w:t>2017–18</w:t>
      </w:r>
      <w:r w:rsidR="0067153D" w:rsidRPr="00A30368">
        <w:t xml:space="preserve"> school year</w:t>
      </w:r>
      <w:r w:rsidR="00F177A9" w:rsidRPr="00A30368">
        <w:t xml:space="preserve">. </w:t>
      </w:r>
      <w:r w:rsidR="00FA1B6C" w:rsidRPr="00A30368">
        <w:t xml:space="preserve">Since many of the metrics required in this new multiple measures system overlapped with the LCFF priority areas, </w:t>
      </w:r>
      <w:r w:rsidR="003830B8" w:rsidRPr="00A30368">
        <w:t xml:space="preserve">California </w:t>
      </w:r>
      <w:r w:rsidR="0067153D" w:rsidRPr="00A30368">
        <w:t xml:space="preserve">leveraged </w:t>
      </w:r>
      <w:r w:rsidR="003830B8" w:rsidRPr="00A30368">
        <w:t>the opportunity to streamline local, state, and federal requirements into a single, coherent accountability and</w:t>
      </w:r>
      <w:r w:rsidRPr="00A30368">
        <w:t xml:space="preserve"> continuous improvement system</w:t>
      </w:r>
      <w:r w:rsidR="00065EC1" w:rsidRPr="00A30368">
        <w:t xml:space="preserve">. This allowed California to avoid </w:t>
      </w:r>
      <w:r w:rsidRPr="00A30368">
        <w:t>developing one state accountability system and a separate</w:t>
      </w:r>
      <w:r w:rsidR="000A6F8D" w:rsidRPr="00A30368">
        <w:t xml:space="preserve"> federal accountability system.</w:t>
      </w:r>
    </w:p>
    <w:p w14:paraId="7E12FF23" w14:textId="27032C97" w:rsidR="00314DE5" w:rsidRPr="00A30368" w:rsidRDefault="00F266B9" w:rsidP="000A6F8D">
      <w:pPr>
        <w:spacing w:before="240" w:after="240"/>
      </w:pPr>
      <w:r w:rsidRPr="00A30368">
        <w:t>T</w:t>
      </w:r>
      <w:r w:rsidR="00EB7796" w:rsidRPr="00A30368">
        <w:t xml:space="preserve">he </w:t>
      </w:r>
      <w:r w:rsidR="0067153D" w:rsidRPr="00A30368">
        <w:t xml:space="preserve">Dashboard was developed based on several years of </w:t>
      </w:r>
      <w:r w:rsidR="00314DE5" w:rsidRPr="00A30368">
        <w:t>input from numer</w:t>
      </w:r>
      <w:r w:rsidR="0067153D" w:rsidRPr="00A30368">
        <w:t>ous</w:t>
      </w:r>
      <w:r w:rsidR="00314DE5" w:rsidRPr="00A30368">
        <w:t xml:space="preserve"> stakeholders</w:t>
      </w:r>
      <w:r w:rsidR="0067153D" w:rsidRPr="00A30368">
        <w:t xml:space="preserve"> and</w:t>
      </w:r>
      <w:r w:rsidR="00C733B8" w:rsidRPr="00A30368">
        <w:t xml:space="preserve"> allow</w:t>
      </w:r>
      <w:r w:rsidR="0067153D" w:rsidRPr="00A30368">
        <w:t>s</w:t>
      </w:r>
      <w:r w:rsidR="00314DE5" w:rsidRPr="00A30368">
        <w:t xml:space="preserve"> </w:t>
      </w:r>
      <w:r w:rsidR="00EB7796" w:rsidRPr="00A30368">
        <w:t xml:space="preserve">parents/guardians, educators, and the public </w:t>
      </w:r>
      <w:r w:rsidR="00C733B8" w:rsidRPr="00A30368">
        <w:t>to</w:t>
      </w:r>
      <w:r w:rsidR="00EB7796" w:rsidRPr="00A30368">
        <w:t xml:space="preserve"> access how LEAs </w:t>
      </w:r>
      <w:r w:rsidRPr="00A30368">
        <w:t xml:space="preserve">and schools </w:t>
      </w:r>
      <w:r w:rsidR="00EB7796" w:rsidRPr="00A30368">
        <w:t xml:space="preserve">are meeting the needs of California’s diverse student population based on performance on </w:t>
      </w:r>
      <w:r w:rsidR="00314DE5" w:rsidRPr="00A30368">
        <w:t xml:space="preserve">specific </w:t>
      </w:r>
      <w:r w:rsidR="000A6F8D" w:rsidRPr="00A30368">
        <w:t>indicators using set standards.</w:t>
      </w:r>
    </w:p>
    <w:p w14:paraId="7E12FF24" w14:textId="77777777" w:rsidR="00314DE5" w:rsidRPr="00A30368" w:rsidRDefault="00F266B9" w:rsidP="000A6F8D">
      <w:pPr>
        <w:pStyle w:val="Heading3"/>
        <w:spacing w:before="240" w:after="240"/>
        <w:rPr>
          <w:rFonts w:ascii="Arial" w:hAnsi="Arial" w:cs="Arial"/>
          <w:b/>
          <w:color w:val="auto"/>
          <w:sz w:val="28"/>
          <w:szCs w:val="28"/>
        </w:rPr>
      </w:pPr>
      <w:r w:rsidRPr="00A30368">
        <w:rPr>
          <w:rFonts w:ascii="Arial" w:hAnsi="Arial" w:cs="Arial"/>
          <w:b/>
          <w:color w:val="auto"/>
          <w:sz w:val="28"/>
          <w:szCs w:val="28"/>
        </w:rPr>
        <w:t xml:space="preserve">Establishing </w:t>
      </w:r>
      <w:r w:rsidR="00314DE5" w:rsidRPr="00A30368">
        <w:rPr>
          <w:rFonts w:ascii="Arial" w:hAnsi="Arial" w:cs="Arial"/>
          <w:b/>
          <w:color w:val="auto"/>
          <w:sz w:val="28"/>
          <w:szCs w:val="28"/>
        </w:rPr>
        <w:t xml:space="preserve">State </w:t>
      </w:r>
      <w:r w:rsidR="0006104F" w:rsidRPr="00A30368">
        <w:rPr>
          <w:rFonts w:ascii="Arial" w:hAnsi="Arial" w:cs="Arial"/>
          <w:b/>
          <w:color w:val="auto"/>
          <w:sz w:val="28"/>
          <w:szCs w:val="28"/>
        </w:rPr>
        <w:t xml:space="preserve">and Local </w:t>
      </w:r>
      <w:r w:rsidR="00314DE5" w:rsidRPr="00A30368">
        <w:rPr>
          <w:rFonts w:ascii="Arial" w:hAnsi="Arial" w:cs="Arial"/>
          <w:b/>
          <w:color w:val="auto"/>
          <w:sz w:val="28"/>
          <w:szCs w:val="28"/>
        </w:rPr>
        <w:t>Indicators</w:t>
      </w:r>
    </w:p>
    <w:p w14:paraId="7E12FF26" w14:textId="17A38F80" w:rsidR="00003630" w:rsidRPr="00A30368" w:rsidRDefault="00F266B9" w:rsidP="000A6F8D">
      <w:pPr>
        <w:spacing w:before="240" w:after="240"/>
      </w:pPr>
      <w:r w:rsidRPr="00A30368">
        <w:t xml:space="preserve">Under </w:t>
      </w:r>
      <w:r w:rsidR="00EB7796" w:rsidRPr="00A30368">
        <w:t>ESSA</w:t>
      </w:r>
      <w:r w:rsidRPr="00A30368">
        <w:t xml:space="preserve">, </w:t>
      </w:r>
      <w:r w:rsidR="00EB7796" w:rsidRPr="00A30368">
        <w:t xml:space="preserve">states </w:t>
      </w:r>
      <w:r w:rsidRPr="00A30368">
        <w:t xml:space="preserve">are required </w:t>
      </w:r>
      <w:r w:rsidR="00EB7796" w:rsidRPr="00A30368">
        <w:t xml:space="preserve">to use a minimum of </w:t>
      </w:r>
      <w:r w:rsidR="000859D4" w:rsidRPr="00A30368">
        <w:t xml:space="preserve">five </w:t>
      </w:r>
      <w:r w:rsidR="00EB7796" w:rsidRPr="00A30368">
        <w:t xml:space="preserve">indicators </w:t>
      </w:r>
      <w:r w:rsidRPr="00A30368">
        <w:t>in their</w:t>
      </w:r>
      <w:r w:rsidR="00003630" w:rsidRPr="00A30368">
        <w:t xml:space="preserve"> accountability </w:t>
      </w:r>
      <w:r w:rsidRPr="00A30368">
        <w:t>systems.</w:t>
      </w:r>
      <w:r w:rsidR="00065EC1" w:rsidRPr="00A30368">
        <w:t xml:space="preserve"> These required indicators must be collected at the student level to allow reporting of performance for all students and by student groups and must be comparable statewide.</w:t>
      </w:r>
      <w:r w:rsidRPr="00A30368">
        <w:t xml:space="preserve"> For California, many of these indicators were</w:t>
      </w:r>
      <w:r w:rsidR="00003630" w:rsidRPr="00A30368">
        <w:t xml:space="preserve"> already </w:t>
      </w:r>
      <w:r w:rsidRPr="00A30368">
        <w:t xml:space="preserve">identified as </w:t>
      </w:r>
      <w:r w:rsidR="00065EC1" w:rsidRPr="00A30368">
        <w:t xml:space="preserve">metrics within </w:t>
      </w:r>
      <w:r w:rsidRPr="00A30368">
        <w:t>a</w:t>
      </w:r>
      <w:r w:rsidR="00065EC1" w:rsidRPr="00A30368">
        <w:t>n LCFF</w:t>
      </w:r>
      <w:r w:rsidRPr="00A30368">
        <w:t xml:space="preserve"> state priority</w:t>
      </w:r>
      <w:r w:rsidR="000A6F8D" w:rsidRPr="00A30368">
        <w:t>:</w:t>
      </w:r>
    </w:p>
    <w:p w14:paraId="7E12FF28" w14:textId="0145CA0D" w:rsidR="00A62B7E" w:rsidRPr="00A30368" w:rsidRDefault="00003630" w:rsidP="00C404D6">
      <w:pPr>
        <w:pStyle w:val="ListParagraph"/>
        <w:numPr>
          <w:ilvl w:val="0"/>
          <w:numId w:val="2"/>
        </w:numPr>
        <w:spacing w:before="240" w:after="240"/>
        <w:contextualSpacing w:val="0"/>
      </w:pPr>
      <w:r w:rsidRPr="00A30368">
        <w:t>Student</w:t>
      </w:r>
      <w:r w:rsidR="00321317" w:rsidRPr="00A30368">
        <w:t xml:space="preserve"> test scores</w:t>
      </w:r>
      <w:r w:rsidR="00065EC1" w:rsidRPr="00A30368">
        <w:t xml:space="preserve"> in English language arts and mathematics</w:t>
      </w:r>
      <w:r w:rsidR="00321317" w:rsidRPr="00A30368">
        <w:t xml:space="preserve"> (LCFF Priority 4–</w:t>
      </w:r>
      <w:r w:rsidRPr="00A30368">
        <w:t>Pupil Achievement)</w:t>
      </w:r>
    </w:p>
    <w:p w14:paraId="7E12FF2A" w14:textId="7A685D1E" w:rsidR="00A62B7E" w:rsidRPr="00A30368" w:rsidRDefault="00003630" w:rsidP="00F62A29">
      <w:pPr>
        <w:pStyle w:val="ListParagraph"/>
        <w:numPr>
          <w:ilvl w:val="0"/>
          <w:numId w:val="2"/>
        </w:numPr>
        <w:spacing w:before="240" w:after="240"/>
        <w:contextualSpacing w:val="0"/>
      </w:pPr>
      <w:r w:rsidRPr="00A30368">
        <w:t>Progress of English learners toward English language</w:t>
      </w:r>
      <w:r w:rsidR="00321317" w:rsidRPr="00A30368">
        <w:t xml:space="preserve"> proficiency (LCFF Priority 4–</w:t>
      </w:r>
      <w:r w:rsidRPr="00A30368">
        <w:t>Pupil Achievement)</w:t>
      </w:r>
    </w:p>
    <w:p w14:paraId="7E12FF2C" w14:textId="42F65DBC" w:rsidR="00A62B7E" w:rsidRPr="00A30368" w:rsidRDefault="00003630" w:rsidP="00D32B7A">
      <w:pPr>
        <w:pStyle w:val="ListParagraph"/>
        <w:numPr>
          <w:ilvl w:val="0"/>
          <w:numId w:val="2"/>
        </w:numPr>
        <w:spacing w:before="240" w:after="240"/>
        <w:contextualSpacing w:val="0"/>
      </w:pPr>
      <w:r w:rsidRPr="00A30368">
        <w:lastRenderedPageBreak/>
        <w:t>High school grad</w:t>
      </w:r>
      <w:r w:rsidR="00321317" w:rsidRPr="00A30368">
        <w:t>uation rates (LCFF Priority 5–</w:t>
      </w:r>
      <w:r w:rsidRPr="00A30368">
        <w:t>Pupil Engagement)</w:t>
      </w:r>
    </w:p>
    <w:p w14:paraId="7E12FF2E" w14:textId="31F6863C" w:rsidR="00A62B7E" w:rsidRPr="00A30368" w:rsidRDefault="00003630" w:rsidP="00FE3678">
      <w:pPr>
        <w:pStyle w:val="ListParagraph"/>
        <w:numPr>
          <w:ilvl w:val="0"/>
          <w:numId w:val="2"/>
        </w:numPr>
        <w:spacing w:before="240" w:after="240"/>
        <w:contextualSpacing w:val="0"/>
      </w:pPr>
      <w:r w:rsidRPr="00A30368">
        <w:t>Another academic indicator for K–8</w:t>
      </w:r>
      <w:r w:rsidR="007A78B0" w:rsidRPr="00A30368">
        <w:t xml:space="preserve"> (</w:t>
      </w:r>
      <w:r w:rsidR="00F266B9" w:rsidRPr="00A30368">
        <w:t>chronic absenteeism</w:t>
      </w:r>
      <w:r w:rsidR="007A78B0" w:rsidRPr="00A30368">
        <w:t xml:space="preserve">) </w:t>
      </w:r>
      <w:r w:rsidR="00A62B7E" w:rsidRPr="00A30368">
        <w:t>(</w:t>
      </w:r>
      <w:r w:rsidR="00321317" w:rsidRPr="00A30368">
        <w:t>LCFF Priority 5–</w:t>
      </w:r>
      <w:r w:rsidRPr="00A30368">
        <w:t>Pupil Engagement)</w:t>
      </w:r>
    </w:p>
    <w:p w14:paraId="7E12FF30" w14:textId="08C57E4F" w:rsidR="00003630" w:rsidRPr="00A30368" w:rsidRDefault="00003630" w:rsidP="002F4565">
      <w:pPr>
        <w:pStyle w:val="ListParagraph"/>
        <w:numPr>
          <w:ilvl w:val="0"/>
          <w:numId w:val="2"/>
        </w:numPr>
        <w:spacing w:before="240" w:after="240"/>
        <w:contextualSpacing w:val="0"/>
        <w:rPr>
          <w:rFonts w:cs="Arial"/>
        </w:rPr>
      </w:pPr>
      <w:r w:rsidRPr="00A30368">
        <w:t>At least one other indicator of school quality or student success</w:t>
      </w:r>
      <w:r w:rsidR="007A78B0" w:rsidRPr="00A30368">
        <w:t xml:space="preserve"> (suspension rates and Co</w:t>
      </w:r>
      <w:r w:rsidR="00F266B9" w:rsidRPr="00A30368">
        <w:t>llege/Career Indicator</w:t>
      </w:r>
      <w:r w:rsidR="007A78B0" w:rsidRPr="00A30368">
        <w:t xml:space="preserve">) </w:t>
      </w:r>
      <w:r w:rsidR="00A62B7E" w:rsidRPr="00A30368">
        <w:t xml:space="preserve">(LCFF Priority </w:t>
      </w:r>
      <w:r w:rsidR="00321317" w:rsidRPr="00A30368">
        <w:t>6–</w:t>
      </w:r>
      <w:r w:rsidR="007A78B0" w:rsidRPr="00A30368">
        <w:t xml:space="preserve">School Climate and LCFF Priority </w:t>
      </w:r>
      <w:r w:rsidR="00321317" w:rsidRPr="00A30368">
        <w:t>8–</w:t>
      </w:r>
      <w:r w:rsidR="00A62B7E" w:rsidRPr="00A30368">
        <w:t>Outco</w:t>
      </w:r>
      <w:r w:rsidR="000A6F8D" w:rsidRPr="00A30368">
        <w:t>mes in a Broad Course of Study)</w:t>
      </w:r>
    </w:p>
    <w:p w14:paraId="7E12FF32" w14:textId="18285264" w:rsidR="00F86E6A" w:rsidRPr="00A30368" w:rsidRDefault="003E1EC2" w:rsidP="000A6F8D">
      <w:pPr>
        <w:spacing w:before="240" w:after="240"/>
        <w:rPr>
          <w:rFonts w:cs="Arial"/>
        </w:rPr>
      </w:pPr>
      <w:r w:rsidRPr="00A30368">
        <w:rPr>
          <w:rFonts w:cs="Arial"/>
        </w:rPr>
        <w:t xml:space="preserve">The SBE established </w:t>
      </w:r>
      <w:r w:rsidR="00065EC1" w:rsidRPr="00A30368">
        <w:rPr>
          <w:rFonts w:cs="Arial"/>
        </w:rPr>
        <w:t xml:space="preserve">a goal of adopting a concise set of indicators for state accountability purposes that met both state and federal requirements. Additionally, the SBE established </w:t>
      </w:r>
      <w:r w:rsidRPr="00A30368">
        <w:rPr>
          <w:rFonts w:cs="Arial"/>
        </w:rPr>
        <w:t xml:space="preserve">four criteria for </w:t>
      </w:r>
      <w:r w:rsidR="00F86E6A" w:rsidRPr="00A30368">
        <w:rPr>
          <w:rFonts w:cs="Arial"/>
        </w:rPr>
        <w:t>includ</w:t>
      </w:r>
      <w:r w:rsidRPr="00A30368">
        <w:rPr>
          <w:rFonts w:cs="Arial"/>
        </w:rPr>
        <w:t>ing</w:t>
      </w:r>
      <w:r w:rsidR="00425C1E" w:rsidRPr="00A30368">
        <w:rPr>
          <w:rFonts w:cs="Arial"/>
        </w:rPr>
        <w:t xml:space="preserve"> state</w:t>
      </w:r>
      <w:r w:rsidRPr="00A30368">
        <w:rPr>
          <w:rFonts w:cs="Arial"/>
        </w:rPr>
        <w:t xml:space="preserve"> indicators</w:t>
      </w:r>
      <w:r w:rsidR="00F86E6A" w:rsidRPr="00A30368">
        <w:rPr>
          <w:rFonts w:cs="Arial"/>
        </w:rPr>
        <w:t xml:space="preserve"> in </w:t>
      </w:r>
      <w:r w:rsidR="00A32037" w:rsidRPr="00A30368">
        <w:rPr>
          <w:rFonts w:cs="Arial"/>
        </w:rPr>
        <w:t xml:space="preserve">the new </w:t>
      </w:r>
      <w:r w:rsidR="000A6F8D" w:rsidRPr="00A30368">
        <w:rPr>
          <w:rFonts w:cs="Arial"/>
        </w:rPr>
        <w:t>accountability system:</w:t>
      </w:r>
    </w:p>
    <w:p w14:paraId="7E12FF33" w14:textId="77777777" w:rsidR="00F86E6A" w:rsidRPr="00A30368" w:rsidRDefault="00F86E6A" w:rsidP="000A6F8D">
      <w:pPr>
        <w:pStyle w:val="ListParagraph"/>
        <w:numPr>
          <w:ilvl w:val="0"/>
          <w:numId w:val="3"/>
        </w:numPr>
        <w:spacing w:before="240" w:after="240"/>
        <w:contextualSpacing w:val="0"/>
        <w:rPr>
          <w:rFonts w:cs="Arial"/>
        </w:rPr>
      </w:pPr>
      <w:r w:rsidRPr="00A30368">
        <w:t xml:space="preserve">Currently collected and available for use at the state level </w:t>
      </w:r>
    </w:p>
    <w:p w14:paraId="7E12FF34" w14:textId="78C4DE44" w:rsidR="00F86E6A" w:rsidRPr="00A30368" w:rsidRDefault="00065EC1" w:rsidP="000A6F8D">
      <w:pPr>
        <w:pStyle w:val="ListParagraph"/>
        <w:numPr>
          <w:ilvl w:val="0"/>
          <w:numId w:val="3"/>
        </w:numPr>
        <w:spacing w:before="240" w:after="240"/>
        <w:contextualSpacing w:val="0"/>
        <w:rPr>
          <w:rFonts w:cs="Arial"/>
        </w:rPr>
      </w:pPr>
      <w:r w:rsidRPr="00A30368">
        <w:t>Collected u</w:t>
      </w:r>
      <w:r w:rsidR="00F86E6A" w:rsidRPr="00A30368">
        <w:t xml:space="preserve">sing a consistent definition </w:t>
      </w:r>
    </w:p>
    <w:p w14:paraId="7E12FF35" w14:textId="2C3DA1C2" w:rsidR="00F86E6A" w:rsidRPr="00A30368" w:rsidRDefault="00065EC1" w:rsidP="000A6F8D">
      <w:pPr>
        <w:pStyle w:val="ListParagraph"/>
        <w:numPr>
          <w:ilvl w:val="0"/>
          <w:numId w:val="3"/>
        </w:numPr>
        <w:spacing w:before="240" w:after="240"/>
        <w:contextualSpacing w:val="0"/>
        <w:rPr>
          <w:rFonts w:cs="Arial"/>
        </w:rPr>
      </w:pPr>
      <w:r w:rsidRPr="00A30368">
        <w:t>D</w:t>
      </w:r>
      <w:r w:rsidR="00F86E6A" w:rsidRPr="00A30368">
        <w:t>is</w:t>
      </w:r>
      <w:r w:rsidR="00E34587" w:rsidRPr="00A30368">
        <w:t xml:space="preserve">aggregated to the school and student </w:t>
      </w:r>
      <w:r w:rsidR="00F86E6A" w:rsidRPr="00A30368">
        <w:t xml:space="preserve">group level, and </w:t>
      </w:r>
    </w:p>
    <w:p w14:paraId="7E12FF37" w14:textId="54B6E247" w:rsidR="00F86E6A" w:rsidRPr="00A30368" w:rsidRDefault="00F86E6A" w:rsidP="0097153F">
      <w:pPr>
        <w:pStyle w:val="ListParagraph"/>
        <w:numPr>
          <w:ilvl w:val="0"/>
          <w:numId w:val="3"/>
        </w:numPr>
        <w:spacing w:before="240" w:after="240"/>
        <w:contextualSpacing w:val="0"/>
        <w:rPr>
          <w:rFonts w:cs="Arial"/>
        </w:rPr>
      </w:pPr>
      <w:r w:rsidRPr="00A30368">
        <w:t>Supported by research as a valid measure</w:t>
      </w:r>
    </w:p>
    <w:p w14:paraId="7E12FF39" w14:textId="3447F415" w:rsidR="00880293" w:rsidRPr="00A30368" w:rsidRDefault="00F86E6A" w:rsidP="000A6F8D">
      <w:pPr>
        <w:spacing w:before="240" w:after="240"/>
        <w:rPr>
          <w:rFonts w:cs="Arial"/>
        </w:rPr>
      </w:pPr>
      <w:r w:rsidRPr="00A30368">
        <w:rPr>
          <w:rFonts w:cs="Arial"/>
        </w:rPr>
        <w:t xml:space="preserve">Because each </w:t>
      </w:r>
      <w:r w:rsidR="00743B9A" w:rsidRPr="00A30368">
        <w:rPr>
          <w:rFonts w:cs="Arial"/>
        </w:rPr>
        <w:t xml:space="preserve">of the five </w:t>
      </w:r>
      <w:r w:rsidRPr="00A30368">
        <w:rPr>
          <w:rFonts w:cs="Arial"/>
        </w:rPr>
        <w:t>indicator</w:t>
      </w:r>
      <w:r w:rsidR="00743B9A" w:rsidRPr="00A30368">
        <w:rPr>
          <w:rFonts w:cs="Arial"/>
        </w:rPr>
        <w:t>s</w:t>
      </w:r>
      <w:r w:rsidR="00F668C5" w:rsidRPr="00A30368">
        <w:rPr>
          <w:rFonts w:cs="Arial"/>
        </w:rPr>
        <w:t xml:space="preserve"> required under ESSA</w:t>
      </w:r>
      <w:r w:rsidRPr="00A30368">
        <w:rPr>
          <w:rFonts w:cs="Arial"/>
        </w:rPr>
        <w:t xml:space="preserve"> met these criteria, the SBE designated </w:t>
      </w:r>
      <w:r w:rsidR="00880293" w:rsidRPr="00A30368">
        <w:rPr>
          <w:rFonts w:cs="Arial"/>
        </w:rPr>
        <w:t>them</w:t>
      </w:r>
      <w:r w:rsidRPr="00A30368">
        <w:rPr>
          <w:rFonts w:cs="Arial"/>
        </w:rPr>
        <w:t xml:space="preserve"> as “state indicators” with the potential for inclusion in the Dashboard </w:t>
      </w:r>
      <w:r w:rsidR="0067153D" w:rsidRPr="00A30368">
        <w:rPr>
          <w:rFonts w:cs="Arial"/>
          <w:b/>
        </w:rPr>
        <w:t>following</w:t>
      </w:r>
      <w:r w:rsidRPr="00A30368">
        <w:rPr>
          <w:rFonts w:cs="Arial"/>
          <w:b/>
        </w:rPr>
        <w:t xml:space="preserve"> </w:t>
      </w:r>
      <w:r w:rsidR="00880293" w:rsidRPr="00A30368">
        <w:rPr>
          <w:rFonts w:cs="Arial"/>
        </w:rPr>
        <w:t xml:space="preserve">a full analysis of each indicator that involved: (a) running data analyses </w:t>
      </w:r>
      <w:r w:rsidR="0067153D" w:rsidRPr="00A30368">
        <w:rPr>
          <w:rFonts w:cs="Arial"/>
        </w:rPr>
        <w:t>at the</w:t>
      </w:r>
      <w:r w:rsidR="00880293" w:rsidRPr="00A30368">
        <w:rPr>
          <w:rFonts w:cs="Arial"/>
        </w:rPr>
        <w:t xml:space="preserve"> student group and school level; and (b) presenting performance results based on outcomes. </w:t>
      </w:r>
      <w:r w:rsidR="007A52B7" w:rsidRPr="00A30368">
        <w:rPr>
          <w:rFonts w:cs="Arial"/>
        </w:rPr>
        <w:t>The</w:t>
      </w:r>
      <w:r w:rsidR="00880293" w:rsidRPr="00A30368">
        <w:rPr>
          <w:rFonts w:cs="Arial"/>
        </w:rPr>
        <w:t xml:space="preserve"> review also included input </w:t>
      </w:r>
      <w:r w:rsidR="00A32037" w:rsidRPr="00A30368">
        <w:rPr>
          <w:rFonts w:cs="Arial"/>
        </w:rPr>
        <w:t xml:space="preserve">from </w:t>
      </w:r>
      <w:r w:rsidR="00880293" w:rsidRPr="00A30368">
        <w:rPr>
          <w:rFonts w:cs="Arial"/>
        </w:rPr>
        <w:t xml:space="preserve">a broad range of stakeholders (including the </w:t>
      </w:r>
      <w:r w:rsidR="0067153D" w:rsidRPr="00A30368">
        <w:rPr>
          <w:rFonts w:cs="Arial"/>
        </w:rPr>
        <w:t>SBE</w:t>
      </w:r>
      <w:r w:rsidR="00743B9A" w:rsidRPr="00A30368">
        <w:rPr>
          <w:rFonts w:cs="Arial"/>
        </w:rPr>
        <w:t>-</w:t>
      </w:r>
      <w:r w:rsidR="0067153D" w:rsidRPr="00A30368">
        <w:rPr>
          <w:rFonts w:cs="Arial"/>
        </w:rPr>
        <w:t xml:space="preserve">appointed </w:t>
      </w:r>
      <w:r w:rsidR="00880293" w:rsidRPr="00A30368">
        <w:rPr>
          <w:rFonts w:cs="Arial"/>
        </w:rPr>
        <w:t>California Practitioners Advisory Group</w:t>
      </w:r>
      <w:r w:rsidR="00A32037" w:rsidRPr="00A30368">
        <w:rPr>
          <w:rFonts w:cs="Arial"/>
        </w:rPr>
        <w:t xml:space="preserve">, various </w:t>
      </w:r>
      <w:r w:rsidR="0067153D" w:rsidRPr="00A30368">
        <w:rPr>
          <w:rFonts w:cs="Arial"/>
        </w:rPr>
        <w:t xml:space="preserve">policy and ad-hoc </w:t>
      </w:r>
      <w:r w:rsidR="00244B8B" w:rsidRPr="00A30368">
        <w:rPr>
          <w:rFonts w:cs="Arial"/>
        </w:rPr>
        <w:t>w</w:t>
      </w:r>
      <w:r w:rsidR="00A32037" w:rsidRPr="00A30368">
        <w:rPr>
          <w:rFonts w:cs="Arial"/>
        </w:rPr>
        <w:t xml:space="preserve">ork </w:t>
      </w:r>
      <w:r w:rsidR="00244B8B" w:rsidRPr="00A30368">
        <w:rPr>
          <w:rFonts w:cs="Arial"/>
        </w:rPr>
        <w:t>g</w:t>
      </w:r>
      <w:r w:rsidR="00A32037" w:rsidRPr="00A30368">
        <w:rPr>
          <w:rFonts w:cs="Arial"/>
        </w:rPr>
        <w:t>roups established by the CDE, the LCFF Stakeholder Group,</w:t>
      </w:r>
      <w:r w:rsidR="00880293" w:rsidRPr="00A30368">
        <w:rPr>
          <w:rFonts w:cs="Arial"/>
        </w:rPr>
        <w:t xml:space="preserve"> and the Technical Design Group [TDG]</w:t>
      </w:r>
      <w:r w:rsidR="0067153D" w:rsidRPr="00A30368">
        <w:rPr>
          <w:rFonts w:cs="Arial"/>
        </w:rPr>
        <w:t>, which advises the CDE on technical issues related to accountability</w:t>
      </w:r>
      <w:r w:rsidR="00880293" w:rsidRPr="00A30368">
        <w:rPr>
          <w:rFonts w:cs="Arial"/>
        </w:rPr>
        <w:t xml:space="preserve">). </w:t>
      </w:r>
      <w:r w:rsidR="0067153D" w:rsidRPr="00A30368">
        <w:rPr>
          <w:rFonts w:cs="Arial"/>
        </w:rPr>
        <w:t>Upon</w:t>
      </w:r>
      <w:r w:rsidR="00880293" w:rsidRPr="00A30368">
        <w:rPr>
          <w:rFonts w:cs="Arial"/>
        </w:rPr>
        <w:t xml:space="preserve"> SBE approv</w:t>
      </w:r>
      <w:r w:rsidR="0067153D" w:rsidRPr="00A30368">
        <w:rPr>
          <w:rFonts w:cs="Arial"/>
        </w:rPr>
        <w:t>al of</w:t>
      </w:r>
      <w:r w:rsidR="00880293" w:rsidRPr="00A30368">
        <w:rPr>
          <w:rFonts w:cs="Arial"/>
        </w:rPr>
        <w:t xml:space="preserve"> these state indicators</w:t>
      </w:r>
      <w:r w:rsidR="0077294D" w:rsidRPr="00A30368">
        <w:rPr>
          <w:rFonts w:cs="Arial"/>
        </w:rPr>
        <w:t>,</w:t>
      </w:r>
      <w:r w:rsidR="00880293" w:rsidRPr="00A30368">
        <w:rPr>
          <w:rFonts w:cs="Arial"/>
        </w:rPr>
        <w:t xml:space="preserve"> the </w:t>
      </w:r>
      <w:r w:rsidRPr="00A30368">
        <w:rPr>
          <w:rFonts w:cs="Arial"/>
        </w:rPr>
        <w:t xml:space="preserve">CDE </w:t>
      </w:r>
      <w:r w:rsidR="0077294D" w:rsidRPr="00A30368">
        <w:rPr>
          <w:rFonts w:cs="Arial"/>
        </w:rPr>
        <w:t xml:space="preserve">began the technical process </w:t>
      </w:r>
      <w:r w:rsidR="00880293" w:rsidRPr="00A30368">
        <w:rPr>
          <w:rFonts w:cs="Arial"/>
        </w:rPr>
        <w:t xml:space="preserve">for </w:t>
      </w:r>
      <w:r w:rsidR="007A52B7" w:rsidRPr="00A30368">
        <w:rPr>
          <w:rFonts w:cs="Arial"/>
        </w:rPr>
        <w:t xml:space="preserve">calculating and </w:t>
      </w:r>
      <w:r w:rsidRPr="00A30368">
        <w:rPr>
          <w:rFonts w:cs="Arial"/>
        </w:rPr>
        <w:t>uploading these dat</w:t>
      </w:r>
      <w:r w:rsidR="000A6F8D" w:rsidRPr="00A30368">
        <w:rPr>
          <w:rFonts w:cs="Arial"/>
        </w:rPr>
        <w:t>a and results to the Dashboard.</w:t>
      </w:r>
    </w:p>
    <w:p w14:paraId="7E12FF3B" w14:textId="73331430" w:rsidR="00141C03" w:rsidRPr="00A30368" w:rsidRDefault="001D675B" w:rsidP="000A6F8D">
      <w:pPr>
        <w:spacing w:before="240" w:after="240"/>
        <w:rPr>
          <w:rFonts w:cs="Arial"/>
        </w:rPr>
      </w:pPr>
      <w:r w:rsidRPr="00A30368">
        <w:rPr>
          <w:rFonts w:cs="Arial"/>
        </w:rPr>
        <w:t>While t</w:t>
      </w:r>
      <w:r w:rsidR="00F266B9" w:rsidRPr="00A30368">
        <w:rPr>
          <w:rFonts w:cs="Arial"/>
        </w:rPr>
        <w:t>he overlap between the federal</w:t>
      </w:r>
      <w:r w:rsidR="000859D4" w:rsidRPr="00A30368">
        <w:rPr>
          <w:rFonts w:cs="Arial"/>
        </w:rPr>
        <w:t xml:space="preserve"> indicators </w:t>
      </w:r>
      <w:r w:rsidR="00065EC1" w:rsidRPr="00A30368">
        <w:rPr>
          <w:rFonts w:cs="Arial"/>
        </w:rPr>
        <w:t xml:space="preserve">and </w:t>
      </w:r>
      <w:r w:rsidR="000859D4" w:rsidRPr="00A30368">
        <w:rPr>
          <w:rFonts w:cs="Arial"/>
        </w:rPr>
        <w:t xml:space="preserve">the LCFF state priorities </w:t>
      </w:r>
      <w:r w:rsidR="00F266B9" w:rsidRPr="00A30368">
        <w:rPr>
          <w:rFonts w:cs="Arial"/>
        </w:rPr>
        <w:t xml:space="preserve">further </w:t>
      </w:r>
      <w:r w:rsidR="000859D4" w:rsidRPr="00A30368">
        <w:rPr>
          <w:rFonts w:cs="Arial"/>
        </w:rPr>
        <w:t>promoted the alignment of state and federal requirements under one accountability system</w:t>
      </w:r>
      <w:r w:rsidRPr="00A30368">
        <w:rPr>
          <w:rFonts w:cs="Arial"/>
        </w:rPr>
        <w:t xml:space="preserve">, the </w:t>
      </w:r>
      <w:r w:rsidR="0006104F" w:rsidRPr="00A30368">
        <w:rPr>
          <w:rFonts w:cs="Arial"/>
        </w:rPr>
        <w:t xml:space="preserve">state indicators only addressed </w:t>
      </w:r>
      <w:r w:rsidR="007A78B0" w:rsidRPr="00A30368">
        <w:rPr>
          <w:rFonts w:cs="Arial"/>
        </w:rPr>
        <w:t>four</w:t>
      </w:r>
      <w:r w:rsidR="0006104F" w:rsidRPr="00A30368">
        <w:rPr>
          <w:rFonts w:cs="Arial"/>
        </w:rPr>
        <w:t xml:space="preserve"> </w:t>
      </w:r>
      <w:r w:rsidR="00880293" w:rsidRPr="00A30368">
        <w:rPr>
          <w:rFonts w:cs="Arial"/>
        </w:rPr>
        <w:t xml:space="preserve">of the </w:t>
      </w:r>
      <w:r w:rsidR="0006104F" w:rsidRPr="00A30368">
        <w:rPr>
          <w:rFonts w:cs="Arial"/>
        </w:rPr>
        <w:t>LCFF state priorities</w:t>
      </w:r>
      <w:r w:rsidRPr="00A30368">
        <w:rPr>
          <w:rFonts w:cs="Arial"/>
        </w:rPr>
        <w:t>. T</w:t>
      </w:r>
      <w:r w:rsidR="0006104F" w:rsidRPr="00A30368">
        <w:rPr>
          <w:rFonts w:cs="Arial"/>
        </w:rPr>
        <w:t xml:space="preserve">here were still </w:t>
      </w:r>
      <w:r w:rsidR="00375850" w:rsidRPr="00A30368">
        <w:rPr>
          <w:rFonts w:cs="Arial"/>
        </w:rPr>
        <w:t>four</w:t>
      </w:r>
      <w:r w:rsidR="0006104F" w:rsidRPr="00A30368">
        <w:rPr>
          <w:rFonts w:cs="Arial"/>
        </w:rPr>
        <w:t xml:space="preserve"> </w:t>
      </w:r>
      <w:r w:rsidRPr="00A30368">
        <w:rPr>
          <w:rFonts w:cs="Arial"/>
        </w:rPr>
        <w:t xml:space="preserve">remaining </w:t>
      </w:r>
      <w:r w:rsidR="0006104F" w:rsidRPr="00A30368">
        <w:rPr>
          <w:rFonts w:cs="Arial"/>
        </w:rPr>
        <w:t xml:space="preserve">LCFF priorities that </w:t>
      </w:r>
      <w:r w:rsidR="00065EC1" w:rsidRPr="00A30368">
        <w:rPr>
          <w:rFonts w:cs="Arial"/>
        </w:rPr>
        <w:t>were not addressed by the state indicators</w:t>
      </w:r>
      <w:r w:rsidR="000A6F8D" w:rsidRPr="00A30368">
        <w:rPr>
          <w:rFonts w:cs="Arial"/>
        </w:rPr>
        <w:t>:</w:t>
      </w:r>
    </w:p>
    <w:p w14:paraId="7E12FF3D" w14:textId="5024E044" w:rsidR="001A7E27" w:rsidRPr="00A30368" w:rsidRDefault="0006104F" w:rsidP="00E82122">
      <w:pPr>
        <w:numPr>
          <w:ilvl w:val="0"/>
          <w:numId w:val="5"/>
        </w:numPr>
        <w:spacing w:before="240" w:after="240"/>
        <w:rPr>
          <w:rFonts w:cs="Arial"/>
        </w:rPr>
      </w:pPr>
      <w:r w:rsidRPr="00A30368">
        <w:rPr>
          <w:rFonts w:cs="Arial"/>
          <w:bCs/>
        </w:rPr>
        <w:t>Priority 1</w:t>
      </w:r>
      <w:r w:rsidR="00E34587" w:rsidRPr="00A30368">
        <w:rPr>
          <w:rFonts w:cs="Arial"/>
          <w:bCs/>
        </w:rPr>
        <w:t xml:space="preserve">: </w:t>
      </w:r>
      <w:r w:rsidRPr="00A30368">
        <w:rPr>
          <w:rFonts w:cs="Arial"/>
          <w:bCs/>
        </w:rPr>
        <w:t>Appropriately Assigned Teachers, Access to Curriculum-Aligned Instructional Materials, and Safe, Clean and Functional School Facilities</w:t>
      </w:r>
    </w:p>
    <w:p w14:paraId="7E12FF3F" w14:textId="122A347C" w:rsidR="001A7E27" w:rsidRPr="00A30368" w:rsidRDefault="0006104F" w:rsidP="00A53416">
      <w:pPr>
        <w:numPr>
          <w:ilvl w:val="0"/>
          <w:numId w:val="5"/>
        </w:numPr>
        <w:spacing w:before="240" w:after="240"/>
        <w:rPr>
          <w:rFonts w:cs="Arial"/>
        </w:rPr>
      </w:pPr>
      <w:r w:rsidRPr="00A30368">
        <w:rPr>
          <w:rFonts w:cs="Arial"/>
          <w:bCs/>
        </w:rPr>
        <w:t>Priority 2</w:t>
      </w:r>
      <w:r w:rsidR="00E34587" w:rsidRPr="00A30368">
        <w:rPr>
          <w:rFonts w:cs="Arial"/>
          <w:bCs/>
        </w:rPr>
        <w:t xml:space="preserve">: </w:t>
      </w:r>
      <w:r w:rsidRPr="00A30368">
        <w:rPr>
          <w:rFonts w:cs="Arial"/>
          <w:bCs/>
        </w:rPr>
        <w:t>Implementat</w:t>
      </w:r>
      <w:r w:rsidR="00E34587" w:rsidRPr="00A30368">
        <w:rPr>
          <w:rFonts w:cs="Arial"/>
          <w:bCs/>
        </w:rPr>
        <w:t>ion of State Academic Standards</w:t>
      </w:r>
    </w:p>
    <w:p w14:paraId="7E12FF41" w14:textId="79971B98" w:rsidR="001A7E27" w:rsidRPr="00A30368" w:rsidRDefault="00E34587" w:rsidP="008F46AC">
      <w:pPr>
        <w:numPr>
          <w:ilvl w:val="0"/>
          <w:numId w:val="5"/>
        </w:numPr>
        <w:spacing w:before="240" w:after="240"/>
        <w:rPr>
          <w:rFonts w:cs="Arial"/>
        </w:rPr>
      </w:pPr>
      <w:r w:rsidRPr="00A30368">
        <w:rPr>
          <w:rFonts w:cs="Arial"/>
          <w:bCs/>
        </w:rPr>
        <w:t xml:space="preserve">Priority 3: </w:t>
      </w:r>
      <w:r w:rsidR="0006104F" w:rsidRPr="00A30368">
        <w:rPr>
          <w:rFonts w:cs="Arial"/>
          <w:bCs/>
        </w:rPr>
        <w:t>Parent Engagement</w:t>
      </w:r>
    </w:p>
    <w:p w14:paraId="7E12FF43" w14:textId="7BC105F3" w:rsidR="00D11F28" w:rsidRPr="00A30368" w:rsidRDefault="0006104F" w:rsidP="00EB5878">
      <w:pPr>
        <w:numPr>
          <w:ilvl w:val="0"/>
          <w:numId w:val="5"/>
        </w:numPr>
        <w:spacing w:before="240" w:after="240"/>
        <w:rPr>
          <w:rFonts w:cs="Arial"/>
          <w:bCs/>
        </w:rPr>
      </w:pPr>
      <w:r w:rsidRPr="00A30368">
        <w:rPr>
          <w:rFonts w:cs="Arial"/>
          <w:bCs/>
        </w:rPr>
        <w:t>Priority 7</w:t>
      </w:r>
      <w:r w:rsidR="00E34587" w:rsidRPr="00A30368">
        <w:rPr>
          <w:rFonts w:cs="Arial"/>
          <w:bCs/>
        </w:rPr>
        <w:t xml:space="preserve">: </w:t>
      </w:r>
      <w:r w:rsidRPr="00A30368">
        <w:rPr>
          <w:rFonts w:cs="Arial"/>
          <w:bCs/>
        </w:rPr>
        <w:t>Access to a Broad Course of Study</w:t>
      </w:r>
    </w:p>
    <w:p w14:paraId="7E12FF45" w14:textId="370E2A9F" w:rsidR="00375850" w:rsidRPr="00A30368" w:rsidRDefault="00D11F28" w:rsidP="000A6F8D">
      <w:pPr>
        <w:spacing w:before="240" w:after="240"/>
        <w:rPr>
          <w:rFonts w:cs="Arial"/>
          <w:bCs/>
        </w:rPr>
      </w:pPr>
      <w:r w:rsidRPr="00A30368">
        <w:rPr>
          <w:rFonts w:cs="Arial"/>
          <w:bCs/>
        </w:rPr>
        <w:lastRenderedPageBreak/>
        <w:t xml:space="preserve">Additionally, two LCFF priorities that apply only to COEs </w:t>
      </w:r>
      <w:r w:rsidR="00375850" w:rsidRPr="00A30368">
        <w:rPr>
          <w:rFonts w:cs="Arial"/>
          <w:bCs/>
        </w:rPr>
        <w:t xml:space="preserve">were </w:t>
      </w:r>
      <w:r w:rsidRPr="00A30368">
        <w:rPr>
          <w:rFonts w:cs="Arial"/>
          <w:bCs/>
        </w:rPr>
        <w:t>not addressed by the state indicators:</w:t>
      </w:r>
    </w:p>
    <w:p w14:paraId="7E12FF46" w14:textId="38675C89" w:rsidR="00D11F28" w:rsidRPr="00A30368" w:rsidRDefault="00D11F28" w:rsidP="000A6F8D">
      <w:pPr>
        <w:numPr>
          <w:ilvl w:val="0"/>
          <w:numId w:val="6"/>
        </w:numPr>
        <w:spacing w:before="240" w:after="240"/>
        <w:rPr>
          <w:rFonts w:cs="Arial"/>
        </w:rPr>
      </w:pPr>
      <w:r w:rsidRPr="00A30368">
        <w:rPr>
          <w:rFonts w:cs="Arial"/>
          <w:bCs/>
          <w:color w:val="000000"/>
        </w:rPr>
        <w:t>Priority 9</w:t>
      </w:r>
      <w:r w:rsidR="00E34587" w:rsidRPr="00A30368">
        <w:rPr>
          <w:rFonts w:cs="Arial"/>
          <w:bCs/>
          <w:color w:val="000000"/>
        </w:rPr>
        <w:t xml:space="preserve">: </w:t>
      </w:r>
      <w:r w:rsidRPr="00A30368">
        <w:rPr>
          <w:rFonts w:cs="Arial"/>
          <w:bCs/>
          <w:color w:val="000000"/>
        </w:rPr>
        <w:t>Coordination of Services for Expelled Students</w:t>
      </w:r>
    </w:p>
    <w:p w14:paraId="7E12FF48" w14:textId="560B2D7C" w:rsidR="00D11F28" w:rsidRPr="00A30368" w:rsidRDefault="00D11F28" w:rsidP="00C734FC">
      <w:pPr>
        <w:numPr>
          <w:ilvl w:val="0"/>
          <w:numId w:val="6"/>
        </w:numPr>
        <w:spacing w:before="240" w:after="240"/>
        <w:rPr>
          <w:rFonts w:cs="Arial"/>
        </w:rPr>
      </w:pPr>
      <w:r w:rsidRPr="00A30368">
        <w:rPr>
          <w:rFonts w:cs="Arial"/>
          <w:bCs/>
          <w:color w:val="000000"/>
        </w:rPr>
        <w:t>Priority 10</w:t>
      </w:r>
      <w:r w:rsidR="00E34587" w:rsidRPr="00A30368">
        <w:rPr>
          <w:rFonts w:cs="Arial"/>
          <w:bCs/>
          <w:color w:val="000000"/>
        </w:rPr>
        <w:t>:</w:t>
      </w:r>
      <w:r w:rsidRPr="00A30368">
        <w:rPr>
          <w:rFonts w:cs="Arial"/>
          <w:bCs/>
          <w:color w:val="000000"/>
        </w:rPr>
        <w:t xml:space="preserve"> Coordinati</w:t>
      </w:r>
      <w:r w:rsidR="00E34587" w:rsidRPr="00A30368">
        <w:rPr>
          <w:rFonts w:cs="Arial"/>
          <w:bCs/>
          <w:color w:val="000000"/>
        </w:rPr>
        <w:t>on of Services for Foster Youth</w:t>
      </w:r>
    </w:p>
    <w:p w14:paraId="7E12FF4A" w14:textId="7810E1F2" w:rsidR="00C27E36" w:rsidRPr="00A30368" w:rsidRDefault="000C4E69" w:rsidP="000A6F8D">
      <w:pPr>
        <w:spacing w:before="240" w:after="240"/>
        <w:rPr>
          <w:rFonts w:cs="Arial"/>
        </w:rPr>
      </w:pPr>
      <w:r w:rsidRPr="00A30368">
        <w:rPr>
          <w:rFonts w:cs="Arial"/>
        </w:rPr>
        <w:t xml:space="preserve">California does not currently collect data on a statewide basis that is comparable across LEAs within these LCFF priorities. As noted, the LCFF required the SBE to develop performance and improvement standards for </w:t>
      </w:r>
      <w:r w:rsidR="007D0C7A" w:rsidRPr="00A30368">
        <w:rPr>
          <w:rFonts w:cs="Arial"/>
        </w:rPr>
        <w:t>all t</w:t>
      </w:r>
      <w:r w:rsidRPr="00A30368">
        <w:rPr>
          <w:rFonts w:cs="Arial"/>
        </w:rPr>
        <w:t>he</w:t>
      </w:r>
      <w:r w:rsidR="007D0C7A" w:rsidRPr="00A30368">
        <w:rPr>
          <w:rFonts w:cs="Arial"/>
        </w:rPr>
        <w:t xml:space="preserve"> </w:t>
      </w:r>
      <w:r w:rsidRPr="00A30368">
        <w:rPr>
          <w:rFonts w:cs="Arial"/>
        </w:rPr>
        <w:t xml:space="preserve">LCFF priorities. </w:t>
      </w:r>
      <w:r w:rsidR="007A78B0" w:rsidRPr="00A30368">
        <w:rPr>
          <w:rFonts w:cs="Arial"/>
        </w:rPr>
        <w:t>The SBE approved “</w:t>
      </w:r>
      <w:r w:rsidR="00F86E6A" w:rsidRPr="00A30368">
        <w:rPr>
          <w:rFonts w:cs="Arial"/>
        </w:rPr>
        <w:t>local indicators”</w:t>
      </w:r>
      <w:r w:rsidR="00425C1E" w:rsidRPr="00A30368">
        <w:rPr>
          <w:rFonts w:cs="Arial"/>
        </w:rPr>
        <w:t xml:space="preserve"> </w:t>
      </w:r>
      <w:r w:rsidRPr="00A30368">
        <w:rPr>
          <w:rFonts w:cs="Arial"/>
        </w:rPr>
        <w:t>for the LCFF priorities</w:t>
      </w:r>
      <w:r w:rsidR="007D0C7A" w:rsidRPr="00A30368">
        <w:rPr>
          <w:rFonts w:cs="Arial"/>
        </w:rPr>
        <w:t xml:space="preserve"> where statewide data was not available</w:t>
      </w:r>
      <w:r w:rsidRPr="00A30368">
        <w:rPr>
          <w:rFonts w:cs="Arial"/>
        </w:rPr>
        <w:t xml:space="preserve">, which include </w:t>
      </w:r>
      <w:r w:rsidR="00425C1E" w:rsidRPr="00A30368">
        <w:rPr>
          <w:rFonts w:cs="Arial"/>
        </w:rPr>
        <w:t>self-</w:t>
      </w:r>
      <w:r w:rsidRPr="00A30368">
        <w:rPr>
          <w:rFonts w:cs="Arial"/>
        </w:rPr>
        <w:t xml:space="preserve">reflection </w:t>
      </w:r>
      <w:r w:rsidR="00425C1E" w:rsidRPr="00A30368">
        <w:rPr>
          <w:rFonts w:cs="Arial"/>
        </w:rPr>
        <w:t>tools</w:t>
      </w:r>
      <w:r w:rsidR="00065EC1" w:rsidRPr="00A30368">
        <w:rPr>
          <w:rFonts w:cs="Arial"/>
        </w:rPr>
        <w:t xml:space="preserve"> that apply at the LEA level only</w:t>
      </w:r>
      <w:r w:rsidR="00425C1E" w:rsidRPr="00A30368">
        <w:rPr>
          <w:rFonts w:cs="Arial"/>
        </w:rPr>
        <w:t xml:space="preserve">. </w:t>
      </w:r>
      <w:r w:rsidR="007D0C7A" w:rsidRPr="00A30368">
        <w:rPr>
          <w:rFonts w:cs="Arial"/>
        </w:rPr>
        <w:t xml:space="preserve">LEAs (which includes charter schools) </w:t>
      </w:r>
      <w:r w:rsidR="00425C1E" w:rsidRPr="00A30368">
        <w:rPr>
          <w:rFonts w:cs="Arial"/>
        </w:rPr>
        <w:t xml:space="preserve">are </w:t>
      </w:r>
      <w:r w:rsidR="001D675B" w:rsidRPr="00A30368">
        <w:rPr>
          <w:rFonts w:cs="Arial"/>
        </w:rPr>
        <w:t xml:space="preserve">responsible for </w:t>
      </w:r>
      <w:r w:rsidR="0077294D" w:rsidRPr="00A30368">
        <w:rPr>
          <w:rFonts w:cs="Arial"/>
        </w:rPr>
        <w:t xml:space="preserve">annually </w:t>
      </w:r>
      <w:r w:rsidRPr="00A30368">
        <w:rPr>
          <w:rFonts w:cs="Arial"/>
        </w:rPr>
        <w:t xml:space="preserve">completing the self-reflection tools using locally collected data and </w:t>
      </w:r>
      <w:r w:rsidR="001D675B" w:rsidRPr="00A30368">
        <w:rPr>
          <w:rFonts w:cs="Arial"/>
        </w:rPr>
        <w:t>uploading the results to the Dashboard</w:t>
      </w:r>
      <w:r w:rsidR="0077294D" w:rsidRPr="00A30368">
        <w:rPr>
          <w:rFonts w:cs="Arial"/>
        </w:rPr>
        <w:t>, following review of the results at a regularly scheduled school board meeting</w:t>
      </w:r>
      <w:r w:rsidR="001D675B" w:rsidRPr="00A30368">
        <w:rPr>
          <w:rFonts w:cs="Arial"/>
        </w:rPr>
        <w:t>.</w:t>
      </w:r>
      <w:r w:rsidRPr="00A30368">
        <w:rPr>
          <w:rFonts w:cs="Arial"/>
        </w:rPr>
        <w:t xml:space="preserve"> The standards for the local indicators </w:t>
      </w:r>
      <w:r w:rsidR="00B83455" w:rsidRPr="00A30368">
        <w:rPr>
          <w:rFonts w:cs="Arial"/>
        </w:rPr>
        <w:t>are</w:t>
      </w:r>
      <w:r w:rsidR="003402BA" w:rsidRPr="00A30368">
        <w:rPr>
          <w:rFonts w:cs="Arial"/>
        </w:rPr>
        <w:t xml:space="preserve"> reported </w:t>
      </w:r>
      <w:r w:rsidR="007D0C7A" w:rsidRPr="00A30368">
        <w:rPr>
          <w:rFonts w:cs="Arial"/>
        </w:rPr>
        <w:t>as</w:t>
      </w:r>
      <w:r w:rsidR="003402BA" w:rsidRPr="00A30368">
        <w:rPr>
          <w:rFonts w:cs="Arial"/>
        </w:rPr>
        <w:t xml:space="preserve"> a Met / Not Met / </w:t>
      </w:r>
      <w:r w:rsidR="00B83455" w:rsidRPr="00A30368">
        <w:rPr>
          <w:rFonts w:cs="Arial"/>
        </w:rPr>
        <w:t>Not Met for Two or More Years, based</w:t>
      </w:r>
      <w:r w:rsidRPr="00A30368">
        <w:rPr>
          <w:rFonts w:cs="Arial"/>
        </w:rPr>
        <w:t xml:space="preserve"> on whether the LEA</w:t>
      </w:r>
      <w:r w:rsidR="001D675B" w:rsidRPr="00A30368">
        <w:rPr>
          <w:rFonts w:cs="Arial"/>
        </w:rPr>
        <w:t xml:space="preserve"> </w:t>
      </w:r>
      <w:r w:rsidRPr="00A30368">
        <w:rPr>
          <w:rFonts w:cs="Arial"/>
        </w:rPr>
        <w:t>collected and reported the local data through the Dashboard consistent with these requirements.</w:t>
      </w:r>
      <w:r w:rsidR="00503A6A" w:rsidRPr="00A30368">
        <w:rPr>
          <w:rFonts w:cs="Arial"/>
        </w:rPr>
        <w:t xml:space="preserve"> </w:t>
      </w:r>
      <w:r w:rsidR="001E76B8" w:rsidRPr="00A30368">
        <w:rPr>
          <w:rFonts w:cs="Arial"/>
        </w:rPr>
        <w:t xml:space="preserve">All the self-reflection tools are available in the Local Performance Indicator Quick Guide located on the on the CDE California School Dashboard and System of Support web page at </w:t>
      </w:r>
      <w:hyperlink r:id="rId11" w:tooltip="CDE California School Dashboard and System of Support web page" w:history="1">
        <w:r w:rsidR="001E76B8" w:rsidRPr="00A30368">
          <w:rPr>
            <w:rStyle w:val="Hyperlink"/>
            <w:rFonts w:cs="Arial"/>
          </w:rPr>
          <w:t>https://www.cde.ca.gov/ta/ac/cm/documents/localindquickref2018.docx</w:t>
        </w:r>
      </w:hyperlink>
      <w:r w:rsidR="001E76B8" w:rsidRPr="00A30368">
        <w:rPr>
          <w:rFonts w:cs="Arial"/>
        </w:rPr>
        <w:t xml:space="preserve">. </w:t>
      </w:r>
      <w:r w:rsidR="00F253C0" w:rsidRPr="00A30368">
        <w:rPr>
          <w:rFonts w:cs="Arial"/>
        </w:rPr>
        <w:t>The remainder of this memorandum focuses on the state indicators.</w:t>
      </w:r>
    </w:p>
    <w:p w14:paraId="7E12FF4B" w14:textId="77777777" w:rsidR="00314DE5" w:rsidRPr="00A30368" w:rsidRDefault="001D675B" w:rsidP="000A6F8D">
      <w:pPr>
        <w:pStyle w:val="Heading3"/>
        <w:spacing w:before="240" w:after="240"/>
        <w:rPr>
          <w:rFonts w:ascii="Arial" w:hAnsi="Arial" w:cs="Arial"/>
          <w:b/>
          <w:color w:val="auto"/>
          <w:sz w:val="28"/>
          <w:szCs w:val="28"/>
        </w:rPr>
      </w:pPr>
      <w:r w:rsidRPr="00A30368">
        <w:rPr>
          <w:rFonts w:ascii="Arial" w:hAnsi="Arial" w:cs="Arial"/>
          <w:b/>
          <w:color w:val="auto"/>
          <w:sz w:val="28"/>
          <w:szCs w:val="28"/>
        </w:rPr>
        <w:t xml:space="preserve">Methodology for </w:t>
      </w:r>
      <w:r w:rsidR="00314DE5" w:rsidRPr="00A30368">
        <w:rPr>
          <w:rFonts w:ascii="Arial" w:hAnsi="Arial" w:cs="Arial"/>
          <w:b/>
          <w:color w:val="auto"/>
          <w:sz w:val="28"/>
          <w:szCs w:val="28"/>
        </w:rPr>
        <w:t>Setting Standards</w:t>
      </w:r>
      <w:r w:rsidRPr="00A30368">
        <w:rPr>
          <w:rFonts w:ascii="Arial" w:hAnsi="Arial" w:cs="Arial"/>
          <w:b/>
          <w:color w:val="auto"/>
          <w:sz w:val="28"/>
          <w:szCs w:val="28"/>
        </w:rPr>
        <w:t xml:space="preserve"> for State Indicators</w:t>
      </w:r>
    </w:p>
    <w:p w14:paraId="7E12FF4D" w14:textId="55D42285" w:rsidR="00743B9A" w:rsidRPr="00A30368" w:rsidRDefault="00321317" w:rsidP="000A6F8D">
      <w:pPr>
        <w:spacing w:before="240" w:after="240"/>
        <w:rPr>
          <w:rFonts w:cs="Arial"/>
          <w:b/>
          <w:i/>
        </w:rPr>
      </w:pPr>
      <w:r w:rsidRPr="00A30368">
        <w:rPr>
          <w:rFonts w:cs="Arial"/>
          <w:i/>
        </w:rPr>
        <w:t>EC</w:t>
      </w:r>
      <w:r w:rsidR="001D675B" w:rsidRPr="00A30368">
        <w:rPr>
          <w:rFonts w:cs="Arial"/>
        </w:rPr>
        <w:t xml:space="preserve"> </w:t>
      </w:r>
      <w:r w:rsidR="00BC5FD6" w:rsidRPr="00A30368">
        <w:rPr>
          <w:rFonts w:cs="Arial"/>
        </w:rPr>
        <w:t>Section 52064.5(c)</w:t>
      </w:r>
      <w:r w:rsidR="00A96AC1" w:rsidRPr="00A30368">
        <w:rPr>
          <w:rFonts w:cs="Arial"/>
        </w:rPr>
        <w:t xml:space="preserve"> require</w:t>
      </w:r>
      <w:r w:rsidR="004733CA" w:rsidRPr="00A30368">
        <w:rPr>
          <w:rFonts w:cs="Arial"/>
        </w:rPr>
        <w:t>d</w:t>
      </w:r>
      <w:r w:rsidR="00A96AC1" w:rsidRPr="00A30368">
        <w:rPr>
          <w:rFonts w:cs="Arial"/>
        </w:rPr>
        <w:t xml:space="preserve"> the </w:t>
      </w:r>
      <w:r w:rsidR="00BC5FD6" w:rsidRPr="00A30368">
        <w:rPr>
          <w:rFonts w:cs="Arial"/>
        </w:rPr>
        <w:t>LCFF evaluation rubrics</w:t>
      </w:r>
      <w:r w:rsidR="004733CA" w:rsidRPr="00A30368">
        <w:rPr>
          <w:rFonts w:cs="Arial"/>
        </w:rPr>
        <w:t xml:space="preserve">, now </w:t>
      </w:r>
      <w:r w:rsidR="000C4E69" w:rsidRPr="00A30368">
        <w:rPr>
          <w:rFonts w:cs="Arial"/>
        </w:rPr>
        <w:t xml:space="preserve">the </w:t>
      </w:r>
      <w:r w:rsidR="004733CA" w:rsidRPr="00A30368">
        <w:rPr>
          <w:rFonts w:cs="Arial"/>
        </w:rPr>
        <w:t>Dashboard,</w:t>
      </w:r>
      <w:r w:rsidR="00BC5FD6" w:rsidRPr="00A30368">
        <w:rPr>
          <w:rFonts w:cs="Arial"/>
        </w:rPr>
        <w:t xml:space="preserve"> to include standards for performance and expectations for improvement for each LCFF priority</w:t>
      </w:r>
      <w:r w:rsidR="001D675B" w:rsidRPr="00A30368">
        <w:rPr>
          <w:rFonts w:cs="Arial"/>
        </w:rPr>
        <w:t>. In</w:t>
      </w:r>
      <w:r w:rsidR="00A96AC1" w:rsidRPr="00A30368">
        <w:rPr>
          <w:rFonts w:cs="Arial"/>
        </w:rPr>
        <w:t xml:space="preserve"> </w:t>
      </w:r>
      <w:r w:rsidR="001D675B" w:rsidRPr="00A30368">
        <w:rPr>
          <w:rFonts w:cs="Arial"/>
        </w:rPr>
        <w:t xml:space="preserve">May 2016, the </w:t>
      </w:r>
      <w:r w:rsidR="00A96AC1" w:rsidRPr="00A30368">
        <w:rPr>
          <w:rFonts w:cs="Arial"/>
        </w:rPr>
        <w:t xml:space="preserve">SBE </w:t>
      </w:r>
      <w:r w:rsidR="00BC5FD6" w:rsidRPr="00A30368">
        <w:rPr>
          <w:rFonts w:cs="Arial"/>
        </w:rPr>
        <w:t>approved the methodology for calculating performance for state ind</w:t>
      </w:r>
      <w:r w:rsidR="001D675B" w:rsidRPr="00A30368">
        <w:rPr>
          <w:rFonts w:cs="Arial"/>
        </w:rPr>
        <w:t>icators</w:t>
      </w:r>
      <w:r w:rsidR="00BC5FD6" w:rsidRPr="00A30368">
        <w:rPr>
          <w:rFonts w:cs="Arial"/>
        </w:rPr>
        <w:t xml:space="preserve">. </w:t>
      </w:r>
      <w:r w:rsidR="00314DE5" w:rsidRPr="00A30368">
        <w:rPr>
          <w:rFonts w:cs="Arial"/>
        </w:rPr>
        <w:t>The adopted methodology</w:t>
      </w:r>
      <w:r w:rsidR="00F668C5" w:rsidRPr="00A30368">
        <w:rPr>
          <w:rFonts w:cs="Arial"/>
        </w:rPr>
        <w:t>, which is explained in detail in the following sections,</w:t>
      </w:r>
      <w:r w:rsidR="00314DE5" w:rsidRPr="00A30368">
        <w:rPr>
          <w:rFonts w:cs="Arial"/>
        </w:rPr>
        <w:t xml:space="preserve"> uses equally weighted percentile cut scores for </w:t>
      </w:r>
      <w:r w:rsidR="001D675B" w:rsidRPr="00A30368">
        <w:rPr>
          <w:rFonts w:cs="Arial"/>
        </w:rPr>
        <w:t>“S</w:t>
      </w:r>
      <w:r w:rsidR="006A3DB2" w:rsidRPr="00A30368">
        <w:rPr>
          <w:rFonts w:cs="Arial"/>
        </w:rPr>
        <w:t>ta</w:t>
      </w:r>
      <w:r w:rsidR="00314DE5" w:rsidRPr="00A30368">
        <w:rPr>
          <w:rFonts w:cs="Arial"/>
        </w:rPr>
        <w:t>tus</w:t>
      </w:r>
      <w:r w:rsidR="006A3DB2" w:rsidRPr="00A30368">
        <w:rPr>
          <w:rFonts w:cs="Arial"/>
        </w:rPr>
        <w:t>”</w:t>
      </w:r>
      <w:r w:rsidR="00314DE5" w:rsidRPr="00A30368">
        <w:rPr>
          <w:rFonts w:cs="Arial"/>
        </w:rPr>
        <w:t xml:space="preserve"> and </w:t>
      </w:r>
      <w:r w:rsidR="006A3DB2" w:rsidRPr="00A30368">
        <w:rPr>
          <w:rFonts w:cs="Arial"/>
        </w:rPr>
        <w:t>“</w:t>
      </w:r>
      <w:r w:rsidR="001D675B" w:rsidRPr="00A30368">
        <w:rPr>
          <w:rFonts w:cs="Arial"/>
        </w:rPr>
        <w:t>C</w:t>
      </w:r>
      <w:r w:rsidR="00314DE5" w:rsidRPr="00A30368">
        <w:rPr>
          <w:rFonts w:cs="Arial"/>
        </w:rPr>
        <w:t>hange</w:t>
      </w:r>
      <w:r w:rsidR="006A3DB2" w:rsidRPr="00A30368">
        <w:rPr>
          <w:rFonts w:cs="Arial"/>
        </w:rPr>
        <w:t>”</w:t>
      </w:r>
      <w:r w:rsidR="001D675B" w:rsidRPr="00A30368">
        <w:rPr>
          <w:rFonts w:cs="Arial"/>
        </w:rPr>
        <w:t xml:space="preserve">, which, when combined, </w:t>
      </w:r>
      <w:r w:rsidR="00FC77BD" w:rsidRPr="00A30368">
        <w:rPr>
          <w:rFonts w:cs="Arial"/>
        </w:rPr>
        <w:t xml:space="preserve">produces </w:t>
      </w:r>
      <w:r w:rsidR="00314DE5" w:rsidRPr="00A30368">
        <w:rPr>
          <w:rFonts w:cs="Arial"/>
        </w:rPr>
        <w:t xml:space="preserve">a performance </w:t>
      </w:r>
      <w:r w:rsidR="006A3DB2" w:rsidRPr="00A30368">
        <w:rPr>
          <w:rFonts w:cs="Arial"/>
        </w:rPr>
        <w:t>level (or color)</w:t>
      </w:r>
      <w:r w:rsidR="00314DE5" w:rsidRPr="00A30368">
        <w:rPr>
          <w:rFonts w:cs="Arial"/>
        </w:rPr>
        <w:t xml:space="preserve">. </w:t>
      </w:r>
      <w:r w:rsidR="006A3DB2" w:rsidRPr="00A30368">
        <w:rPr>
          <w:rFonts w:cs="Arial"/>
        </w:rPr>
        <w:t xml:space="preserve">This approved methodology is applied to </w:t>
      </w:r>
      <w:r w:rsidR="00314DE5" w:rsidRPr="00A30368">
        <w:rPr>
          <w:rFonts w:cs="Arial"/>
        </w:rPr>
        <w:t xml:space="preserve">all LEAs, including charter schools and </w:t>
      </w:r>
      <w:r w:rsidRPr="00A30368">
        <w:rPr>
          <w:rFonts w:cs="Arial"/>
        </w:rPr>
        <w:t>COEs</w:t>
      </w:r>
      <w:r w:rsidR="00314DE5" w:rsidRPr="00A30368">
        <w:rPr>
          <w:rFonts w:cs="Arial"/>
        </w:rPr>
        <w:t>, and to individual school si</w:t>
      </w:r>
      <w:r w:rsidR="006A3DB2" w:rsidRPr="00A30368">
        <w:rPr>
          <w:rFonts w:cs="Arial"/>
        </w:rPr>
        <w:t xml:space="preserve">tes, as required by federal law. It is also </w:t>
      </w:r>
      <w:r w:rsidR="004573B1" w:rsidRPr="00A30368">
        <w:rPr>
          <w:rFonts w:cs="Arial"/>
        </w:rPr>
        <w:t xml:space="preserve">applied to </w:t>
      </w:r>
      <w:r w:rsidR="004733CA" w:rsidRPr="00A30368">
        <w:rPr>
          <w:rFonts w:cs="Arial"/>
        </w:rPr>
        <w:t xml:space="preserve">13 </w:t>
      </w:r>
      <w:r w:rsidR="004573B1" w:rsidRPr="00A30368">
        <w:rPr>
          <w:rFonts w:cs="Arial"/>
        </w:rPr>
        <w:t xml:space="preserve">student groups, which </w:t>
      </w:r>
      <w:r w:rsidR="00FC77BD" w:rsidRPr="00A30368">
        <w:rPr>
          <w:rFonts w:cs="Arial"/>
        </w:rPr>
        <w:t xml:space="preserve">fosters equity </w:t>
      </w:r>
      <w:r w:rsidR="004573B1" w:rsidRPr="00A30368">
        <w:rPr>
          <w:rFonts w:cs="Arial"/>
        </w:rPr>
        <w:t>by identify</w:t>
      </w:r>
      <w:r w:rsidR="000C4E69" w:rsidRPr="00A30368">
        <w:rPr>
          <w:rFonts w:cs="Arial"/>
        </w:rPr>
        <w:t>ing any</w:t>
      </w:r>
      <w:r w:rsidR="004573B1" w:rsidRPr="00A30368">
        <w:rPr>
          <w:rFonts w:cs="Arial"/>
        </w:rPr>
        <w:t xml:space="preserve"> disparities and focus</w:t>
      </w:r>
      <w:r w:rsidR="000C4E69" w:rsidRPr="00A30368">
        <w:rPr>
          <w:rFonts w:cs="Arial"/>
        </w:rPr>
        <w:t>ing</w:t>
      </w:r>
      <w:r w:rsidR="004573B1" w:rsidRPr="00A30368">
        <w:rPr>
          <w:rFonts w:cs="Arial"/>
        </w:rPr>
        <w:t xml:space="preserve"> decisions about assistance, support and intervention</w:t>
      </w:r>
      <w:r w:rsidR="000C4E69" w:rsidRPr="00A30368">
        <w:rPr>
          <w:rFonts w:cs="Arial"/>
        </w:rPr>
        <w:t xml:space="preserve"> on addressing performance gaps</w:t>
      </w:r>
      <w:r w:rsidR="00314DE5" w:rsidRPr="00A30368">
        <w:rPr>
          <w:rFonts w:cs="Arial"/>
        </w:rPr>
        <w:t>.</w:t>
      </w:r>
    </w:p>
    <w:p w14:paraId="7E12FF4F" w14:textId="799F2033" w:rsidR="00314DE5" w:rsidRPr="00A30368" w:rsidRDefault="00586B64" w:rsidP="001F232C">
      <w:pPr>
        <w:pStyle w:val="Heading4"/>
        <w:spacing w:before="240" w:after="240"/>
        <w:rPr>
          <w:rFonts w:ascii="Arial" w:hAnsi="Arial" w:cs="Arial"/>
          <w:b/>
          <w:color w:val="auto"/>
        </w:rPr>
      </w:pPr>
      <w:r w:rsidRPr="00A30368">
        <w:rPr>
          <w:rFonts w:ascii="Arial" w:hAnsi="Arial" w:cs="Arial"/>
          <w:b/>
          <w:color w:val="auto"/>
        </w:rPr>
        <w:t>Status</w:t>
      </w:r>
    </w:p>
    <w:p w14:paraId="7E12FF51" w14:textId="5809C8DA" w:rsidR="007A52B7" w:rsidRPr="00A30368" w:rsidRDefault="00314DE5" w:rsidP="000A6F8D">
      <w:pPr>
        <w:spacing w:before="240" w:after="240"/>
        <w:rPr>
          <w:rFonts w:cs="Arial"/>
          <w:sz w:val="22"/>
        </w:rPr>
      </w:pPr>
      <w:r w:rsidRPr="00A30368">
        <w:rPr>
          <w:rFonts w:cs="Arial"/>
        </w:rPr>
        <w:t xml:space="preserve">“Status” is determined </w:t>
      </w:r>
      <w:r w:rsidR="00EE2A7C" w:rsidRPr="00A30368">
        <w:rPr>
          <w:rFonts w:cs="Arial"/>
        </w:rPr>
        <w:t xml:space="preserve">by </w:t>
      </w:r>
      <w:r w:rsidRPr="00A30368">
        <w:rPr>
          <w:rFonts w:cs="Arial"/>
        </w:rPr>
        <w:t>using th</w:t>
      </w:r>
      <w:r w:rsidR="00586B64" w:rsidRPr="00A30368">
        <w:rPr>
          <w:rFonts w:cs="Arial"/>
        </w:rPr>
        <w:t>e current year performance (e.g.</w:t>
      </w:r>
      <w:r w:rsidRPr="00A30368">
        <w:rPr>
          <w:rFonts w:cs="Arial"/>
        </w:rPr>
        <w:t>, current year graduation</w:t>
      </w:r>
      <w:r w:rsidR="00586B64" w:rsidRPr="00A30368">
        <w:rPr>
          <w:rFonts w:cs="Arial"/>
        </w:rPr>
        <w:t xml:space="preserve"> rate). </w:t>
      </w:r>
      <w:r w:rsidR="004573B1" w:rsidRPr="00A30368">
        <w:rPr>
          <w:rFonts w:cs="Arial"/>
        </w:rPr>
        <w:t xml:space="preserve">To determine the percentile cut scores for “Status” for each state indicator, the distribution of LEAs (including charter schools as they are </w:t>
      </w:r>
      <w:r w:rsidR="00640BA6" w:rsidRPr="00A30368">
        <w:rPr>
          <w:rFonts w:cs="Arial"/>
        </w:rPr>
        <w:t>identified as LEAs under LCFF)</w:t>
      </w:r>
      <w:r w:rsidR="004573B1" w:rsidRPr="00A30368">
        <w:rPr>
          <w:rFonts w:cs="Arial"/>
        </w:rPr>
        <w:t xml:space="preserve"> </w:t>
      </w:r>
      <w:r w:rsidR="00EE2A7C" w:rsidRPr="00A30368">
        <w:rPr>
          <w:rFonts w:cs="Arial"/>
        </w:rPr>
        <w:t>are</w:t>
      </w:r>
      <w:r w:rsidR="004573B1" w:rsidRPr="00A30368">
        <w:rPr>
          <w:rFonts w:cs="Arial"/>
        </w:rPr>
        <w:t xml:space="preserve"> categorized from highest to lowest, and four cut scores within the percentile distribution </w:t>
      </w:r>
      <w:r w:rsidR="00EE2A7C" w:rsidRPr="00A30368">
        <w:rPr>
          <w:rFonts w:cs="Arial"/>
        </w:rPr>
        <w:t>are</w:t>
      </w:r>
      <w:r w:rsidR="004573B1" w:rsidRPr="00A30368">
        <w:rPr>
          <w:rFonts w:cs="Arial"/>
        </w:rPr>
        <w:t xml:space="preserve"> selected. These cut scores created five “Status </w:t>
      </w:r>
      <w:r w:rsidR="00640BA6" w:rsidRPr="00A30368">
        <w:rPr>
          <w:rFonts w:cs="Arial"/>
        </w:rPr>
        <w:t>Levels” (very high, high, medium</w:t>
      </w:r>
      <w:r w:rsidR="004573B1" w:rsidRPr="00A30368">
        <w:rPr>
          <w:rFonts w:cs="Arial"/>
        </w:rPr>
        <w:t>, low, and very low).</w:t>
      </w:r>
    </w:p>
    <w:p w14:paraId="731FE923" w14:textId="77777777" w:rsidR="001E76B8" w:rsidRPr="00A30368" w:rsidRDefault="00640BA6" w:rsidP="000A6F8D">
      <w:pPr>
        <w:spacing w:before="240" w:after="240"/>
        <w:rPr>
          <w:rFonts w:cs="Arial"/>
        </w:rPr>
      </w:pPr>
      <w:r w:rsidRPr="00A30368">
        <w:rPr>
          <w:rFonts w:cs="Arial"/>
        </w:rPr>
        <w:lastRenderedPageBreak/>
        <w:t>The</w:t>
      </w:r>
      <w:r w:rsidR="004573B1" w:rsidRPr="00A30368">
        <w:rPr>
          <w:rFonts w:cs="Arial"/>
        </w:rPr>
        <w:t xml:space="preserve"> “very low” Status cut score </w:t>
      </w:r>
      <w:r w:rsidR="00EE2A7C" w:rsidRPr="00A30368">
        <w:rPr>
          <w:rFonts w:cs="Arial"/>
        </w:rPr>
        <w:t>is</w:t>
      </w:r>
      <w:r w:rsidR="004573B1" w:rsidRPr="00A30368">
        <w:rPr>
          <w:rFonts w:cs="Arial"/>
        </w:rPr>
        <w:t xml:space="preserve"> based on the performance of a small percent of LEAs</w:t>
      </w:r>
      <w:r w:rsidR="00E004C5" w:rsidRPr="00A30368">
        <w:rPr>
          <w:rFonts w:cs="Arial"/>
        </w:rPr>
        <w:t xml:space="preserve"> that had the lowest performance</w:t>
      </w:r>
      <w:r w:rsidRPr="00A30368">
        <w:rPr>
          <w:rFonts w:cs="Arial"/>
        </w:rPr>
        <w:t xml:space="preserve">. The “high” Status cut score is then determined next as this </w:t>
      </w:r>
      <w:r w:rsidR="00EE2A7C" w:rsidRPr="00A30368">
        <w:rPr>
          <w:rFonts w:cs="Arial"/>
        </w:rPr>
        <w:t xml:space="preserve">level </w:t>
      </w:r>
      <w:r w:rsidRPr="00A30368">
        <w:rPr>
          <w:rFonts w:cs="Arial"/>
        </w:rPr>
        <w:t>is used to meet the ESSA requirement for states to set ambitious long-term goals</w:t>
      </w:r>
      <w:r w:rsidR="00425C1E" w:rsidRPr="00A30368">
        <w:rPr>
          <w:rFonts w:cs="Arial"/>
        </w:rPr>
        <w:t xml:space="preserve"> for the graduation rate, academic, and English learner progress indicators. A status of “high”</w:t>
      </w:r>
      <w:r w:rsidR="00EE2A7C" w:rsidRPr="00A30368">
        <w:rPr>
          <w:rFonts w:cs="Arial"/>
        </w:rPr>
        <w:t xml:space="preserve"> is </w:t>
      </w:r>
      <w:r w:rsidRPr="00A30368">
        <w:rPr>
          <w:rFonts w:cs="Arial"/>
        </w:rPr>
        <w:t xml:space="preserve">the goal that all LEAs, schools, and student groups are expected to attain. Once the “very low” and “high” </w:t>
      </w:r>
      <w:r w:rsidR="00EE2A7C" w:rsidRPr="00A30368">
        <w:rPr>
          <w:rFonts w:cs="Arial"/>
        </w:rPr>
        <w:t xml:space="preserve">levels </w:t>
      </w:r>
      <w:r w:rsidRPr="00A30368">
        <w:rPr>
          <w:rFonts w:cs="Arial"/>
        </w:rPr>
        <w:t>are established, the remaining cut scores are set</w:t>
      </w:r>
      <w:r w:rsidR="00EE2A7C" w:rsidRPr="00A30368">
        <w:rPr>
          <w:rFonts w:cs="Arial"/>
        </w:rPr>
        <w:t xml:space="preserve"> to determine the low, medium, and very high levels</w:t>
      </w:r>
      <w:r w:rsidRPr="00A30368">
        <w:rPr>
          <w:rFonts w:cs="Arial"/>
        </w:rPr>
        <w:t xml:space="preserve">. </w:t>
      </w:r>
      <w:r w:rsidR="009C3EE7" w:rsidRPr="00A30368">
        <w:rPr>
          <w:rFonts w:cs="Arial"/>
        </w:rPr>
        <w:t xml:space="preserve">To </w:t>
      </w:r>
      <w:r w:rsidR="00516A4D" w:rsidRPr="00A30368">
        <w:rPr>
          <w:rFonts w:cs="Arial"/>
        </w:rPr>
        <w:t>provide</w:t>
      </w:r>
      <w:r w:rsidR="009C3EE7" w:rsidRPr="00A30368">
        <w:rPr>
          <w:rFonts w:cs="Arial"/>
        </w:rPr>
        <w:t xml:space="preserve"> an example</w:t>
      </w:r>
      <w:r w:rsidR="00EC6853" w:rsidRPr="00A30368">
        <w:rPr>
          <w:rFonts w:cs="Arial"/>
        </w:rPr>
        <w:t xml:space="preserve"> of how the cut scores are set</w:t>
      </w:r>
      <w:r w:rsidR="009C3EE7" w:rsidRPr="00A30368">
        <w:rPr>
          <w:rFonts w:cs="Arial"/>
        </w:rPr>
        <w:t xml:space="preserve">, </w:t>
      </w:r>
      <w:r w:rsidR="00E004C5" w:rsidRPr="00A30368">
        <w:rPr>
          <w:rFonts w:cs="Arial"/>
        </w:rPr>
        <w:t xml:space="preserve">Table 1 </w:t>
      </w:r>
      <w:r w:rsidR="00743B9A" w:rsidRPr="00A30368">
        <w:rPr>
          <w:rFonts w:cs="Arial"/>
        </w:rPr>
        <w:t xml:space="preserve">on the following page </w:t>
      </w:r>
      <w:r w:rsidR="00425C1E" w:rsidRPr="00A30368">
        <w:rPr>
          <w:rFonts w:cs="Arial"/>
        </w:rPr>
        <w:t xml:space="preserve">displays the data for </w:t>
      </w:r>
      <w:r w:rsidR="009C3EE7" w:rsidRPr="00A30368">
        <w:rPr>
          <w:rFonts w:cs="Arial"/>
        </w:rPr>
        <w:t>the Graduation Rate Indicator</w:t>
      </w:r>
      <w:r w:rsidR="00743B9A" w:rsidRPr="00A30368">
        <w:rPr>
          <w:rFonts w:cs="Arial"/>
        </w:rPr>
        <w:t xml:space="preserve"> and </w:t>
      </w:r>
      <w:r w:rsidR="00425C1E" w:rsidRPr="00A30368">
        <w:rPr>
          <w:rFonts w:cs="Arial"/>
        </w:rPr>
        <w:t>shows</w:t>
      </w:r>
      <w:r w:rsidR="00516A4D" w:rsidRPr="00A30368">
        <w:rPr>
          <w:rFonts w:cs="Arial"/>
        </w:rPr>
        <w:t xml:space="preserve"> </w:t>
      </w:r>
      <w:r w:rsidR="009C3EE7" w:rsidRPr="00A30368">
        <w:rPr>
          <w:rFonts w:cs="Arial"/>
        </w:rPr>
        <w:t xml:space="preserve">the </w:t>
      </w:r>
      <w:r w:rsidR="00516A4D" w:rsidRPr="00A30368">
        <w:rPr>
          <w:rFonts w:cs="Arial"/>
        </w:rPr>
        <w:t>placement of the five Status levels after setting the cut scores.</w:t>
      </w:r>
    </w:p>
    <w:p w14:paraId="7E12FF54" w14:textId="2A3FDDB3" w:rsidR="009C3EE7" w:rsidRPr="00A30368" w:rsidRDefault="009C3EE7" w:rsidP="000A6F8D">
      <w:pPr>
        <w:spacing w:before="240" w:after="240"/>
        <w:rPr>
          <w:rFonts w:cs="Arial"/>
          <w:b/>
        </w:rPr>
      </w:pPr>
      <w:r w:rsidRPr="00A30368">
        <w:rPr>
          <w:rFonts w:cs="Arial"/>
          <w:b/>
        </w:rPr>
        <w:t>Table 1: Percentile Distribution for Status for Graduation Rate Indicator</w:t>
      </w:r>
    </w:p>
    <w:tbl>
      <w:tblPr>
        <w:tblStyle w:val="TableGrid"/>
        <w:tblW w:w="5000" w:type="pct"/>
        <w:tblLook w:val="0020" w:firstRow="1" w:lastRow="0" w:firstColumn="0" w:lastColumn="0" w:noHBand="0" w:noVBand="0"/>
        <w:tblDescription w:val="Percentile Distribution for Status for Graduation Rate Indicator"/>
      </w:tblPr>
      <w:tblGrid>
        <w:gridCol w:w="2552"/>
        <w:gridCol w:w="3789"/>
        <w:gridCol w:w="3009"/>
      </w:tblGrid>
      <w:tr w:rsidR="009C3EE7" w:rsidRPr="00A30368" w14:paraId="7E12FF58" w14:textId="77777777" w:rsidTr="00F00D53">
        <w:trPr>
          <w:cantSplit/>
          <w:trHeight w:val="302"/>
          <w:tblHeader/>
        </w:trPr>
        <w:tc>
          <w:tcPr>
            <w:tcW w:w="1365" w:type="pct"/>
            <w:shd w:val="clear" w:color="auto" w:fill="D9D9D9" w:themeFill="background1" w:themeFillShade="D9"/>
          </w:tcPr>
          <w:p w14:paraId="7E12FF55" w14:textId="77777777" w:rsidR="009C3EE7" w:rsidRPr="00A30368" w:rsidRDefault="009C3EE7" w:rsidP="000A6F8D">
            <w:pPr>
              <w:autoSpaceDE w:val="0"/>
              <w:autoSpaceDN w:val="0"/>
              <w:adjustRightInd w:val="0"/>
              <w:ind w:left="60" w:right="60"/>
              <w:jc w:val="center"/>
              <w:rPr>
                <w:rFonts w:cs="Arial"/>
                <w:b/>
                <w:color w:val="000000"/>
              </w:rPr>
            </w:pPr>
            <w:r w:rsidRPr="00A30368">
              <w:rPr>
                <w:rFonts w:cs="Arial"/>
                <w:b/>
                <w:color w:val="000000"/>
              </w:rPr>
              <w:t>Percentile</w:t>
            </w:r>
          </w:p>
        </w:tc>
        <w:tc>
          <w:tcPr>
            <w:tcW w:w="2026" w:type="pct"/>
            <w:shd w:val="clear" w:color="auto" w:fill="D9D9D9" w:themeFill="background1" w:themeFillShade="D9"/>
          </w:tcPr>
          <w:p w14:paraId="7E12FF56" w14:textId="77777777" w:rsidR="009C3EE7" w:rsidRPr="00A30368" w:rsidRDefault="009C3EE7" w:rsidP="000A6F8D">
            <w:pPr>
              <w:autoSpaceDE w:val="0"/>
              <w:autoSpaceDN w:val="0"/>
              <w:adjustRightInd w:val="0"/>
              <w:ind w:left="60" w:right="60"/>
              <w:jc w:val="center"/>
              <w:rPr>
                <w:rFonts w:cs="Arial"/>
                <w:b/>
                <w:color w:val="000000"/>
              </w:rPr>
            </w:pPr>
            <w:r w:rsidRPr="00A30368">
              <w:rPr>
                <w:rFonts w:cs="Arial"/>
                <w:b/>
                <w:color w:val="000000"/>
              </w:rPr>
              <w:t>Graduation Rate</w:t>
            </w:r>
          </w:p>
        </w:tc>
        <w:tc>
          <w:tcPr>
            <w:tcW w:w="1609" w:type="pct"/>
            <w:shd w:val="clear" w:color="auto" w:fill="D9D9D9" w:themeFill="background1" w:themeFillShade="D9"/>
          </w:tcPr>
          <w:p w14:paraId="7E12FF57" w14:textId="77777777" w:rsidR="009C3EE7" w:rsidRPr="00A30368" w:rsidRDefault="009C3EE7" w:rsidP="000A6F8D">
            <w:pPr>
              <w:autoSpaceDE w:val="0"/>
              <w:autoSpaceDN w:val="0"/>
              <w:adjustRightInd w:val="0"/>
              <w:ind w:left="60" w:right="60"/>
              <w:jc w:val="center"/>
              <w:rPr>
                <w:rFonts w:cs="Arial"/>
                <w:b/>
                <w:color w:val="000000"/>
              </w:rPr>
            </w:pPr>
            <w:r w:rsidRPr="00A30368">
              <w:rPr>
                <w:rFonts w:cs="Arial"/>
                <w:b/>
                <w:color w:val="000000"/>
              </w:rPr>
              <w:t>Status Level</w:t>
            </w:r>
          </w:p>
        </w:tc>
      </w:tr>
      <w:tr w:rsidR="009C3EE7" w:rsidRPr="00A30368" w14:paraId="7E12FF5C" w14:textId="77777777" w:rsidTr="00F00D53">
        <w:trPr>
          <w:cantSplit/>
          <w:trHeight w:val="302"/>
        </w:trPr>
        <w:tc>
          <w:tcPr>
            <w:tcW w:w="1365" w:type="pct"/>
          </w:tcPr>
          <w:p w14:paraId="7E12FF59" w14:textId="77777777" w:rsidR="009C3EE7" w:rsidRPr="00A30368" w:rsidRDefault="009C3EE7" w:rsidP="000A6F8D">
            <w:pPr>
              <w:autoSpaceDE w:val="0"/>
              <w:autoSpaceDN w:val="0"/>
              <w:adjustRightInd w:val="0"/>
              <w:ind w:left="60" w:right="60"/>
              <w:jc w:val="center"/>
              <w:rPr>
                <w:rFonts w:cs="Arial"/>
                <w:color w:val="000000"/>
              </w:rPr>
            </w:pPr>
            <w:r w:rsidRPr="00A30368">
              <w:rPr>
                <w:rFonts w:cs="Arial"/>
                <w:color w:val="000000"/>
              </w:rPr>
              <w:t>5</w:t>
            </w:r>
          </w:p>
        </w:tc>
        <w:tc>
          <w:tcPr>
            <w:tcW w:w="2026" w:type="pct"/>
          </w:tcPr>
          <w:p w14:paraId="7E12FF5A" w14:textId="77777777" w:rsidR="009C3EE7" w:rsidRPr="00A30368" w:rsidRDefault="009C3EE7" w:rsidP="000A6F8D">
            <w:pPr>
              <w:autoSpaceDE w:val="0"/>
              <w:autoSpaceDN w:val="0"/>
              <w:adjustRightInd w:val="0"/>
              <w:ind w:left="60" w:right="60"/>
              <w:jc w:val="center"/>
              <w:rPr>
                <w:rFonts w:cs="Arial"/>
                <w:color w:val="000000"/>
              </w:rPr>
            </w:pPr>
            <w:r w:rsidRPr="00A30368">
              <w:rPr>
                <w:rFonts w:cs="Arial"/>
                <w:color w:val="000000"/>
              </w:rPr>
              <w:t>65.2</w:t>
            </w:r>
          </w:p>
        </w:tc>
        <w:tc>
          <w:tcPr>
            <w:tcW w:w="1609" w:type="pct"/>
          </w:tcPr>
          <w:p w14:paraId="7E12FF5B" w14:textId="46DC7AE9" w:rsidR="009C3EE7" w:rsidRPr="00A30368" w:rsidRDefault="009C3EE7" w:rsidP="000A6F8D">
            <w:pPr>
              <w:autoSpaceDE w:val="0"/>
              <w:autoSpaceDN w:val="0"/>
              <w:adjustRightInd w:val="0"/>
              <w:ind w:left="60" w:right="60"/>
              <w:jc w:val="center"/>
              <w:rPr>
                <w:rFonts w:cs="Arial"/>
                <w:color w:val="000000"/>
              </w:rPr>
            </w:pPr>
            <w:r w:rsidRPr="00A30368">
              <w:rPr>
                <w:rFonts w:cs="Arial"/>
                <w:color w:val="000000"/>
              </w:rPr>
              <w:t>Very Low</w:t>
            </w:r>
          </w:p>
        </w:tc>
      </w:tr>
      <w:tr w:rsidR="009C3EE7" w:rsidRPr="00A30368" w14:paraId="7E12FF60" w14:textId="77777777" w:rsidTr="00F00D53">
        <w:trPr>
          <w:cantSplit/>
          <w:trHeight w:val="302"/>
        </w:trPr>
        <w:tc>
          <w:tcPr>
            <w:tcW w:w="1365" w:type="pct"/>
          </w:tcPr>
          <w:p w14:paraId="7E12FF5D" w14:textId="77777777" w:rsidR="009C3EE7" w:rsidRPr="00A30368" w:rsidRDefault="009C3EE7" w:rsidP="000A6F8D">
            <w:pPr>
              <w:autoSpaceDE w:val="0"/>
              <w:autoSpaceDN w:val="0"/>
              <w:adjustRightInd w:val="0"/>
              <w:ind w:left="60" w:right="60"/>
              <w:jc w:val="center"/>
              <w:rPr>
                <w:rFonts w:cs="Arial"/>
                <w:color w:val="000000"/>
              </w:rPr>
            </w:pPr>
            <w:r w:rsidRPr="00A30368">
              <w:rPr>
                <w:rFonts w:cs="Arial"/>
                <w:color w:val="000000"/>
              </w:rPr>
              <w:t>5.4</w:t>
            </w:r>
          </w:p>
        </w:tc>
        <w:tc>
          <w:tcPr>
            <w:tcW w:w="2026" w:type="pct"/>
          </w:tcPr>
          <w:p w14:paraId="7E12FF5E" w14:textId="77777777" w:rsidR="009C3EE7" w:rsidRPr="00A30368" w:rsidRDefault="009C3EE7" w:rsidP="000A6F8D">
            <w:pPr>
              <w:autoSpaceDE w:val="0"/>
              <w:autoSpaceDN w:val="0"/>
              <w:adjustRightInd w:val="0"/>
              <w:ind w:left="60" w:right="60"/>
              <w:jc w:val="center"/>
              <w:rPr>
                <w:rFonts w:cs="Arial"/>
                <w:color w:val="000000"/>
              </w:rPr>
            </w:pPr>
            <w:r w:rsidRPr="00A30368">
              <w:rPr>
                <w:rFonts w:cs="Arial"/>
                <w:color w:val="000000"/>
              </w:rPr>
              <w:t>67.2</w:t>
            </w:r>
          </w:p>
        </w:tc>
        <w:tc>
          <w:tcPr>
            <w:tcW w:w="1609" w:type="pct"/>
          </w:tcPr>
          <w:p w14:paraId="7E12FF5F" w14:textId="13642553" w:rsidR="009C3EE7" w:rsidRPr="00A30368" w:rsidRDefault="009C3EE7" w:rsidP="000A6F8D">
            <w:pPr>
              <w:autoSpaceDE w:val="0"/>
              <w:autoSpaceDN w:val="0"/>
              <w:adjustRightInd w:val="0"/>
              <w:ind w:left="60" w:right="60"/>
              <w:jc w:val="center"/>
              <w:rPr>
                <w:rFonts w:cs="Arial"/>
                <w:color w:val="000000"/>
              </w:rPr>
            </w:pPr>
            <w:r w:rsidRPr="00A30368">
              <w:rPr>
                <w:rFonts w:cs="Arial"/>
                <w:color w:val="000000"/>
              </w:rPr>
              <w:t>Low</w:t>
            </w:r>
          </w:p>
        </w:tc>
      </w:tr>
      <w:tr w:rsidR="009C3EE7" w:rsidRPr="00A30368" w14:paraId="7E12FF64" w14:textId="77777777" w:rsidTr="00F00D53">
        <w:trPr>
          <w:cantSplit/>
          <w:trHeight w:val="302"/>
        </w:trPr>
        <w:tc>
          <w:tcPr>
            <w:tcW w:w="1365" w:type="pct"/>
          </w:tcPr>
          <w:p w14:paraId="7E12FF61" w14:textId="77777777" w:rsidR="009C3EE7" w:rsidRPr="00A30368" w:rsidRDefault="009C3EE7" w:rsidP="000A6F8D">
            <w:pPr>
              <w:autoSpaceDE w:val="0"/>
              <w:autoSpaceDN w:val="0"/>
              <w:adjustRightInd w:val="0"/>
              <w:ind w:left="60" w:right="60"/>
              <w:jc w:val="center"/>
              <w:rPr>
                <w:rFonts w:cs="Arial"/>
                <w:color w:val="000000"/>
              </w:rPr>
            </w:pPr>
            <w:r w:rsidRPr="00A30368">
              <w:rPr>
                <w:rFonts w:cs="Arial"/>
                <w:color w:val="000000"/>
              </w:rPr>
              <w:t>10</w:t>
            </w:r>
          </w:p>
        </w:tc>
        <w:tc>
          <w:tcPr>
            <w:tcW w:w="2026" w:type="pct"/>
          </w:tcPr>
          <w:p w14:paraId="7E12FF62" w14:textId="77777777" w:rsidR="009C3EE7" w:rsidRPr="00A30368" w:rsidRDefault="009C3EE7" w:rsidP="000A6F8D">
            <w:pPr>
              <w:autoSpaceDE w:val="0"/>
              <w:autoSpaceDN w:val="0"/>
              <w:adjustRightInd w:val="0"/>
              <w:ind w:left="60" w:right="60"/>
              <w:jc w:val="center"/>
              <w:rPr>
                <w:rFonts w:cs="Arial"/>
                <w:color w:val="000000"/>
              </w:rPr>
            </w:pPr>
            <w:r w:rsidRPr="00A30368">
              <w:rPr>
                <w:rFonts w:cs="Arial"/>
                <w:color w:val="000000"/>
              </w:rPr>
              <w:t>78.0</w:t>
            </w:r>
          </w:p>
        </w:tc>
        <w:tc>
          <w:tcPr>
            <w:tcW w:w="1609" w:type="pct"/>
          </w:tcPr>
          <w:p w14:paraId="7E12FF63" w14:textId="03F88B1E" w:rsidR="009C3EE7" w:rsidRPr="00A30368" w:rsidRDefault="009C3EE7" w:rsidP="000A6F8D">
            <w:pPr>
              <w:autoSpaceDE w:val="0"/>
              <w:autoSpaceDN w:val="0"/>
              <w:adjustRightInd w:val="0"/>
              <w:ind w:left="60" w:right="60"/>
              <w:jc w:val="center"/>
              <w:rPr>
                <w:rFonts w:cs="Arial"/>
                <w:color w:val="000000"/>
              </w:rPr>
            </w:pPr>
            <w:r w:rsidRPr="00A30368">
              <w:rPr>
                <w:rFonts w:cs="Arial"/>
                <w:color w:val="000000"/>
              </w:rPr>
              <w:t>Low</w:t>
            </w:r>
          </w:p>
        </w:tc>
      </w:tr>
      <w:tr w:rsidR="009C3EE7" w:rsidRPr="00A30368" w14:paraId="7E12FF68" w14:textId="77777777" w:rsidTr="00F00D53">
        <w:trPr>
          <w:cantSplit/>
          <w:trHeight w:val="302"/>
        </w:trPr>
        <w:tc>
          <w:tcPr>
            <w:tcW w:w="1365" w:type="pct"/>
          </w:tcPr>
          <w:p w14:paraId="7E12FF65" w14:textId="77777777" w:rsidR="009C3EE7" w:rsidRPr="00A30368" w:rsidRDefault="009C3EE7" w:rsidP="000A6F8D">
            <w:pPr>
              <w:autoSpaceDE w:val="0"/>
              <w:autoSpaceDN w:val="0"/>
              <w:adjustRightInd w:val="0"/>
              <w:ind w:left="60" w:right="60"/>
              <w:jc w:val="center"/>
              <w:rPr>
                <w:rFonts w:cs="Arial"/>
                <w:color w:val="000000"/>
              </w:rPr>
            </w:pPr>
            <w:r w:rsidRPr="00A30368">
              <w:rPr>
                <w:rFonts w:cs="Arial"/>
                <w:color w:val="000000"/>
              </w:rPr>
              <w:t>11.5</w:t>
            </w:r>
          </w:p>
        </w:tc>
        <w:tc>
          <w:tcPr>
            <w:tcW w:w="2026" w:type="pct"/>
          </w:tcPr>
          <w:p w14:paraId="7E12FF66" w14:textId="77777777" w:rsidR="009C3EE7" w:rsidRPr="00A30368" w:rsidRDefault="009C3EE7" w:rsidP="000A6F8D">
            <w:pPr>
              <w:autoSpaceDE w:val="0"/>
              <w:autoSpaceDN w:val="0"/>
              <w:adjustRightInd w:val="0"/>
              <w:ind w:left="60" w:right="60"/>
              <w:jc w:val="center"/>
              <w:rPr>
                <w:rFonts w:cs="Arial"/>
                <w:color w:val="000000"/>
              </w:rPr>
            </w:pPr>
            <w:r w:rsidRPr="00A30368">
              <w:rPr>
                <w:rFonts w:cs="Arial"/>
                <w:color w:val="000000"/>
              </w:rPr>
              <w:t>80.2</w:t>
            </w:r>
          </w:p>
        </w:tc>
        <w:tc>
          <w:tcPr>
            <w:tcW w:w="1609" w:type="pct"/>
          </w:tcPr>
          <w:p w14:paraId="7E12FF67" w14:textId="70FDA695" w:rsidR="009C3EE7" w:rsidRPr="00A30368" w:rsidRDefault="009C3EE7" w:rsidP="000A6F8D">
            <w:pPr>
              <w:autoSpaceDE w:val="0"/>
              <w:autoSpaceDN w:val="0"/>
              <w:adjustRightInd w:val="0"/>
              <w:ind w:left="60" w:right="60"/>
              <w:jc w:val="center"/>
              <w:rPr>
                <w:rFonts w:cs="Arial"/>
                <w:color w:val="000000"/>
              </w:rPr>
            </w:pPr>
            <w:r w:rsidRPr="00A30368">
              <w:rPr>
                <w:rFonts w:cs="Arial"/>
                <w:color w:val="000000"/>
              </w:rPr>
              <w:t>Medium</w:t>
            </w:r>
          </w:p>
        </w:tc>
      </w:tr>
      <w:tr w:rsidR="009C3EE7" w:rsidRPr="00A30368" w14:paraId="7E12FF6C" w14:textId="77777777" w:rsidTr="00F00D53">
        <w:trPr>
          <w:cantSplit/>
          <w:trHeight w:val="302"/>
        </w:trPr>
        <w:tc>
          <w:tcPr>
            <w:tcW w:w="1365" w:type="pct"/>
          </w:tcPr>
          <w:p w14:paraId="7E12FF69" w14:textId="77777777" w:rsidR="009C3EE7" w:rsidRPr="00A30368" w:rsidRDefault="009C3EE7" w:rsidP="000A6F8D">
            <w:pPr>
              <w:autoSpaceDE w:val="0"/>
              <w:autoSpaceDN w:val="0"/>
              <w:adjustRightInd w:val="0"/>
              <w:ind w:left="60" w:right="60"/>
              <w:jc w:val="center"/>
              <w:rPr>
                <w:rFonts w:cs="Arial"/>
                <w:color w:val="000000"/>
              </w:rPr>
            </w:pPr>
            <w:r w:rsidRPr="00A30368">
              <w:rPr>
                <w:rFonts w:cs="Arial"/>
                <w:color w:val="000000"/>
              </w:rPr>
              <w:t>15</w:t>
            </w:r>
          </w:p>
        </w:tc>
        <w:tc>
          <w:tcPr>
            <w:tcW w:w="2026" w:type="pct"/>
          </w:tcPr>
          <w:p w14:paraId="7E12FF6A" w14:textId="77777777" w:rsidR="009C3EE7" w:rsidRPr="00A30368" w:rsidRDefault="009C3EE7" w:rsidP="000A6F8D">
            <w:pPr>
              <w:autoSpaceDE w:val="0"/>
              <w:autoSpaceDN w:val="0"/>
              <w:adjustRightInd w:val="0"/>
              <w:ind w:left="60" w:right="60"/>
              <w:jc w:val="center"/>
              <w:rPr>
                <w:rFonts w:cs="Arial"/>
                <w:color w:val="000000"/>
              </w:rPr>
            </w:pPr>
            <w:r w:rsidRPr="00A30368">
              <w:rPr>
                <w:rFonts w:cs="Arial"/>
                <w:color w:val="000000"/>
              </w:rPr>
              <w:t>83.3</w:t>
            </w:r>
          </w:p>
        </w:tc>
        <w:tc>
          <w:tcPr>
            <w:tcW w:w="1609" w:type="pct"/>
          </w:tcPr>
          <w:p w14:paraId="7E12FF6B" w14:textId="77777777" w:rsidR="009C3EE7" w:rsidRPr="00A30368" w:rsidRDefault="009C3EE7" w:rsidP="000A6F8D">
            <w:pPr>
              <w:autoSpaceDE w:val="0"/>
              <w:autoSpaceDN w:val="0"/>
              <w:adjustRightInd w:val="0"/>
              <w:ind w:left="60" w:right="60"/>
              <w:jc w:val="center"/>
              <w:rPr>
                <w:rFonts w:cs="Arial"/>
                <w:color w:val="000000"/>
              </w:rPr>
            </w:pPr>
            <w:r w:rsidRPr="00A30368">
              <w:rPr>
                <w:rFonts w:cs="Arial"/>
                <w:color w:val="000000"/>
              </w:rPr>
              <w:t>Medium</w:t>
            </w:r>
          </w:p>
        </w:tc>
      </w:tr>
      <w:tr w:rsidR="009C3EE7" w:rsidRPr="00A30368" w14:paraId="7E12FF70" w14:textId="77777777" w:rsidTr="00F00D53">
        <w:trPr>
          <w:cantSplit/>
          <w:trHeight w:val="302"/>
        </w:trPr>
        <w:tc>
          <w:tcPr>
            <w:tcW w:w="1365" w:type="pct"/>
          </w:tcPr>
          <w:p w14:paraId="7E12FF6D" w14:textId="77777777" w:rsidR="009C3EE7" w:rsidRPr="00A30368" w:rsidRDefault="009C3EE7" w:rsidP="000A6F8D">
            <w:pPr>
              <w:autoSpaceDE w:val="0"/>
              <w:autoSpaceDN w:val="0"/>
              <w:adjustRightInd w:val="0"/>
              <w:ind w:left="60" w:right="60"/>
              <w:jc w:val="center"/>
              <w:rPr>
                <w:rFonts w:cs="Arial"/>
                <w:color w:val="000000"/>
              </w:rPr>
            </w:pPr>
            <w:r w:rsidRPr="00A30368">
              <w:rPr>
                <w:rFonts w:cs="Arial"/>
                <w:color w:val="000000"/>
              </w:rPr>
              <w:t>20</w:t>
            </w:r>
          </w:p>
        </w:tc>
        <w:tc>
          <w:tcPr>
            <w:tcW w:w="2026" w:type="pct"/>
          </w:tcPr>
          <w:p w14:paraId="7E12FF6E" w14:textId="77777777" w:rsidR="009C3EE7" w:rsidRPr="00A30368" w:rsidRDefault="009C3EE7" w:rsidP="000A6F8D">
            <w:pPr>
              <w:autoSpaceDE w:val="0"/>
              <w:autoSpaceDN w:val="0"/>
              <w:adjustRightInd w:val="0"/>
              <w:ind w:left="60" w:right="60"/>
              <w:jc w:val="center"/>
              <w:rPr>
                <w:rFonts w:cs="Arial"/>
                <w:color w:val="000000"/>
              </w:rPr>
            </w:pPr>
            <w:r w:rsidRPr="00A30368">
              <w:rPr>
                <w:rFonts w:cs="Arial"/>
                <w:color w:val="000000"/>
              </w:rPr>
              <w:t>86.5</w:t>
            </w:r>
          </w:p>
        </w:tc>
        <w:tc>
          <w:tcPr>
            <w:tcW w:w="1609" w:type="pct"/>
          </w:tcPr>
          <w:p w14:paraId="7E12FF6F" w14:textId="77777777" w:rsidR="009C3EE7" w:rsidRPr="00A30368" w:rsidRDefault="009C3EE7" w:rsidP="000A6F8D">
            <w:pPr>
              <w:autoSpaceDE w:val="0"/>
              <w:autoSpaceDN w:val="0"/>
              <w:adjustRightInd w:val="0"/>
              <w:ind w:left="60" w:right="60"/>
              <w:jc w:val="center"/>
              <w:rPr>
                <w:rFonts w:cs="Arial"/>
                <w:color w:val="000000"/>
              </w:rPr>
            </w:pPr>
            <w:r w:rsidRPr="00A30368">
              <w:rPr>
                <w:rFonts w:cs="Arial"/>
                <w:color w:val="000000"/>
              </w:rPr>
              <w:t>Medium</w:t>
            </w:r>
          </w:p>
        </w:tc>
      </w:tr>
      <w:tr w:rsidR="009C3EE7" w:rsidRPr="00A30368" w14:paraId="7E12FF74" w14:textId="77777777" w:rsidTr="00F00D53">
        <w:trPr>
          <w:cantSplit/>
          <w:trHeight w:val="302"/>
        </w:trPr>
        <w:tc>
          <w:tcPr>
            <w:tcW w:w="1365" w:type="pct"/>
          </w:tcPr>
          <w:p w14:paraId="7E12FF71" w14:textId="77777777" w:rsidR="009C3EE7" w:rsidRPr="00A30368" w:rsidRDefault="009C3EE7" w:rsidP="000A6F8D">
            <w:pPr>
              <w:autoSpaceDE w:val="0"/>
              <w:autoSpaceDN w:val="0"/>
              <w:adjustRightInd w:val="0"/>
              <w:ind w:left="60" w:right="60"/>
              <w:jc w:val="center"/>
              <w:rPr>
                <w:rFonts w:cs="Arial"/>
                <w:color w:val="000000"/>
              </w:rPr>
            </w:pPr>
            <w:r w:rsidRPr="00A30368">
              <w:rPr>
                <w:rFonts w:cs="Arial"/>
                <w:color w:val="000000"/>
              </w:rPr>
              <w:t>25</w:t>
            </w:r>
          </w:p>
        </w:tc>
        <w:tc>
          <w:tcPr>
            <w:tcW w:w="2026" w:type="pct"/>
          </w:tcPr>
          <w:p w14:paraId="7E12FF72" w14:textId="77777777" w:rsidR="009C3EE7" w:rsidRPr="00A30368" w:rsidRDefault="009C3EE7" w:rsidP="000A6F8D">
            <w:pPr>
              <w:autoSpaceDE w:val="0"/>
              <w:autoSpaceDN w:val="0"/>
              <w:adjustRightInd w:val="0"/>
              <w:ind w:left="60" w:right="60"/>
              <w:jc w:val="center"/>
              <w:rPr>
                <w:rFonts w:cs="Arial"/>
                <w:color w:val="000000"/>
              </w:rPr>
            </w:pPr>
            <w:r w:rsidRPr="00A30368">
              <w:rPr>
                <w:rFonts w:cs="Arial"/>
                <w:color w:val="000000"/>
              </w:rPr>
              <w:t>88.4</w:t>
            </w:r>
          </w:p>
        </w:tc>
        <w:tc>
          <w:tcPr>
            <w:tcW w:w="1609" w:type="pct"/>
          </w:tcPr>
          <w:p w14:paraId="7E12FF73" w14:textId="77777777" w:rsidR="009C3EE7" w:rsidRPr="00A30368" w:rsidRDefault="009C3EE7" w:rsidP="000A6F8D">
            <w:pPr>
              <w:autoSpaceDE w:val="0"/>
              <w:autoSpaceDN w:val="0"/>
              <w:adjustRightInd w:val="0"/>
              <w:ind w:left="60" w:right="60"/>
              <w:jc w:val="center"/>
              <w:rPr>
                <w:rFonts w:cs="Arial"/>
                <w:color w:val="000000"/>
              </w:rPr>
            </w:pPr>
            <w:r w:rsidRPr="00A30368">
              <w:rPr>
                <w:rFonts w:cs="Arial"/>
                <w:color w:val="000000"/>
              </w:rPr>
              <w:t>Medium</w:t>
            </w:r>
          </w:p>
        </w:tc>
      </w:tr>
      <w:tr w:rsidR="009C3EE7" w:rsidRPr="00A30368" w14:paraId="7E12FF78" w14:textId="77777777" w:rsidTr="00F00D53">
        <w:trPr>
          <w:cantSplit/>
          <w:trHeight w:val="302"/>
        </w:trPr>
        <w:tc>
          <w:tcPr>
            <w:tcW w:w="1365" w:type="pct"/>
          </w:tcPr>
          <w:p w14:paraId="7E12FF75" w14:textId="77777777" w:rsidR="009C3EE7" w:rsidRPr="00A30368" w:rsidRDefault="009C3EE7" w:rsidP="000A6F8D">
            <w:pPr>
              <w:autoSpaceDE w:val="0"/>
              <w:autoSpaceDN w:val="0"/>
              <w:adjustRightInd w:val="0"/>
              <w:ind w:left="60" w:right="60"/>
              <w:jc w:val="center"/>
              <w:rPr>
                <w:rFonts w:cs="Arial"/>
                <w:color w:val="000000"/>
              </w:rPr>
            </w:pPr>
            <w:r w:rsidRPr="00A30368">
              <w:rPr>
                <w:rFonts w:cs="Arial"/>
                <w:color w:val="000000"/>
              </w:rPr>
              <w:t>30</w:t>
            </w:r>
          </w:p>
        </w:tc>
        <w:tc>
          <w:tcPr>
            <w:tcW w:w="2026" w:type="pct"/>
          </w:tcPr>
          <w:p w14:paraId="7E12FF76" w14:textId="77777777" w:rsidR="009C3EE7" w:rsidRPr="00A30368" w:rsidRDefault="009C3EE7" w:rsidP="000A6F8D">
            <w:pPr>
              <w:autoSpaceDE w:val="0"/>
              <w:autoSpaceDN w:val="0"/>
              <w:adjustRightInd w:val="0"/>
              <w:ind w:left="60" w:right="60"/>
              <w:jc w:val="center"/>
              <w:rPr>
                <w:rFonts w:cs="Arial"/>
                <w:color w:val="000000"/>
              </w:rPr>
            </w:pPr>
            <w:r w:rsidRPr="00A30368">
              <w:rPr>
                <w:rFonts w:cs="Arial"/>
                <w:color w:val="000000"/>
              </w:rPr>
              <w:t>89.9</w:t>
            </w:r>
          </w:p>
        </w:tc>
        <w:tc>
          <w:tcPr>
            <w:tcW w:w="1609" w:type="pct"/>
          </w:tcPr>
          <w:p w14:paraId="7E12FF77" w14:textId="77777777" w:rsidR="009C3EE7" w:rsidRPr="00A30368" w:rsidRDefault="009C3EE7" w:rsidP="000A6F8D">
            <w:pPr>
              <w:autoSpaceDE w:val="0"/>
              <w:autoSpaceDN w:val="0"/>
              <w:adjustRightInd w:val="0"/>
              <w:ind w:left="60" w:right="60"/>
              <w:jc w:val="center"/>
              <w:rPr>
                <w:rFonts w:cs="Arial"/>
                <w:color w:val="000000"/>
              </w:rPr>
            </w:pPr>
            <w:r w:rsidRPr="00A30368">
              <w:rPr>
                <w:rFonts w:cs="Arial"/>
                <w:color w:val="000000"/>
              </w:rPr>
              <w:t>Medium</w:t>
            </w:r>
          </w:p>
        </w:tc>
      </w:tr>
      <w:tr w:rsidR="009C3EE7" w:rsidRPr="00A30368" w14:paraId="7E12FF7C" w14:textId="77777777" w:rsidTr="00F00D53">
        <w:trPr>
          <w:cantSplit/>
          <w:trHeight w:val="302"/>
        </w:trPr>
        <w:tc>
          <w:tcPr>
            <w:tcW w:w="1365" w:type="pct"/>
          </w:tcPr>
          <w:p w14:paraId="7E12FF79" w14:textId="77777777" w:rsidR="009C3EE7" w:rsidRPr="00A30368" w:rsidRDefault="009C3EE7" w:rsidP="000A6F8D">
            <w:pPr>
              <w:autoSpaceDE w:val="0"/>
              <w:autoSpaceDN w:val="0"/>
              <w:adjustRightInd w:val="0"/>
              <w:ind w:left="60" w:right="60"/>
              <w:jc w:val="center"/>
              <w:rPr>
                <w:rFonts w:cs="Arial"/>
                <w:color w:val="000000"/>
              </w:rPr>
            </w:pPr>
            <w:r w:rsidRPr="00A30368">
              <w:rPr>
                <w:rFonts w:cs="Arial"/>
                <w:color w:val="000000"/>
              </w:rPr>
              <w:t>31</w:t>
            </w:r>
          </w:p>
        </w:tc>
        <w:tc>
          <w:tcPr>
            <w:tcW w:w="2026" w:type="pct"/>
          </w:tcPr>
          <w:p w14:paraId="7E12FF7A" w14:textId="77777777" w:rsidR="009C3EE7" w:rsidRPr="00A30368" w:rsidRDefault="009C3EE7" w:rsidP="000A6F8D">
            <w:pPr>
              <w:autoSpaceDE w:val="0"/>
              <w:autoSpaceDN w:val="0"/>
              <w:adjustRightInd w:val="0"/>
              <w:ind w:left="60" w:right="60"/>
              <w:jc w:val="center"/>
              <w:rPr>
                <w:rFonts w:cs="Arial"/>
                <w:color w:val="000000"/>
              </w:rPr>
            </w:pPr>
            <w:r w:rsidRPr="00A30368">
              <w:rPr>
                <w:rFonts w:cs="Arial"/>
                <w:color w:val="000000"/>
              </w:rPr>
              <w:t>90.1</w:t>
            </w:r>
          </w:p>
        </w:tc>
        <w:tc>
          <w:tcPr>
            <w:tcW w:w="1609" w:type="pct"/>
          </w:tcPr>
          <w:p w14:paraId="7E12FF7B" w14:textId="77777777" w:rsidR="009C3EE7" w:rsidRPr="00A30368" w:rsidRDefault="009C3EE7" w:rsidP="000A6F8D">
            <w:pPr>
              <w:autoSpaceDE w:val="0"/>
              <w:autoSpaceDN w:val="0"/>
              <w:adjustRightInd w:val="0"/>
              <w:ind w:left="60" w:right="60"/>
              <w:jc w:val="center"/>
              <w:rPr>
                <w:rFonts w:cs="Arial"/>
                <w:color w:val="000000"/>
              </w:rPr>
            </w:pPr>
            <w:r w:rsidRPr="00A30368">
              <w:rPr>
                <w:rFonts w:cs="Arial"/>
                <w:color w:val="000000"/>
              </w:rPr>
              <w:t>High</w:t>
            </w:r>
          </w:p>
        </w:tc>
      </w:tr>
      <w:tr w:rsidR="009C3EE7" w:rsidRPr="00A30368" w14:paraId="7E12FF80" w14:textId="77777777" w:rsidTr="00F00D53">
        <w:trPr>
          <w:cantSplit/>
          <w:trHeight w:val="302"/>
        </w:trPr>
        <w:tc>
          <w:tcPr>
            <w:tcW w:w="1365" w:type="pct"/>
          </w:tcPr>
          <w:p w14:paraId="7E12FF7D" w14:textId="77777777" w:rsidR="009C3EE7" w:rsidRPr="00A30368" w:rsidRDefault="009C3EE7" w:rsidP="000A6F8D">
            <w:pPr>
              <w:autoSpaceDE w:val="0"/>
              <w:autoSpaceDN w:val="0"/>
              <w:adjustRightInd w:val="0"/>
              <w:ind w:left="60" w:right="60"/>
              <w:jc w:val="center"/>
              <w:rPr>
                <w:rFonts w:cs="Arial"/>
                <w:color w:val="000000"/>
              </w:rPr>
            </w:pPr>
            <w:r w:rsidRPr="00A30368">
              <w:rPr>
                <w:rFonts w:cs="Arial"/>
                <w:color w:val="000000"/>
              </w:rPr>
              <w:t>35</w:t>
            </w:r>
          </w:p>
        </w:tc>
        <w:tc>
          <w:tcPr>
            <w:tcW w:w="2026" w:type="pct"/>
          </w:tcPr>
          <w:p w14:paraId="7E12FF7E" w14:textId="77777777" w:rsidR="009C3EE7" w:rsidRPr="00A30368" w:rsidRDefault="009C3EE7" w:rsidP="000A6F8D">
            <w:pPr>
              <w:autoSpaceDE w:val="0"/>
              <w:autoSpaceDN w:val="0"/>
              <w:adjustRightInd w:val="0"/>
              <w:ind w:left="60" w:right="60"/>
              <w:jc w:val="center"/>
              <w:rPr>
                <w:rFonts w:cs="Arial"/>
                <w:color w:val="000000"/>
              </w:rPr>
            </w:pPr>
            <w:r w:rsidRPr="00A30368">
              <w:rPr>
                <w:rFonts w:cs="Arial"/>
                <w:color w:val="000000"/>
              </w:rPr>
              <w:t>90.9</w:t>
            </w:r>
          </w:p>
        </w:tc>
        <w:tc>
          <w:tcPr>
            <w:tcW w:w="1609" w:type="pct"/>
          </w:tcPr>
          <w:p w14:paraId="7E12FF7F" w14:textId="77777777" w:rsidR="009C3EE7" w:rsidRPr="00A30368" w:rsidRDefault="009C3EE7" w:rsidP="000A6F8D">
            <w:pPr>
              <w:autoSpaceDE w:val="0"/>
              <w:autoSpaceDN w:val="0"/>
              <w:adjustRightInd w:val="0"/>
              <w:ind w:left="60" w:right="60"/>
              <w:jc w:val="center"/>
              <w:rPr>
                <w:rFonts w:cs="Arial"/>
                <w:color w:val="000000"/>
              </w:rPr>
            </w:pPr>
            <w:r w:rsidRPr="00A30368">
              <w:rPr>
                <w:rFonts w:cs="Arial"/>
                <w:color w:val="000000"/>
              </w:rPr>
              <w:t>High</w:t>
            </w:r>
          </w:p>
        </w:tc>
      </w:tr>
      <w:tr w:rsidR="009C3EE7" w:rsidRPr="00A30368" w14:paraId="7E12FF84" w14:textId="77777777" w:rsidTr="00F00D53">
        <w:trPr>
          <w:cantSplit/>
          <w:trHeight w:val="302"/>
        </w:trPr>
        <w:tc>
          <w:tcPr>
            <w:tcW w:w="1365" w:type="pct"/>
          </w:tcPr>
          <w:p w14:paraId="7E12FF81" w14:textId="77777777" w:rsidR="009C3EE7" w:rsidRPr="00A30368" w:rsidRDefault="009C3EE7" w:rsidP="000A6F8D">
            <w:pPr>
              <w:autoSpaceDE w:val="0"/>
              <w:autoSpaceDN w:val="0"/>
              <w:adjustRightInd w:val="0"/>
              <w:ind w:left="60" w:right="60"/>
              <w:jc w:val="center"/>
              <w:rPr>
                <w:rFonts w:cs="Arial"/>
                <w:color w:val="000000"/>
              </w:rPr>
            </w:pPr>
            <w:r w:rsidRPr="00A30368">
              <w:rPr>
                <w:rFonts w:cs="Arial"/>
                <w:color w:val="000000"/>
              </w:rPr>
              <w:t>40</w:t>
            </w:r>
          </w:p>
        </w:tc>
        <w:tc>
          <w:tcPr>
            <w:tcW w:w="2026" w:type="pct"/>
          </w:tcPr>
          <w:p w14:paraId="7E12FF82" w14:textId="77777777" w:rsidR="009C3EE7" w:rsidRPr="00A30368" w:rsidRDefault="009C3EE7" w:rsidP="000A6F8D">
            <w:pPr>
              <w:autoSpaceDE w:val="0"/>
              <w:autoSpaceDN w:val="0"/>
              <w:adjustRightInd w:val="0"/>
              <w:ind w:left="60" w:right="60"/>
              <w:jc w:val="center"/>
              <w:rPr>
                <w:rFonts w:cs="Arial"/>
                <w:color w:val="000000"/>
              </w:rPr>
            </w:pPr>
            <w:r w:rsidRPr="00A30368">
              <w:rPr>
                <w:rFonts w:cs="Arial"/>
                <w:color w:val="000000"/>
              </w:rPr>
              <w:t>91.8</w:t>
            </w:r>
          </w:p>
        </w:tc>
        <w:tc>
          <w:tcPr>
            <w:tcW w:w="1609" w:type="pct"/>
          </w:tcPr>
          <w:p w14:paraId="7E12FF83" w14:textId="77777777" w:rsidR="009C3EE7" w:rsidRPr="00A30368" w:rsidRDefault="009C3EE7" w:rsidP="000A6F8D">
            <w:pPr>
              <w:autoSpaceDE w:val="0"/>
              <w:autoSpaceDN w:val="0"/>
              <w:adjustRightInd w:val="0"/>
              <w:ind w:left="60" w:right="60"/>
              <w:jc w:val="center"/>
              <w:rPr>
                <w:rFonts w:cs="Arial"/>
                <w:color w:val="000000"/>
              </w:rPr>
            </w:pPr>
            <w:r w:rsidRPr="00A30368">
              <w:rPr>
                <w:rFonts w:cs="Arial"/>
                <w:color w:val="000000"/>
              </w:rPr>
              <w:t>High</w:t>
            </w:r>
          </w:p>
        </w:tc>
      </w:tr>
      <w:tr w:rsidR="009C3EE7" w:rsidRPr="00A30368" w14:paraId="7E12FF88" w14:textId="77777777" w:rsidTr="00F00D53">
        <w:trPr>
          <w:cantSplit/>
          <w:trHeight w:val="302"/>
        </w:trPr>
        <w:tc>
          <w:tcPr>
            <w:tcW w:w="1365" w:type="pct"/>
          </w:tcPr>
          <w:p w14:paraId="7E12FF85" w14:textId="77777777" w:rsidR="009C3EE7" w:rsidRPr="00A30368" w:rsidRDefault="009C3EE7" w:rsidP="000A6F8D">
            <w:pPr>
              <w:autoSpaceDE w:val="0"/>
              <w:autoSpaceDN w:val="0"/>
              <w:adjustRightInd w:val="0"/>
              <w:ind w:left="60" w:right="60"/>
              <w:jc w:val="center"/>
              <w:rPr>
                <w:rFonts w:cs="Arial"/>
                <w:color w:val="000000"/>
              </w:rPr>
            </w:pPr>
            <w:r w:rsidRPr="00A30368">
              <w:rPr>
                <w:rFonts w:cs="Arial"/>
                <w:color w:val="000000"/>
              </w:rPr>
              <w:t>45</w:t>
            </w:r>
          </w:p>
        </w:tc>
        <w:tc>
          <w:tcPr>
            <w:tcW w:w="2026" w:type="pct"/>
          </w:tcPr>
          <w:p w14:paraId="7E12FF86" w14:textId="77777777" w:rsidR="009C3EE7" w:rsidRPr="00A30368" w:rsidRDefault="009C3EE7" w:rsidP="000A6F8D">
            <w:pPr>
              <w:autoSpaceDE w:val="0"/>
              <w:autoSpaceDN w:val="0"/>
              <w:adjustRightInd w:val="0"/>
              <w:ind w:left="60" w:right="60"/>
              <w:jc w:val="center"/>
              <w:rPr>
                <w:rFonts w:cs="Arial"/>
                <w:color w:val="000000"/>
              </w:rPr>
            </w:pPr>
            <w:r w:rsidRPr="00A30368">
              <w:rPr>
                <w:rFonts w:cs="Arial"/>
                <w:color w:val="000000"/>
              </w:rPr>
              <w:t>92.6</w:t>
            </w:r>
          </w:p>
        </w:tc>
        <w:tc>
          <w:tcPr>
            <w:tcW w:w="1609" w:type="pct"/>
          </w:tcPr>
          <w:p w14:paraId="7E12FF87" w14:textId="77777777" w:rsidR="009C3EE7" w:rsidRPr="00A30368" w:rsidRDefault="009C3EE7" w:rsidP="000A6F8D">
            <w:pPr>
              <w:autoSpaceDE w:val="0"/>
              <w:autoSpaceDN w:val="0"/>
              <w:adjustRightInd w:val="0"/>
              <w:ind w:left="60" w:right="60"/>
              <w:jc w:val="center"/>
              <w:rPr>
                <w:rFonts w:cs="Arial"/>
                <w:color w:val="000000"/>
              </w:rPr>
            </w:pPr>
            <w:r w:rsidRPr="00A30368">
              <w:rPr>
                <w:rFonts w:cs="Arial"/>
                <w:color w:val="000000"/>
              </w:rPr>
              <w:t>High</w:t>
            </w:r>
          </w:p>
        </w:tc>
      </w:tr>
      <w:tr w:rsidR="009C3EE7" w:rsidRPr="00A30368" w14:paraId="7E12FF8C" w14:textId="77777777" w:rsidTr="00F00D53">
        <w:trPr>
          <w:cantSplit/>
          <w:trHeight w:val="302"/>
        </w:trPr>
        <w:tc>
          <w:tcPr>
            <w:tcW w:w="1365" w:type="pct"/>
          </w:tcPr>
          <w:p w14:paraId="7E12FF89" w14:textId="77777777" w:rsidR="009C3EE7" w:rsidRPr="00A30368" w:rsidRDefault="009C3EE7" w:rsidP="000A6F8D">
            <w:pPr>
              <w:autoSpaceDE w:val="0"/>
              <w:autoSpaceDN w:val="0"/>
              <w:adjustRightInd w:val="0"/>
              <w:ind w:left="60" w:right="60"/>
              <w:jc w:val="center"/>
              <w:rPr>
                <w:rFonts w:cs="Arial"/>
                <w:color w:val="000000"/>
              </w:rPr>
            </w:pPr>
            <w:r w:rsidRPr="00A30368">
              <w:rPr>
                <w:rFonts w:cs="Arial"/>
                <w:color w:val="000000"/>
              </w:rPr>
              <w:t>50</w:t>
            </w:r>
          </w:p>
        </w:tc>
        <w:tc>
          <w:tcPr>
            <w:tcW w:w="2026" w:type="pct"/>
          </w:tcPr>
          <w:p w14:paraId="7E12FF8A" w14:textId="77777777" w:rsidR="009C3EE7" w:rsidRPr="00A30368" w:rsidRDefault="009C3EE7" w:rsidP="000A6F8D">
            <w:pPr>
              <w:autoSpaceDE w:val="0"/>
              <w:autoSpaceDN w:val="0"/>
              <w:adjustRightInd w:val="0"/>
              <w:ind w:left="60" w:right="60"/>
              <w:jc w:val="center"/>
              <w:rPr>
                <w:rFonts w:cs="Arial"/>
                <w:color w:val="000000"/>
              </w:rPr>
            </w:pPr>
            <w:r w:rsidRPr="00A30368">
              <w:rPr>
                <w:rFonts w:cs="Arial"/>
                <w:color w:val="000000"/>
              </w:rPr>
              <w:t>93.25</w:t>
            </w:r>
          </w:p>
        </w:tc>
        <w:tc>
          <w:tcPr>
            <w:tcW w:w="1609" w:type="pct"/>
          </w:tcPr>
          <w:p w14:paraId="7E12FF8B" w14:textId="77777777" w:rsidR="009C3EE7" w:rsidRPr="00A30368" w:rsidRDefault="009C3EE7" w:rsidP="000A6F8D">
            <w:pPr>
              <w:autoSpaceDE w:val="0"/>
              <w:autoSpaceDN w:val="0"/>
              <w:adjustRightInd w:val="0"/>
              <w:ind w:left="60" w:right="60"/>
              <w:jc w:val="center"/>
              <w:rPr>
                <w:rFonts w:cs="Arial"/>
                <w:color w:val="000000"/>
              </w:rPr>
            </w:pPr>
            <w:r w:rsidRPr="00A30368">
              <w:rPr>
                <w:rFonts w:cs="Arial"/>
                <w:color w:val="000000"/>
              </w:rPr>
              <w:t>High</w:t>
            </w:r>
          </w:p>
        </w:tc>
      </w:tr>
      <w:tr w:rsidR="009C3EE7" w:rsidRPr="00A30368" w14:paraId="7E12FF90" w14:textId="77777777" w:rsidTr="00F00D53">
        <w:trPr>
          <w:cantSplit/>
          <w:trHeight w:val="302"/>
        </w:trPr>
        <w:tc>
          <w:tcPr>
            <w:tcW w:w="1365" w:type="pct"/>
          </w:tcPr>
          <w:p w14:paraId="7E12FF8D" w14:textId="77777777" w:rsidR="009C3EE7" w:rsidRPr="00A30368" w:rsidRDefault="009C3EE7" w:rsidP="000A6F8D">
            <w:pPr>
              <w:autoSpaceDE w:val="0"/>
              <w:autoSpaceDN w:val="0"/>
              <w:adjustRightInd w:val="0"/>
              <w:ind w:left="60" w:right="60"/>
              <w:jc w:val="center"/>
              <w:rPr>
                <w:rFonts w:cs="Arial"/>
                <w:color w:val="000000"/>
              </w:rPr>
            </w:pPr>
            <w:r w:rsidRPr="00A30368">
              <w:rPr>
                <w:rFonts w:cs="Arial"/>
                <w:color w:val="000000"/>
              </w:rPr>
              <w:t>55</w:t>
            </w:r>
          </w:p>
        </w:tc>
        <w:tc>
          <w:tcPr>
            <w:tcW w:w="2026" w:type="pct"/>
          </w:tcPr>
          <w:p w14:paraId="7E12FF8E" w14:textId="77777777" w:rsidR="009C3EE7" w:rsidRPr="00A30368" w:rsidRDefault="009C3EE7" w:rsidP="000A6F8D">
            <w:pPr>
              <w:autoSpaceDE w:val="0"/>
              <w:autoSpaceDN w:val="0"/>
              <w:adjustRightInd w:val="0"/>
              <w:ind w:left="60" w:right="60"/>
              <w:jc w:val="center"/>
              <w:rPr>
                <w:rFonts w:cs="Arial"/>
                <w:color w:val="000000"/>
              </w:rPr>
            </w:pPr>
            <w:r w:rsidRPr="00A30368">
              <w:rPr>
                <w:rFonts w:cs="Arial"/>
                <w:color w:val="000000"/>
              </w:rPr>
              <w:t>94.0</w:t>
            </w:r>
          </w:p>
        </w:tc>
        <w:tc>
          <w:tcPr>
            <w:tcW w:w="1609" w:type="pct"/>
          </w:tcPr>
          <w:p w14:paraId="7E12FF8F" w14:textId="77777777" w:rsidR="009C3EE7" w:rsidRPr="00A30368" w:rsidRDefault="009C3EE7" w:rsidP="000A6F8D">
            <w:pPr>
              <w:autoSpaceDE w:val="0"/>
              <w:autoSpaceDN w:val="0"/>
              <w:adjustRightInd w:val="0"/>
              <w:ind w:left="60" w:right="60"/>
              <w:jc w:val="center"/>
              <w:rPr>
                <w:rFonts w:cs="Arial"/>
                <w:color w:val="000000"/>
              </w:rPr>
            </w:pPr>
            <w:r w:rsidRPr="00A30368">
              <w:rPr>
                <w:rFonts w:cs="Arial"/>
                <w:color w:val="000000"/>
              </w:rPr>
              <w:t>High</w:t>
            </w:r>
          </w:p>
        </w:tc>
      </w:tr>
      <w:tr w:rsidR="009C3EE7" w:rsidRPr="00A30368" w14:paraId="7E12FF94" w14:textId="77777777" w:rsidTr="00F00D53">
        <w:trPr>
          <w:cantSplit/>
          <w:trHeight w:val="302"/>
        </w:trPr>
        <w:tc>
          <w:tcPr>
            <w:tcW w:w="1365" w:type="pct"/>
          </w:tcPr>
          <w:p w14:paraId="7E12FF91" w14:textId="77777777" w:rsidR="009C3EE7" w:rsidRPr="00A30368" w:rsidRDefault="009C3EE7" w:rsidP="000A6F8D">
            <w:pPr>
              <w:autoSpaceDE w:val="0"/>
              <w:autoSpaceDN w:val="0"/>
              <w:adjustRightInd w:val="0"/>
              <w:ind w:left="60" w:right="60"/>
              <w:jc w:val="center"/>
              <w:rPr>
                <w:rFonts w:cs="Arial"/>
                <w:color w:val="000000"/>
              </w:rPr>
            </w:pPr>
            <w:r w:rsidRPr="00A30368">
              <w:rPr>
                <w:rFonts w:cs="Arial"/>
                <w:color w:val="000000"/>
              </w:rPr>
              <w:t>60</w:t>
            </w:r>
          </w:p>
        </w:tc>
        <w:tc>
          <w:tcPr>
            <w:tcW w:w="2026" w:type="pct"/>
          </w:tcPr>
          <w:p w14:paraId="7E12FF92" w14:textId="77777777" w:rsidR="009C3EE7" w:rsidRPr="00A30368" w:rsidRDefault="009C3EE7" w:rsidP="000A6F8D">
            <w:pPr>
              <w:autoSpaceDE w:val="0"/>
              <w:autoSpaceDN w:val="0"/>
              <w:adjustRightInd w:val="0"/>
              <w:ind w:left="60" w:right="60"/>
              <w:jc w:val="center"/>
              <w:rPr>
                <w:rFonts w:cs="Arial"/>
                <w:color w:val="000000"/>
              </w:rPr>
            </w:pPr>
            <w:r w:rsidRPr="00A30368">
              <w:rPr>
                <w:rFonts w:cs="Arial"/>
                <w:color w:val="000000"/>
              </w:rPr>
              <w:t>94.6</w:t>
            </w:r>
          </w:p>
        </w:tc>
        <w:tc>
          <w:tcPr>
            <w:tcW w:w="1609" w:type="pct"/>
          </w:tcPr>
          <w:p w14:paraId="7E12FF93" w14:textId="77777777" w:rsidR="009C3EE7" w:rsidRPr="00A30368" w:rsidRDefault="009C3EE7" w:rsidP="000A6F8D">
            <w:pPr>
              <w:autoSpaceDE w:val="0"/>
              <w:autoSpaceDN w:val="0"/>
              <w:adjustRightInd w:val="0"/>
              <w:ind w:left="60" w:right="60"/>
              <w:jc w:val="center"/>
              <w:rPr>
                <w:rFonts w:cs="Arial"/>
                <w:color w:val="000000"/>
              </w:rPr>
            </w:pPr>
            <w:r w:rsidRPr="00A30368">
              <w:rPr>
                <w:rFonts w:cs="Arial"/>
                <w:color w:val="000000"/>
              </w:rPr>
              <w:t>High</w:t>
            </w:r>
          </w:p>
        </w:tc>
      </w:tr>
      <w:tr w:rsidR="009C3EE7" w:rsidRPr="00A30368" w14:paraId="7E12FF98" w14:textId="77777777" w:rsidTr="00F00D53">
        <w:trPr>
          <w:cantSplit/>
          <w:trHeight w:val="302"/>
        </w:trPr>
        <w:tc>
          <w:tcPr>
            <w:tcW w:w="1365" w:type="pct"/>
          </w:tcPr>
          <w:p w14:paraId="7E12FF95" w14:textId="77777777" w:rsidR="009C3EE7" w:rsidRPr="00A30368" w:rsidRDefault="009C3EE7" w:rsidP="000A6F8D">
            <w:pPr>
              <w:autoSpaceDE w:val="0"/>
              <w:autoSpaceDN w:val="0"/>
              <w:adjustRightInd w:val="0"/>
              <w:ind w:left="60" w:right="60"/>
              <w:jc w:val="center"/>
              <w:rPr>
                <w:rFonts w:cs="Arial"/>
                <w:color w:val="000000"/>
              </w:rPr>
            </w:pPr>
            <w:r w:rsidRPr="00A30368">
              <w:rPr>
                <w:rFonts w:cs="Arial"/>
                <w:color w:val="000000"/>
              </w:rPr>
              <w:t>65</w:t>
            </w:r>
          </w:p>
        </w:tc>
        <w:tc>
          <w:tcPr>
            <w:tcW w:w="2026" w:type="pct"/>
          </w:tcPr>
          <w:p w14:paraId="7E12FF96" w14:textId="77777777" w:rsidR="009C3EE7" w:rsidRPr="00A30368" w:rsidRDefault="009C3EE7" w:rsidP="000A6F8D">
            <w:pPr>
              <w:autoSpaceDE w:val="0"/>
              <w:autoSpaceDN w:val="0"/>
              <w:adjustRightInd w:val="0"/>
              <w:ind w:left="60" w:right="60"/>
              <w:jc w:val="center"/>
              <w:rPr>
                <w:rFonts w:cs="Arial"/>
                <w:color w:val="000000"/>
              </w:rPr>
            </w:pPr>
            <w:r w:rsidRPr="00A30368">
              <w:rPr>
                <w:rFonts w:cs="Arial"/>
                <w:color w:val="000000"/>
              </w:rPr>
              <w:t>95.1</w:t>
            </w:r>
          </w:p>
        </w:tc>
        <w:tc>
          <w:tcPr>
            <w:tcW w:w="1609" w:type="pct"/>
          </w:tcPr>
          <w:p w14:paraId="7E12FF97" w14:textId="77777777" w:rsidR="009C3EE7" w:rsidRPr="00A30368" w:rsidRDefault="009C3EE7" w:rsidP="000A6F8D">
            <w:pPr>
              <w:autoSpaceDE w:val="0"/>
              <w:autoSpaceDN w:val="0"/>
              <w:adjustRightInd w:val="0"/>
              <w:ind w:left="60" w:right="60"/>
              <w:jc w:val="center"/>
              <w:rPr>
                <w:rFonts w:cs="Arial"/>
                <w:color w:val="000000"/>
              </w:rPr>
            </w:pPr>
            <w:r w:rsidRPr="00A30368">
              <w:rPr>
                <w:rFonts w:cs="Arial"/>
                <w:color w:val="000000"/>
              </w:rPr>
              <w:t>Very High</w:t>
            </w:r>
          </w:p>
        </w:tc>
      </w:tr>
      <w:tr w:rsidR="009C3EE7" w:rsidRPr="00A30368" w14:paraId="7E12FF9C" w14:textId="77777777" w:rsidTr="00F00D53">
        <w:trPr>
          <w:cantSplit/>
          <w:trHeight w:val="302"/>
        </w:trPr>
        <w:tc>
          <w:tcPr>
            <w:tcW w:w="1365" w:type="pct"/>
          </w:tcPr>
          <w:p w14:paraId="7E12FF99" w14:textId="77777777" w:rsidR="009C3EE7" w:rsidRPr="00A30368" w:rsidRDefault="009C3EE7" w:rsidP="000A6F8D">
            <w:pPr>
              <w:autoSpaceDE w:val="0"/>
              <w:autoSpaceDN w:val="0"/>
              <w:adjustRightInd w:val="0"/>
              <w:ind w:left="60" w:right="60"/>
              <w:jc w:val="center"/>
              <w:rPr>
                <w:rFonts w:cs="Arial"/>
                <w:color w:val="000000"/>
              </w:rPr>
            </w:pPr>
            <w:r w:rsidRPr="00A30368">
              <w:rPr>
                <w:rFonts w:cs="Arial"/>
                <w:color w:val="000000"/>
              </w:rPr>
              <w:t>70</w:t>
            </w:r>
          </w:p>
        </w:tc>
        <w:tc>
          <w:tcPr>
            <w:tcW w:w="2026" w:type="pct"/>
          </w:tcPr>
          <w:p w14:paraId="7E12FF9A" w14:textId="77777777" w:rsidR="009C3EE7" w:rsidRPr="00A30368" w:rsidRDefault="009C3EE7" w:rsidP="000A6F8D">
            <w:pPr>
              <w:autoSpaceDE w:val="0"/>
              <w:autoSpaceDN w:val="0"/>
              <w:adjustRightInd w:val="0"/>
              <w:ind w:left="60" w:right="60"/>
              <w:jc w:val="center"/>
              <w:rPr>
                <w:rFonts w:cs="Arial"/>
                <w:color w:val="000000"/>
              </w:rPr>
            </w:pPr>
            <w:r w:rsidRPr="00A30368">
              <w:rPr>
                <w:rFonts w:cs="Arial"/>
                <w:color w:val="000000"/>
              </w:rPr>
              <w:t>95.7</w:t>
            </w:r>
          </w:p>
        </w:tc>
        <w:tc>
          <w:tcPr>
            <w:tcW w:w="1609" w:type="pct"/>
          </w:tcPr>
          <w:p w14:paraId="7E12FF9B" w14:textId="77777777" w:rsidR="009C3EE7" w:rsidRPr="00A30368" w:rsidRDefault="009C3EE7" w:rsidP="000A6F8D">
            <w:pPr>
              <w:autoSpaceDE w:val="0"/>
              <w:autoSpaceDN w:val="0"/>
              <w:adjustRightInd w:val="0"/>
              <w:ind w:left="60" w:right="60"/>
              <w:jc w:val="center"/>
              <w:rPr>
                <w:rFonts w:cs="Arial"/>
                <w:color w:val="000000"/>
              </w:rPr>
            </w:pPr>
            <w:r w:rsidRPr="00A30368">
              <w:rPr>
                <w:rFonts w:cs="Arial"/>
                <w:color w:val="000000"/>
              </w:rPr>
              <w:t>Very High</w:t>
            </w:r>
          </w:p>
        </w:tc>
      </w:tr>
      <w:tr w:rsidR="009C3EE7" w:rsidRPr="00A30368" w14:paraId="7E12FFA0" w14:textId="77777777" w:rsidTr="00F00D53">
        <w:trPr>
          <w:cantSplit/>
          <w:trHeight w:val="302"/>
        </w:trPr>
        <w:tc>
          <w:tcPr>
            <w:tcW w:w="1365" w:type="pct"/>
          </w:tcPr>
          <w:p w14:paraId="7E12FF9D" w14:textId="77777777" w:rsidR="009C3EE7" w:rsidRPr="00A30368" w:rsidRDefault="009C3EE7" w:rsidP="000A6F8D">
            <w:pPr>
              <w:autoSpaceDE w:val="0"/>
              <w:autoSpaceDN w:val="0"/>
              <w:adjustRightInd w:val="0"/>
              <w:ind w:left="60" w:right="60"/>
              <w:jc w:val="center"/>
              <w:rPr>
                <w:rFonts w:cs="Arial"/>
                <w:color w:val="000000"/>
              </w:rPr>
            </w:pPr>
            <w:r w:rsidRPr="00A30368">
              <w:rPr>
                <w:rFonts w:cs="Arial"/>
                <w:color w:val="000000"/>
              </w:rPr>
              <w:t>75</w:t>
            </w:r>
          </w:p>
        </w:tc>
        <w:tc>
          <w:tcPr>
            <w:tcW w:w="2026" w:type="pct"/>
          </w:tcPr>
          <w:p w14:paraId="7E12FF9E" w14:textId="77777777" w:rsidR="009C3EE7" w:rsidRPr="00A30368" w:rsidRDefault="009C3EE7" w:rsidP="000A6F8D">
            <w:pPr>
              <w:autoSpaceDE w:val="0"/>
              <w:autoSpaceDN w:val="0"/>
              <w:adjustRightInd w:val="0"/>
              <w:ind w:left="60" w:right="60"/>
              <w:jc w:val="center"/>
              <w:rPr>
                <w:rFonts w:cs="Arial"/>
                <w:color w:val="000000"/>
              </w:rPr>
            </w:pPr>
            <w:r w:rsidRPr="00A30368">
              <w:rPr>
                <w:rFonts w:cs="Arial"/>
                <w:color w:val="000000"/>
              </w:rPr>
              <w:t>96.3</w:t>
            </w:r>
          </w:p>
        </w:tc>
        <w:tc>
          <w:tcPr>
            <w:tcW w:w="1609" w:type="pct"/>
          </w:tcPr>
          <w:p w14:paraId="7E12FF9F" w14:textId="77777777" w:rsidR="009C3EE7" w:rsidRPr="00A30368" w:rsidRDefault="009C3EE7" w:rsidP="000A6F8D">
            <w:pPr>
              <w:autoSpaceDE w:val="0"/>
              <w:autoSpaceDN w:val="0"/>
              <w:adjustRightInd w:val="0"/>
              <w:ind w:left="60" w:right="60"/>
              <w:jc w:val="center"/>
              <w:rPr>
                <w:rFonts w:cs="Arial"/>
                <w:color w:val="000000"/>
              </w:rPr>
            </w:pPr>
            <w:r w:rsidRPr="00A30368">
              <w:rPr>
                <w:rFonts w:cs="Arial"/>
                <w:color w:val="000000"/>
              </w:rPr>
              <w:t>Very High</w:t>
            </w:r>
          </w:p>
        </w:tc>
      </w:tr>
      <w:tr w:rsidR="009C3EE7" w:rsidRPr="00A30368" w14:paraId="7E12FFA4" w14:textId="77777777" w:rsidTr="00F00D53">
        <w:trPr>
          <w:cantSplit/>
          <w:trHeight w:val="302"/>
        </w:trPr>
        <w:tc>
          <w:tcPr>
            <w:tcW w:w="1365" w:type="pct"/>
          </w:tcPr>
          <w:p w14:paraId="7E12FFA1" w14:textId="77777777" w:rsidR="009C3EE7" w:rsidRPr="00A30368" w:rsidRDefault="009C3EE7" w:rsidP="000A6F8D">
            <w:pPr>
              <w:autoSpaceDE w:val="0"/>
              <w:autoSpaceDN w:val="0"/>
              <w:adjustRightInd w:val="0"/>
              <w:ind w:left="60" w:right="60"/>
              <w:jc w:val="center"/>
              <w:rPr>
                <w:rFonts w:cs="Arial"/>
                <w:color w:val="000000"/>
              </w:rPr>
            </w:pPr>
            <w:r w:rsidRPr="00A30368">
              <w:rPr>
                <w:rFonts w:cs="Arial"/>
                <w:color w:val="000000"/>
              </w:rPr>
              <w:t>80</w:t>
            </w:r>
          </w:p>
        </w:tc>
        <w:tc>
          <w:tcPr>
            <w:tcW w:w="2026" w:type="pct"/>
          </w:tcPr>
          <w:p w14:paraId="7E12FFA2" w14:textId="77777777" w:rsidR="009C3EE7" w:rsidRPr="00A30368" w:rsidRDefault="009C3EE7" w:rsidP="000A6F8D">
            <w:pPr>
              <w:autoSpaceDE w:val="0"/>
              <w:autoSpaceDN w:val="0"/>
              <w:adjustRightInd w:val="0"/>
              <w:ind w:left="60" w:right="60"/>
              <w:jc w:val="center"/>
              <w:rPr>
                <w:rFonts w:cs="Arial"/>
                <w:color w:val="000000"/>
              </w:rPr>
            </w:pPr>
            <w:r w:rsidRPr="00A30368">
              <w:rPr>
                <w:rFonts w:cs="Arial"/>
                <w:color w:val="000000"/>
              </w:rPr>
              <w:t>96.8</w:t>
            </w:r>
          </w:p>
        </w:tc>
        <w:tc>
          <w:tcPr>
            <w:tcW w:w="1609" w:type="pct"/>
          </w:tcPr>
          <w:p w14:paraId="7E12FFA3" w14:textId="77777777" w:rsidR="009C3EE7" w:rsidRPr="00A30368" w:rsidRDefault="009C3EE7" w:rsidP="000A6F8D">
            <w:pPr>
              <w:autoSpaceDE w:val="0"/>
              <w:autoSpaceDN w:val="0"/>
              <w:adjustRightInd w:val="0"/>
              <w:ind w:left="60" w:right="60"/>
              <w:jc w:val="center"/>
              <w:rPr>
                <w:rFonts w:cs="Arial"/>
                <w:color w:val="000000"/>
              </w:rPr>
            </w:pPr>
            <w:r w:rsidRPr="00A30368">
              <w:rPr>
                <w:rFonts w:cs="Arial"/>
                <w:color w:val="000000"/>
              </w:rPr>
              <w:t>Very High</w:t>
            </w:r>
          </w:p>
        </w:tc>
      </w:tr>
      <w:tr w:rsidR="009C3EE7" w:rsidRPr="00A30368" w14:paraId="7E12FFA8" w14:textId="77777777" w:rsidTr="00F00D53">
        <w:trPr>
          <w:cantSplit/>
          <w:trHeight w:val="302"/>
        </w:trPr>
        <w:tc>
          <w:tcPr>
            <w:tcW w:w="1365" w:type="pct"/>
          </w:tcPr>
          <w:p w14:paraId="7E12FFA5" w14:textId="77777777" w:rsidR="009C3EE7" w:rsidRPr="00A30368" w:rsidRDefault="009C3EE7" w:rsidP="000A6F8D">
            <w:pPr>
              <w:autoSpaceDE w:val="0"/>
              <w:autoSpaceDN w:val="0"/>
              <w:adjustRightInd w:val="0"/>
              <w:ind w:left="60" w:right="60"/>
              <w:jc w:val="center"/>
              <w:rPr>
                <w:rFonts w:cs="Arial"/>
                <w:color w:val="000000"/>
              </w:rPr>
            </w:pPr>
            <w:r w:rsidRPr="00A30368">
              <w:rPr>
                <w:rFonts w:cs="Arial"/>
                <w:color w:val="000000"/>
              </w:rPr>
              <w:t>85</w:t>
            </w:r>
          </w:p>
        </w:tc>
        <w:tc>
          <w:tcPr>
            <w:tcW w:w="2026" w:type="pct"/>
          </w:tcPr>
          <w:p w14:paraId="7E12FFA6" w14:textId="77777777" w:rsidR="009C3EE7" w:rsidRPr="00A30368" w:rsidRDefault="009C3EE7" w:rsidP="000A6F8D">
            <w:pPr>
              <w:autoSpaceDE w:val="0"/>
              <w:autoSpaceDN w:val="0"/>
              <w:adjustRightInd w:val="0"/>
              <w:ind w:left="60" w:right="60"/>
              <w:jc w:val="center"/>
              <w:rPr>
                <w:rFonts w:cs="Arial"/>
                <w:color w:val="000000"/>
              </w:rPr>
            </w:pPr>
            <w:r w:rsidRPr="00A30368">
              <w:rPr>
                <w:rFonts w:cs="Arial"/>
                <w:color w:val="000000"/>
              </w:rPr>
              <w:t>97.5</w:t>
            </w:r>
          </w:p>
        </w:tc>
        <w:tc>
          <w:tcPr>
            <w:tcW w:w="1609" w:type="pct"/>
          </w:tcPr>
          <w:p w14:paraId="7E12FFA7" w14:textId="77777777" w:rsidR="009C3EE7" w:rsidRPr="00A30368" w:rsidRDefault="009C3EE7" w:rsidP="000A6F8D">
            <w:pPr>
              <w:autoSpaceDE w:val="0"/>
              <w:autoSpaceDN w:val="0"/>
              <w:adjustRightInd w:val="0"/>
              <w:ind w:left="60" w:right="60"/>
              <w:jc w:val="center"/>
              <w:rPr>
                <w:rFonts w:cs="Arial"/>
                <w:color w:val="000000"/>
              </w:rPr>
            </w:pPr>
            <w:r w:rsidRPr="00A30368">
              <w:rPr>
                <w:rFonts w:cs="Arial"/>
                <w:color w:val="000000"/>
              </w:rPr>
              <w:t>Very High</w:t>
            </w:r>
          </w:p>
        </w:tc>
      </w:tr>
      <w:tr w:rsidR="009C3EE7" w:rsidRPr="00A30368" w14:paraId="7E12FFAC" w14:textId="77777777" w:rsidTr="00F00D53">
        <w:trPr>
          <w:cantSplit/>
          <w:trHeight w:val="302"/>
        </w:trPr>
        <w:tc>
          <w:tcPr>
            <w:tcW w:w="1365" w:type="pct"/>
          </w:tcPr>
          <w:p w14:paraId="7E12FFA9" w14:textId="77777777" w:rsidR="009C3EE7" w:rsidRPr="00A30368" w:rsidRDefault="009C3EE7" w:rsidP="000A6F8D">
            <w:pPr>
              <w:autoSpaceDE w:val="0"/>
              <w:autoSpaceDN w:val="0"/>
              <w:adjustRightInd w:val="0"/>
              <w:ind w:left="60" w:right="60"/>
              <w:jc w:val="center"/>
              <w:rPr>
                <w:rFonts w:cs="Arial"/>
                <w:color w:val="000000"/>
              </w:rPr>
            </w:pPr>
            <w:r w:rsidRPr="00A30368">
              <w:rPr>
                <w:rFonts w:cs="Arial"/>
                <w:color w:val="000000"/>
              </w:rPr>
              <w:t>90</w:t>
            </w:r>
          </w:p>
        </w:tc>
        <w:tc>
          <w:tcPr>
            <w:tcW w:w="2026" w:type="pct"/>
          </w:tcPr>
          <w:p w14:paraId="7E12FFAA" w14:textId="77777777" w:rsidR="009C3EE7" w:rsidRPr="00A30368" w:rsidRDefault="009C3EE7" w:rsidP="000A6F8D">
            <w:pPr>
              <w:autoSpaceDE w:val="0"/>
              <w:autoSpaceDN w:val="0"/>
              <w:adjustRightInd w:val="0"/>
              <w:ind w:left="60" w:right="60"/>
              <w:jc w:val="center"/>
              <w:rPr>
                <w:rFonts w:cs="Arial"/>
                <w:color w:val="000000"/>
              </w:rPr>
            </w:pPr>
            <w:r w:rsidRPr="00A30368">
              <w:rPr>
                <w:rFonts w:cs="Arial"/>
                <w:color w:val="000000"/>
              </w:rPr>
              <w:t>98.1</w:t>
            </w:r>
          </w:p>
        </w:tc>
        <w:tc>
          <w:tcPr>
            <w:tcW w:w="1609" w:type="pct"/>
          </w:tcPr>
          <w:p w14:paraId="7E12FFAB" w14:textId="77777777" w:rsidR="009C3EE7" w:rsidRPr="00A30368" w:rsidRDefault="009C3EE7" w:rsidP="000A6F8D">
            <w:pPr>
              <w:autoSpaceDE w:val="0"/>
              <w:autoSpaceDN w:val="0"/>
              <w:adjustRightInd w:val="0"/>
              <w:ind w:left="60" w:right="60"/>
              <w:jc w:val="center"/>
              <w:rPr>
                <w:rFonts w:cs="Arial"/>
                <w:color w:val="000000"/>
              </w:rPr>
            </w:pPr>
            <w:r w:rsidRPr="00A30368">
              <w:rPr>
                <w:rFonts w:cs="Arial"/>
                <w:color w:val="000000"/>
              </w:rPr>
              <w:t>Very High</w:t>
            </w:r>
          </w:p>
        </w:tc>
      </w:tr>
      <w:tr w:rsidR="009C3EE7" w:rsidRPr="00A30368" w14:paraId="7E12FFB0" w14:textId="77777777" w:rsidTr="00F00D53">
        <w:trPr>
          <w:cantSplit/>
          <w:trHeight w:val="302"/>
        </w:trPr>
        <w:tc>
          <w:tcPr>
            <w:tcW w:w="1365" w:type="pct"/>
          </w:tcPr>
          <w:p w14:paraId="7E12FFAD" w14:textId="77777777" w:rsidR="009C3EE7" w:rsidRPr="00A30368" w:rsidRDefault="009C3EE7" w:rsidP="000A6F8D">
            <w:pPr>
              <w:autoSpaceDE w:val="0"/>
              <w:autoSpaceDN w:val="0"/>
              <w:adjustRightInd w:val="0"/>
              <w:ind w:left="60" w:right="60"/>
              <w:jc w:val="center"/>
              <w:rPr>
                <w:rFonts w:cs="Arial"/>
                <w:color w:val="000000"/>
              </w:rPr>
            </w:pPr>
            <w:r w:rsidRPr="00A30368">
              <w:rPr>
                <w:rFonts w:cs="Arial"/>
                <w:color w:val="000000"/>
              </w:rPr>
              <w:t>95</w:t>
            </w:r>
          </w:p>
        </w:tc>
        <w:tc>
          <w:tcPr>
            <w:tcW w:w="2026" w:type="pct"/>
          </w:tcPr>
          <w:p w14:paraId="7E12FFAE" w14:textId="77777777" w:rsidR="009C3EE7" w:rsidRPr="00A30368" w:rsidRDefault="009C3EE7" w:rsidP="000A6F8D">
            <w:pPr>
              <w:autoSpaceDE w:val="0"/>
              <w:autoSpaceDN w:val="0"/>
              <w:adjustRightInd w:val="0"/>
              <w:ind w:left="60" w:right="60"/>
              <w:jc w:val="center"/>
              <w:rPr>
                <w:rFonts w:cs="Arial"/>
                <w:color w:val="000000"/>
              </w:rPr>
            </w:pPr>
            <w:r w:rsidRPr="00A30368">
              <w:rPr>
                <w:rFonts w:cs="Arial"/>
                <w:color w:val="000000"/>
              </w:rPr>
              <w:t>99.0</w:t>
            </w:r>
          </w:p>
        </w:tc>
        <w:tc>
          <w:tcPr>
            <w:tcW w:w="1609" w:type="pct"/>
          </w:tcPr>
          <w:p w14:paraId="7E12FFAF" w14:textId="77777777" w:rsidR="009C3EE7" w:rsidRPr="00A30368" w:rsidRDefault="009C3EE7" w:rsidP="000A6F8D">
            <w:pPr>
              <w:autoSpaceDE w:val="0"/>
              <w:autoSpaceDN w:val="0"/>
              <w:adjustRightInd w:val="0"/>
              <w:ind w:left="60" w:right="60"/>
              <w:jc w:val="center"/>
              <w:rPr>
                <w:rFonts w:cs="Arial"/>
                <w:color w:val="000000"/>
              </w:rPr>
            </w:pPr>
            <w:r w:rsidRPr="00A30368">
              <w:rPr>
                <w:rFonts w:cs="Arial"/>
                <w:color w:val="000000"/>
              </w:rPr>
              <w:t>Very High</w:t>
            </w:r>
          </w:p>
        </w:tc>
      </w:tr>
    </w:tbl>
    <w:p w14:paraId="7E12FFB3" w14:textId="09C650D2" w:rsidR="00586B64" w:rsidRPr="00A30368" w:rsidRDefault="00640BA6" w:rsidP="001F232C">
      <w:pPr>
        <w:pStyle w:val="Heading4"/>
        <w:spacing w:before="240" w:after="240"/>
        <w:rPr>
          <w:rFonts w:ascii="Arial" w:hAnsi="Arial" w:cs="Arial"/>
          <w:b/>
          <w:color w:val="auto"/>
        </w:rPr>
      </w:pPr>
      <w:r w:rsidRPr="00A30368">
        <w:rPr>
          <w:rFonts w:ascii="Arial" w:hAnsi="Arial" w:cs="Arial"/>
          <w:b/>
          <w:color w:val="auto"/>
        </w:rPr>
        <w:t>Change</w:t>
      </w:r>
    </w:p>
    <w:p w14:paraId="7E12FFB5" w14:textId="657032E3" w:rsidR="00E004C5" w:rsidRPr="00A30368" w:rsidRDefault="00314DE5" w:rsidP="000A6F8D">
      <w:pPr>
        <w:spacing w:before="240" w:after="240"/>
        <w:rPr>
          <w:rFonts w:cs="Arial"/>
        </w:rPr>
      </w:pPr>
      <w:r w:rsidRPr="00A30368">
        <w:rPr>
          <w:rFonts w:cs="Arial"/>
        </w:rPr>
        <w:t>“Change” is the difference between performance from the current year and the prior year</w:t>
      </w:r>
      <w:r w:rsidR="00640BA6" w:rsidRPr="00A30368">
        <w:rPr>
          <w:rFonts w:cs="Arial"/>
        </w:rPr>
        <w:t xml:space="preserve"> </w:t>
      </w:r>
      <w:r w:rsidRPr="00A30368">
        <w:rPr>
          <w:rFonts w:cs="Arial"/>
        </w:rPr>
        <w:t xml:space="preserve">(i.e., the difference between the current year graduation rate and </w:t>
      </w:r>
      <w:r w:rsidR="00640BA6" w:rsidRPr="00A30368">
        <w:rPr>
          <w:rFonts w:cs="Arial"/>
        </w:rPr>
        <w:t>prior year graduation rate</w:t>
      </w:r>
      <w:r w:rsidRPr="00A30368">
        <w:rPr>
          <w:rFonts w:cs="Arial"/>
        </w:rPr>
        <w:t>).</w:t>
      </w:r>
      <w:r w:rsidR="0001074C" w:rsidRPr="00A30368">
        <w:rPr>
          <w:rFonts w:cs="Arial"/>
        </w:rPr>
        <w:t xml:space="preserve"> As with “Status,” cut scores created five “Change Levels” (increased significantly, increased, maintained, declined, and declined significantly).</w:t>
      </w:r>
      <w:r w:rsidRPr="00A30368">
        <w:rPr>
          <w:rFonts w:cs="Arial"/>
        </w:rPr>
        <w:t xml:space="preserve"> </w:t>
      </w:r>
      <w:r w:rsidR="00640BA6" w:rsidRPr="00A30368">
        <w:rPr>
          <w:rFonts w:cs="Arial"/>
        </w:rPr>
        <w:t xml:space="preserve">To determine </w:t>
      </w:r>
      <w:r w:rsidR="00640BA6" w:rsidRPr="00A30368">
        <w:rPr>
          <w:rFonts w:cs="Arial"/>
        </w:rPr>
        <w:lastRenderedPageBreak/>
        <w:t>the cut scores for “Change</w:t>
      </w:r>
      <w:r w:rsidRPr="00A30368">
        <w:rPr>
          <w:rFonts w:cs="Arial"/>
        </w:rPr>
        <w:t>,</w:t>
      </w:r>
      <w:r w:rsidR="00640BA6" w:rsidRPr="00A30368">
        <w:rPr>
          <w:rFonts w:cs="Arial"/>
        </w:rPr>
        <w:t>”</w:t>
      </w:r>
      <w:r w:rsidRPr="00A30368">
        <w:rPr>
          <w:rFonts w:cs="Arial"/>
        </w:rPr>
        <w:t xml:space="preserve"> LEAs </w:t>
      </w:r>
      <w:r w:rsidR="00640BA6" w:rsidRPr="00A30368">
        <w:rPr>
          <w:rFonts w:cs="Arial"/>
        </w:rPr>
        <w:t xml:space="preserve">(including charter schools) </w:t>
      </w:r>
      <w:r w:rsidRPr="00A30368">
        <w:rPr>
          <w:rFonts w:cs="Arial"/>
        </w:rPr>
        <w:t xml:space="preserve">were categorized into two different distributions, one where there was positive change and one where there was negative change. </w:t>
      </w:r>
      <w:r w:rsidR="00640BA6" w:rsidRPr="00A30368">
        <w:rPr>
          <w:rFonts w:cs="Arial"/>
        </w:rPr>
        <w:t>The “declined significantly” is set first representing a small percent of LEAs</w:t>
      </w:r>
      <w:r w:rsidR="00A32037" w:rsidRPr="00A30368">
        <w:rPr>
          <w:rFonts w:cs="Arial"/>
        </w:rPr>
        <w:t xml:space="preserve"> with the most decline in performance</w:t>
      </w:r>
      <w:r w:rsidR="00640BA6" w:rsidRPr="00A30368">
        <w:rPr>
          <w:rFonts w:cs="Arial"/>
        </w:rPr>
        <w:t xml:space="preserve">. Next, “increased” is set, which represents </w:t>
      </w:r>
      <w:r w:rsidR="00783C50" w:rsidRPr="00A30368">
        <w:rPr>
          <w:rFonts w:cs="Arial"/>
        </w:rPr>
        <w:t>an increase</w:t>
      </w:r>
      <w:r w:rsidR="00640BA6" w:rsidRPr="00A30368">
        <w:rPr>
          <w:rFonts w:cs="Arial"/>
        </w:rPr>
        <w:t xml:space="preserve"> </w:t>
      </w:r>
      <w:r w:rsidR="00A32037" w:rsidRPr="00A30368">
        <w:rPr>
          <w:rFonts w:cs="Arial"/>
        </w:rPr>
        <w:t xml:space="preserve">in performance </w:t>
      </w:r>
      <w:r w:rsidR="00640BA6" w:rsidRPr="00A30368">
        <w:rPr>
          <w:rFonts w:cs="Arial"/>
        </w:rPr>
        <w:t xml:space="preserve">achieved by the majority of LEAs. Once the “declined significantly” and “increased” cut scores are established, the remaining cut scores </w:t>
      </w:r>
      <w:r w:rsidR="00B1326E" w:rsidRPr="00A30368">
        <w:rPr>
          <w:rFonts w:cs="Arial"/>
        </w:rPr>
        <w:t xml:space="preserve">are set to finalize the </w:t>
      </w:r>
      <w:r w:rsidR="00EE2A7C" w:rsidRPr="00A30368">
        <w:rPr>
          <w:rFonts w:cs="Arial"/>
        </w:rPr>
        <w:t>remaining</w:t>
      </w:r>
      <w:r w:rsidR="00B1326E" w:rsidRPr="00A30368">
        <w:rPr>
          <w:rFonts w:cs="Arial"/>
        </w:rPr>
        <w:t xml:space="preserve"> change levels</w:t>
      </w:r>
      <w:r w:rsidR="00EE2A7C" w:rsidRPr="00A30368">
        <w:rPr>
          <w:rFonts w:cs="Arial"/>
        </w:rPr>
        <w:t xml:space="preserve"> (i.e., declined, maintained, and increased significantly)</w:t>
      </w:r>
      <w:r w:rsidR="000A6F8D" w:rsidRPr="00A30368">
        <w:rPr>
          <w:rFonts w:cs="Arial"/>
        </w:rPr>
        <w:t>.</w:t>
      </w:r>
    </w:p>
    <w:p w14:paraId="7E12FFB7" w14:textId="0C71D110" w:rsidR="00181129" w:rsidRPr="00A30368" w:rsidRDefault="00181129" w:rsidP="001F232C">
      <w:pPr>
        <w:pStyle w:val="Heading4"/>
        <w:spacing w:before="240" w:after="240"/>
        <w:rPr>
          <w:rFonts w:ascii="Arial" w:hAnsi="Arial" w:cs="Arial"/>
          <w:b/>
          <w:color w:val="auto"/>
        </w:rPr>
      </w:pPr>
      <w:r w:rsidRPr="00A30368">
        <w:rPr>
          <w:rFonts w:ascii="Arial" w:hAnsi="Arial" w:cs="Arial"/>
          <w:b/>
          <w:color w:val="auto"/>
        </w:rPr>
        <w:t>Setting Cut Scores Sepa</w:t>
      </w:r>
      <w:r w:rsidR="000A6F8D" w:rsidRPr="00A30368">
        <w:rPr>
          <w:rFonts w:ascii="Arial" w:hAnsi="Arial" w:cs="Arial"/>
          <w:b/>
          <w:color w:val="auto"/>
        </w:rPr>
        <w:t>rately for Each State Indicator</w:t>
      </w:r>
    </w:p>
    <w:p w14:paraId="7E12FFB9" w14:textId="243206ED" w:rsidR="00A86BF9" w:rsidRPr="00A30368" w:rsidRDefault="00181129" w:rsidP="000A6F8D">
      <w:pPr>
        <w:spacing w:before="240" w:after="240"/>
        <w:rPr>
          <w:rFonts w:cs="Arial"/>
        </w:rPr>
      </w:pPr>
      <w:r w:rsidRPr="00A30368">
        <w:rPr>
          <w:rFonts w:cs="Arial"/>
        </w:rPr>
        <w:t xml:space="preserve">After </w:t>
      </w:r>
      <w:r w:rsidR="0001074C" w:rsidRPr="00A30368">
        <w:rPr>
          <w:rFonts w:cs="Arial"/>
        </w:rPr>
        <w:t xml:space="preserve">CDE staff </w:t>
      </w:r>
      <w:r w:rsidRPr="00A30368">
        <w:rPr>
          <w:rFonts w:cs="Arial"/>
        </w:rPr>
        <w:t>present</w:t>
      </w:r>
      <w:r w:rsidR="0001074C" w:rsidRPr="00A30368">
        <w:rPr>
          <w:rFonts w:cs="Arial"/>
        </w:rPr>
        <w:t>ed</w:t>
      </w:r>
      <w:r w:rsidRPr="00A30368">
        <w:rPr>
          <w:rFonts w:cs="Arial"/>
        </w:rPr>
        <w:t xml:space="preserve"> multiple simulations on various approaches for setting Status and Change cut scores to the </w:t>
      </w:r>
      <w:r w:rsidR="00321317" w:rsidRPr="00A30368">
        <w:rPr>
          <w:rFonts w:cs="Arial"/>
        </w:rPr>
        <w:t>Technical Design Group (</w:t>
      </w:r>
      <w:r w:rsidRPr="00A30368">
        <w:rPr>
          <w:rFonts w:cs="Arial"/>
        </w:rPr>
        <w:t>TDG</w:t>
      </w:r>
      <w:r w:rsidR="00321317" w:rsidRPr="00A30368">
        <w:rPr>
          <w:rFonts w:cs="Arial"/>
        </w:rPr>
        <w:t>)</w:t>
      </w:r>
      <w:r w:rsidRPr="00A30368">
        <w:rPr>
          <w:rFonts w:cs="Arial"/>
        </w:rPr>
        <w:t xml:space="preserve">, the </w:t>
      </w:r>
      <w:r w:rsidR="00FF352F" w:rsidRPr="00A30368">
        <w:rPr>
          <w:rFonts w:cs="Arial"/>
        </w:rPr>
        <w:t xml:space="preserve">TDG recommended </w:t>
      </w:r>
      <w:r w:rsidR="00C733B8" w:rsidRPr="00A30368">
        <w:rPr>
          <w:rFonts w:cs="Arial"/>
        </w:rPr>
        <w:t xml:space="preserve">to the CDE </w:t>
      </w:r>
      <w:r w:rsidR="00FF352F" w:rsidRPr="00A30368">
        <w:rPr>
          <w:rFonts w:cs="Arial"/>
        </w:rPr>
        <w:t xml:space="preserve">that cut scores be set separately for each indicator (i.e., each state indicator will have its own unique set of cut scores) to reflect the varying performance among the indicators. For example, the range of graduation rates differs significantly from the range of </w:t>
      </w:r>
      <w:r w:rsidR="005B5AB3" w:rsidRPr="00A30368">
        <w:rPr>
          <w:rFonts w:cs="Arial"/>
        </w:rPr>
        <w:t>scale scores</w:t>
      </w:r>
      <w:r w:rsidR="00FF352F" w:rsidRPr="00A30368">
        <w:rPr>
          <w:rFonts w:cs="Arial"/>
        </w:rPr>
        <w:t xml:space="preserve"> on the California Assessment of Student Performance and Progress mathematics assessment, which differ significantly from</w:t>
      </w:r>
      <w:r w:rsidR="000A6F8D" w:rsidRPr="00A30368">
        <w:rPr>
          <w:rFonts w:cs="Arial"/>
        </w:rPr>
        <w:t xml:space="preserve"> the range of suspension rates.</w:t>
      </w:r>
    </w:p>
    <w:p w14:paraId="7E12FFBB" w14:textId="2E407323" w:rsidR="00516A4D" w:rsidRPr="00A30368" w:rsidRDefault="0001074C" w:rsidP="000A6F8D">
      <w:pPr>
        <w:spacing w:before="240" w:after="240"/>
        <w:rPr>
          <w:rFonts w:cs="Arial"/>
          <w:b/>
          <w:i/>
        </w:rPr>
      </w:pPr>
      <w:r w:rsidRPr="00A30368">
        <w:rPr>
          <w:rFonts w:cs="Arial"/>
        </w:rPr>
        <w:t>In adopting the cut scores for the state indicators, and a</w:t>
      </w:r>
      <w:r w:rsidR="00EE2A7C" w:rsidRPr="00A30368">
        <w:rPr>
          <w:rFonts w:cs="Arial"/>
        </w:rPr>
        <w:t>s noted in California’s ESSA State Plan, the SBE will, as part of its annual review process</w:t>
      </w:r>
      <w:r w:rsidR="00282D58" w:rsidRPr="00A30368">
        <w:rPr>
          <w:rFonts w:cs="Arial"/>
        </w:rPr>
        <w:t xml:space="preserve"> (discussed in a later section)</w:t>
      </w:r>
      <w:r w:rsidR="00EE2A7C" w:rsidRPr="00A30368">
        <w:rPr>
          <w:rFonts w:cs="Arial"/>
        </w:rPr>
        <w:t>, assess progress on all state indicators and potentially revise the cut scores for stat</w:t>
      </w:r>
      <w:r w:rsidR="000A6F8D" w:rsidRPr="00A30368">
        <w:rPr>
          <w:rFonts w:cs="Arial"/>
        </w:rPr>
        <w:t>e indicators every seven years.</w:t>
      </w:r>
    </w:p>
    <w:p w14:paraId="7E12FFBD" w14:textId="6B5FFF30" w:rsidR="00B1326E" w:rsidRPr="00A30368" w:rsidRDefault="00B1326E" w:rsidP="001F232C">
      <w:pPr>
        <w:pStyle w:val="Heading4"/>
        <w:spacing w:before="240" w:after="240"/>
        <w:rPr>
          <w:rFonts w:ascii="Arial" w:hAnsi="Arial" w:cs="Arial"/>
          <w:b/>
          <w:color w:val="auto"/>
        </w:rPr>
      </w:pPr>
      <w:r w:rsidRPr="00A30368">
        <w:rPr>
          <w:rFonts w:ascii="Arial" w:hAnsi="Arial" w:cs="Arial"/>
          <w:b/>
          <w:color w:val="auto"/>
        </w:rPr>
        <w:t xml:space="preserve">Five-by-Five Colored Table </w:t>
      </w:r>
      <w:r w:rsidR="000A6F8D" w:rsidRPr="00A30368">
        <w:rPr>
          <w:rFonts w:ascii="Arial" w:hAnsi="Arial" w:cs="Arial"/>
          <w:b/>
          <w:color w:val="auto"/>
        </w:rPr>
        <w:t>and Performance Levels (Colors)</w:t>
      </w:r>
    </w:p>
    <w:p w14:paraId="1B6FB682" w14:textId="78CCB24D" w:rsidR="00D85250" w:rsidRPr="00A30368" w:rsidRDefault="0001074C" w:rsidP="000A6F8D">
      <w:pPr>
        <w:spacing w:before="240" w:after="240"/>
        <w:rPr>
          <w:rFonts w:eastAsia="Arial" w:cs="Arial"/>
        </w:rPr>
      </w:pPr>
      <w:r w:rsidRPr="00A30368">
        <w:rPr>
          <w:rFonts w:eastAsia="Arial" w:cs="Arial"/>
          <w:spacing w:val="2"/>
        </w:rPr>
        <w:t xml:space="preserve">The LCFF statute specifies that the accountability system take into account not only current performance but also whether there has been improvement. Rather than adopting two standards for each state indicator (one for Status and one for Change), the SBE approved an approach that combines Status and Change to determine overall performance. For each state indicator, the SBE adopted a five-by-five </w:t>
      </w:r>
      <w:r w:rsidR="00D85250" w:rsidRPr="00A30368">
        <w:rPr>
          <w:rFonts w:eastAsia="Arial" w:cs="Arial"/>
          <w:spacing w:val="2"/>
        </w:rPr>
        <w:t xml:space="preserve">colored </w:t>
      </w:r>
      <w:r w:rsidRPr="00A30368">
        <w:rPr>
          <w:rFonts w:eastAsia="Arial" w:cs="Arial"/>
          <w:spacing w:val="2"/>
        </w:rPr>
        <w:t>table</w:t>
      </w:r>
      <w:r w:rsidR="00D85250" w:rsidRPr="00A30368">
        <w:rPr>
          <w:rFonts w:eastAsia="Arial" w:cs="Arial"/>
          <w:spacing w:val="2"/>
        </w:rPr>
        <w:t xml:space="preserve">: </w:t>
      </w:r>
      <w:r w:rsidR="00B1326E" w:rsidRPr="00A30368">
        <w:rPr>
          <w:rFonts w:eastAsia="Arial" w:cs="Arial"/>
          <w:spacing w:val="2"/>
        </w:rPr>
        <w:t>T</w:t>
      </w:r>
      <w:r w:rsidR="00B1326E" w:rsidRPr="00A30368">
        <w:rPr>
          <w:rFonts w:eastAsia="Arial" w:cs="Arial"/>
          <w:spacing w:val="-1"/>
        </w:rPr>
        <w:t>h</w:t>
      </w:r>
      <w:r w:rsidR="00B1326E" w:rsidRPr="00A30368">
        <w:rPr>
          <w:rFonts w:eastAsia="Arial" w:cs="Arial"/>
        </w:rPr>
        <w:t>e</w:t>
      </w:r>
      <w:r w:rsidR="00B1326E" w:rsidRPr="00A30368">
        <w:rPr>
          <w:rFonts w:eastAsia="Arial" w:cs="Arial"/>
          <w:spacing w:val="1"/>
        </w:rPr>
        <w:t xml:space="preserve"> </w:t>
      </w:r>
      <w:r w:rsidR="00B1326E" w:rsidRPr="00A30368">
        <w:rPr>
          <w:rFonts w:eastAsia="Arial" w:cs="Arial"/>
        </w:rPr>
        <w:t>c</w:t>
      </w:r>
      <w:r w:rsidR="00B1326E" w:rsidRPr="00A30368">
        <w:rPr>
          <w:rFonts w:eastAsia="Arial" w:cs="Arial"/>
          <w:spacing w:val="-1"/>
        </w:rPr>
        <w:t>o</w:t>
      </w:r>
      <w:r w:rsidR="00B1326E" w:rsidRPr="00A30368">
        <w:rPr>
          <w:rFonts w:eastAsia="Arial" w:cs="Arial"/>
          <w:spacing w:val="1"/>
        </w:rPr>
        <w:t>mb</w:t>
      </w:r>
      <w:r w:rsidR="00B1326E" w:rsidRPr="00A30368">
        <w:rPr>
          <w:rFonts w:eastAsia="Arial" w:cs="Arial"/>
        </w:rPr>
        <w:t>i</w:t>
      </w:r>
      <w:r w:rsidR="00B1326E" w:rsidRPr="00A30368">
        <w:rPr>
          <w:rFonts w:eastAsia="Arial" w:cs="Arial"/>
          <w:spacing w:val="-2"/>
        </w:rPr>
        <w:t>n</w:t>
      </w:r>
      <w:r w:rsidR="00B1326E" w:rsidRPr="00A30368">
        <w:rPr>
          <w:rFonts w:eastAsia="Arial" w:cs="Arial"/>
          <w:spacing w:val="1"/>
        </w:rPr>
        <w:t>a</w:t>
      </w:r>
      <w:r w:rsidR="00B1326E" w:rsidRPr="00A30368">
        <w:rPr>
          <w:rFonts w:eastAsia="Arial" w:cs="Arial"/>
        </w:rPr>
        <w:t>ti</w:t>
      </w:r>
      <w:r w:rsidR="00B1326E" w:rsidRPr="00A30368">
        <w:rPr>
          <w:rFonts w:eastAsia="Arial" w:cs="Arial"/>
          <w:spacing w:val="-1"/>
        </w:rPr>
        <w:t>o</w:t>
      </w:r>
      <w:r w:rsidR="00B1326E" w:rsidRPr="00A30368">
        <w:rPr>
          <w:rFonts w:eastAsia="Arial" w:cs="Arial"/>
        </w:rPr>
        <w:t>n</w:t>
      </w:r>
      <w:r w:rsidR="00B1326E" w:rsidRPr="00A30368">
        <w:rPr>
          <w:rFonts w:eastAsia="Arial" w:cs="Arial"/>
          <w:spacing w:val="1"/>
        </w:rPr>
        <w:t xml:space="preserve"> </w:t>
      </w:r>
      <w:r w:rsidR="00B1326E" w:rsidRPr="00A30368">
        <w:rPr>
          <w:rFonts w:eastAsia="Arial" w:cs="Arial"/>
          <w:spacing w:val="-1"/>
        </w:rPr>
        <w:t>o</w:t>
      </w:r>
      <w:r w:rsidR="00B1326E" w:rsidRPr="00A30368">
        <w:rPr>
          <w:rFonts w:eastAsia="Arial" w:cs="Arial"/>
        </w:rPr>
        <w:t>f</w:t>
      </w:r>
      <w:r w:rsidR="00B1326E" w:rsidRPr="00A30368">
        <w:rPr>
          <w:rFonts w:eastAsia="Arial" w:cs="Arial"/>
          <w:spacing w:val="1"/>
        </w:rPr>
        <w:t xml:space="preserve"> </w:t>
      </w:r>
      <w:r w:rsidR="00B1326E" w:rsidRPr="00A30368">
        <w:rPr>
          <w:rFonts w:eastAsia="Arial" w:cs="Arial"/>
        </w:rPr>
        <w:t>t</w:t>
      </w:r>
      <w:r w:rsidR="00B1326E" w:rsidRPr="00A30368">
        <w:rPr>
          <w:rFonts w:eastAsia="Arial" w:cs="Arial"/>
          <w:spacing w:val="-1"/>
        </w:rPr>
        <w:t>h</w:t>
      </w:r>
      <w:r w:rsidR="00B1326E" w:rsidRPr="00A30368">
        <w:rPr>
          <w:rFonts w:eastAsia="Arial" w:cs="Arial"/>
        </w:rPr>
        <w:t>e</w:t>
      </w:r>
      <w:r w:rsidR="00B1326E" w:rsidRPr="00A30368">
        <w:rPr>
          <w:rFonts w:eastAsia="Arial" w:cs="Arial"/>
          <w:spacing w:val="-1"/>
        </w:rPr>
        <w:t xml:space="preserve"> </w:t>
      </w:r>
      <w:r w:rsidR="00F253C0" w:rsidRPr="00A30368">
        <w:rPr>
          <w:rFonts w:eastAsia="Arial" w:cs="Arial"/>
          <w:spacing w:val="3"/>
        </w:rPr>
        <w:t>five</w:t>
      </w:r>
      <w:r w:rsidR="00B1326E" w:rsidRPr="00A30368">
        <w:rPr>
          <w:rFonts w:eastAsia="Arial" w:cs="Arial"/>
          <w:spacing w:val="1"/>
        </w:rPr>
        <w:t xml:space="preserve"> S</w:t>
      </w:r>
      <w:r w:rsidR="00B1326E" w:rsidRPr="00A30368">
        <w:rPr>
          <w:rFonts w:eastAsia="Arial" w:cs="Arial"/>
          <w:spacing w:val="-2"/>
        </w:rPr>
        <w:t>t</w:t>
      </w:r>
      <w:r w:rsidR="00B1326E" w:rsidRPr="00A30368">
        <w:rPr>
          <w:rFonts w:eastAsia="Arial" w:cs="Arial"/>
          <w:spacing w:val="1"/>
        </w:rPr>
        <w:t>a</w:t>
      </w:r>
      <w:r w:rsidR="00B1326E" w:rsidRPr="00A30368">
        <w:rPr>
          <w:rFonts w:eastAsia="Arial" w:cs="Arial"/>
        </w:rPr>
        <w:t>t</w:t>
      </w:r>
      <w:r w:rsidR="00B1326E" w:rsidRPr="00A30368">
        <w:rPr>
          <w:rFonts w:eastAsia="Arial" w:cs="Arial"/>
          <w:spacing w:val="1"/>
        </w:rPr>
        <w:t>u</w:t>
      </w:r>
      <w:r w:rsidR="00B1326E" w:rsidRPr="00A30368">
        <w:rPr>
          <w:rFonts w:eastAsia="Arial" w:cs="Arial"/>
        </w:rPr>
        <w:t xml:space="preserve">s </w:t>
      </w:r>
      <w:r w:rsidR="00B1326E" w:rsidRPr="00A30368">
        <w:rPr>
          <w:rFonts w:eastAsia="Arial" w:cs="Arial"/>
          <w:spacing w:val="-2"/>
        </w:rPr>
        <w:t>l</w:t>
      </w:r>
      <w:r w:rsidR="00B1326E" w:rsidRPr="00A30368">
        <w:rPr>
          <w:rFonts w:eastAsia="Arial" w:cs="Arial"/>
          <w:spacing w:val="1"/>
        </w:rPr>
        <w:t>e</w:t>
      </w:r>
      <w:r w:rsidR="00B1326E" w:rsidRPr="00A30368">
        <w:rPr>
          <w:rFonts w:eastAsia="Arial" w:cs="Arial"/>
          <w:spacing w:val="-2"/>
        </w:rPr>
        <w:t>v</w:t>
      </w:r>
      <w:r w:rsidR="00B1326E" w:rsidRPr="00A30368">
        <w:rPr>
          <w:rFonts w:eastAsia="Arial" w:cs="Arial"/>
          <w:spacing w:val="1"/>
        </w:rPr>
        <w:t>e</w:t>
      </w:r>
      <w:r w:rsidR="00B1326E" w:rsidRPr="00A30368">
        <w:rPr>
          <w:rFonts w:eastAsia="Arial" w:cs="Arial"/>
        </w:rPr>
        <w:t xml:space="preserve">ls </w:t>
      </w:r>
      <w:r w:rsidR="00B1326E" w:rsidRPr="00A30368">
        <w:rPr>
          <w:rFonts w:eastAsia="Arial" w:cs="Arial"/>
          <w:spacing w:val="1"/>
        </w:rPr>
        <w:t>an</w:t>
      </w:r>
      <w:r w:rsidR="00B1326E" w:rsidRPr="00A30368">
        <w:rPr>
          <w:rFonts w:eastAsia="Arial" w:cs="Arial"/>
        </w:rPr>
        <w:t>d</w:t>
      </w:r>
      <w:r w:rsidR="00B1326E" w:rsidRPr="00A30368">
        <w:rPr>
          <w:rFonts w:eastAsia="Arial" w:cs="Arial"/>
          <w:spacing w:val="-1"/>
        </w:rPr>
        <w:t xml:space="preserve"> </w:t>
      </w:r>
      <w:r w:rsidR="00B1326E" w:rsidRPr="00A30368">
        <w:rPr>
          <w:rFonts w:eastAsia="Arial" w:cs="Arial"/>
        </w:rPr>
        <w:t>t</w:t>
      </w:r>
      <w:r w:rsidR="00B1326E" w:rsidRPr="00A30368">
        <w:rPr>
          <w:rFonts w:eastAsia="Arial" w:cs="Arial"/>
          <w:spacing w:val="1"/>
        </w:rPr>
        <w:t>h</w:t>
      </w:r>
      <w:r w:rsidR="00B1326E" w:rsidRPr="00A30368">
        <w:rPr>
          <w:rFonts w:eastAsia="Arial" w:cs="Arial"/>
        </w:rPr>
        <w:t>e</w:t>
      </w:r>
      <w:r w:rsidR="00B1326E" w:rsidRPr="00A30368">
        <w:rPr>
          <w:rFonts w:eastAsia="Arial" w:cs="Arial"/>
          <w:spacing w:val="-1"/>
        </w:rPr>
        <w:t xml:space="preserve"> </w:t>
      </w:r>
      <w:r w:rsidR="00F253C0" w:rsidRPr="00A30368">
        <w:rPr>
          <w:rFonts w:eastAsia="Arial" w:cs="Arial"/>
          <w:spacing w:val="3"/>
        </w:rPr>
        <w:t>five</w:t>
      </w:r>
      <w:r w:rsidR="00B1326E" w:rsidRPr="00A30368">
        <w:rPr>
          <w:rFonts w:eastAsia="Arial" w:cs="Arial"/>
          <w:spacing w:val="1"/>
        </w:rPr>
        <w:t xml:space="preserve"> </w:t>
      </w:r>
      <w:r w:rsidR="00B1326E" w:rsidRPr="00A30368">
        <w:rPr>
          <w:rFonts w:eastAsia="Arial" w:cs="Arial"/>
        </w:rPr>
        <w:t>C</w:t>
      </w:r>
      <w:r w:rsidR="00B1326E" w:rsidRPr="00A30368">
        <w:rPr>
          <w:rFonts w:eastAsia="Arial" w:cs="Arial"/>
          <w:spacing w:val="1"/>
        </w:rPr>
        <w:t>h</w:t>
      </w:r>
      <w:r w:rsidR="00B1326E" w:rsidRPr="00A30368">
        <w:rPr>
          <w:rFonts w:eastAsia="Arial" w:cs="Arial"/>
          <w:spacing w:val="-1"/>
        </w:rPr>
        <w:t>a</w:t>
      </w:r>
      <w:r w:rsidR="00B1326E" w:rsidRPr="00A30368">
        <w:rPr>
          <w:rFonts w:eastAsia="Arial" w:cs="Arial"/>
          <w:spacing w:val="1"/>
        </w:rPr>
        <w:t>n</w:t>
      </w:r>
      <w:r w:rsidR="00B1326E" w:rsidRPr="00A30368">
        <w:rPr>
          <w:rFonts w:eastAsia="Arial" w:cs="Arial"/>
          <w:spacing w:val="-1"/>
        </w:rPr>
        <w:t>g</w:t>
      </w:r>
      <w:r w:rsidR="00B1326E" w:rsidRPr="00A30368">
        <w:rPr>
          <w:rFonts w:eastAsia="Arial" w:cs="Arial"/>
        </w:rPr>
        <w:t>e</w:t>
      </w:r>
      <w:r w:rsidR="00B1326E" w:rsidRPr="00A30368">
        <w:rPr>
          <w:rFonts w:eastAsia="Arial" w:cs="Arial"/>
          <w:spacing w:val="1"/>
        </w:rPr>
        <w:t xml:space="preserve"> </w:t>
      </w:r>
      <w:r w:rsidR="00B1326E" w:rsidRPr="00A30368">
        <w:rPr>
          <w:rFonts w:eastAsia="Arial" w:cs="Arial"/>
        </w:rPr>
        <w:t>l</w:t>
      </w:r>
      <w:r w:rsidR="00B1326E" w:rsidRPr="00A30368">
        <w:rPr>
          <w:rFonts w:eastAsia="Arial" w:cs="Arial"/>
          <w:spacing w:val="1"/>
        </w:rPr>
        <w:t>e</w:t>
      </w:r>
      <w:r w:rsidR="00B1326E" w:rsidRPr="00A30368">
        <w:rPr>
          <w:rFonts w:eastAsia="Arial" w:cs="Arial"/>
          <w:spacing w:val="-2"/>
        </w:rPr>
        <w:t>v</w:t>
      </w:r>
      <w:r w:rsidR="00B1326E" w:rsidRPr="00A30368">
        <w:rPr>
          <w:rFonts w:eastAsia="Arial" w:cs="Arial"/>
          <w:spacing w:val="1"/>
        </w:rPr>
        <w:t>e</w:t>
      </w:r>
      <w:r w:rsidR="00B1326E" w:rsidRPr="00A30368">
        <w:rPr>
          <w:rFonts w:eastAsia="Arial" w:cs="Arial"/>
        </w:rPr>
        <w:t>ls res</w:t>
      </w:r>
      <w:r w:rsidR="00B1326E" w:rsidRPr="00A30368">
        <w:rPr>
          <w:rFonts w:eastAsia="Arial" w:cs="Arial"/>
          <w:spacing w:val="1"/>
        </w:rPr>
        <w:t>u</w:t>
      </w:r>
      <w:r w:rsidR="00B1326E" w:rsidRPr="00A30368">
        <w:rPr>
          <w:rFonts w:eastAsia="Arial" w:cs="Arial"/>
        </w:rPr>
        <w:t>lts in</w:t>
      </w:r>
      <w:r w:rsidR="00B1326E" w:rsidRPr="00A30368">
        <w:rPr>
          <w:rFonts w:eastAsia="Arial" w:cs="Arial"/>
          <w:spacing w:val="1"/>
        </w:rPr>
        <w:t xml:space="preserve"> </w:t>
      </w:r>
      <w:r w:rsidR="00B1326E" w:rsidRPr="00A30368">
        <w:rPr>
          <w:rFonts w:eastAsia="Arial" w:cs="Arial"/>
          <w:spacing w:val="-1"/>
        </w:rPr>
        <w:t>2</w:t>
      </w:r>
      <w:r w:rsidR="00B1326E" w:rsidRPr="00A30368">
        <w:rPr>
          <w:rFonts w:eastAsia="Arial" w:cs="Arial"/>
        </w:rPr>
        <w:t xml:space="preserve">5 </w:t>
      </w:r>
      <w:r w:rsidR="00D85250" w:rsidRPr="00A30368">
        <w:rPr>
          <w:rFonts w:eastAsia="Arial" w:cs="Arial"/>
        </w:rPr>
        <w:t xml:space="preserve">cells </w:t>
      </w:r>
      <w:r w:rsidR="00B1326E" w:rsidRPr="00A30368">
        <w:rPr>
          <w:rFonts w:eastAsia="Arial" w:cs="Arial"/>
          <w:spacing w:val="1"/>
        </w:rPr>
        <w:t>d</w:t>
      </w:r>
      <w:r w:rsidR="00B1326E" w:rsidRPr="00A30368">
        <w:rPr>
          <w:rFonts w:eastAsia="Arial" w:cs="Arial"/>
        </w:rPr>
        <w:t>ispl</w:t>
      </w:r>
      <w:r w:rsidR="00B1326E" w:rsidRPr="00A30368">
        <w:rPr>
          <w:rFonts w:eastAsia="Arial" w:cs="Arial"/>
          <w:spacing w:val="1"/>
        </w:rPr>
        <w:t>a</w:t>
      </w:r>
      <w:r w:rsidR="00B1326E" w:rsidRPr="00A30368">
        <w:rPr>
          <w:rFonts w:eastAsia="Arial" w:cs="Arial"/>
          <w:spacing w:val="-2"/>
        </w:rPr>
        <w:t>y</w:t>
      </w:r>
      <w:r w:rsidR="00B1326E" w:rsidRPr="00A30368">
        <w:rPr>
          <w:rFonts w:eastAsia="Arial" w:cs="Arial"/>
          <w:spacing w:val="1"/>
        </w:rPr>
        <w:t>e</w:t>
      </w:r>
      <w:r w:rsidR="00B1326E" w:rsidRPr="00A30368">
        <w:rPr>
          <w:rFonts w:eastAsia="Arial" w:cs="Arial"/>
        </w:rPr>
        <w:t>d</w:t>
      </w:r>
      <w:r w:rsidR="00B1326E" w:rsidRPr="00A30368">
        <w:rPr>
          <w:rFonts w:eastAsia="Arial" w:cs="Arial"/>
          <w:spacing w:val="1"/>
        </w:rPr>
        <w:t xml:space="preserve"> </w:t>
      </w:r>
      <w:r w:rsidR="00B1326E" w:rsidRPr="00A30368">
        <w:rPr>
          <w:rFonts w:eastAsia="Arial" w:cs="Arial"/>
        </w:rPr>
        <w:t>in</w:t>
      </w:r>
      <w:r w:rsidR="00B1326E" w:rsidRPr="00A30368">
        <w:rPr>
          <w:rFonts w:eastAsia="Arial" w:cs="Arial"/>
          <w:spacing w:val="1"/>
        </w:rPr>
        <w:t xml:space="preserve"> </w:t>
      </w:r>
      <w:r w:rsidR="00B1326E" w:rsidRPr="00A30368">
        <w:rPr>
          <w:rFonts w:eastAsia="Arial" w:cs="Arial"/>
        </w:rPr>
        <w:t>a</w:t>
      </w:r>
      <w:r w:rsidR="00B1326E" w:rsidRPr="00A30368">
        <w:rPr>
          <w:rFonts w:eastAsia="Arial" w:cs="Arial"/>
          <w:spacing w:val="-1"/>
        </w:rPr>
        <w:t xml:space="preserve"> </w:t>
      </w:r>
      <w:r w:rsidR="00B1326E" w:rsidRPr="00A30368">
        <w:rPr>
          <w:rFonts w:eastAsia="Arial" w:cs="Arial"/>
          <w:spacing w:val="3"/>
        </w:rPr>
        <w:t>f</w:t>
      </w:r>
      <w:r w:rsidR="00B1326E" w:rsidRPr="00A30368">
        <w:rPr>
          <w:rFonts w:eastAsia="Arial" w:cs="Arial"/>
        </w:rPr>
        <w:t>i</w:t>
      </w:r>
      <w:r w:rsidR="00B1326E" w:rsidRPr="00A30368">
        <w:rPr>
          <w:rFonts w:eastAsia="Arial" w:cs="Arial"/>
          <w:spacing w:val="-3"/>
        </w:rPr>
        <w:t>v</w:t>
      </w:r>
      <w:r w:rsidR="00B1326E" w:rsidRPr="00A30368">
        <w:rPr>
          <w:rFonts w:eastAsia="Arial" w:cs="Arial"/>
          <w:spacing w:val="3"/>
        </w:rPr>
        <w:t>e</w:t>
      </w:r>
      <w:r w:rsidR="00B1326E" w:rsidRPr="00A30368">
        <w:rPr>
          <w:rFonts w:eastAsia="Arial" w:cs="Arial"/>
          <w:spacing w:val="-1"/>
        </w:rPr>
        <w:t>-</w:t>
      </w:r>
      <w:r w:rsidR="00B1326E" w:rsidRPr="00A30368">
        <w:rPr>
          <w:rFonts w:eastAsia="Arial" w:cs="Arial"/>
          <w:spacing w:val="1"/>
        </w:rPr>
        <w:t>b</w:t>
      </w:r>
      <w:r w:rsidR="00B1326E" w:rsidRPr="00A30368">
        <w:rPr>
          <w:rFonts w:eastAsia="Arial" w:cs="Arial"/>
          <w:spacing w:val="-2"/>
        </w:rPr>
        <w:t>y</w:t>
      </w:r>
      <w:r w:rsidR="00B1326E" w:rsidRPr="00A30368">
        <w:rPr>
          <w:rFonts w:eastAsia="Arial" w:cs="Arial"/>
          <w:spacing w:val="-1"/>
        </w:rPr>
        <w:t>-</w:t>
      </w:r>
      <w:r w:rsidR="00B1326E" w:rsidRPr="00A30368">
        <w:rPr>
          <w:rFonts w:eastAsia="Arial" w:cs="Arial"/>
          <w:spacing w:val="3"/>
        </w:rPr>
        <w:t>f</w:t>
      </w:r>
      <w:r w:rsidR="00B1326E" w:rsidRPr="00A30368">
        <w:rPr>
          <w:rFonts w:eastAsia="Arial" w:cs="Arial"/>
        </w:rPr>
        <w:t>i</w:t>
      </w:r>
      <w:r w:rsidR="00B1326E" w:rsidRPr="00A30368">
        <w:rPr>
          <w:rFonts w:eastAsia="Arial" w:cs="Arial"/>
          <w:spacing w:val="-3"/>
        </w:rPr>
        <w:t>v</w:t>
      </w:r>
      <w:r w:rsidR="00B1326E" w:rsidRPr="00A30368">
        <w:rPr>
          <w:rFonts w:eastAsia="Arial" w:cs="Arial"/>
        </w:rPr>
        <w:t>e</w:t>
      </w:r>
      <w:r w:rsidR="00B1326E" w:rsidRPr="00A30368">
        <w:rPr>
          <w:rFonts w:eastAsia="Arial" w:cs="Arial"/>
          <w:spacing w:val="1"/>
        </w:rPr>
        <w:t xml:space="preserve"> </w:t>
      </w:r>
      <w:r w:rsidR="00B1326E" w:rsidRPr="00A30368">
        <w:rPr>
          <w:rFonts w:eastAsia="Arial" w:cs="Arial"/>
        </w:rPr>
        <w:t>c</w:t>
      </w:r>
      <w:r w:rsidR="00B1326E" w:rsidRPr="00A30368">
        <w:rPr>
          <w:rFonts w:eastAsia="Arial" w:cs="Arial"/>
          <w:spacing w:val="1"/>
        </w:rPr>
        <w:t>o</w:t>
      </w:r>
      <w:r w:rsidR="00B1326E" w:rsidRPr="00A30368">
        <w:rPr>
          <w:rFonts w:eastAsia="Arial" w:cs="Arial"/>
        </w:rPr>
        <w:t>lored table.</w:t>
      </w:r>
      <w:r w:rsidR="00B1326E" w:rsidRPr="00A30368">
        <w:rPr>
          <w:rFonts w:eastAsia="Arial" w:cs="Arial"/>
          <w:spacing w:val="1"/>
        </w:rPr>
        <w:t xml:space="preserve"> </w:t>
      </w:r>
      <w:r w:rsidR="00B1326E" w:rsidRPr="00A30368">
        <w:rPr>
          <w:rFonts w:eastAsia="Arial" w:cs="Arial"/>
        </w:rPr>
        <w:t>E</w:t>
      </w:r>
      <w:r w:rsidR="00B1326E" w:rsidRPr="00A30368">
        <w:rPr>
          <w:rFonts w:eastAsia="Arial" w:cs="Arial"/>
          <w:spacing w:val="1"/>
        </w:rPr>
        <w:t>a</w:t>
      </w:r>
      <w:r w:rsidR="00B1326E" w:rsidRPr="00A30368">
        <w:rPr>
          <w:rFonts w:eastAsia="Arial" w:cs="Arial"/>
        </w:rPr>
        <w:t>ch</w:t>
      </w:r>
      <w:r w:rsidR="00B1326E" w:rsidRPr="00A30368">
        <w:rPr>
          <w:rFonts w:eastAsia="Arial" w:cs="Arial"/>
          <w:spacing w:val="-1"/>
        </w:rPr>
        <w:t xml:space="preserve"> o</w:t>
      </w:r>
      <w:r w:rsidR="00B1326E" w:rsidRPr="00A30368">
        <w:rPr>
          <w:rFonts w:eastAsia="Arial" w:cs="Arial"/>
        </w:rPr>
        <w:t>f</w:t>
      </w:r>
      <w:r w:rsidR="00B1326E" w:rsidRPr="00A30368">
        <w:rPr>
          <w:rFonts w:eastAsia="Arial" w:cs="Arial"/>
          <w:spacing w:val="3"/>
        </w:rPr>
        <w:t xml:space="preserve"> </w:t>
      </w:r>
      <w:r w:rsidR="00B1326E" w:rsidRPr="00A30368">
        <w:rPr>
          <w:rFonts w:eastAsia="Arial" w:cs="Arial"/>
          <w:spacing w:val="-1"/>
        </w:rPr>
        <w:t>t</w:t>
      </w:r>
      <w:r w:rsidR="00B1326E" w:rsidRPr="00A30368">
        <w:rPr>
          <w:rFonts w:eastAsia="Arial" w:cs="Arial"/>
          <w:spacing w:val="1"/>
        </w:rPr>
        <w:t>h</w:t>
      </w:r>
      <w:r w:rsidR="00B1326E" w:rsidRPr="00A30368">
        <w:rPr>
          <w:rFonts w:eastAsia="Arial" w:cs="Arial"/>
        </w:rPr>
        <w:t>e</w:t>
      </w:r>
      <w:r w:rsidR="00B1326E" w:rsidRPr="00A30368">
        <w:rPr>
          <w:rFonts w:eastAsia="Arial" w:cs="Arial"/>
          <w:spacing w:val="-1"/>
        </w:rPr>
        <w:t xml:space="preserve"> </w:t>
      </w:r>
      <w:r w:rsidR="00B1326E" w:rsidRPr="00A30368">
        <w:rPr>
          <w:rFonts w:eastAsia="Arial" w:cs="Arial"/>
          <w:spacing w:val="1"/>
        </w:rPr>
        <w:t>2</w:t>
      </w:r>
      <w:r w:rsidR="00B1326E" w:rsidRPr="00A30368">
        <w:rPr>
          <w:rFonts w:eastAsia="Arial" w:cs="Arial"/>
        </w:rPr>
        <w:t>5</w:t>
      </w:r>
      <w:r w:rsidR="00B1326E" w:rsidRPr="00A30368">
        <w:rPr>
          <w:rFonts w:eastAsia="Arial" w:cs="Arial"/>
          <w:spacing w:val="-1"/>
        </w:rPr>
        <w:t xml:space="preserve"> </w:t>
      </w:r>
      <w:r w:rsidR="00D85250" w:rsidRPr="00A30368">
        <w:rPr>
          <w:rFonts w:eastAsia="Arial" w:cs="Arial"/>
          <w:spacing w:val="1"/>
        </w:rPr>
        <w:t>cells</w:t>
      </w:r>
      <w:r w:rsidR="00B1326E" w:rsidRPr="00A30368">
        <w:rPr>
          <w:rFonts w:eastAsia="Arial" w:cs="Arial"/>
          <w:spacing w:val="6"/>
        </w:rPr>
        <w:t xml:space="preserve"> </w:t>
      </w:r>
      <w:r w:rsidR="00D85250" w:rsidRPr="00A30368">
        <w:rPr>
          <w:rFonts w:eastAsia="Arial" w:cs="Arial"/>
          <w:spacing w:val="6"/>
        </w:rPr>
        <w:t xml:space="preserve">receive </w:t>
      </w:r>
      <w:r w:rsidR="00B1326E" w:rsidRPr="00A30368">
        <w:rPr>
          <w:rFonts w:eastAsia="Arial" w:cs="Arial"/>
          <w:spacing w:val="1"/>
        </w:rPr>
        <w:t>o</w:t>
      </w:r>
      <w:r w:rsidR="00B1326E" w:rsidRPr="00A30368">
        <w:rPr>
          <w:rFonts w:eastAsia="Arial" w:cs="Arial"/>
          <w:spacing w:val="-1"/>
        </w:rPr>
        <w:t>n</w:t>
      </w:r>
      <w:r w:rsidR="00B1326E" w:rsidRPr="00A30368">
        <w:rPr>
          <w:rFonts w:eastAsia="Arial" w:cs="Arial"/>
        </w:rPr>
        <w:t>e</w:t>
      </w:r>
      <w:r w:rsidR="00B1326E" w:rsidRPr="00A30368">
        <w:rPr>
          <w:rFonts w:eastAsia="Arial" w:cs="Arial"/>
          <w:spacing w:val="1"/>
        </w:rPr>
        <w:t xml:space="preserve"> </w:t>
      </w:r>
      <w:r w:rsidR="00B1326E" w:rsidRPr="00A30368">
        <w:rPr>
          <w:rFonts w:eastAsia="Arial" w:cs="Arial"/>
          <w:spacing w:val="-1"/>
        </w:rPr>
        <w:t>o</w:t>
      </w:r>
      <w:r w:rsidR="00B1326E" w:rsidRPr="00A30368">
        <w:rPr>
          <w:rFonts w:eastAsia="Arial" w:cs="Arial"/>
        </w:rPr>
        <w:t>f</w:t>
      </w:r>
      <w:r w:rsidR="00B1326E" w:rsidRPr="00A30368">
        <w:rPr>
          <w:rFonts w:eastAsia="Arial" w:cs="Arial"/>
          <w:spacing w:val="-1"/>
        </w:rPr>
        <w:t xml:space="preserve"> </w:t>
      </w:r>
      <w:r w:rsidR="00B1326E" w:rsidRPr="00A30368">
        <w:rPr>
          <w:rFonts w:eastAsia="Arial" w:cs="Arial"/>
          <w:spacing w:val="3"/>
        </w:rPr>
        <w:t>f</w:t>
      </w:r>
      <w:r w:rsidR="00B1326E" w:rsidRPr="00A30368">
        <w:rPr>
          <w:rFonts w:eastAsia="Arial" w:cs="Arial"/>
        </w:rPr>
        <w:t>i</w:t>
      </w:r>
      <w:r w:rsidR="00B1326E" w:rsidRPr="00A30368">
        <w:rPr>
          <w:rFonts w:eastAsia="Arial" w:cs="Arial"/>
          <w:spacing w:val="-3"/>
        </w:rPr>
        <w:t>v</w:t>
      </w:r>
      <w:r w:rsidR="00B1326E" w:rsidRPr="00A30368">
        <w:rPr>
          <w:rFonts w:eastAsia="Arial" w:cs="Arial"/>
        </w:rPr>
        <w:t>e</w:t>
      </w:r>
      <w:r w:rsidR="00B1326E" w:rsidRPr="00A30368">
        <w:rPr>
          <w:rFonts w:eastAsia="Arial" w:cs="Arial"/>
          <w:spacing w:val="1"/>
        </w:rPr>
        <w:t xml:space="preserve"> </w:t>
      </w:r>
      <w:r w:rsidR="00B1326E" w:rsidRPr="00A30368">
        <w:rPr>
          <w:rFonts w:eastAsia="Arial" w:cs="Arial"/>
        </w:rPr>
        <w:t>c</w:t>
      </w:r>
      <w:r w:rsidR="00B1326E" w:rsidRPr="00A30368">
        <w:rPr>
          <w:rFonts w:eastAsia="Arial" w:cs="Arial"/>
          <w:spacing w:val="-1"/>
        </w:rPr>
        <w:t>o</w:t>
      </w:r>
      <w:r w:rsidR="00B1326E" w:rsidRPr="00A30368">
        <w:rPr>
          <w:rFonts w:eastAsia="Arial" w:cs="Arial"/>
        </w:rPr>
        <w:t>lors:</w:t>
      </w:r>
      <w:r w:rsidR="00E048DF" w:rsidRPr="00A30368">
        <w:rPr>
          <w:rFonts w:eastAsia="Arial" w:cs="Arial"/>
        </w:rPr>
        <w:t xml:space="preserve"> blue (highest performance), green, yellow, orange</w:t>
      </w:r>
      <w:r w:rsidR="000A6F8D" w:rsidRPr="00A30368">
        <w:rPr>
          <w:rFonts w:eastAsia="Arial" w:cs="Arial"/>
        </w:rPr>
        <w:t>, and red (lowest performance).</w:t>
      </w:r>
      <w:r w:rsidRPr="00A30368">
        <w:rPr>
          <w:rFonts w:eastAsia="Arial" w:cs="Arial"/>
        </w:rPr>
        <w:t xml:space="preserve"> </w:t>
      </w:r>
    </w:p>
    <w:p w14:paraId="7E12FFBF" w14:textId="228F639D" w:rsidR="00E048DF" w:rsidRPr="00A30368" w:rsidRDefault="00D85250" w:rsidP="000A6F8D">
      <w:pPr>
        <w:spacing w:before="240" w:after="240"/>
        <w:rPr>
          <w:rFonts w:eastAsia="Arial" w:cs="Arial"/>
        </w:rPr>
      </w:pPr>
      <w:r w:rsidRPr="00A30368">
        <w:rPr>
          <w:rFonts w:eastAsia="Arial" w:cs="Arial"/>
          <w:spacing w:val="2"/>
        </w:rPr>
        <w:t xml:space="preserve">This methodology reflects the reality that improvement is more difficult for very high performing LEAs and schools, while incentivizing improvement among lower performing LEAs and schools. For example, if very high performing districts and schools declined significantly from one year to the next, they receive a lower overall performance color than if they had maintained or improved its performance. In reverse, a very low performing school that improved significantly from the prior year receives a higher performance color than if its performance declined or was maintained. </w:t>
      </w:r>
      <w:r w:rsidR="0001074C" w:rsidRPr="00A30368">
        <w:rPr>
          <w:rFonts w:eastAsia="Arial" w:cs="Arial"/>
        </w:rPr>
        <w:t xml:space="preserve">This approach creates an incentive for all LEAs and schools to </w:t>
      </w:r>
      <w:r w:rsidR="0001074C" w:rsidRPr="00A30368">
        <w:rPr>
          <w:rFonts w:eastAsia="Arial" w:cs="Arial"/>
        </w:rPr>
        <w:lastRenderedPageBreak/>
        <w:t xml:space="preserve">continuously improve and also focuses attention within the accountability </w:t>
      </w:r>
      <w:r w:rsidR="00B83455" w:rsidRPr="00A30368">
        <w:rPr>
          <w:rFonts w:eastAsia="Arial" w:cs="Arial"/>
        </w:rPr>
        <w:t xml:space="preserve">system </w:t>
      </w:r>
      <w:r w:rsidR="0001074C" w:rsidRPr="00A30368">
        <w:rPr>
          <w:rFonts w:eastAsia="Arial" w:cs="Arial"/>
        </w:rPr>
        <w:t xml:space="preserve">on areas where there may </w:t>
      </w:r>
      <w:r w:rsidR="00B83455" w:rsidRPr="00A30368">
        <w:rPr>
          <w:rFonts w:eastAsia="Arial" w:cs="Arial"/>
        </w:rPr>
        <w:t xml:space="preserve">be </w:t>
      </w:r>
      <w:r w:rsidR="0001074C" w:rsidRPr="00A30368">
        <w:rPr>
          <w:rFonts w:eastAsia="Arial" w:cs="Arial"/>
        </w:rPr>
        <w:t xml:space="preserve">declines in performance. </w:t>
      </w:r>
    </w:p>
    <w:p w14:paraId="7E12FFC1" w14:textId="7953A450" w:rsidR="00743B9A" w:rsidRPr="00A30368" w:rsidRDefault="00D85250" w:rsidP="000A6F8D">
      <w:pPr>
        <w:widowControl w:val="0"/>
        <w:spacing w:before="240" w:after="240"/>
        <w:rPr>
          <w:rFonts w:eastAsiaTheme="minorHAnsi" w:cs="Arial"/>
          <w:sz w:val="20"/>
          <w:szCs w:val="20"/>
        </w:rPr>
      </w:pPr>
      <w:r w:rsidRPr="00A30368">
        <w:rPr>
          <w:rFonts w:eastAsia="Arial" w:cs="Arial"/>
        </w:rPr>
        <w:t>A</w:t>
      </w:r>
      <w:r w:rsidR="00E048DF" w:rsidRPr="00A30368">
        <w:rPr>
          <w:rFonts w:eastAsia="Arial" w:cs="Arial"/>
        </w:rPr>
        <w:t xml:space="preserve">n LEA, school, or student group’s performance (or color) for each state indicator </w:t>
      </w:r>
      <w:r w:rsidRPr="00A30368">
        <w:rPr>
          <w:rFonts w:eastAsia="Arial" w:cs="Arial"/>
        </w:rPr>
        <w:t xml:space="preserve">is </w:t>
      </w:r>
      <w:r w:rsidR="00E048DF" w:rsidRPr="00A30368">
        <w:rPr>
          <w:rFonts w:eastAsia="Arial" w:cs="Arial"/>
        </w:rPr>
        <w:t>determined</w:t>
      </w:r>
      <w:r w:rsidRPr="00A30368">
        <w:rPr>
          <w:rFonts w:eastAsia="Arial" w:cs="Arial"/>
        </w:rPr>
        <w:t xml:space="preserve"> using the five-by-five colored table for that indicator</w:t>
      </w:r>
      <w:r w:rsidR="00E048DF" w:rsidRPr="00A30368">
        <w:rPr>
          <w:rFonts w:eastAsia="Arial" w:cs="Arial"/>
        </w:rPr>
        <w:t xml:space="preserve">. For instance, </w:t>
      </w:r>
      <w:r w:rsidR="00E048DF" w:rsidRPr="00A30368">
        <w:rPr>
          <w:rFonts w:eastAsia="Arial" w:cs="Arial"/>
          <w:spacing w:val="-3"/>
        </w:rPr>
        <w:t xml:space="preserve">a school with a </w:t>
      </w:r>
      <w:r w:rsidR="00B1326E" w:rsidRPr="00A30368">
        <w:rPr>
          <w:rFonts w:eastAsia="Arial" w:cs="Arial"/>
        </w:rPr>
        <w:t>“</w:t>
      </w:r>
      <w:r w:rsidR="00B1326E" w:rsidRPr="00A30368">
        <w:rPr>
          <w:rFonts w:eastAsia="Arial" w:cs="Arial"/>
          <w:spacing w:val="-1"/>
        </w:rPr>
        <w:t>H</w:t>
      </w:r>
      <w:r w:rsidR="00B1326E" w:rsidRPr="00A30368">
        <w:rPr>
          <w:rFonts w:eastAsia="Arial" w:cs="Arial"/>
        </w:rPr>
        <w:t>i</w:t>
      </w:r>
      <w:r w:rsidR="00B1326E" w:rsidRPr="00A30368">
        <w:rPr>
          <w:rFonts w:eastAsia="Arial" w:cs="Arial"/>
          <w:spacing w:val="-2"/>
        </w:rPr>
        <w:t>g</w:t>
      </w:r>
      <w:r w:rsidR="00B1326E" w:rsidRPr="00A30368">
        <w:rPr>
          <w:rFonts w:eastAsia="Arial" w:cs="Arial"/>
          <w:spacing w:val="1"/>
        </w:rPr>
        <w:t>h</w:t>
      </w:r>
      <w:r w:rsidR="00B1326E" w:rsidRPr="00A30368">
        <w:rPr>
          <w:rFonts w:eastAsia="Arial" w:cs="Arial"/>
        </w:rPr>
        <w:t>”</w:t>
      </w:r>
      <w:r w:rsidR="00B1326E" w:rsidRPr="00A30368">
        <w:rPr>
          <w:rFonts w:eastAsia="Arial" w:cs="Arial"/>
          <w:spacing w:val="3"/>
        </w:rPr>
        <w:t xml:space="preserve"> </w:t>
      </w:r>
      <w:r w:rsidR="00B1326E" w:rsidRPr="00A30368">
        <w:rPr>
          <w:rFonts w:eastAsia="Arial" w:cs="Arial"/>
          <w:bCs/>
        </w:rPr>
        <w:t>Status</w:t>
      </w:r>
      <w:r w:rsidR="00B1326E" w:rsidRPr="00A30368">
        <w:rPr>
          <w:rFonts w:eastAsia="Arial" w:cs="Arial"/>
          <w:b/>
          <w:bCs/>
          <w:spacing w:val="1"/>
        </w:rPr>
        <w:t xml:space="preserve"> </w:t>
      </w:r>
      <w:r w:rsidR="00B1326E" w:rsidRPr="00A30368">
        <w:rPr>
          <w:rFonts w:eastAsia="Arial" w:cs="Arial"/>
          <w:spacing w:val="1"/>
        </w:rPr>
        <w:t>a</w:t>
      </w:r>
      <w:r w:rsidR="00B1326E" w:rsidRPr="00A30368">
        <w:rPr>
          <w:rFonts w:eastAsia="Arial" w:cs="Arial"/>
          <w:spacing w:val="-1"/>
        </w:rPr>
        <w:t>n</w:t>
      </w:r>
      <w:r w:rsidR="00B1326E" w:rsidRPr="00A30368">
        <w:rPr>
          <w:rFonts w:eastAsia="Arial" w:cs="Arial"/>
        </w:rPr>
        <w:t>d</w:t>
      </w:r>
      <w:r w:rsidR="00B1326E" w:rsidRPr="00A30368">
        <w:rPr>
          <w:rFonts w:eastAsia="Arial" w:cs="Arial"/>
          <w:spacing w:val="-1"/>
        </w:rPr>
        <w:t xml:space="preserve"> </w:t>
      </w:r>
      <w:r w:rsidR="00B1326E" w:rsidRPr="00A30368">
        <w:rPr>
          <w:rFonts w:eastAsia="Arial" w:cs="Arial"/>
          <w:spacing w:val="1"/>
        </w:rPr>
        <w:t>a</w:t>
      </w:r>
      <w:r w:rsidR="00B1326E" w:rsidRPr="00A30368">
        <w:rPr>
          <w:rFonts w:eastAsia="Arial" w:cs="Arial"/>
        </w:rPr>
        <w:t>n</w:t>
      </w:r>
      <w:r w:rsidR="00B1326E" w:rsidRPr="00A30368">
        <w:rPr>
          <w:rFonts w:eastAsia="Arial" w:cs="Arial"/>
          <w:spacing w:val="1"/>
        </w:rPr>
        <w:t xml:space="preserve"> </w:t>
      </w:r>
      <w:r w:rsidR="00B1326E" w:rsidRPr="00A30368">
        <w:rPr>
          <w:rFonts w:eastAsia="Arial" w:cs="Arial"/>
        </w:rPr>
        <w:t>“I</w:t>
      </w:r>
      <w:r w:rsidR="00B1326E" w:rsidRPr="00A30368">
        <w:rPr>
          <w:rFonts w:eastAsia="Arial" w:cs="Arial"/>
          <w:spacing w:val="1"/>
        </w:rPr>
        <w:t>n</w:t>
      </w:r>
      <w:r w:rsidR="00B1326E" w:rsidRPr="00A30368">
        <w:rPr>
          <w:rFonts w:eastAsia="Arial" w:cs="Arial"/>
        </w:rPr>
        <w:t>cr</w:t>
      </w:r>
      <w:r w:rsidR="00B1326E" w:rsidRPr="00A30368">
        <w:rPr>
          <w:rFonts w:eastAsia="Arial" w:cs="Arial"/>
          <w:spacing w:val="-2"/>
        </w:rPr>
        <w:t>e</w:t>
      </w:r>
      <w:r w:rsidR="00B1326E" w:rsidRPr="00A30368">
        <w:rPr>
          <w:rFonts w:eastAsia="Arial" w:cs="Arial"/>
          <w:spacing w:val="1"/>
        </w:rPr>
        <w:t>a</w:t>
      </w:r>
      <w:r w:rsidR="00B1326E" w:rsidRPr="00A30368">
        <w:rPr>
          <w:rFonts w:eastAsia="Arial" w:cs="Arial"/>
        </w:rPr>
        <w:t>s</w:t>
      </w:r>
      <w:r w:rsidR="00B1326E" w:rsidRPr="00A30368">
        <w:rPr>
          <w:rFonts w:eastAsia="Arial" w:cs="Arial"/>
          <w:spacing w:val="1"/>
        </w:rPr>
        <w:t>ed</w:t>
      </w:r>
      <w:r w:rsidR="00B1326E" w:rsidRPr="00A30368">
        <w:rPr>
          <w:rFonts w:eastAsia="Arial" w:cs="Arial"/>
        </w:rPr>
        <w:t xml:space="preserve">” </w:t>
      </w:r>
      <w:r w:rsidR="00B1326E" w:rsidRPr="00A30368">
        <w:rPr>
          <w:rFonts w:eastAsia="Arial" w:cs="Arial"/>
          <w:spacing w:val="-3"/>
        </w:rPr>
        <w:t>i</w:t>
      </w:r>
      <w:r w:rsidR="00B1326E" w:rsidRPr="00A30368">
        <w:rPr>
          <w:rFonts w:eastAsia="Arial" w:cs="Arial"/>
        </w:rPr>
        <w:t xml:space="preserve">n </w:t>
      </w:r>
      <w:r w:rsidR="00B1326E" w:rsidRPr="00A30368">
        <w:rPr>
          <w:rFonts w:eastAsia="Arial" w:cs="Arial"/>
          <w:bCs/>
        </w:rPr>
        <w:t>C</w:t>
      </w:r>
      <w:r w:rsidR="00B1326E" w:rsidRPr="00A30368">
        <w:rPr>
          <w:rFonts w:eastAsia="Arial" w:cs="Arial"/>
          <w:bCs/>
          <w:spacing w:val="-1"/>
        </w:rPr>
        <w:t>h</w:t>
      </w:r>
      <w:r w:rsidR="00B1326E" w:rsidRPr="00A30368">
        <w:rPr>
          <w:rFonts w:eastAsia="Arial" w:cs="Arial"/>
          <w:bCs/>
          <w:spacing w:val="1"/>
        </w:rPr>
        <w:t>a</w:t>
      </w:r>
      <w:r w:rsidR="00B1326E" w:rsidRPr="00A30368">
        <w:rPr>
          <w:rFonts w:eastAsia="Arial" w:cs="Arial"/>
          <w:bCs/>
        </w:rPr>
        <w:t>nge</w:t>
      </w:r>
      <w:r w:rsidR="00B1326E" w:rsidRPr="00A30368">
        <w:rPr>
          <w:rFonts w:eastAsia="Arial" w:cs="Arial"/>
          <w:bCs/>
          <w:spacing w:val="1"/>
        </w:rPr>
        <w:t xml:space="preserve"> </w:t>
      </w:r>
      <w:r w:rsidR="00B1326E" w:rsidRPr="00A30368">
        <w:rPr>
          <w:rFonts w:eastAsia="Arial" w:cs="Arial"/>
          <w:spacing w:val="-3"/>
        </w:rPr>
        <w:t>w</w:t>
      </w:r>
      <w:r w:rsidR="00B1326E" w:rsidRPr="00A30368">
        <w:rPr>
          <w:rFonts w:eastAsia="Arial" w:cs="Arial"/>
        </w:rPr>
        <w:t>i</w:t>
      </w:r>
      <w:r w:rsidR="00B1326E" w:rsidRPr="00A30368">
        <w:rPr>
          <w:rFonts w:eastAsia="Arial" w:cs="Arial"/>
          <w:spacing w:val="-1"/>
        </w:rPr>
        <w:t>l</w:t>
      </w:r>
      <w:r w:rsidR="00B1326E" w:rsidRPr="00A30368">
        <w:rPr>
          <w:rFonts w:eastAsia="Arial" w:cs="Arial"/>
        </w:rPr>
        <w:t>l rec</w:t>
      </w:r>
      <w:r w:rsidR="00B1326E" w:rsidRPr="00A30368">
        <w:rPr>
          <w:rFonts w:eastAsia="Arial" w:cs="Arial"/>
          <w:spacing w:val="1"/>
        </w:rPr>
        <w:t>e</w:t>
      </w:r>
      <w:r w:rsidR="00B1326E" w:rsidRPr="00A30368">
        <w:rPr>
          <w:rFonts w:eastAsia="Arial" w:cs="Arial"/>
          <w:spacing w:val="2"/>
        </w:rPr>
        <w:t>i</w:t>
      </w:r>
      <w:r w:rsidR="00B1326E" w:rsidRPr="00A30368">
        <w:rPr>
          <w:rFonts w:eastAsia="Arial" w:cs="Arial"/>
          <w:spacing w:val="-2"/>
        </w:rPr>
        <w:t>v</w:t>
      </w:r>
      <w:r w:rsidR="00B1326E" w:rsidRPr="00A30368">
        <w:rPr>
          <w:rFonts w:eastAsia="Arial" w:cs="Arial"/>
        </w:rPr>
        <w:t>e</w:t>
      </w:r>
      <w:r w:rsidR="00B1326E" w:rsidRPr="00A30368">
        <w:rPr>
          <w:rFonts w:eastAsia="Arial" w:cs="Arial"/>
          <w:spacing w:val="1"/>
        </w:rPr>
        <w:t xml:space="preserve"> a</w:t>
      </w:r>
      <w:r w:rsidR="00B1326E" w:rsidRPr="00A30368">
        <w:rPr>
          <w:rFonts w:eastAsia="Arial" w:cs="Arial"/>
        </w:rPr>
        <w:t>n</w:t>
      </w:r>
      <w:r w:rsidR="00B1326E" w:rsidRPr="00A30368">
        <w:rPr>
          <w:rFonts w:eastAsia="Arial" w:cs="Arial"/>
          <w:spacing w:val="1"/>
        </w:rPr>
        <w:t xml:space="preserve"> o</w:t>
      </w:r>
      <w:r w:rsidR="00B1326E" w:rsidRPr="00A30368">
        <w:rPr>
          <w:rFonts w:eastAsia="Arial" w:cs="Arial"/>
          <w:spacing w:val="-2"/>
        </w:rPr>
        <w:t>v</w:t>
      </w:r>
      <w:r w:rsidR="00B1326E" w:rsidRPr="00A30368">
        <w:rPr>
          <w:rFonts w:eastAsia="Arial" w:cs="Arial"/>
          <w:spacing w:val="1"/>
        </w:rPr>
        <w:t>e</w:t>
      </w:r>
      <w:r w:rsidR="00B1326E" w:rsidRPr="00A30368">
        <w:rPr>
          <w:rFonts w:eastAsia="Arial" w:cs="Arial"/>
        </w:rPr>
        <w:t>rall</w:t>
      </w:r>
      <w:r w:rsidR="00B1326E" w:rsidRPr="00A30368">
        <w:rPr>
          <w:rFonts w:eastAsia="Arial" w:cs="Arial"/>
          <w:spacing w:val="-1"/>
        </w:rPr>
        <w:t xml:space="preserve"> </w:t>
      </w:r>
      <w:r w:rsidR="00B1326E" w:rsidRPr="00A30368">
        <w:rPr>
          <w:rFonts w:eastAsia="Arial" w:cs="Arial"/>
          <w:spacing w:val="1"/>
        </w:rPr>
        <w:t>pe</w:t>
      </w:r>
      <w:r w:rsidR="00B1326E" w:rsidRPr="00A30368">
        <w:rPr>
          <w:rFonts w:eastAsia="Arial" w:cs="Arial"/>
        </w:rPr>
        <w:t>rfor</w:t>
      </w:r>
      <w:r w:rsidR="00B1326E" w:rsidRPr="00A30368">
        <w:rPr>
          <w:rFonts w:eastAsia="Arial" w:cs="Arial"/>
          <w:spacing w:val="-1"/>
        </w:rPr>
        <w:t>m</w:t>
      </w:r>
      <w:r w:rsidR="00B1326E" w:rsidRPr="00A30368">
        <w:rPr>
          <w:rFonts w:eastAsia="Arial" w:cs="Arial"/>
          <w:spacing w:val="1"/>
        </w:rPr>
        <w:t>an</w:t>
      </w:r>
      <w:r w:rsidR="00B1326E" w:rsidRPr="00A30368">
        <w:rPr>
          <w:rFonts w:eastAsia="Arial" w:cs="Arial"/>
        </w:rPr>
        <w:t>ce</w:t>
      </w:r>
      <w:r w:rsidR="00B1326E" w:rsidRPr="00A30368">
        <w:rPr>
          <w:rFonts w:eastAsia="Arial" w:cs="Arial"/>
          <w:spacing w:val="3"/>
        </w:rPr>
        <w:t xml:space="preserve"> </w:t>
      </w:r>
      <w:r w:rsidR="00B1326E" w:rsidRPr="00A30368">
        <w:rPr>
          <w:rFonts w:eastAsia="Arial" w:cs="Arial"/>
        </w:rPr>
        <w:t>l</w:t>
      </w:r>
      <w:r w:rsidR="00B1326E" w:rsidRPr="00A30368">
        <w:rPr>
          <w:rFonts w:eastAsia="Arial" w:cs="Arial"/>
          <w:spacing w:val="-2"/>
        </w:rPr>
        <w:t>ev</w:t>
      </w:r>
      <w:r w:rsidR="00B1326E" w:rsidRPr="00A30368">
        <w:rPr>
          <w:rFonts w:eastAsia="Arial" w:cs="Arial"/>
          <w:spacing w:val="1"/>
        </w:rPr>
        <w:t>e</w:t>
      </w:r>
      <w:r w:rsidR="00B1326E" w:rsidRPr="00A30368">
        <w:rPr>
          <w:rFonts w:eastAsia="Arial" w:cs="Arial"/>
        </w:rPr>
        <w:t xml:space="preserve">l </w:t>
      </w:r>
      <w:r w:rsidR="00B1326E" w:rsidRPr="00A30368">
        <w:rPr>
          <w:rFonts w:eastAsia="Arial" w:cs="Arial"/>
          <w:spacing w:val="1"/>
        </w:rPr>
        <w:t>o</w:t>
      </w:r>
      <w:r w:rsidR="00B1326E" w:rsidRPr="00A30368">
        <w:rPr>
          <w:rFonts w:eastAsia="Arial" w:cs="Arial"/>
        </w:rPr>
        <w:t>f</w:t>
      </w:r>
      <w:r w:rsidR="00B1326E" w:rsidRPr="00A30368">
        <w:rPr>
          <w:rFonts w:eastAsia="Arial" w:cs="Arial"/>
          <w:spacing w:val="4"/>
        </w:rPr>
        <w:t xml:space="preserve"> </w:t>
      </w:r>
      <w:r w:rsidR="00B1326E" w:rsidRPr="00A30368">
        <w:rPr>
          <w:rFonts w:eastAsia="Arial" w:cs="Arial"/>
          <w:b/>
          <w:bCs/>
        </w:rPr>
        <w:t>G</w:t>
      </w:r>
      <w:r w:rsidR="00B1326E" w:rsidRPr="00A30368">
        <w:rPr>
          <w:rFonts w:eastAsia="Arial" w:cs="Arial"/>
          <w:b/>
          <w:bCs/>
          <w:spacing w:val="-2"/>
        </w:rPr>
        <w:t>r</w:t>
      </w:r>
      <w:r w:rsidR="00B1326E" w:rsidRPr="00A30368">
        <w:rPr>
          <w:rFonts w:eastAsia="Arial" w:cs="Arial"/>
          <w:b/>
          <w:bCs/>
          <w:spacing w:val="1"/>
        </w:rPr>
        <w:t>ee</w:t>
      </w:r>
      <w:r w:rsidR="00B1326E" w:rsidRPr="00A30368">
        <w:rPr>
          <w:rFonts w:eastAsia="Arial" w:cs="Arial"/>
          <w:b/>
          <w:bCs/>
        </w:rPr>
        <w:t>n</w:t>
      </w:r>
      <w:r w:rsidR="00B1326E" w:rsidRPr="00A30368">
        <w:rPr>
          <w:rFonts w:eastAsia="Arial" w:cs="Arial"/>
          <w:b/>
          <w:bCs/>
          <w:spacing w:val="-2"/>
        </w:rPr>
        <w:t xml:space="preserve"> </w:t>
      </w:r>
      <w:r w:rsidR="00B1326E" w:rsidRPr="00A30368">
        <w:rPr>
          <w:rFonts w:eastAsia="Arial" w:cs="Arial"/>
        </w:rPr>
        <w:t>f</w:t>
      </w:r>
      <w:r w:rsidR="00B1326E" w:rsidRPr="00A30368">
        <w:rPr>
          <w:rFonts w:eastAsia="Arial" w:cs="Arial"/>
          <w:spacing w:val="1"/>
        </w:rPr>
        <w:t>o</w:t>
      </w:r>
      <w:r w:rsidR="00B1326E" w:rsidRPr="00A30368">
        <w:rPr>
          <w:rFonts w:eastAsia="Arial" w:cs="Arial"/>
        </w:rPr>
        <w:t xml:space="preserve">r </w:t>
      </w:r>
      <w:r w:rsidR="00B1326E" w:rsidRPr="00A30368">
        <w:rPr>
          <w:rFonts w:eastAsia="Arial" w:cs="Arial"/>
          <w:i/>
          <w:spacing w:val="-3"/>
        </w:rPr>
        <w:t>m</w:t>
      </w:r>
      <w:r w:rsidR="00B1326E" w:rsidRPr="00A30368">
        <w:rPr>
          <w:rFonts w:eastAsia="Arial" w:cs="Arial"/>
          <w:i/>
          <w:spacing w:val="1"/>
        </w:rPr>
        <w:t>o</w:t>
      </w:r>
      <w:r w:rsidR="00B1326E" w:rsidRPr="00A30368">
        <w:rPr>
          <w:rFonts w:eastAsia="Arial" w:cs="Arial"/>
          <w:i/>
        </w:rPr>
        <w:t>st</w:t>
      </w:r>
      <w:r w:rsidR="00B1326E" w:rsidRPr="00A30368">
        <w:rPr>
          <w:rFonts w:eastAsia="Arial" w:cs="Arial"/>
          <w:i/>
          <w:spacing w:val="1"/>
        </w:rPr>
        <w:t xml:space="preserve"> </w:t>
      </w:r>
      <w:r w:rsidR="00B1326E" w:rsidRPr="00A30368">
        <w:rPr>
          <w:rFonts w:eastAsia="Arial" w:cs="Arial"/>
          <w:spacing w:val="1"/>
        </w:rPr>
        <w:t>o</w:t>
      </w:r>
      <w:r w:rsidR="00B1326E" w:rsidRPr="00A30368">
        <w:rPr>
          <w:rFonts w:eastAsia="Arial" w:cs="Arial"/>
        </w:rPr>
        <w:t>f</w:t>
      </w:r>
      <w:r w:rsidR="00B1326E" w:rsidRPr="00A30368">
        <w:rPr>
          <w:rFonts w:eastAsia="Arial" w:cs="Arial"/>
          <w:spacing w:val="1"/>
        </w:rPr>
        <w:t xml:space="preserve"> </w:t>
      </w:r>
      <w:r w:rsidR="00B1326E" w:rsidRPr="00A30368">
        <w:rPr>
          <w:rFonts w:eastAsia="Arial" w:cs="Arial"/>
        </w:rPr>
        <w:t>t</w:t>
      </w:r>
      <w:r w:rsidR="00B1326E" w:rsidRPr="00A30368">
        <w:rPr>
          <w:rFonts w:eastAsia="Arial" w:cs="Arial"/>
          <w:spacing w:val="1"/>
        </w:rPr>
        <w:t>h</w:t>
      </w:r>
      <w:r w:rsidR="00B1326E" w:rsidRPr="00A30368">
        <w:rPr>
          <w:rFonts w:eastAsia="Arial" w:cs="Arial"/>
        </w:rPr>
        <w:t>e</w:t>
      </w:r>
      <w:r w:rsidR="00B1326E" w:rsidRPr="00A30368">
        <w:rPr>
          <w:rFonts w:eastAsia="Arial" w:cs="Arial"/>
          <w:spacing w:val="1"/>
        </w:rPr>
        <w:t xml:space="preserve"> </w:t>
      </w:r>
      <w:r w:rsidR="00B1326E" w:rsidRPr="00A30368">
        <w:rPr>
          <w:rFonts w:eastAsia="Arial" w:cs="Arial"/>
          <w:spacing w:val="-2"/>
        </w:rPr>
        <w:t>s</w:t>
      </w:r>
      <w:r w:rsidR="00B1326E" w:rsidRPr="00A30368">
        <w:rPr>
          <w:rFonts w:eastAsia="Arial" w:cs="Arial"/>
        </w:rPr>
        <w:t>t</w:t>
      </w:r>
      <w:r w:rsidR="00B1326E" w:rsidRPr="00A30368">
        <w:rPr>
          <w:rFonts w:eastAsia="Arial" w:cs="Arial"/>
          <w:spacing w:val="1"/>
        </w:rPr>
        <w:t>a</w:t>
      </w:r>
      <w:r w:rsidR="00B1326E" w:rsidRPr="00A30368">
        <w:rPr>
          <w:rFonts w:eastAsia="Arial" w:cs="Arial"/>
          <w:spacing w:val="-2"/>
        </w:rPr>
        <w:t>t</w:t>
      </w:r>
      <w:r w:rsidR="00B1326E" w:rsidRPr="00A30368">
        <w:rPr>
          <w:rFonts w:eastAsia="Arial" w:cs="Arial"/>
        </w:rPr>
        <w:t>e</w:t>
      </w:r>
      <w:r w:rsidR="00B1326E" w:rsidRPr="00A30368">
        <w:rPr>
          <w:rFonts w:eastAsia="Arial" w:cs="Arial"/>
          <w:spacing w:val="1"/>
        </w:rPr>
        <w:t xml:space="preserve"> </w:t>
      </w:r>
      <w:r w:rsidR="00B1326E" w:rsidRPr="00A30368">
        <w:rPr>
          <w:rFonts w:eastAsia="Arial" w:cs="Arial"/>
        </w:rPr>
        <w:t>i</w:t>
      </w:r>
      <w:r w:rsidR="00B1326E" w:rsidRPr="00A30368">
        <w:rPr>
          <w:rFonts w:eastAsia="Arial" w:cs="Arial"/>
          <w:spacing w:val="1"/>
        </w:rPr>
        <w:t>nd</w:t>
      </w:r>
      <w:r w:rsidR="00B1326E" w:rsidRPr="00A30368">
        <w:rPr>
          <w:rFonts w:eastAsia="Arial" w:cs="Arial"/>
        </w:rPr>
        <w:t>i</w:t>
      </w:r>
      <w:r w:rsidR="00B1326E" w:rsidRPr="00A30368">
        <w:rPr>
          <w:rFonts w:eastAsia="Arial" w:cs="Arial"/>
          <w:spacing w:val="-3"/>
        </w:rPr>
        <w:t>c</w:t>
      </w:r>
      <w:r w:rsidR="00B1326E" w:rsidRPr="00A30368">
        <w:rPr>
          <w:rFonts w:eastAsia="Arial" w:cs="Arial"/>
          <w:spacing w:val="1"/>
        </w:rPr>
        <w:t>a</w:t>
      </w:r>
      <w:r w:rsidR="00B1326E" w:rsidRPr="00A30368">
        <w:rPr>
          <w:rFonts w:eastAsia="Arial" w:cs="Arial"/>
        </w:rPr>
        <w:t>t</w:t>
      </w:r>
      <w:r w:rsidR="00B1326E" w:rsidRPr="00A30368">
        <w:rPr>
          <w:rFonts w:eastAsia="Arial" w:cs="Arial"/>
          <w:spacing w:val="1"/>
        </w:rPr>
        <w:t>o</w:t>
      </w:r>
      <w:r w:rsidR="00E048DF" w:rsidRPr="00A30368">
        <w:rPr>
          <w:rFonts w:eastAsia="Arial" w:cs="Arial"/>
        </w:rPr>
        <w:t xml:space="preserve">rs. Table </w:t>
      </w:r>
      <w:r w:rsidR="00E004C5" w:rsidRPr="00A30368">
        <w:rPr>
          <w:rFonts w:eastAsia="Arial" w:cs="Arial"/>
        </w:rPr>
        <w:t>2</w:t>
      </w:r>
      <w:r w:rsidR="00E048DF" w:rsidRPr="00A30368">
        <w:rPr>
          <w:rFonts w:eastAsia="Arial" w:cs="Arial"/>
        </w:rPr>
        <w:t xml:space="preserve"> </w:t>
      </w:r>
      <w:r w:rsidR="00743B9A" w:rsidRPr="00A30368">
        <w:rPr>
          <w:rFonts w:eastAsia="Arial" w:cs="Arial"/>
        </w:rPr>
        <w:t>on the following page</w:t>
      </w:r>
      <w:r w:rsidR="000A6F8D" w:rsidRPr="00A30368">
        <w:rPr>
          <w:rFonts w:eastAsia="Arial" w:cs="Arial"/>
        </w:rPr>
        <w:t xml:space="preserve"> illustrates this example.</w:t>
      </w:r>
      <w:r w:rsidR="00844BBF" w:rsidRPr="00A30368">
        <w:rPr>
          <w:rFonts w:eastAsia="Arial" w:cs="Arial"/>
        </w:rPr>
        <w:t xml:space="preserve"> </w:t>
      </w:r>
    </w:p>
    <w:p w14:paraId="03CCB9AB" w14:textId="77777777" w:rsidR="003402BA" w:rsidRPr="00A30368" w:rsidRDefault="003402BA">
      <w:pPr>
        <w:spacing w:after="160" w:line="259" w:lineRule="auto"/>
        <w:rPr>
          <w:rFonts w:eastAsia="Arial" w:cs="Arial"/>
          <w:b/>
          <w:bCs/>
        </w:rPr>
      </w:pPr>
      <w:r w:rsidRPr="00A30368">
        <w:rPr>
          <w:rFonts w:eastAsia="Arial" w:cs="Arial"/>
          <w:b/>
          <w:bCs/>
        </w:rPr>
        <w:br w:type="page"/>
      </w:r>
    </w:p>
    <w:p w14:paraId="7E12FFC2" w14:textId="18D378C4" w:rsidR="00B1326E" w:rsidRPr="00A30368" w:rsidRDefault="00516A4D" w:rsidP="000A6F8D">
      <w:pPr>
        <w:widowControl w:val="0"/>
        <w:spacing w:before="240" w:after="240"/>
        <w:ind w:right="-20"/>
        <w:rPr>
          <w:rFonts w:eastAsia="Arial" w:cs="Arial"/>
        </w:rPr>
      </w:pPr>
      <w:r w:rsidRPr="00A30368">
        <w:rPr>
          <w:rFonts w:eastAsia="Arial" w:cs="Arial"/>
          <w:b/>
          <w:bCs/>
        </w:rPr>
        <w:lastRenderedPageBreak/>
        <w:t>Table 2</w:t>
      </w:r>
      <w:r w:rsidR="00B1326E" w:rsidRPr="00A30368">
        <w:rPr>
          <w:rFonts w:eastAsia="Arial" w:cs="Arial"/>
          <w:b/>
          <w:bCs/>
        </w:rPr>
        <w:t>: How to Get a Performance Level (Color)</w:t>
      </w:r>
    </w:p>
    <w:tbl>
      <w:tblPr>
        <w:tblStyle w:val="TableGrid"/>
        <w:tblW w:w="5000" w:type="pct"/>
        <w:tblLook w:val="04A0" w:firstRow="1" w:lastRow="0" w:firstColumn="1" w:lastColumn="0" w:noHBand="0" w:noVBand="1"/>
        <w:tblDescription w:val="How to Get a Performance Level (Color)"/>
      </w:tblPr>
      <w:tblGrid>
        <w:gridCol w:w="1557"/>
        <w:gridCol w:w="1557"/>
        <w:gridCol w:w="1560"/>
        <w:gridCol w:w="1558"/>
        <w:gridCol w:w="1558"/>
        <w:gridCol w:w="1560"/>
      </w:tblGrid>
      <w:tr w:rsidR="006C3BEC" w:rsidRPr="00A30368" w14:paraId="7E12FFCE" w14:textId="77777777" w:rsidTr="006C3BEC">
        <w:trPr>
          <w:trHeight w:val="1168"/>
          <w:tblHeader/>
        </w:trPr>
        <w:tc>
          <w:tcPr>
            <w:tcW w:w="833" w:type="pct"/>
            <w:vAlign w:val="center"/>
            <w:hideMark/>
          </w:tcPr>
          <w:p w14:paraId="7E12FFC3" w14:textId="77777777" w:rsidR="00B1326E" w:rsidRPr="00A30368" w:rsidRDefault="00B1326E" w:rsidP="006C3BEC">
            <w:pPr>
              <w:spacing w:line="254" w:lineRule="auto"/>
              <w:jc w:val="center"/>
              <w:rPr>
                <w:rFonts w:cs="Arial"/>
              </w:rPr>
            </w:pPr>
            <w:r w:rsidRPr="00A30368">
              <w:rPr>
                <w:color w:val="000000"/>
                <w:kern w:val="24"/>
              </w:rPr>
              <w:t>Level</w:t>
            </w:r>
          </w:p>
        </w:tc>
        <w:tc>
          <w:tcPr>
            <w:tcW w:w="833" w:type="pct"/>
            <w:vAlign w:val="center"/>
            <w:hideMark/>
          </w:tcPr>
          <w:p w14:paraId="3F536A28" w14:textId="77777777" w:rsidR="006C3BEC" w:rsidRPr="00A30368" w:rsidRDefault="00B1326E" w:rsidP="006C3BEC">
            <w:pPr>
              <w:spacing w:after="240" w:line="254" w:lineRule="auto"/>
              <w:jc w:val="center"/>
              <w:rPr>
                <w:color w:val="000000"/>
                <w:kern w:val="24"/>
              </w:rPr>
            </w:pPr>
            <w:r w:rsidRPr="00A30368">
              <w:rPr>
                <w:color w:val="000000"/>
                <w:kern w:val="24"/>
              </w:rPr>
              <w:t>Declined Significantly</w:t>
            </w:r>
          </w:p>
          <w:p w14:paraId="7E12FFC5" w14:textId="7E1C5BA4" w:rsidR="00B1326E" w:rsidRPr="00A30368" w:rsidRDefault="00B1326E" w:rsidP="006C3BEC">
            <w:pPr>
              <w:spacing w:line="254" w:lineRule="auto"/>
              <w:jc w:val="center"/>
              <w:rPr>
                <w:rFonts w:cs="Arial"/>
              </w:rPr>
            </w:pPr>
            <w:r w:rsidRPr="00A30368">
              <w:rPr>
                <w:color w:val="000000"/>
                <w:kern w:val="24"/>
              </w:rPr>
              <w:t>from Prior Year</w:t>
            </w:r>
          </w:p>
        </w:tc>
        <w:tc>
          <w:tcPr>
            <w:tcW w:w="834" w:type="pct"/>
            <w:vAlign w:val="center"/>
            <w:hideMark/>
          </w:tcPr>
          <w:p w14:paraId="635DACAE" w14:textId="77777777" w:rsidR="006C3BEC" w:rsidRPr="00A30368" w:rsidRDefault="00B1326E" w:rsidP="006C3BEC">
            <w:pPr>
              <w:spacing w:after="240" w:line="254" w:lineRule="auto"/>
              <w:jc w:val="center"/>
              <w:rPr>
                <w:color w:val="000000"/>
                <w:kern w:val="24"/>
              </w:rPr>
            </w:pPr>
            <w:r w:rsidRPr="00A30368">
              <w:rPr>
                <w:color w:val="000000"/>
                <w:kern w:val="24"/>
              </w:rPr>
              <w:t>Declined</w:t>
            </w:r>
          </w:p>
          <w:p w14:paraId="7E12FFC7" w14:textId="1BB66AC7" w:rsidR="00B1326E" w:rsidRPr="00A30368" w:rsidRDefault="00B1326E" w:rsidP="006C3BEC">
            <w:pPr>
              <w:spacing w:line="254" w:lineRule="auto"/>
              <w:jc w:val="center"/>
              <w:rPr>
                <w:rFonts w:cs="Arial"/>
              </w:rPr>
            </w:pPr>
            <w:r w:rsidRPr="00A30368">
              <w:rPr>
                <w:color w:val="000000"/>
                <w:kern w:val="24"/>
              </w:rPr>
              <w:t>from Prior Year</w:t>
            </w:r>
          </w:p>
        </w:tc>
        <w:tc>
          <w:tcPr>
            <w:tcW w:w="833" w:type="pct"/>
            <w:tcBorders>
              <w:right w:val="single" w:sz="36" w:space="0" w:color="FF0000"/>
            </w:tcBorders>
            <w:vAlign w:val="center"/>
            <w:hideMark/>
          </w:tcPr>
          <w:p w14:paraId="4DA22491" w14:textId="77777777" w:rsidR="006C3BEC" w:rsidRPr="00A30368" w:rsidRDefault="00B1326E" w:rsidP="006C3BEC">
            <w:pPr>
              <w:spacing w:after="240" w:line="254" w:lineRule="auto"/>
              <w:jc w:val="center"/>
              <w:rPr>
                <w:color w:val="000000"/>
                <w:kern w:val="24"/>
              </w:rPr>
            </w:pPr>
            <w:r w:rsidRPr="00A30368">
              <w:rPr>
                <w:color w:val="000000"/>
                <w:kern w:val="24"/>
              </w:rPr>
              <w:t>Maintained</w:t>
            </w:r>
          </w:p>
          <w:p w14:paraId="7E12FFC9" w14:textId="6061A584" w:rsidR="00B1326E" w:rsidRPr="00A30368" w:rsidRDefault="00B1326E" w:rsidP="006C3BEC">
            <w:pPr>
              <w:spacing w:line="254" w:lineRule="auto"/>
              <w:jc w:val="center"/>
              <w:rPr>
                <w:rFonts w:cs="Arial"/>
              </w:rPr>
            </w:pPr>
            <w:r w:rsidRPr="00A30368">
              <w:rPr>
                <w:color w:val="000000"/>
                <w:kern w:val="24"/>
              </w:rPr>
              <w:t>from Prior Year</w:t>
            </w:r>
          </w:p>
        </w:tc>
        <w:tc>
          <w:tcPr>
            <w:tcW w:w="833" w:type="pct"/>
            <w:tcBorders>
              <w:top w:val="single" w:sz="36" w:space="0" w:color="FF0000"/>
              <w:left w:val="single" w:sz="36" w:space="0" w:color="FF0000"/>
              <w:bottom w:val="single" w:sz="36" w:space="0" w:color="FF0000"/>
              <w:right w:val="single" w:sz="36" w:space="0" w:color="FF0000"/>
            </w:tcBorders>
            <w:vAlign w:val="center"/>
            <w:hideMark/>
          </w:tcPr>
          <w:p w14:paraId="2F66C4E4" w14:textId="77777777" w:rsidR="006C3BEC" w:rsidRPr="00A30368" w:rsidRDefault="00B1326E" w:rsidP="006C3BEC">
            <w:pPr>
              <w:spacing w:after="240" w:line="254" w:lineRule="auto"/>
              <w:jc w:val="center"/>
              <w:rPr>
                <w:color w:val="000000"/>
                <w:kern w:val="24"/>
              </w:rPr>
            </w:pPr>
            <w:r w:rsidRPr="00A30368">
              <w:rPr>
                <w:color w:val="000000"/>
                <w:kern w:val="24"/>
              </w:rPr>
              <w:t>Increased</w:t>
            </w:r>
          </w:p>
          <w:p w14:paraId="7E12FFCB" w14:textId="149C1E12" w:rsidR="00B1326E" w:rsidRPr="00A30368" w:rsidRDefault="00B1326E" w:rsidP="006C3BEC">
            <w:pPr>
              <w:spacing w:line="254" w:lineRule="auto"/>
              <w:jc w:val="center"/>
              <w:rPr>
                <w:rFonts w:cs="Arial"/>
              </w:rPr>
            </w:pPr>
            <w:r w:rsidRPr="00A30368">
              <w:rPr>
                <w:color w:val="000000"/>
                <w:kern w:val="24"/>
              </w:rPr>
              <w:t>from Prior Year</w:t>
            </w:r>
          </w:p>
        </w:tc>
        <w:tc>
          <w:tcPr>
            <w:tcW w:w="834" w:type="pct"/>
            <w:tcBorders>
              <w:left w:val="single" w:sz="36" w:space="0" w:color="FF0000"/>
            </w:tcBorders>
            <w:vAlign w:val="center"/>
            <w:hideMark/>
          </w:tcPr>
          <w:p w14:paraId="0D4372F4" w14:textId="77777777" w:rsidR="006C3BEC" w:rsidRPr="00A30368" w:rsidRDefault="00B1326E" w:rsidP="006C3BEC">
            <w:pPr>
              <w:spacing w:after="240" w:line="254" w:lineRule="auto"/>
              <w:jc w:val="center"/>
              <w:rPr>
                <w:color w:val="000000"/>
                <w:kern w:val="24"/>
              </w:rPr>
            </w:pPr>
            <w:r w:rsidRPr="00A30368">
              <w:rPr>
                <w:color w:val="000000"/>
                <w:kern w:val="24"/>
              </w:rPr>
              <w:t>Increased Significantly</w:t>
            </w:r>
          </w:p>
          <w:p w14:paraId="7E12FFCD" w14:textId="6F9DB6F5" w:rsidR="00B1326E" w:rsidRPr="00A30368" w:rsidRDefault="00B1326E" w:rsidP="006C3BEC">
            <w:pPr>
              <w:spacing w:line="254" w:lineRule="auto"/>
              <w:jc w:val="center"/>
              <w:rPr>
                <w:rFonts w:cs="Arial"/>
              </w:rPr>
            </w:pPr>
            <w:r w:rsidRPr="00A30368">
              <w:rPr>
                <w:color w:val="000000"/>
                <w:kern w:val="24"/>
              </w:rPr>
              <w:t>from Prior Year</w:t>
            </w:r>
          </w:p>
        </w:tc>
      </w:tr>
      <w:tr w:rsidR="006C3BEC" w:rsidRPr="00A30368" w14:paraId="7E12FFD5" w14:textId="77777777" w:rsidTr="006C3BEC">
        <w:trPr>
          <w:trHeight w:val="1168"/>
        </w:trPr>
        <w:tc>
          <w:tcPr>
            <w:tcW w:w="833" w:type="pct"/>
            <w:tcBorders>
              <w:bottom w:val="single" w:sz="36" w:space="0" w:color="FF0000"/>
            </w:tcBorders>
            <w:vAlign w:val="center"/>
            <w:hideMark/>
          </w:tcPr>
          <w:p w14:paraId="0FF91B50" w14:textId="62998DDA" w:rsidR="006C3BEC" w:rsidRPr="00A30368" w:rsidRDefault="006C3BEC" w:rsidP="006C3BEC">
            <w:pPr>
              <w:spacing w:after="240" w:line="254" w:lineRule="auto"/>
              <w:jc w:val="center"/>
              <w:rPr>
                <w:color w:val="000000"/>
                <w:kern w:val="24"/>
              </w:rPr>
            </w:pPr>
            <w:r w:rsidRPr="00A30368">
              <w:rPr>
                <w:color w:val="000000"/>
                <w:kern w:val="24"/>
              </w:rPr>
              <w:t>Very High</w:t>
            </w:r>
          </w:p>
          <w:p w14:paraId="7E12FFCF" w14:textId="023D97E7" w:rsidR="00B1326E" w:rsidRPr="00A30368" w:rsidRDefault="00B1326E" w:rsidP="006C3BEC">
            <w:pPr>
              <w:spacing w:line="254" w:lineRule="auto"/>
              <w:jc w:val="center"/>
              <w:rPr>
                <w:rFonts w:cs="Arial"/>
              </w:rPr>
            </w:pPr>
            <w:r w:rsidRPr="00A30368">
              <w:rPr>
                <w:color w:val="000000"/>
                <w:kern w:val="24"/>
              </w:rPr>
              <w:t>in Current Year</w:t>
            </w:r>
          </w:p>
        </w:tc>
        <w:tc>
          <w:tcPr>
            <w:tcW w:w="833" w:type="pct"/>
            <w:tcBorders>
              <w:bottom w:val="single" w:sz="36" w:space="0" w:color="BFBFBF" w:themeColor="background1" w:themeShade="BF"/>
            </w:tcBorders>
            <w:shd w:val="clear" w:color="auto" w:fill="FFFF00"/>
            <w:vAlign w:val="center"/>
            <w:hideMark/>
          </w:tcPr>
          <w:p w14:paraId="7E12FFD0" w14:textId="77777777" w:rsidR="00B1326E" w:rsidRPr="00A30368" w:rsidRDefault="00B1326E" w:rsidP="006C3BEC">
            <w:pPr>
              <w:spacing w:line="254" w:lineRule="auto"/>
              <w:jc w:val="center"/>
              <w:rPr>
                <w:color w:val="000000"/>
                <w:kern w:val="24"/>
              </w:rPr>
            </w:pPr>
            <w:r w:rsidRPr="00A30368">
              <w:rPr>
                <w:color w:val="000000"/>
                <w:kern w:val="24"/>
              </w:rPr>
              <w:t>Yellow</w:t>
            </w:r>
          </w:p>
        </w:tc>
        <w:tc>
          <w:tcPr>
            <w:tcW w:w="834" w:type="pct"/>
            <w:tcBorders>
              <w:bottom w:val="single" w:sz="36" w:space="0" w:color="BFBFBF" w:themeColor="background1" w:themeShade="BF"/>
            </w:tcBorders>
            <w:shd w:val="clear" w:color="auto" w:fill="006500"/>
            <w:vAlign w:val="center"/>
            <w:hideMark/>
          </w:tcPr>
          <w:p w14:paraId="7E12FFD1" w14:textId="77777777" w:rsidR="00B1326E" w:rsidRPr="00A30368" w:rsidRDefault="00B1326E" w:rsidP="006C3BEC">
            <w:pPr>
              <w:spacing w:line="254" w:lineRule="auto"/>
              <w:jc w:val="center"/>
              <w:rPr>
                <w:rFonts w:cs="Arial"/>
              </w:rPr>
            </w:pPr>
            <w:r w:rsidRPr="00A30368">
              <w:rPr>
                <w:color w:val="FFFFFF"/>
                <w:kern w:val="24"/>
              </w:rPr>
              <w:t>Green</w:t>
            </w:r>
          </w:p>
        </w:tc>
        <w:tc>
          <w:tcPr>
            <w:tcW w:w="833" w:type="pct"/>
            <w:tcBorders>
              <w:bottom w:val="single" w:sz="36" w:space="0" w:color="BFBFBF" w:themeColor="background1" w:themeShade="BF"/>
              <w:right w:val="single" w:sz="36" w:space="0" w:color="BFBFBF" w:themeColor="background1" w:themeShade="BF"/>
            </w:tcBorders>
            <w:shd w:val="clear" w:color="auto" w:fill="0000FF"/>
            <w:vAlign w:val="center"/>
            <w:hideMark/>
          </w:tcPr>
          <w:p w14:paraId="7E12FFD2" w14:textId="77777777" w:rsidR="00B1326E" w:rsidRPr="00A30368" w:rsidRDefault="00B1326E" w:rsidP="006C3BEC">
            <w:pPr>
              <w:spacing w:line="254" w:lineRule="auto"/>
              <w:jc w:val="center"/>
              <w:rPr>
                <w:rFonts w:cs="Arial"/>
              </w:rPr>
            </w:pPr>
            <w:r w:rsidRPr="00A30368">
              <w:rPr>
                <w:color w:val="FFFFFF"/>
                <w:kern w:val="24"/>
              </w:rPr>
              <w:t>Blue</w:t>
            </w:r>
          </w:p>
        </w:tc>
        <w:tc>
          <w:tcPr>
            <w:tcW w:w="833" w:type="pct"/>
            <w:tcBorders>
              <w:top w:val="single" w:sz="36" w:space="0" w:color="FF0000"/>
              <w:left w:val="single" w:sz="36" w:space="0" w:color="BFBFBF" w:themeColor="background1" w:themeShade="BF"/>
              <w:bottom w:val="single" w:sz="36" w:space="0" w:color="BFBFBF" w:themeColor="background1" w:themeShade="BF"/>
              <w:right w:val="single" w:sz="36" w:space="0" w:color="BFBFBF" w:themeColor="background1" w:themeShade="BF"/>
            </w:tcBorders>
            <w:shd w:val="clear" w:color="auto" w:fill="0000FF"/>
            <w:vAlign w:val="center"/>
            <w:hideMark/>
          </w:tcPr>
          <w:p w14:paraId="7E12FFD3" w14:textId="77777777" w:rsidR="00B1326E" w:rsidRPr="00A30368" w:rsidRDefault="00B1326E" w:rsidP="006C3BEC">
            <w:pPr>
              <w:spacing w:line="254" w:lineRule="auto"/>
              <w:jc w:val="center"/>
              <w:rPr>
                <w:rFonts w:cs="Arial"/>
              </w:rPr>
            </w:pPr>
            <w:r w:rsidRPr="00A30368">
              <w:rPr>
                <w:color w:val="FFFFFF"/>
                <w:kern w:val="24"/>
              </w:rPr>
              <w:t>*Blue</w:t>
            </w:r>
          </w:p>
        </w:tc>
        <w:tc>
          <w:tcPr>
            <w:tcW w:w="834" w:type="pct"/>
            <w:tcBorders>
              <w:left w:val="single" w:sz="36" w:space="0" w:color="BFBFBF" w:themeColor="background1" w:themeShade="BF"/>
            </w:tcBorders>
            <w:shd w:val="clear" w:color="auto" w:fill="0000FF"/>
            <w:vAlign w:val="center"/>
            <w:hideMark/>
          </w:tcPr>
          <w:p w14:paraId="7E12FFD4" w14:textId="77777777" w:rsidR="00B1326E" w:rsidRPr="00A30368" w:rsidRDefault="00B1326E" w:rsidP="006C3BEC">
            <w:pPr>
              <w:spacing w:line="254" w:lineRule="auto"/>
              <w:jc w:val="center"/>
              <w:rPr>
                <w:rFonts w:cs="Arial"/>
              </w:rPr>
            </w:pPr>
            <w:r w:rsidRPr="00A30368">
              <w:rPr>
                <w:color w:val="FFFFFF"/>
                <w:kern w:val="24"/>
              </w:rPr>
              <w:t>Blue</w:t>
            </w:r>
          </w:p>
        </w:tc>
      </w:tr>
      <w:tr w:rsidR="006C3BEC" w:rsidRPr="00A30368" w14:paraId="7E12FFDC" w14:textId="77777777" w:rsidTr="006C3BEC">
        <w:trPr>
          <w:trHeight w:val="1168"/>
        </w:trPr>
        <w:tc>
          <w:tcPr>
            <w:tcW w:w="833" w:type="pct"/>
            <w:tcBorders>
              <w:top w:val="single" w:sz="36" w:space="0" w:color="FF0000"/>
              <w:left w:val="single" w:sz="36" w:space="0" w:color="FF0000"/>
              <w:bottom w:val="single" w:sz="36" w:space="0" w:color="FF0000"/>
              <w:right w:val="single" w:sz="36" w:space="0" w:color="FF0000"/>
            </w:tcBorders>
            <w:vAlign w:val="center"/>
            <w:hideMark/>
          </w:tcPr>
          <w:p w14:paraId="708550D6" w14:textId="457B0BD7" w:rsidR="006C3BEC" w:rsidRPr="00A30368" w:rsidRDefault="006C3BEC" w:rsidP="006C3BEC">
            <w:pPr>
              <w:spacing w:after="240" w:line="254" w:lineRule="auto"/>
              <w:jc w:val="center"/>
              <w:rPr>
                <w:color w:val="000000"/>
                <w:kern w:val="24"/>
              </w:rPr>
            </w:pPr>
            <w:r w:rsidRPr="00A30368">
              <w:rPr>
                <w:color w:val="000000"/>
                <w:kern w:val="24"/>
              </w:rPr>
              <w:t>High</w:t>
            </w:r>
          </w:p>
          <w:p w14:paraId="7E12FFD6" w14:textId="558BD55E" w:rsidR="00B1326E" w:rsidRPr="00A30368" w:rsidRDefault="00B1326E" w:rsidP="006C3BEC">
            <w:pPr>
              <w:spacing w:line="254" w:lineRule="auto"/>
              <w:jc w:val="center"/>
              <w:rPr>
                <w:rFonts w:cs="Arial"/>
              </w:rPr>
            </w:pPr>
            <w:r w:rsidRPr="00A30368">
              <w:rPr>
                <w:color w:val="000000"/>
                <w:kern w:val="24"/>
              </w:rPr>
              <w:t>in Current Year</w:t>
            </w:r>
          </w:p>
        </w:tc>
        <w:tc>
          <w:tcPr>
            <w:tcW w:w="833" w:type="pct"/>
            <w:tcBorders>
              <w:top w:val="single" w:sz="36" w:space="0" w:color="BFBFBF" w:themeColor="background1" w:themeShade="BF"/>
              <w:left w:val="single" w:sz="36" w:space="0" w:color="FF0000"/>
              <w:bottom w:val="single" w:sz="36" w:space="0" w:color="BFBFBF" w:themeColor="background1" w:themeShade="BF"/>
              <w:right w:val="single" w:sz="36" w:space="0" w:color="BFBFBF" w:themeColor="background1" w:themeShade="BF"/>
            </w:tcBorders>
            <w:shd w:val="clear" w:color="auto" w:fill="FFA500"/>
            <w:vAlign w:val="center"/>
            <w:hideMark/>
          </w:tcPr>
          <w:p w14:paraId="7E12FFD7" w14:textId="77777777" w:rsidR="00B1326E" w:rsidRPr="00A30368" w:rsidRDefault="00B1326E" w:rsidP="006C3BEC">
            <w:pPr>
              <w:spacing w:line="254" w:lineRule="auto"/>
              <w:jc w:val="center"/>
              <w:rPr>
                <w:rFonts w:cs="Arial"/>
              </w:rPr>
            </w:pPr>
            <w:r w:rsidRPr="00A30368">
              <w:rPr>
                <w:color w:val="000000"/>
                <w:kern w:val="24"/>
              </w:rPr>
              <w:t>*Orange</w:t>
            </w:r>
          </w:p>
        </w:tc>
        <w:tc>
          <w:tcPr>
            <w:tcW w:w="834" w:type="pct"/>
            <w:tcBorders>
              <w:top w:val="single" w:sz="36" w:space="0" w:color="BFBFBF" w:themeColor="background1" w:themeShade="BF"/>
              <w:left w:val="single" w:sz="36" w:space="0" w:color="BFBFBF" w:themeColor="background1" w:themeShade="BF"/>
              <w:bottom w:val="single" w:sz="36" w:space="0" w:color="BFBFBF" w:themeColor="background1" w:themeShade="BF"/>
              <w:right w:val="single" w:sz="36" w:space="0" w:color="BFBFBF" w:themeColor="background1" w:themeShade="BF"/>
            </w:tcBorders>
            <w:shd w:val="clear" w:color="auto" w:fill="FFFF00"/>
            <w:vAlign w:val="center"/>
            <w:hideMark/>
          </w:tcPr>
          <w:p w14:paraId="7E12FFD8" w14:textId="77777777" w:rsidR="00B1326E" w:rsidRPr="00A30368" w:rsidRDefault="00B1326E" w:rsidP="006C3BEC">
            <w:pPr>
              <w:spacing w:line="254" w:lineRule="auto"/>
              <w:jc w:val="center"/>
              <w:rPr>
                <w:rFonts w:cs="Arial"/>
              </w:rPr>
            </w:pPr>
            <w:r w:rsidRPr="00A30368">
              <w:rPr>
                <w:color w:val="000000"/>
                <w:kern w:val="24"/>
              </w:rPr>
              <w:t>*Yellow</w:t>
            </w:r>
          </w:p>
        </w:tc>
        <w:tc>
          <w:tcPr>
            <w:tcW w:w="833" w:type="pct"/>
            <w:tcBorders>
              <w:top w:val="single" w:sz="36" w:space="0" w:color="BFBFBF" w:themeColor="background1" w:themeShade="BF"/>
              <w:left w:val="single" w:sz="36" w:space="0" w:color="BFBFBF" w:themeColor="background1" w:themeShade="BF"/>
              <w:bottom w:val="single" w:sz="36" w:space="0" w:color="BFBFBF" w:themeColor="background1" w:themeShade="BF"/>
              <w:right w:val="single" w:sz="36" w:space="0" w:color="BFBFBF" w:themeColor="background1" w:themeShade="BF"/>
            </w:tcBorders>
            <w:shd w:val="clear" w:color="auto" w:fill="006500"/>
            <w:vAlign w:val="center"/>
            <w:hideMark/>
          </w:tcPr>
          <w:p w14:paraId="7E12FFD9" w14:textId="77777777" w:rsidR="00B1326E" w:rsidRPr="00A30368" w:rsidRDefault="00B1326E" w:rsidP="006C3BEC">
            <w:pPr>
              <w:spacing w:line="254" w:lineRule="auto"/>
              <w:jc w:val="center"/>
              <w:rPr>
                <w:rFonts w:cs="Arial"/>
              </w:rPr>
            </w:pPr>
            <w:r w:rsidRPr="00A30368">
              <w:rPr>
                <w:color w:val="FFFFFF"/>
                <w:kern w:val="24"/>
              </w:rPr>
              <w:t>*Green</w:t>
            </w:r>
          </w:p>
        </w:tc>
        <w:tc>
          <w:tcPr>
            <w:tcW w:w="833" w:type="pct"/>
            <w:tcBorders>
              <w:top w:val="single" w:sz="36" w:space="0" w:color="BFBFBF" w:themeColor="background1" w:themeShade="BF"/>
              <w:left w:val="single" w:sz="36" w:space="0" w:color="BFBFBF" w:themeColor="background1" w:themeShade="BF"/>
              <w:bottom w:val="single" w:sz="36" w:space="0" w:color="BFBFBF" w:themeColor="background1" w:themeShade="BF"/>
              <w:right w:val="single" w:sz="36" w:space="0" w:color="BFBFBF" w:themeColor="background1" w:themeShade="BF"/>
            </w:tcBorders>
            <w:shd w:val="clear" w:color="auto" w:fill="006500"/>
            <w:vAlign w:val="center"/>
            <w:hideMark/>
          </w:tcPr>
          <w:p w14:paraId="7E12FFDA" w14:textId="77777777" w:rsidR="00B1326E" w:rsidRPr="00A30368" w:rsidRDefault="00B1326E" w:rsidP="006C3BEC">
            <w:pPr>
              <w:spacing w:line="254" w:lineRule="auto"/>
              <w:jc w:val="center"/>
              <w:rPr>
                <w:rFonts w:cs="Arial"/>
              </w:rPr>
            </w:pPr>
            <w:r w:rsidRPr="00A30368">
              <w:rPr>
                <w:color w:val="FFFFFF"/>
                <w:kern w:val="24"/>
              </w:rPr>
              <w:t>*</w:t>
            </w:r>
            <w:r w:rsidRPr="00A30368">
              <w:rPr>
                <w:b/>
                <w:bCs/>
                <w:color w:val="FFFFFF"/>
                <w:kern w:val="24"/>
              </w:rPr>
              <w:t>Green</w:t>
            </w:r>
          </w:p>
        </w:tc>
        <w:tc>
          <w:tcPr>
            <w:tcW w:w="834" w:type="pct"/>
            <w:tcBorders>
              <w:left w:val="single" w:sz="36" w:space="0" w:color="BFBFBF" w:themeColor="background1" w:themeShade="BF"/>
            </w:tcBorders>
            <w:shd w:val="clear" w:color="auto" w:fill="0000FF"/>
            <w:vAlign w:val="center"/>
            <w:hideMark/>
          </w:tcPr>
          <w:p w14:paraId="7E12FFDB" w14:textId="61939FE3" w:rsidR="00B1326E" w:rsidRPr="00A30368" w:rsidRDefault="00B1326E" w:rsidP="006C3BEC">
            <w:pPr>
              <w:spacing w:line="254" w:lineRule="auto"/>
              <w:jc w:val="center"/>
              <w:rPr>
                <w:rFonts w:cs="Arial"/>
              </w:rPr>
            </w:pPr>
            <w:r w:rsidRPr="00A30368">
              <w:rPr>
                <w:color w:val="FFFFFF"/>
                <w:kern w:val="24"/>
              </w:rPr>
              <w:t>Blue</w:t>
            </w:r>
          </w:p>
        </w:tc>
      </w:tr>
      <w:tr w:rsidR="006C3BEC" w:rsidRPr="00A30368" w14:paraId="7E12FFE3" w14:textId="77777777" w:rsidTr="006C3BEC">
        <w:trPr>
          <w:trHeight w:val="1168"/>
        </w:trPr>
        <w:tc>
          <w:tcPr>
            <w:tcW w:w="833" w:type="pct"/>
            <w:tcBorders>
              <w:top w:val="single" w:sz="36" w:space="0" w:color="FF0000"/>
            </w:tcBorders>
            <w:vAlign w:val="center"/>
            <w:hideMark/>
          </w:tcPr>
          <w:p w14:paraId="286B356B" w14:textId="77777777" w:rsidR="006C3BEC" w:rsidRPr="00A30368" w:rsidRDefault="006C3BEC" w:rsidP="006C3BEC">
            <w:pPr>
              <w:spacing w:after="240" w:line="254" w:lineRule="auto"/>
              <w:jc w:val="center"/>
              <w:rPr>
                <w:color w:val="000000"/>
                <w:kern w:val="24"/>
              </w:rPr>
            </w:pPr>
            <w:r w:rsidRPr="00A30368">
              <w:rPr>
                <w:color w:val="000000"/>
                <w:kern w:val="24"/>
              </w:rPr>
              <w:t>Medium</w:t>
            </w:r>
          </w:p>
          <w:p w14:paraId="7E12FFDD" w14:textId="33ED00A5" w:rsidR="00B1326E" w:rsidRPr="00A30368" w:rsidRDefault="00B1326E" w:rsidP="006C3BEC">
            <w:pPr>
              <w:spacing w:line="254" w:lineRule="auto"/>
              <w:jc w:val="center"/>
              <w:rPr>
                <w:rFonts w:cs="Arial"/>
              </w:rPr>
            </w:pPr>
            <w:r w:rsidRPr="00A30368">
              <w:rPr>
                <w:color w:val="000000"/>
                <w:kern w:val="24"/>
              </w:rPr>
              <w:t>in Current Year</w:t>
            </w:r>
          </w:p>
        </w:tc>
        <w:tc>
          <w:tcPr>
            <w:tcW w:w="833" w:type="pct"/>
            <w:tcBorders>
              <w:top w:val="single" w:sz="36" w:space="0" w:color="BFBFBF" w:themeColor="background1" w:themeShade="BF"/>
            </w:tcBorders>
            <w:shd w:val="clear" w:color="auto" w:fill="FFA500"/>
            <w:vAlign w:val="center"/>
            <w:hideMark/>
          </w:tcPr>
          <w:p w14:paraId="7E12FFDE" w14:textId="77777777" w:rsidR="00B1326E" w:rsidRPr="00A30368" w:rsidRDefault="00B1326E" w:rsidP="006C3BEC">
            <w:pPr>
              <w:spacing w:line="254" w:lineRule="auto"/>
              <w:jc w:val="center"/>
              <w:rPr>
                <w:rFonts w:cs="Arial"/>
              </w:rPr>
            </w:pPr>
            <w:r w:rsidRPr="00A30368">
              <w:rPr>
                <w:color w:val="000000"/>
                <w:kern w:val="24"/>
              </w:rPr>
              <w:t>Orange</w:t>
            </w:r>
          </w:p>
        </w:tc>
        <w:tc>
          <w:tcPr>
            <w:tcW w:w="834" w:type="pct"/>
            <w:tcBorders>
              <w:top w:val="single" w:sz="36" w:space="0" w:color="BFBFBF" w:themeColor="background1" w:themeShade="BF"/>
            </w:tcBorders>
            <w:shd w:val="clear" w:color="auto" w:fill="FFA500"/>
            <w:vAlign w:val="center"/>
            <w:hideMark/>
          </w:tcPr>
          <w:p w14:paraId="7E12FFDF" w14:textId="77777777" w:rsidR="00B1326E" w:rsidRPr="00A30368" w:rsidRDefault="00B1326E" w:rsidP="006C3BEC">
            <w:pPr>
              <w:spacing w:line="254" w:lineRule="auto"/>
              <w:jc w:val="center"/>
              <w:rPr>
                <w:rFonts w:cs="Arial"/>
              </w:rPr>
            </w:pPr>
            <w:r w:rsidRPr="00A30368">
              <w:rPr>
                <w:color w:val="000000"/>
                <w:kern w:val="24"/>
              </w:rPr>
              <w:t>Orange</w:t>
            </w:r>
          </w:p>
        </w:tc>
        <w:tc>
          <w:tcPr>
            <w:tcW w:w="833" w:type="pct"/>
            <w:tcBorders>
              <w:top w:val="single" w:sz="36" w:space="0" w:color="BFBFBF" w:themeColor="background1" w:themeShade="BF"/>
            </w:tcBorders>
            <w:shd w:val="clear" w:color="auto" w:fill="FFFF00"/>
            <w:vAlign w:val="center"/>
            <w:hideMark/>
          </w:tcPr>
          <w:p w14:paraId="7E12FFE0" w14:textId="77777777" w:rsidR="00B1326E" w:rsidRPr="00A30368" w:rsidRDefault="00B1326E" w:rsidP="006C3BEC">
            <w:pPr>
              <w:spacing w:line="254" w:lineRule="auto"/>
              <w:jc w:val="center"/>
              <w:rPr>
                <w:rFonts w:cs="Arial"/>
              </w:rPr>
            </w:pPr>
            <w:r w:rsidRPr="00A30368">
              <w:rPr>
                <w:color w:val="000000"/>
                <w:kern w:val="24"/>
              </w:rPr>
              <w:t>Yellow</w:t>
            </w:r>
          </w:p>
        </w:tc>
        <w:tc>
          <w:tcPr>
            <w:tcW w:w="833" w:type="pct"/>
            <w:tcBorders>
              <w:top w:val="single" w:sz="36" w:space="0" w:color="BFBFBF" w:themeColor="background1" w:themeShade="BF"/>
            </w:tcBorders>
            <w:shd w:val="clear" w:color="auto" w:fill="006500"/>
            <w:vAlign w:val="center"/>
            <w:hideMark/>
          </w:tcPr>
          <w:p w14:paraId="7E12FFE1" w14:textId="77777777" w:rsidR="00B1326E" w:rsidRPr="00A30368" w:rsidRDefault="00B1326E" w:rsidP="006C3BEC">
            <w:pPr>
              <w:spacing w:line="254" w:lineRule="auto"/>
              <w:jc w:val="center"/>
              <w:rPr>
                <w:rFonts w:cs="Arial"/>
              </w:rPr>
            </w:pPr>
            <w:r w:rsidRPr="00A30368">
              <w:rPr>
                <w:color w:val="FFFFFF"/>
                <w:kern w:val="24"/>
              </w:rPr>
              <w:t>Green</w:t>
            </w:r>
          </w:p>
        </w:tc>
        <w:tc>
          <w:tcPr>
            <w:tcW w:w="834" w:type="pct"/>
            <w:shd w:val="clear" w:color="auto" w:fill="006500"/>
            <w:vAlign w:val="center"/>
            <w:hideMark/>
          </w:tcPr>
          <w:p w14:paraId="7E12FFE2" w14:textId="77777777" w:rsidR="00B1326E" w:rsidRPr="00A30368" w:rsidRDefault="00B1326E" w:rsidP="006C3BEC">
            <w:pPr>
              <w:spacing w:line="254" w:lineRule="auto"/>
              <w:jc w:val="center"/>
              <w:rPr>
                <w:rFonts w:cs="Arial"/>
              </w:rPr>
            </w:pPr>
            <w:r w:rsidRPr="00A30368">
              <w:rPr>
                <w:color w:val="FFFFFF"/>
                <w:kern w:val="24"/>
              </w:rPr>
              <w:t>Green</w:t>
            </w:r>
          </w:p>
        </w:tc>
      </w:tr>
      <w:tr w:rsidR="006C3BEC" w:rsidRPr="00A30368" w14:paraId="7E12FFEA" w14:textId="77777777" w:rsidTr="006C3BEC">
        <w:trPr>
          <w:trHeight w:val="1168"/>
        </w:trPr>
        <w:tc>
          <w:tcPr>
            <w:tcW w:w="833" w:type="pct"/>
            <w:vAlign w:val="center"/>
            <w:hideMark/>
          </w:tcPr>
          <w:p w14:paraId="3202F798" w14:textId="77777777" w:rsidR="006C3BEC" w:rsidRPr="00A30368" w:rsidRDefault="006C3BEC" w:rsidP="006C3BEC">
            <w:pPr>
              <w:spacing w:after="240" w:line="254" w:lineRule="auto"/>
              <w:jc w:val="center"/>
              <w:rPr>
                <w:color w:val="000000"/>
                <w:kern w:val="24"/>
              </w:rPr>
            </w:pPr>
            <w:r w:rsidRPr="00A30368">
              <w:rPr>
                <w:color w:val="000000"/>
                <w:kern w:val="24"/>
              </w:rPr>
              <w:t>Low</w:t>
            </w:r>
          </w:p>
          <w:p w14:paraId="7E12FFE4" w14:textId="36E15C49" w:rsidR="00B1326E" w:rsidRPr="00A30368" w:rsidRDefault="00B1326E" w:rsidP="006C3BEC">
            <w:pPr>
              <w:spacing w:line="254" w:lineRule="auto"/>
              <w:jc w:val="center"/>
              <w:rPr>
                <w:rFonts w:cs="Arial"/>
              </w:rPr>
            </w:pPr>
            <w:r w:rsidRPr="00A30368">
              <w:rPr>
                <w:color w:val="000000"/>
                <w:kern w:val="24"/>
              </w:rPr>
              <w:t>in Current Year</w:t>
            </w:r>
          </w:p>
        </w:tc>
        <w:tc>
          <w:tcPr>
            <w:tcW w:w="833" w:type="pct"/>
            <w:shd w:val="clear" w:color="auto" w:fill="A20000"/>
            <w:vAlign w:val="center"/>
            <w:hideMark/>
          </w:tcPr>
          <w:p w14:paraId="7E12FFE5" w14:textId="77777777" w:rsidR="00B1326E" w:rsidRPr="00A30368" w:rsidRDefault="00B1326E" w:rsidP="006C3BEC">
            <w:pPr>
              <w:spacing w:line="254" w:lineRule="auto"/>
              <w:jc w:val="center"/>
              <w:rPr>
                <w:rFonts w:cs="Arial"/>
              </w:rPr>
            </w:pPr>
            <w:r w:rsidRPr="00A30368">
              <w:rPr>
                <w:color w:val="FFFFFF"/>
                <w:kern w:val="24"/>
              </w:rPr>
              <w:t>Red</w:t>
            </w:r>
          </w:p>
        </w:tc>
        <w:tc>
          <w:tcPr>
            <w:tcW w:w="834" w:type="pct"/>
            <w:shd w:val="clear" w:color="auto" w:fill="FFA500"/>
            <w:vAlign w:val="center"/>
            <w:hideMark/>
          </w:tcPr>
          <w:p w14:paraId="7E12FFE6" w14:textId="77777777" w:rsidR="00B1326E" w:rsidRPr="00A30368" w:rsidRDefault="00B1326E" w:rsidP="006C3BEC">
            <w:pPr>
              <w:spacing w:line="254" w:lineRule="auto"/>
              <w:jc w:val="center"/>
              <w:rPr>
                <w:rFonts w:cs="Arial"/>
              </w:rPr>
            </w:pPr>
            <w:r w:rsidRPr="00A30368">
              <w:rPr>
                <w:color w:val="000000"/>
                <w:kern w:val="24"/>
              </w:rPr>
              <w:t>Orange</w:t>
            </w:r>
          </w:p>
        </w:tc>
        <w:tc>
          <w:tcPr>
            <w:tcW w:w="833" w:type="pct"/>
            <w:shd w:val="clear" w:color="auto" w:fill="FFA500"/>
            <w:vAlign w:val="center"/>
            <w:hideMark/>
          </w:tcPr>
          <w:p w14:paraId="7E12FFE7" w14:textId="77777777" w:rsidR="00B1326E" w:rsidRPr="00A30368" w:rsidRDefault="00B1326E" w:rsidP="006C3BEC">
            <w:pPr>
              <w:spacing w:line="254" w:lineRule="auto"/>
              <w:jc w:val="center"/>
              <w:rPr>
                <w:rFonts w:cs="Arial"/>
              </w:rPr>
            </w:pPr>
            <w:r w:rsidRPr="00A30368">
              <w:rPr>
                <w:color w:val="000000"/>
                <w:kern w:val="24"/>
              </w:rPr>
              <w:t>Orange</w:t>
            </w:r>
          </w:p>
        </w:tc>
        <w:tc>
          <w:tcPr>
            <w:tcW w:w="833" w:type="pct"/>
            <w:shd w:val="clear" w:color="auto" w:fill="FFFF00"/>
            <w:vAlign w:val="center"/>
            <w:hideMark/>
          </w:tcPr>
          <w:p w14:paraId="7E12FFE8" w14:textId="77777777" w:rsidR="00B1326E" w:rsidRPr="00A30368" w:rsidRDefault="00B1326E" w:rsidP="006C3BEC">
            <w:pPr>
              <w:spacing w:line="254" w:lineRule="auto"/>
              <w:jc w:val="center"/>
              <w:rPr>
                <w:rFonts w:cs="Arial"/>
              </w:rPr>
            </w:pPr>
            <w:r w:rsidRPr="00A30368">
              <w:rPr>
                <w:color w:val="000000"/>
                <w:kern w:val="24"/>
              </w:rPr>
              <w:t>Yellow</w:t>
            </w:r>
          </w:p>
        </w:tc>
        <w:tc>
          <w:tcPr>
            <w:tcW w:w="834" w:type="pct"/>
            <w:shd w:val="clear" w:color="auto" w:fill="FFFF00"/>
            <w:vAlign w:val="center"/>
            <w:hideMark/>
          </w:tcPr>
          <w:p w14:paraId="7E12FFE9" w14:textId="77777777" w:rsidR="00B1326E" w:rsidRPr="00A30368" w:rsidRDefault="00B1326E" w:rsidP="006C3BEC">
            <w:pPr>
              <w:spacing w:line="254" w:lineRule="auto"/>
              <w:jc w:val="center"/>
              <w:rPr>
                <w:rFonts w:cs="Arial"/>
              </w:rPr>
            </w:pPr>
            <w:r w:rsidRPr="00A30368">
              <w:rPr>
                <w:color w:val="000000"/>
                <w:kern w:val="24"/>
              </w:rPr>
              <w:t>Yellow</w:t>
            </w:r>
          </w:p>
        </w:tc>
      </w:tr>
      <w:tr w:rsidR="006C3BEC" w:rsidRPr="00A30368" w14:paraId="7E12FFF1" w14:textId="77777777" w:rsidTr="006C3BEC">
        <w:trPr>
          <w:trHeight w:val="1168"/>
        </w:trPr>
        <w:tc>
          <w:tcPr>
            <w:tcW w:w="833" w:type="pct"/>
            <w:vAlign w:val="center"/>
            <w:hideMark/>
          </w:tcPr>
          <w:p w14:paraId="1F9D060E" w14:textId="77777777" w:rsidR="006C3BEC" w:rsidRPr="00A30368" w:rsidRDefault="006C3BEC" w:rsidP="006C3BEC">
            <w:pPr>
              <w:spacing w:after="240" w:line="254" w:lineRule="auto"/>
              <w:jc w:val="center"/>
              <w:rPr>
                <w:color w:val="000000"/>
                <w:kern w:val="24"/>
              </w:rPr>
            </w:pPr>
            <w:r w:rsidRPr="00A30368">
              <w:rPr>
                <w:color w:val="000000"/>
                <w:kern w:val="24"/>
              </w:rPr>
              <w:t>Very Low</w:t>
            </w:r>
          </w:p>
          <w:p w14:paraId="7E12FFEB" w14:textId="5BAA762C" w:rsidR="00B1326E" w:rsidRPr="00A30368" w:rsidRDefault="00B1326E" w:rsidP="006C3BEC">
            <w:pPr>
              <w:spacing w:line="254" w:lineRule="auto"/>
              <w:jc w:val="center"/>
              <w:rPr>
                <w:rFonts w:cs="Arial"/>
              </w:rPr>
            </w:pPr>
            <w:r w:rsidRPr="00A30368">
              <w:rPr>
                <w:color w:val="000000"/>
                <w:kern w:val="24"/>
              </w:rPr>
              <w:t>in Current Year</w:t>
            </w:r>
          </w:p>
        </w:tc>
        <w:tc>
          <w:tcPr>
            <w:tcW w:w="833" w:type="pct"/>
            <w:shd w:val="clear" w:color="auto" w:fill="A20000"/>
            <w:vAlign w:val="center"/>
            <w:hideMark/>
          </w:tcPr>
          <w:p w14:paraId="7E12FFEC" w14:textId="77777777" w:rsidR="00B1326E" w:rsidRPr="00A30368" w:rsidRDefault="00B1326E" w:rsidP="006C3BEC">
            <w:pPr>
              <w:spacing w:line="254" w:lineRule="auto"/>
              <w:jc w:val="center"/>
              <w:rPr>
                <w:rFonts w:cs="Arial"/>
              </w:rPr>
            </w:pPr>
            <w:r w:rsidRPr="00A30368">
              <w:rPr>
                <w:color w:val="FFFFFF"/>
                <w:kern w:val="24"/>
              </w:rPr>
              <w:t>Red</w:t>
            </w:r>
          </w:p>
        </w:tc>
        <w:tc>
          <w:tcPr>
            <w:tcW w:w="834" w:type="pct"/>
            <w:shd w:val="clear" w:color="auto" w:fill="A20000"/>
            <w:vAlign w:val="center"/>
            <w:hideMark/>
          </w:tcPr>
          <w:p w14:paraId="7E12FFED" w14:textId="77777777" w:rsidR="00B1326E" w:rsidRPr="00A30368" w:rsidRDefault="00B1326E" w:rsidP="006C3BEC">
            <w:pPr>
              <w:spacing w:line="254" w:lineRule="auto"/>
              <w:jc w:val="center"/>
              <w:rPr>
                <w:rFonts w:cs="Arial"/>
              </w:rPr>
            </w:pPr>
            <w:r w:rsidRPr="00A30368">
              <w:rPr>
                <w:color w:val="FFFFFF"/>
                <w:kern w:val="24"/>
              </w:rPr>
              <w:t>Red</w:t>
            </w:r>
          </w:p>
        </w:tc>
        <w:tc>
          <w:tcPr>
            <w:tcW w:w="833" w:type="pct"/>
            <w:shd w:val="clear" w:color="auto" w:fill="A20000"/>
            <w:vAlign w:val="center"/>
            <w:hideMark/>
          </w:tcPr>
          <w:p w14:paraId="7E12FFEE" w14:textId="77777777" w:rsidR="00B1326E" w:rsidRPr="00A30368" w:rsidRDefault="00B1326E" w:rsidP="006C3BEC">
            <w:pPr>
              <w:spacing w:line="254" w:lineRule="auto"/>
              <w:jc w:val="center"/>
              <w:rPr>
                <w:rFonts w:cs="Arial"/>
              </w:rPr>
            </w:pPr>
            <w:r w:rsidRPr="00A30368">
              <w:rPr>
                <w:color w:val="FFFFFF"/>
                <w:kern w:val="24"/>
              </w:rPr>
              <w:t>Red</w:t>
            </w:r>
          </w:p>
        </w:tc>
        <w:tc>
          <w:tcPr>
            <w:tcW w:w="833" w:type="pct"/>
            <w:shd w:val="clear" w:color="auto" w:fill="FFA500"/>
            <w:vAlign w:val="center"/>
            <w:hideMark/>
          </w:tcPr>
          <w:p w14:paraId="7E12FFEF" w14:textId="77777777" w:rsidR="00B1326E" w:rsidRPr="00A30368" w:rsidRDefault="00B1326E" w:rsidP="006C3BEC">
            <w:pPr>
              <w:spacing w:line="254" w:lineRule="auto"/>
              <w:jc w:val="center"/>
              <w:rPr>
                <w:rFonts w:cs="Arial"/>
              </w:rPr>
            </w:pPr>
            <w:r w:rsidRPr="00A30368">
              <w:rPr>
                <w:color w:val="000000"/>
                <w:kern w:val="24"/>
              </w:rPr>
              <w:t>Orange</w:t>
            </w:r>
          </w:p>
        </w:tc>
        <w:tc>
          <w:tcPr>
            <w:tcW w:w="834" w:type="pct"/>
            <w:shd w:val="clear" w:color="auto" w:fill="FFFF00"/>
            <w:vAlign w:val="center"/>
            <w:hideMark/>
          </w:tcPr>
          <w:p w14:paraId="7E12FFF0" w14:textId="77777777" w:rsidR="00B1326E" w:rsidRPr="00A30368" w:rsidRDefault="00B1326E" w:rsidP="006C3BEC">
            <w:pPr>
              <w:spacing w:line="254" w:lineRule="auto"/>
              <w:jc w:val="center"/>
              <w:rPr>
                <w:rFonts w:cs="Arial"/>
              </w:rPr>
            </w:pPr>
            <w:r w:rsidRPr="00A30368">
              <w:rPr>
                <w:color w:val="000000"/>
                <w:kern w:val="24"/>
              </w:rPr>
              <w:t>Yellow</w:t>
            </w:r>
          </w:p>
        </w:tc>
      </w:tr>
    </w:tbl>
    <w:p w14:paraId="7244CAF1" w14:textId="052B8F10" w:rsidR="007E4BE2" w:rsidRPr="00A30368" w:rsidRDefault="00E048DF" w:rsidP="006C3BEC">
      <w:pPr>
        <w:spacing w:before="240" w:after="240"/>
        <w:rPr>
          <w:rFonts w:cs="Arial"/>
          <w:bCs/>
          <w:iCs/>
          <w:bdr w:val="none" w:sz="0" w:space="0" w:color="auto" w:frame="1"/>
        </w:rPr>
      </w:pPr>
      <w:r w:rsidRPr="00A30368">
        <w:rPr>
          <w:rFonts w:cs="Arial"/>
          <w:bCs/>
          <w:iCs/>
          <w:bdr w:val="none" w:sz="0" w:space="0" w:color="auto" w:frame="1"/>
        </w:rPr>
        <w:t xml:space="preserve">Once the performance levels (colors) are established for all LEAs, schools, and student groups for each applicable state indicator, they are reported in the Dashboard reflected as gauges as illustrated in Figure 1 </w:t>
      </w:r>
      <w:r w:rsidR="00282D58" w:rsidRPr="00A30368">
        <w:rPr>
          <w:rFonts w:cs="Arial"/>
          <w:bCs/>
          <w:iCs/>
          <w:bdr w:val="none" w:sz="0" w:space="0" w:color="auto" w:frame="1"/>
        </w:rPr>
        <w:t>below</w:t>
      </w:r>
      <w:r w:rsidRPr="00A30368">
        <w:rPr>
          <w:rFonts w:cs="Arial"/>
          <w:bCs/>
          <w:iCs/>
          <w:bdr w:val="none" w:sz="0" w:space="0" w:color="auto" w:frame="1"/>
        </w:rPr>
        <w:t>.</w:t>
      </w:r>
    </w:p>
    <w:p w14:paraId="1CF06F79" w14:textId="77777777" w:rsidR="007E4BE2" w:rsidRPr="00A30368" w:rsidRDefault="007E4BE2" w:rsidP="006C3BEC">
      <w:pPr>
        <w:spacing w:before="240" w:after="240"/>
        <w:rPr>
          <w:b/>
        </w:rPr>
      </w:pPr>
      <w:r w:rsidRPr="00A30368">
        <w:rPr>
          <w:b/>
        </w:rPr>
        <w:t>Figure 1: Dashboard Gauges</w:t>
      </w:r>
    </w:p>
    <w:p w14:paraId="7D3D0850" w14:textId="77777777" w:rsidR="006C3BEC" w:rsidRPr="00A30368" w:rsidRDefault="00D30D61" w:rsidP="006C3BEC">
      <w:pPr>
        <w:spacing w:before="240" w:after="240"/>
        <w:rPr>
          <w:rFonts w:cs="Arial"/>
          <w:b/>
          <w:sz w:val="28"/>
          <w:szCs w:val="28"/>
        </w:rPr>
      </w:pPr>
      <w:r w:rsidRPr="00A30368">
        <w:rPr>
          <w:noProof/>
          <w:lang w:eastAsia="ja-JP"/>
        </w:rPr>
        <w:drawing>
          <wp:inline distT="0" distB="0" distL="0" distR="0" wp14:anchorId="6E16BCC3" wp14:editId="606BF832">
            <wp:extent cx="6289040" cy="1446530"/>
            <wp:effectExtent l="0" t="0" r="0" b="1270"/>
            <wp:docPr id="5" name="Content Placeholder 4" descr="Five &quot;gauge-style&quot; icons with arrows pointing to one of five colors that range from: Red (lowest performance), Orange, Yellow, Green, and Blue (highest performance)." title="Performance Color Gauges"/>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5" name="Content Placeholder 4" descr="&quot;Gauge-style&quot; icons as described in the following text, including Red, Orange, Yellow, Green, and Blue as they range from Lowest Performance to Highest Performance." title="Performance Color Gauges"/>
                    <pic:cNvPicPr>
                      <a:picLocks noGrp="1"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289040" cy="1446530"/>
                    </a:xfrm>
                    <a:prstGeom prst="rect">
                      <a:avLst/>
                    </a:prstGeom>
                  </pic:spPr>
                </pic:pic>
              </a:graphicData>
            </a:graphic>
          </wp:inline>
        </w:drawing>
      </w:r>
      <w:r w:rsidR="006C3BEC" w:rsidRPr="00A30368">
        <w:rPr>
          <w:rFonts w:cs="Arial"/>
          <w:b/>
          <w:sz w:val="28"/>
          <w:szCs w:val="28"/>
        </w:rPr>
        <w:br w:type="page"/>
      </w:r>
    </w:p>
    <w:p w14:paraId="7E12FFF6" w14:textId="168EBEDE" w:rsidR="007F0F57" w:rsidRPr="00A30368" w:rsidRDefault="00BE4FED" w:rsidP="001F232C">
      <w:pPr>
        <w:pStyle w:val="Heading3"/>
        <w:spacing w:before="240" w:after="240"/>
        <w:rPr>
          <w:rFonts w:ascii="Arial" w:hAnsi="Arial" w:cs="Arial"/>
          <w:b/>
          <w:color w:val="auto"/>
          <w:sz w:val="28"/>
          <w:szCs w:val="28"/>
        </w:rPr>
      </w:pPr>
      <w:r w:rsidRPr="00A30368">
        <w:rPr>
          <w:rFonts w:ascii="Arial" w:hAnsi="Arial" w:cs="Arial"/>
          <w:b/>
          <w:color w:val="auto"/>
          <w:sz w:val="28"/>
          <w:szCs w:val="28"/>
        </w:rPr>
        <w:lastRenderedPageBreak/>
        <w:t xml:space="preserve">Annual Review Process </w:t>
      </w:r>
    </w:p>
    <w:p w14:paraId="7E12FFF8" w14:textId="2974D1B6" w:rsidR="0024797C" w:rsidRPr="00A30368" w:rsidRDefault="0024797C" w:rsidP="006C3BEC">
      <w:pPr>
        <w:spacing w:before="240" w:after="240"/>
        <w:rPr>
          <w:rFonts w:cs="Arial"/>
        </w:rPr>
      </w:pPr>
      <w:r w:rsidRPr="00A30368">
        <w:rPr>
          <w:rFonts w:cs="Arial"/>
        </w:rPr>
        <w:t>Because</w:t>
      </w:r>
      <w:r w:rsidR="00BE4FED" w:rsidRPr="00A30368">
        <w:rPr>
          <w:rFonts w:cs="Arial"/>
        </w:rPr>
        <w:t xml:space="preserve"> data availability may change over time, the SBE approved an annual review process that allows state </w:t>
      </w:r>
      <w:r w:rsidR="00682353" w:rsidRPr="00A30368">
        <w:rPr>
          <w:rFonts w:cs="Arial"/>
        </w:rPr>
        <w:t xml:space="preserve">and local </w:t>
      </w:r>
      <w:r w:rsidR="00BE4FED" w:rsidRPr="00A30368">
        <w:rPr>
          <w:rFonts w:cs="Arial"/>
        </w:rPr>
        <w:t xml:space="preserve">indicators </w:t>
      </w:r>
      <w:r w:rsidR="00BF5267" w:rsidRPr="00A30368">
        <w:rPr>
          <w:rFonts w:cs="Arial"/>
        </w:rPr>
        <w:t xml:space="preserve">to be reviewed </w:t>
      </w:r>
      <w:r w:rsidR="00BE4FED" w:rsidRPr="00A30368">
        <w:rPr>
          <w:rFonts w:cs="Arial"/>
        </w:rPr>
        <w:t xml:space="preserve">to determine </w:t>
      </w:r>
      <w:r w:rsidR="00BF5267" w:rsidRPr="00A30368">
        <w:rPr>
          <w:rFonts w:cs="Arial"/>
        </w:rPr>
        <w:t>if n</w:t>
      </w:r>
      <w:r w:rsidR="00BE4FED" w:rsidRPr="00A30368">
        <w:rPr>
          <w:rFonts w:cs="Arial"/>
        </w:rPr>
        <w:t xml:space="preserve">ew indicators </w:t>
      </w:r>
      <w:r w:rsidR="00BF5267" w:rsidRPr="00A30368">
        <w:rPr>
          <w:rFonts w:cs="Arial"/>
        </w:rPr>
        <w:t>should be added</w:t>
      </w:r>
      <w:r w:rsidR="00682353" w:rsidRPr="00A30368">
        <w:rPr>
          <w:rFonts w:cs="Arial"/>
        </w:rPr>
        <w:t xml:space="preserve"> or if existing indicators should be </w:t>
      </w:r>
      <w:r w:rsidR="00BE4FED" w:rsidRPr="00A30368">
        <w:rPr>
          <w:rFonts w:cs="Arial"/>
        </w:rPr>
        <w:t>replace</w:t>
      </w:r>
      <w:r w:rsidR="00682353" w:rsidRPr="00A30368">
        <w:rPr>
          <w:rFonts w:cs="Arial"/>
        </w:rPr>
        <w:t xml:space="preserve">d </w:t>
      </w:r>
      <w:r w:rsidR="00BE4FED" w:rsidRPr="00A30368">
        <w:rPr>
          <w:rFonts w:cs="Arial"/>
        </w:rPr>
        <w:t>or modif</w:t>
      </w:r>
      <w:r w:rsidR="00682353" w:rsidRPr="00A30368">
        <w:rPr>
          <w:rFonts w:cs="Arial"/>
        </w:rPr>
        <w:t>ied</w:t>
      </w:r>
      <w:r w:rsidR="00BE4FED" w:rsidRPr="00A30368">
        <w:rPr>
          <w:rFonts w:cs="Arial"/>
        </w:rPr>
        <w:t>.</w:t>
      </w:r>
      <w:r w:rsidRPr="00A30368">
        <w:rPr>
          <w:rFonts w:cs="Arial"/>
        </w:rPr>
        <w:t xml:space="preserve"> </w:t>
      </w:r>
      <w:r w:rsidR="009E4AD4" w:rsidRPr="00A30368">
        <w:t xml:space="preserve">This review process includes coverage of the </w:t>
      </w:r>
      <w:r w:rsidR="009E4AD4" w:rsidRPr="00A30368">
        <w:rPr>
          <w:rFonts w:cs="Arial"/>
        </w:rPr>
        <w:t xml:space="preserve">indicators and performance standards and consideration as to whether changes or improvements are needed based on newly available data, recent research, </w:t>
      </w:r>
      <w:r w:rsidR="004733CA" w:rsidRPr="00A30368">
        <w:rPr>
          <w:rFonts w:cs="Arial"/>
        </w:rPr>
        <w:t xml:space="preserve">or </w:t>
      </w:r>
      <w:r w:rsidR="009E4AD4" w:rsidRPr="00A30368">
        <w:rPr>
          <w:rFonts w:cs="Arial"/>
        </w:rPr>
        <w:t xml:space="preserve">feedback from stakeholders. </w:t>
      </w:r>
      <w:r w:rsidR="00221482" w:rsidRPr="00A30368">
        <w:rPr>
          <w:rFonts w:cs="Arial"/>
        </w:rPr>
        <w:t>It also</w:t>
      </w:r>
      <w:r w:rsidR="00682353" w:rsidRPr="00A30368">
        <w:t xml:space="preserve"> ensures continuous improvement in the state’s accountability system.</w:t>
      </w:r>
    </w:p>
    <w:p w14:paraId="7E12FFFA" w14:textId="36C8CA61" w:rsidR="000360AD" w:rsidRPr="00A30368" w:rsidRDefault="009E4AD4" w:rsidP="006C3BEC">
      <w:pPr>
        <w:spacing w:before="240" w:after="240"/>
      </w:pPr>
      <w:r w:rsidRPr="00A30368">
        <w:rPr>
          <w:rFonts w:cs="Arial"/>
        </w:rPr>
        <w:t>T</w:t>
      </w:r>
      <w:r w:rsidR="002156D1" w:rsidRPr="00A30368">
        <w:rPr>
          <w:rFonts w:cs="Arial"/>
        </w:rPr>
        <w:t>he</w:t>
      </w:r>
      <w:r w:rsidRPr="00A30368">
        <w:rPr>
          <w:rFonts w:cs="Arial"/>
        </w:rPr>
        <w:t xml:space="preserve"> </w:t>
      </w:r>
      <w:r w:rsidR="002156D1" w:rsidRPr="00A30368">
        <w:rPr>
          <w:rFonts w:cs="Arial"/>
        </w:rPr>
        <w:t xml:space="preserve">review </w:t>
      </w:r>
      <w:r w:rsidRPr="00A30368">
        <w:rPr>
          <w:rFonts w:cs="Arial"/>
        </w:rPr>
        <w:t xml:space="preserve">process requires the CDE to </w:t>
      </w:r>
      <w:r w:rsidR="00C733B8" w:rsidRPr="00A30368">
        <w:rPr>
          <w:rFonts w:cs="Arial"/>
        </w:rPr>
        <w:t xml:space="preserve">annually </w:t>
      </w:r>
      <w:r w:rsidRPr="00A30368">
        <w:rPr>
          <w:rFonts w:cs="Arial"/>
        </w:rPr>
        <w:t xml:space="preserve">update the SBE at </w:t>
      </w:r>
      <w:r w:rsidR="00C733B8" w:rsidRPr="00A30368">
        <w:rPr>
          <w:rFonts w:cs="Arial"/>
        </w:rPr>
        <w:t xml:space="preserve">the </w:t>
      </w:r>
      <w:r w:rsidRPr="00A30368">
        <w:rPr>
          <w:rFonts w:cs="Arial"/>
        </w:rPr>
        <w:t xml:space="preserve">March </w:t>
      </w:r>
      <w:r w:rsidR="00C733B8" w:rsidRPr="00A30368">
        <w:rPr>
          <w:rFonts w:cs="Arial"/>
        </w:rPr>
        <w:t xml:space="preserve">SBE </w:t>
      </w:r>
      <w:r w:rsidRPr="00A30368">
        <w:rPr>
          <w:rFonts w:cs="Arial"/>
        </w:rPr>
        <w:t xml:space="preserve">meeting on </w:t>
      </w:r>
      <w:r w:rsidR="002156D1" w:rsidRPr="00A30368">
        <w:rPr>
          <w:rFonts w:cs="Arial"/>
        </w:rPr>
        <w:t xml:space="preserve">the </w:t>
      </w:r>
      <w:r w:rsidRPr="00A30368">
        <w:rPr>
          <w:rFonts w:cs="Arial"/>
        </w:rPr>
        <w:t>indicators under consideration for review and/or revisions for action</w:t>
      </w:r>
      <w:r w:rsidR="00F668C5" w:rsidRPr="00A30368">
        <w:rPr>
          <w:rFonts w:cs="Arial"/>
        </w:rPr>
        <w:t xml:space="preserve"> ideally</w:t>
      </w:r>
      <w:r w:rsidRPr="00A30368">
        <w:rPr>
          <w:rFonts w:cs="Arial"/>
        </w:rPr>
        <w:t xml:space="preserve"> by the September</w:t>
      </w:r>
      <w:r w:rsidR="00F668C5" w:rsidRPr="00A30368">
        <w:rPr>
          <w:rFonts w:cs="Arial"/>
        </w:rPr>
        <w:t xml:space="preserve">, </w:t>
      </w:r>
      <w:r w:rsidR="0024797C" w:rsidRPr="00A30368">
        <w:rPr>
          <w:rFonts w:cs="Arial"/>
        </w:rPr>
        <w:t>or</w:t>
      </w:r>
      <w:r w:rsidR="00F668C5" w:rsidRPr="00A30368">
        <w:rPr>
          <w:rFonts w:cs="Arial"/>
        </w:rPr>
        <w:t xml:space="preserve"> a</w:t>
      </w:r>
      <w:r w:rsidR="00E91FF0" w:rsidRPr="00A30368">
        <w:rPr>
          <w:rFonts w:cs="Arial"/>
        </w:rPr>
        <w:t>t the latest</w:t>
      </w:r>
      <w:r w:rsidR="00BD05C6" w:rsidRPr="00A30368">
        <w:rPr>
          <w:rFonts w:cs="Arial"/>
        </w:rPr>
        <w:t>,</w:t>
      </w:r>
      <w:r w:rsidR="00E5169C" w:rsidRPr="00A30368">
        <w:rPr>
          <w:rFonts w:cs="Arial"/>
        </w:rPr>
        <w:t xml:space="preserve"> </w:t>
      </w:r>
      <w:r w:rsidR="0024797C" w:rsidRPr="00A30368">
        <w:rPr>
          <w:rFonts w:cs="Arial"/>
        </w:rPr>
        <w:t xml:space="preserve">November </w:t>
      </w:r>
      <w:r w:rsidRPr="00A30368">
        <w:rPr>
          <w:rFonts w:cs="Arial"/>
        </w:rPr>
        <w:t xml:space="preserve">SBE meeting. </w:t>
      </w:r>
      <w:r w:rsidR="006C5082" w:rsidRPr="00A30368">
        <w:t xml:space="preserve">This process allows for a gradual and deliberate approach to improving the state and local indicators and incorporating changes prior to the annual release of the Dashboard. </w:t>
      </w:r>
      <w:r w:rsidR="0024797C" w:rsidRPr="00A30368">
        <w:t xml:space="preserve">Additionally, the time between the SBE meetings is sufficient to allow </w:t>
      </w:r>
      <w:r w:rsidR="004733CA" w:rsidRPr="00A30368">
        <w:t xml:space="preserve">CDE </w:t>
      </w:r>
      <w:r w:rsidR="0024797C" w:rsidRPr="00A30368">
        <w:t>staff to conduct the analysis of any indicators identified in March</w:t>
      </w:r>
      <w:r w:rsidR="004733CA" w:rsidRPr="00A30368">
        <w:t>, consult with policy and technical working groups, obtain stakeholder input,</w:t>
      </w:r>
      <w:r w:rsidR="0024797C" w:rsidRPr="00A30368">
        <w:t xml:space="preserve"> and </w:t>
      </w:r>
      <w:r w:rsidR="004733CA" w:rsidRPr="00A30368">
        <w:t xml:space="preserve">ultimately </w:t>
      </w:r>
      <w:r w:rsidR="0024797C" w:rsidRPr="00A30368">
        <w:t xml:space="preserve">recommend </w:t>
      </w:r>
      <w:r w:rsidR="004733CA" w:rsidRPr="00A30368">
        <w:t xml:space="preserve">to the SBE </w:t>
      </w:r>
      <w:r w:rsidR="0024797C" w:rsidRPr="00A30368">
        <w:t xml:space="preserve">whether or not to modify any of the indicators by </w:t>
      </w:r>
      <w:r w:rsidR="004733CA" w:rsidRPr="00A30368">
        <w:t xml:space="preserve">their </w:t>
      </w:r>
      <w:r w:rsidR="0024797C" w:rsidRPr="00A30368">
        <w:t>September</w:t>
      </w:r>
      <w:r w:rsidR="004733CA" w:rsidRPr="00A30368">
        <w:t xml:space="preserve"> meeting</w:t>
      </w:r>
      <w:r w:rsidR="0024797C" w:rsidRPr="00A30368">
        <w:t>.</w:t>
      </w:r>
    </w:p>
    <w:p w14:paraId="06C8C732" w14:textId="37A506DC" w:rsidR="003402BA" w:rsidRPr="00A30368" w:rsidRDefault="003402BA" w:rsidP="00760BB9">
      <w:pPr>
        <w:autoSpaceDE w:val="0"/>
        <w:autoSpaceDN w:val="0"/>
        <w:adjustRightInd w:val="0"/>
        <w:spacing w:after="240"/>
        <w:rPr>
          <w:rFonts w:cs="Arial"/>
          <w:b/>
          <w:sz w:val="28"/>
          <w:szCs w:val="28"/>
        </w:rPr>
      </w:pPr>
      <w:r w:rsidRPr="00A30368">
        <w:rPr>
          <w:rFonts w:cs="Arial"/>
          <w:b/>
          <w:sz w:val="28"/>
          <w:szCs w:val="28"/>
        </w:rPr>
        <w:t>Application of Three-by-Five Colored Tables for Small Student Populations</w:t>
      </w:r>
    </w:p>
    <w:p w14:paraId="578F968E" w14:textId="4703B542" w:rsidR="00B23C2A" w:rsidRPr="00A30368" w:rsidRDefault="00B23C2A" w:rsidP="00760BB9">
      <w:pPr>
        <w:autoSpaceDE w:val="0"/>
        <w:autoSpaceDN w:val="0"/>
        <w:adjustRightInd w:val="0"/>
        <w:spacing w:after="240"/>
        <w:rPr>
          <w:rFonts w:cs="Arial"/>
          <w:color w:val="000000"/>
        </w:rPr>
      </w:pPr>
      <w:r w:rsidRPr="00A30368">
        <w:rPr>
          <w:rFonts w:cs="Arial"/>
          <w:color w:val="000000"/>
        </w:rPr>
        <w:t xml:space="preserve">In September 2017, the SBE approved the application of the three-by-five colored tables—an alternative methodology for assigning performance levels (colors) to LEAs and schools with small </w:t>
      </w:r>
      <w:r w:rsidR="00214DAE" w:rsidRPr="00A30368">
        <w:rPr>
          <w:rFonts w:cs="Arial"/>
          <w:color w:val="000000"/>
        </w:rPr>
        <w:t xml:space="preserve">student </w:t>
      </w:r>
      <w:r w:rsidRPr="00A30368">
        <w:rPr>
          <w:rFonts w:cs="Arial"/>
          <w:color w:val="000000"/>
        </w:rPr>
        <w:t>populations. (</w:t>
      </w:r>
      <w:hyperlink r:id="rId13" w:tooltip="September 2017 SBE Agenda Item 02" w:history="1">
        <w:r w:rsidRPr="00A30368">
          <w:rPr>
            <w:rStyle w:val="Hyperlink"/>
            <w:rFonts w:cs="Arial"/>
          </w:rPr>
          <w:t>https://www.cde.ca.gov/be/ag/ag/yr17/documents/sep17item02.doc</w:t>
        </w:r>
      </w:hyperlink>
      <w:r w:rsidRPr="00A30368">
        <w:rPr>
          <w:rFonts w:cs="Arial"/>
          <w:color w:val="000000"/>
        </w:rPr>
        <w:t>).</w:t>
      </w:r>
    </w:p>
    <w:p w14:paraId="0A8566A6" w14:textId="6FAAD0A8" w:rsidR="00B23C2A" w:rsidRPr="00A30368" w:rsidRDefault="00B23C2A" w:rsidP="00760BB9">
      <w:pPr>
        <w:autoSpaceDE w:val="0"/>
        <w:autoSpaceDN w:val="0"/>
        <w:adjustRightInd w:val="0"/>
        <w:spacing w:after="240"/>
        <w:rPr>
          <w:rFonts w:cs="Arial"/>
          <w:color w:val="000000"/>
        </w:rPr>
      </w:pPr>
      <w:r w:rsidRPr="00A30368">
        <w:rPr>
          <w:rFonts w:cs="Arial"/>
          <w:color w:val="000000"/>
        </w:rPr>
        <w:t xml:space="preserve">This methodology is applied when there are between 30 and </w:t>
      </w:r>
      <w:r w:rsidR="00057CFC" w:rsidRPr="00A30368">
        <w:rPr>
          <w:rFonts w:cs="Arial"/>
          <w:color w:val="000000"/>
        </w:rPr>
        <w:t>149</w:t>
      </w:r>
      <w:r w:rsidRPr="00A30368">
        <w:rPr>
          <w:rFonts w:cs="Arial"/>
          <w:color w:val="000000"/>
        </w:rPr>
        <w:t xml:space="preserve"> students at the LEA, school level, and student group levels for graduation rate, suspension rate, and chronic absenteeism, with plans to apply it to the College/Career Indicator </w:t>
      </w:r>
      <w:r w:rsidR="00214DAE" w:rsidRPr="00A30368">
        <w:rPr>
          <w:rFonts w:cs="Arial"/>
          <w:color w:val="000000"/>
        </w:rPr>
        <w:t xml:space="preserve">(CCI) </w:t>
      </w:r>
      <w:r w:rsidRPr="00A30368">
        <w:rPr>
          <w:rFonts w:cs="Arial"/>
          <w:color w:val="000000"/>
        </w:rPr>
        <w:t xml:space="preserve">for the 2019 Dashboard. </w:t>
      </w:r>
    </w:p>
    <w:p w14:paraId="1A4188E6" w14:textId="77777777" w:rsidR="00057CFC" w:rsidRPr="00A30368" w:rsidRDefault="00B23C2A" w:rsidP="00B23C2A">
      <w:pPr>
        <w:autoSpaceDE w:val="0"/>
        <w:autoSpaceDN w:val="0"/>
        <w:adjustRightInd w:val="0"/>
        <w:spacing w:after="240"/>
        <w:rPr>
          <w:rFonts w:cs="Arial"/>
          <w:color w:val="000000"/>
        </w:rPr>
      </w:pPr>
      <w:r w:rsidRPr="00A30368">
        <w:rPr>
          <w:rFonts w:cs="Arial"/>
          <w:color w:val="000000"/>
        </w:rPr>
        <w:t xml:space="preserve">The application of the three-by-five results in a refiguring of the performance level tables—from a five-by-five grid to a three-by-five grid—by removing two Change levels (Increased Significantly and Decreased Significantly) </w:t>
      </w:r>
      <w:r w:rsidR="00214DAE" w:rsidRPr="00A30368">
        <w:rPr>
          <w:rFonts w:cs="Arial"/>
          <w:color w:val="000000"/>
        </w:rPr>
        <w:t xml:space="preserve">which limits the </w:t>
      </w:r>
      <w:r w:rsidRPr="00A30368">
        <w:rPr>
          <w:rFonts w:cs="Arial"/>
          <w:color w:val="000000"/>
        </w:rPr>
        <w:t xml:space="preserve">extreme </w:t>
      </w:r>
      <w:r w:rsidR="00214DAE" w:rsidRPr="00A30368">
        <w:rPr>
          <w:rFonts w:cs="Arial"/>
          <w:color w:val="000000"/>
        </w:rPr>
        <w:t>change in results</w:t>
      </w:r>
      <w:r w:rsidRPr="00A30368">
        <w:rPr>
          <w:rFonts w:cs="Arial"/>
          <w:color w:val="000000"/>
        </w:rPr>
        <w:t xml:space="preserve"> </w:t>
      </w:r>
      <w:r w:rsidR="00214DAE" w:rsidRPr="00A30368">
        <w:rPr>
          <w:rFonts w:cs="Arial"/>
          <w:color w:val="000000"/>
        </w:rPr>
        <w:t xml:space="preserve">that occur </w:t>
      </w:r>
      <w:r w:rsidRPr="00A30368">
        <w:rPr>
          <w:rFonts w:cs="Arial"/>
          <w:color w:val="000000"/>
        </w:rPr>
        <w:t xml:space="preserve">in small student populations. </w:t>
      </w:r>
    </w:p>
    <w:p w14:paraId="22BA37D8" w14:textId="036545A1" w:rsidR="00214DAE" w:rsidRPr="00A30368" w:rsidRDefault="00B23C2A" w:rsidP="00057CFC">
      <w:pPr>
        <w:autoSpaceDE w:val="0"/>
        <w:autoSpaceDN w:val="0"/>
        <w:adjustRightInd w:val="0"/>
        <w:spacing w:after="240"/>
        <w:rPr>
          <w:rFonts w:cs="Arial"/>
          <w:color w:val="000000"/>
        </w:rPr>
      </w:pPr>
      <w:r w:rsidRPr="00A30368">
        <w:rPr>
          <w:rFonts w:cs="Arial"/>
          <w:color w:val="000000"/>
        </w:rPr>
        <w:t>Figure 2</w:t>
      </w:r>
      <w:r w:rsidR="00760BB9" w:rsidRPr="00A30368">
        <w:rPr>
          <w:rFonts w:cs="Arial"/>
          <w:color w:val="000000"/>
        </w:rPr>
        <w:t xml:space="preserve"> </w:t>
      </w:r>
      <w:r w:rsidRPr="00A30368">
        <w:rPr>
          <w:rFonts w:cs="Arial"/>
          <w:color w:val="000000"/>
        </w:rPr>
        <w:t xml:space="preserve">on the following page illustrates the </w:t>
      </w:r>
      <w:r w:rsidR="00760BB9" w:rsidRPr="00A30368">
        <w:rPr>
          <w:rFonts w:cs="Arial"/>
          <w:color w:val="000000"/>
        </w:rPr>
        <w:t xml:space="preserve">three-by-five colored table for the Graduation Rate Indicator. As referenced above, the two Change columns “Declined Significantly” and “Increased Significantly” are removed, resulting in a table that has three Change columns (i.e., Declined, Maintained, and Increased) and five Status rows (i.e., Very High, High, Medium, Low, and Very Low). </w:t>
      </w:r>
      <w:r w:rsidR="00214DAE" w:rsidRPr="00A30368">
        <w:rPr>
          <w:rFonts w:cs="Arial"/>
          <w:color w:val="000000"/>
        </w:rPr>
        <w:t>T</w:t>
      </w:r>
      <w:r w:rsidR="00760BB9" w:rsidRPr="00A30368">
        <w:rPr>
          <w:rFonts w:cs="Arial"/>
          <w:color w:val="000000"/>
        </w:rPr>
        <w:t xml:space="preserve">here are still five possible performance levels (colors) that </w:t>
      </w:r>
      <w:r w:rsidR="00214DAE" w:rsidRPr="00A30368">
        <w:rPr>
          <w:rFonts w:cs="Arial"/>
          <w:color w:val="000000"/>
        </w:rPr>
        <w:t xml:space="preserve">LEAs, schools, and </w:t>
      </w:r>
      <w:r w:rsidR="00760BB9" w:rsidRPr="00A30368">
        <w:rPr>
          <w:rFonts w:cs="Arial"/>
          <w:color w:val="000000"/>
        </w:rPr>
        <w:t xml:space="preserve">student groups can receive if their graduating cohort size is </w:t>
      </w:r>
      <w:r w:rsidR="00214DAE" w:rsidRPr="00A30368">
        <w:rPr>
          <w:rFonts w:cs="Arial"/>
          <w:color w:val="000000"/>
        </w:rPr>
        <w:t xml:space="preserve">between </w:t>
      </w:r>
      <w:r w:rsidR="00760BB9" w:rsidRPr="00A30368">
        <w:rPr>
          <w:rFonts w:cs="Arial"/>
          <w:color w:val="000000"/>
        </w:rPr>
        <w:t>30 to 149 students.</w:t>
      </w:r>
      <w:r w:rsidR="00214DAE" w:rsidRPr="00A30368">
        <w:rPr>
          <w:rFonts w:cs="Arial"/>
          <w:color w:val="000000"/>
        </w:rPr>
        <w:br w:type="page"/>
      </w:r>
    </w:p>
    <w:p w14:paraId="6225E48E" w14:textId="744AE18C" w:rsidR="00760BB9" w:rsidRPr="00A30368" w:rsidRDefault="00760BB9" w:rsidP="00760BB9">
      <w:pPr>
        <w:spacing w:after="240"/>
        <w:rPr>
          <w:rFonts w:cs="Arial"/>
          <w:b/>
          <w:color w:val="000000"/>
        </w:rPr>
      </w:pPr>
      <w:r w:rsidRPr="00A30368">
        <w:rPr>
          <w:rFonts w:cs="Arial"/>
          <w:b/>
          <w:color w:val="000000"/>
        </w:rPr>
        <w:lastRenderedPageBreak/>
        <w:t xml:space="preserve">Figure </w:t>
      </w:r>
      <w:r w:rsidR="00214DAE" w:rsidRPr="00A30368">
        <w:rPr>
          <w:rFonts w:cs="Arial"/>
          <w:b/>
          <w:color w:val="000000"/>
        </w:rPr>
        <w:t>2</w:t>
      </w:r>
      <w:r w:rsidRPr="00A30368">
        <w:rPr>
          <w:rFonts w:cs="Arial"/>
          <w:b/>
          <w:color w:val="000000"/>
        </w:rPr>
        <w:t>: Three-by-Five Colored Table for the Graduation Rate Indicator</w:t>
      </w:r>
    </w:p>
    <w:p w14:paraId="68F0563F" w14:textId="6B35614E" w:rsidR="00760BB9" w:rsidRPr="00A30368" w:rsidRDefault="00760BB9" w:rsidP="00214DAE">
      <w:pPr>
        <w:spacing w:after="240"/>
        <w:rPr>
          <w:rFonts w:cs="Arial"/>
          <w:color w:val="000000"/>
        </w:rPr>
      </w:pPr>
      <w:r w:rsidRPr="00A30368">
        <w:rPr>
          <w:noProof/>
          <w:lang w:eastAsia="ja-JP"/>
        </w:rPr>
        <w:drawing>
          <wp:inline distT="0" distB="0" distL="0" distR="0" wp14:anchorId="18F5B610" wp14:editId="07F92C71">
            <wp:extent cx="5888736" cy="3634265"/>
            <wp:effectExtent l="0" t="0" r="0" b="4445"/>
            <wp:docPr id="1" name="Picture 1" descr="Three-by-Five Colored Table for the Graduation Rate Indicator, which shows results of applying safety net methodology to student grou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extLst>
                        <a:ext uri="{28A0092B-C50C-407E-A947-70E740481C1C}">
                          <a14:useLocalDpi xmlns:a14="http://schemas.microsoft.com/office/drawing/2010/main" val="0"/>
                        </a:ext>
                      </a:extLst>
                    </a:blip>
                    <a:stretch>
                      <a:fillRect/>
                    </a:stretch>
                  </pic:blipFill>
                  <pic:spPr>
                    <a:xfrm>
                      <a:off x="0" y="0"/>
                      <a:ext cx="5911943" cy="3648587"/>
                    </a:xfrm>
                    <a:prstGeom prst="rect">
                      <a:avLst/>
                    </a:prstGeom>
                  </pic:spPr>
                </pic:pic>
              </a:graphicData>
            </a:graphic>
          </wp:inline>
        </w:drawing>
      </w:r>
    </w:p>
    <w:p w14:paraId="5C946BE9" w14:textId="62E49783" w:rsidR="00214DAE" w:rsidRPr="00A30368" w:rsidRDefault="00214DAE" w:rsidP="00057CFC">
      <w:pPr>
        <w:pStyle w:val="Heading2"/>
        <w:spacing w:before="360"/>
        <w:rPr>
          <w:i/>
          <w:sz w:val="24"/>
        </w:rPr>
      </w:pPr>
      <w:r w:rsidRPr="00A30368">
        <w:rPr>
          <w:i/>
          <w:sz w:val="24"/>
        </w:rPr>
        <w:t xml:space="preserve">Proposal of Three-by-Five Colored Table for CCI </w:t>
      </w:r>
    </w:p>
    <w:p w14:paraId="2F8DB647" w14:textId="4F26FE8E" w:rsidR="00057CFC" w:rsidRPr="00A30368" w:rsidRDefault="00045077" w:rsidP="00214DAE">
      <w:r w:rsidRPr="00A30368">
        <w:t>As discussed in the March 2019 SBE agenda item (</w:t>
      </w:r>
      <w:hyperlink r:id="rId15" w:tooltip="March 2019 SBE Meeting Agenda Item 17" w:history="1">
        <w:r w:rsidRPr="00A30368">
          <w:rPr>
            <w:rStyle w:val="Hyperlink"/>
          </w:rPr>
          <w:t>https://www.cde.ca.gov/be/ag/ag/yr19/documents/mar19item17.docx</w:t>
        </w:r>
      </w:hyperlink>
      <w:r w:rsidRPr="00A30368">
        <w:t xml:space="preserve">), </w:t>
      </w:r>
      <w:r w:rsidR="00057CFC" w:rsidRPr="00A30368">
        <w:t xml:space="preserve">the CDE proposed to the Technical Design Group and the California Practitioners Advisory Group (CPAG) the application of the three-by-five colored table to the CCI. This proposal was made because the CCI is based on the </w:t>
      </w:r>
      <w:r w:rsidR="00057CFC" w:rsidRPr="00A30368">
        <w:rPr>
          <w:rFonts w:eastAsiaTheme="minorHAnsi" w:cs="Arial"/>
          <w:color w:val="000000"/>
        </w:rPr>
        <w:t xml:space="preserve">same cohort of students used in the calculations for the Graduation Rate Indicator, which already applies the three-by-five to small student populations. Both the TDG and the CPAG </w:t>
      </w:r>
      <w:r w:rsidR="00057CFC" w:rsidRPr="00A30368">
        <w:t xml:space="preserve">supported the </w:t>
      </w:r>
      <w:r w:rsidR="002C13CB" w:rsidRPr="00A30368">
        <w:t>proposal</w:t>
      </w:r>
      <w:r w:rsidR="00F35B63" w:rsidRPr="00A30368">
        <w:t>,</w:t>
      </w:r>
      <w:r w:rsidR="002C13CB" w:rsidRPr="00A30368">
        <w:t xml:space="preserve"> and the CDE will be sharing the statewide results of </w:t>
      </w:r>
      <w:r w:rsidR="00B75065" w:rsidRPr="00A30368">
        <w:t>applying the t</w:t>
      </w:r>
      <w:r w:rsidR="002C13CB" w:rsidRPr="00A30368">
        <w:t xml:space="preserve">hree-by-five to the CCI at the July 2019 SBE meeting. </w:t>
      </w:r>
    </w:p>
    <w:p w14:paraId="7E12FFFB" w14:textId="77777777" w:rsidR="007F0F57" w:rsidRPr="00A30368" w:rsidRDefault="007F0F57" w:rsidP="006C3BEC">
      <w:pPr>
        <w:pStyle w:val="Heading3"/>
        <w:spacing w:before="240" w:after="240"/>
        <w:rPr>
          <w:rFonts w:ascii="Arial" w:hAnsi="Arial" w:cs="Arial"/>
          <w:b/>
          <w:color w:val="auto"/>
          <w:sz w:val="28"/>
          <w:szCs w:val="28"/>
        </w:rPr>
      </w:pPr>
      <w:r w:rsidRPr="00A30368">
        <w:rPr>
          <w:rFonts w:ascii="Arial" w:hAnsi="Arial" w:cs="Arial"/>
          <w:b/>
          <w:color w:val="auto"/>
          <w:sz w:val="28"/>
          <w:szCs w:val="28"/>
        </w:rPr>
        <w:t xml:space="preserve">Dashboard Alternative School Status and Modified Methods </w:t>
      </w:r>
    </w:p>
    <w:p w14:paraId="7E12FFFD" w14:textId="5B1786BB" w:rsidR="00766915" w:rsidRPr="00A30368" w:rsidRDefault="00E33A74" w:rsidP="006C3BEC">
      <w:pPr>
        <w:spacing w:before="240" w:after="240"/>
        <w:rPr>
          <w:lang w:val="en"/>
        </w:rPr>
      </w:pPr>
      <w:r w:rsidRPr="00A30368">
        <w:t xml:space="preserve">During the development of the </w:t>
      </w:r>
      <w:r w:rsidR="004733CA" w:rsidRPr="00A30368">
        <w:t>Dashboard</w:t>
      </w:r>
      <w:r w:rsidRPr="00A30368">
        <w:t xml:space="preserve">, the SBE </w:t>
      </w:r>
      <w:r w:rsidRPr="00A30368">
        <w:rPr>
          <w:rFonts w:cs="Arial"/>
        </w:rPr>
        <w:t>and stakeholders</w:t>
      </w:r>
      <w:r w:rsidRPr="00A30368">
        <w:rPr>
          <w:lang w:val="en"/>
        </w:rPr>
        <w:t xml:space="preserve"> raised concerns that the state indicators and standards did not fairly evaluate the success or progress of alternative schools that serve high-</w:t>
      </w:r>
      <w:r w:rsidR="00F668C5" w:rsidRPr="00A30368">
        <w:rPr>
          <w:lang w:val="en"/>
        </w:rPr>
        <w:t>need</w:t>
      </w:r>
      <w:r w:rsidRPr="00A30368">
        <w:rPr>
          <w:lang w:val="en"/>
        </w:rPr>
        <w:t xml:space="preserve"> students</w:t>
      </w:r>
      <w:r w:rsidR="006C6B1C" w:rsidRPr="00A30368">
        <w:rPr>
          <w:lang w:val="en"/>
        </w:rPr>
        <w:t xml:space="preserve"> (e.g., continuation, juvenile court, opportunity, county community, etc</w:t>
      </w:r>
      <w:r w:rsidRPr="00A30368">
        <w:rPr>
          <w:lang w:val="en"/>
        </w:rPr>
        <w:t>.</w:t>
      </w:r>
      <w:r w:rsidR="006C6B1C" w:rsidRPr="00A30368">
        <w:rPr>
          <w:lang w:val="en"/>
        </w:rPr>
        <w:t xml:space="preserve">). </w:t>
      </w:r>
      <w:r w:rsidR="00DE44DB" w:rsidRPr="00A30368">
        <w:rPr>
          <w:lang w:val="en"/>
        </w:rPr>
        <w:t xml:space="preserve">For instance, </w:t>
      </w:r>
      <w:r w:rsidR="00D90D7D" w:rsidRPr="00A30368">
        <w:rPr>
          <w:lang w:val="en"/>
        </w:rPr>
        <w:t xml:space="preserve">it is not appropriate to </w:t>
      </w:r>
      <w:r w:rsidR="00E004C5" w:rsidRPr="00A30368">
        <w:rPr>
          <w:lang w:val="en"/>
        </w:rPr>
        <w:t xml:space="preserve">hold </w:t>
      </w:r>
      <w:r w:rsidR="00D90D7D" w:rsidRPr="00A30368">
        <w:rPr>
          <w:lang w:val="en"/>
        </w:rPr>
        <w:t xml:space="preserve">alternative schools </w:t>
      </w:r>
      <w:r w:rsidR="00E004C5" w:rsidRPr="00A30368">
        <w:rPr>
          <w:lang w:val="en"/>
        </w:rPr>
        <w:t xml:space="preserve">accountable </w:t>
      </w:r>
      <w:r w:rsidR="00D90D7D" w:rsidRPr="00A30368">
        <w:rPr>
          <w:lang w:val="en"/>
        </w:rPr>
        <w:t xml:space="preserve">to </w:t>
      </w:r>
      <w:r w:rsidR="00DE44DB" w:rsidRPr="00A30368">
        <w:rPr>
          <w:lang w:val="en"/>
        </w:rPr>
        <w:t>a four-year cohort</w:t>
      </w:r>
      <w:r w:rsidR="007C578A" w:rsidRPr="00A30368">
        <w:rPr>
          <w:lang w:val="en"/>
        </w:rPr>
        <w:t xml:space="preserve"> rate </w:t>
      </w:r>
      <w:r w:rsidR="00D90D7D" w:rsidRPr="00A30368">
        <w:rPr>
          <w:lang w:val="en"/>
        </w:rPr>
        <w:t>because</w:t>
      </w:r>
      <w:r w:rsidR="007C578A" w:rsidRPr="00A30368">
        <w:rPr>
          <w:lang w:val="en"/>
        </w:rPr>
        <w:t xml:space="preserve"> </w:t>
      </w:r>
      <w:r w:rsidR="00E5169C" w:rsidRPr="00A30368">
        <w:rPr>
          <w:lang w:val="en"/>
        </w:rPr>
        <w:t xml:space="preserve">many of these schools serve students who, when they enroll at the alternative school, </w:t>
      </w:r>
      <w:r w:rsidR="00221482" w:rsidRPr="00A30368">
        <w:rPr>
          <w:lang w:val="en"/>
        </w:rPr>
        <w:t xml:space="preserve">are </w:t>
      </w:r>
      <w:r w:rsidR="006C6B1C" w:rsidRPr="00A30368">
        <w:rPr>
          <w:lang w:val="en"/>
        </w:rPr>
        <w:t xml:space="preserve">credit deficient </w:t>
      </w:r>
      <w:r w:rsidR="00D90D7D" w:rsidRPr="00A30368">
        <w:rPr>
          <w:lang w:val="en"/>
        </w:rPr>
        <w:t>and</w:t>
      </w:r>
      <w:r w:rsidR="007C578A" w:rsidRPr="00A30368">
        <w:rPr>
          <w:lang w:val="en"/>
        </w:rPr>
        <w:t xml:space="preserve"> </w:t>
      </w:r>
      <w:r w:rsidR="00DE44DB" w:rsidRPr="00A30368">
        <w:rPr>
          <w:lang w:val="en"/>
        </w:rPr>
        <w:t xml:space="preserve">are not on track to graduate in four-years. </w:t>
      </w:r>
      <w:r w:rsidR="00701D4F" w:rsidRPr="00A30368">
        <w:rPr>
          <w:lang w:val="en"/>
        </w:rPr>
        <w:t xml:space="preserve">Because some of the </w:t>
      </w:r>
      <w:r w:rsidR="00701D4F" w:rsidRPr="00A30368">
        <w:rPr>
          <w:lang w:val="en"/>
        </w:rPr>
        <w:lastRenderedPageBreak/>
        <w:t xml:space="preserve">established indicators did not fairly evaluate alternative schools, </w:t>
      </w:r>
      <w:r w:rsidR="00221482" w:rsidRPr="00A30368">
        <w:rPr>
          <w:lang w:val="en"/>
        </w:rPr>
        <w:t>Dashboard Alternative Schools Status (</w:t>
      </w:r>
      <w:r w:rsidR="00E004C5" w:rsidRPr="00A30368">
        <w:rPr>
          <w:lang w:val="en"/>
        </w:rPr>
        <w:t>DASS</w:t>
      </w:r>
      <w:r w:rsidR="00221482" w:rsidRPr="00A30368">
        <w:rPr>
          <w:lang w:val="en"/>
        </w:rPr>
        <w:t>)</w:t>
      </w:r>
      <w:r w:rsidR="00E004C5" w:rsidRPr="00A30368">
        <w:rPr>
          <w:lang w:val="en"/>
        </w:rPr>
        <w:t xml:space="preserve"> schools </w:t>
      </w:r>
      <w:r w:rsidR="00701D4F" w:rsidRPr="00A30368">
        <w:rPr>
          <w:lang w:val="en"/>
        </w:rPr>
        <w:t>di</w:t>
      </w:r>
      <w:r w:rsidR="006C3BEC" w:rsidRPr="00A30368">
        <w:rPr>
          <w:lang w:val="en"/>
        </w:rPr>
        <w:t>d not receive a 2017 Dashboard.</w:t>
      </w:r>
    </w:p>
    <w:p w14:paraId="7E12FFFF" w14:textId="30988EBF" w:rsidR="007C578A" w:rsidRPr="00A30368" w:rsidRDefault="002D06B7" w:rsidP="006C3BEC">
      <w:pPr>
        <w:spacing w:before="240" w:after="240"/>
      </w:pPr>
      <w:r w:rsidRPr="00A30368">
        <w:rPr>
          <w:lang w:val="en"/>
        </w:rPr>
        <w:t xml:space="preserve">Under the direction of the SBE, </w:t>
      </w:r>
      <w:r w:rsidRPr="00A30368">
        <w:t xml:space="preserve">the </w:t>
      </w:r>
      <w:r w:rsidRPr="00A30368">
        <w:rPr>
          <w:lang w:val="en"/>
        </w:rPr>
        <w:t xml:space="preserve">CDE </w:t>
      </w:r>
      <w:r w:rsidRPr="00A30368">
        <w:t xml:space="preserve">began exploring the development of robust measurements, or “modified methods,” for alternative schools. To start this process, </w:t>
      </w:r>
      <w:r w:rsidR="007C578A" w:rsidRPr="00A30368">
        <w:t>the SBE approved</w:t>
      </w:r>
      <w:r w:rsidR="00C733B8" w:rsidRPr="00A30368">
        <w:t xml:space="preserve"> at their </w:t>
      </w:r>
      <w:r w:rsidR="00DE44DB" w:rsidRPr="00A30368">
        <w:t>May and July 2017</w:t>
      </w:r>
      <w:r w:rsidR="00C733B8" w:rsidRPr="00A30368">
        <w:t xml:space="preserve"> meetings</w:t>
      </w:r>
      <w:r w:rsidR="00DE44DB" w:rsidRPr="00A30368">
        <w:t xml:space="preserve"> </w:t>
      </w:r>
      <w:r w:rsidR="00D90D7D" w:rsidRPr="00A30368">
        <w:t>the criteria to identify alternative schools</w:t>
      </w:r>
      <w:r w:rsidR="00701D4F" w:rsidRPr="00A30368">
        <w:t xml:space="preserve"> that would be eligible for modified methods</w:t>
      </w:r>
      <w:r w:rsidR="00221482" w:rsidRPr="00A30368">
        <w:t>.</w:t>
      </w:r>
      <w:r w:rsidR="00DE44DB" w:rsidRPr="00A30368">
        <w:t xml:space="preserve"> </w:t>
      </w:r>
      <w:r w:rsidR="00701D4F" w:rsidRPr="00A30368">
        <w:t>T</w:t>
      </w:r>
      <w:r w:rsidRPr="00A30368">
        <w:t xml:space="preserve">he </w:t>
      </w:r>
      <w:r w:rsidR="00DE44DB" w:rsidRPr="00A30368">
        <w:t xml:space="preserve">CDE, in collaboration with the Gardner Center at Stanford University (through a grant from the Stuart Foundation), coordinated a Statewide Advisory Task Force </w:t>
      </w:r>
      <w:r w:rsidR="00766915" w:rsidRPr="00A30368">
        <w:t xml:space="preserve">(Task Force) </w:t>
      </w:r>
      <w:r w:rsidR="00DE44DB" w:rsidRPr="00A30368">
        <w:t xml:space="preserve">to focus on alternative education accountability. The Task Force held its first meeting in May 2017 to consider </w:t>
      </w:r>
      <w:r w:rsidRPr="00A30368">
        <w:t xml:space="preserve">what modifications could be made to current state indicators that would be appropriate to apply to </w:t>
      </w:r>
      <w:r w:rsidR="00DE44DB" w:rsidRPr="00A30368">
        <w:t>alternative schools</w:t>
      </w:r>
      <w:r w:rsidRPr="00A30368">
        <w:t xml:space="preserve">. The goal was to </w:t>
      </w:r>
      <w:r w:rsidR="00DE44DB" w:rsidRPr="00A30368">
        <w:t xml:space="preserve">recommend </w:t>
      </w:r>
      <w:r w:rsidRPr="00A30368">
        <w:t xml:space="preserve">to the SBE modified methods </w:t>
      </w:r>
      <w:r w:rsidR="00DE44DB" w:rsidRPr="00A30368">
        <w:t>for inclusion in the 2018 Dashboard.</w:t>
      </w:r>
    </w:p>
    <w:p w14:paraId="7E130001" w14:textId="02BB925F" w:rsidR="00AC5890" w:rsidRPr="00A30368" w:rsidRDefault="00AC5890" w:rsidP="001F232C">
      <w:pPr>
        <w:pStyle w:val="Heading4"/>
        <w:spacing w:before="240" w:after="240"/>
        <w:rPr>
          <w:rFonts w:ascii="Arial" w:hAnsi="Arial" w:cs="Arial"/>
          <w:b/>
          <w:color w:val="auto"/>
        </w:rPr>
      </w:pPr>
      <w:r w:rsidRPr="00A30368">
        <w:rPr>
          <w:rFonts w:ascii="Arial" w:hAnsi="Arial" w:cs="Arial"/>
          <w:b/>
          <w:color w:val="auto"/>
        </w:rPr>
        <w:t xml:space="preserve">DASS Graduation Rate </w:t>
      </w:r>
    </w:p>
    <w:p w14:paraId="7E130003" w14:textId="67A914EB" w:rsidR="00D61C92" w:rsidRPr="00A30368" w:rsidRDefault="00375850" w:rsidP="006C3BEC">
      <w:pPr>
        <w:spacing w:before="240" w:after="240"/>
        <w:rPr>
          <w:rFonts w:cs="Arial"/>
        </w:rPr>
      </w:pPr>
      <w:r w:rsidRPr="00A30368">
        <w:rPr>
          <w:rFonts w:cs="Arial"/>
        </w:rPr>
        <w:t xml:space="preserve">The Task Force </w:t>
      </w:r>
      <w:r w:rsidR="004733CA" w:rsidRPr="00A30368">
        <w:rPr>
          <w:rFonts w:cs="Arial"/>
        </w:rPr>
        <w:t>recommended</w:t>
      </w:r>
      <w:r w:rsidRPr="00A30368">
        <w:rPr>
          <w:rFonts w:cs="Arial"/>
        </w:rPr>
        <w:t xml:space="preserve"> begin</w:t>
      </w:r>
      <w:r w:rsidR="004733CA" w:rsidRPr="00A30368">
        <w:rPr>
          <w:rFonts w:cs="Arial"/>
        </w:rPr>
        <w:t>ning</w:t>
      </w:r>
      <w:r w:rsidRPr="00A30368">
        <w:rPr>
          <w:rFonts w:cs="Arial"/>
        </w:rPr>
        <w:t xml:space="preserve"> with developing a modified method for the </w:t>
      </w:r>
      <w:r w:rsidR="00D61C92" w:rsidRPr="00A30368">
        <w:t>Graduation Rate Indicator</w:t>
      </w:r>
      <w:r w:rsidR="00D61C92" w:rsidRPr="00A30368">
        <w:rPr>
          <w:rFonts w:cs="Arial"/>
        </w:rPr>
        <w:t xml:space="preserve"> </w:t>
      </w:r>
      <w:r w:rsidRPr="00A30368">
        <w:rPr>
          <w:rFonts w:cs="Arial"/>
        </w:rPr>
        <w:t>because most students who enroll at DASS schools are not on track to graduate within four</w:t>
      </w:r>
      <w:r w:rsidR="004733CA" w:rsidRPr="00A30368">
        <w:rPr>
          <w:rFonts w:cs="Arial"/>
        </w:rPr>
        <w:t>-</w:t>
      </w:r>
      <w:r w:rsidRPr="00A30368">
        <w:rPr>
          <w:rFonts w:cs="Arial"/>
        </w:rPr>
        <w:t xml:space="preserve">years after entering grade nine. </w:t>
      </w:r>
      <w:r w:rsidR="00D61C92" w:rsidRPr="00A30368">
        <w:rPr>
          <w:rFonts w:cs="Arial"/>
        </w:rPr>
        <w:t>Over the course of five meetings, t</w:t>
      </w:r>
      <w:r w:rsidRPr="00A30368">
        <w:rPr>
          <w:rFonts w:cs="Arial"/>
        </w:rPr>
        <w:t xml:space="preserve">he </w:t>
      </w:r>
      <w:r w:rsidR="00D61C92" w:rsidRPr="00A30368">
        <w:rPr>
          <w:rFonts w:cs="Arial"/>
        </w:rPr>
        <w:t>Task Force</w:t>
      </w:r>
      <w:r w:rsidRPr="00A30368">
        <w:rPr>
          <w:rFonts w:cs="Arial"/>
        </w:rPr>
        <w:t xml:space="preserve"> reviewed numerous simulation results using </w:t>
      </w:r>
      <w:r w:rsidR="00D61C92" w:rsidRPr="00A30368">
        <w:rPr>
          <w:rFonts w:cs="Arial"/>
        </w:rPr>
        <w:t>a</w:t>
      </w:r>
      <w:r w:rsidRPr="00A30368">
        <w:rPr>
          <w:rFonts w:cs="Arial"/>
        </w:rPr>
        <w:t xml:space="preserve"> </w:t>
      </w:r>
      <w:r w:rsidR="00D61C92" w:rsidRPr="00A30368">
        <w:rPr>
          <w:rFonts w:cs="Arial"/>
        </w:rPr>
        <w:t>“</w:t>
      </w:r>
      <w:r w:rsidRPr="00A30368">
        <w:rPr>
          <w:rFonts w:cs="Arial"/>
        </w:rPr>
        <w:t>one-year</w:t>
      </w:r>
      <w:r w:rsidR="00D61C92" w:rsidRPr="00A30368">
        <w:rPr>
          <w:rFonts w:cs="Arial"/>
        </w:rPr>
        <w:t>”</w:t>
      </w:r>
      <w:r w:rsidRPr="00A30368">
        <w:rPr>
          <w:rFonts w:cs="Arial"/>
        </w:rPr>
        <w:t xml:space="preserve"> graduation rate</w:t>
      </w:r>
      <w:r w:rsidR="00D61C92" w:rsidRPr="00A30368">
        <w:rPr>
          <w:rFonts w:cs="Arial"/>
        </w:rPr>
        <w:t>, which is based on all students in grade twelve. After receiving recommendations from t</w:t>
      </w:r>
      <w:r w:rsidR="00766915" w:rsidRPr="00A30368">
        <w:t xml:space="preserve">he Task Force, </w:t>
      </w:r>
      <w:r w:rsidR="00D61C92" w:rsidRPr="00A30368">
        <w:t xml:space="preserve">the </w:t>
      </w:r>
      <w:r w:rsidR="00766915" w:rsidRPr="00A30368">
        <w:t xml:space="preserve">TDG </w:t>
      </w:r>
      <w:r w:rsidR="00D61C92" w:rsidRPr="00A30368">
        <w:t xml:space="preserve">for technical soundness, </w:t>
      </w:r>
      <w:r w:rsidR="00766915" w:rsidRPr="00A30368">
        <w:t xml:space="preserve">and other stakeholders, </w:t>
      </w:r>
      <w:r w:rsidR="00D61C92" w:rsidRPr="00A30368">
        <w:t xml:space="preserve">the </w:t>
      </w:r>
      <w:r w:rsidR="004733CA" w:rsidRPr="00A30368">
        <w:t xml:space="preserve">CDE </w:t>
      </w:r>
      <w:r w:rsidR="007968F6" w:rsidRPr="00A30368">
        <w:t>recommended</w:t>
      </w:r>
      <w:r w:rsidR="00E5169C" w:rsidRPr="00A30368">
        <w:t>, and the SBE approved,</w:t>
      </w:r>
      <w:r w:rsidR="007968F6" w:rsidRPr="00A30368">
        <w:t xml:space="preserve"> </w:t>
      </w:r>
      <w:r w:rsidR="00D61C92" w:rsidRPr="00A30368">
        <w:t xml:space="preserve">the </w:t>
      </w:r>
      <w:r w:rsidR="00AC5890" w:rsidRPr="00A30368">
        <w:t xml:space="preserve">methodology for calculating the </w:t>
      </w:r>
      <w:r w:rsidR="00D61C92" w:rsidRPr="00A30368">
        <w:t>DASS graduation rate</w:t>
      </w:r>
      <w:r w:rsidR="00701D4F" w:rsidRPr="00A30368">
        <w:t xml:space="preserve"> at the May 2018 meeting</w:t>
      </w:r>
      <w:r w:rsidR="00D61C92" w:rsidRPr="00A30368">
        <w:t xml:space="preserve">. In September 2018, the </w:t>
      </w:r>
      <w:r w:rsidR="00AC5890" w:rsidRPr="00A30368">
        <w:t xml:space="preserve">SBE approved cut scores for the </w:t>
      </w:r>
      <w:r w:rsidR="00D30D61" w:rsidRPr="00A30368">
        <w:rPr>
          <w:rFonts w:cs="Arial"/>
        </w:rPr>
        <w:t>DASS graduation rate</w:t>
      </w:r>
      <w:r w:rsidR="00221482" w:rsidRPr="00A30368">
        <w:rPr>
          <w:rFonts w:cs="Arial"/>
        </w:rPr>
        <w:t>, which was</w:t>
      </w:r>
      <w:r w:rsidR="00AC5890" w:rsidRPr="00A30368">
        <w:rPr>
          <w:rFonts w:cs="Arial"/>
        </w:rPr>
        <w:t xml:space="preserve"> produced for the first time in the </w:t>
      </w:r>
      <w:r w:rsidR="006C3BEC" w:rsidRPr="00A30368">
        <w:rPr>
          <w:rFonts w:cs="Arial"/>
        </w:rPr>
        <w:t>2018 Dashboard.</w:t>
      </w:r>
    </w:p>
    <w:p w14:paraId="7E130005" w14:textId="5D7789AA" w:rsidR="003665D0" w:rsidRPr="00A30368" w:rsidRDefault="003665D0" w:rsidP="006C3BEC">
      <w:pPr>
        <w:spacing w:before="240" w:after="240"/>
        <w:rPr>
          <w:rFonts w:cs="Arial"/>
        </w:rPr>
      </w:pPr>
      <w:r w:rsidRPr="00A30368">
        <w:rPr>
          <w:rFonts w:cs="Arial"/>
        </w:rPr>
        <w:t xml:space="preserve">The CDE will continue to work with the Task Force to determine </w:t>
      </w:r>
      <w:r w:rsidR="00221482" w:rsidRPr="00A30368">
        <w:rPr>
          <w:rFonts w:cs="Arial"/>
        </w:rPr>
        <w:t>if</w:t>
      </w:r>
      <w:r w:rsidRPr="00A30368">
        <w:rPr>
          <w:rFonts w:cs="Arial"/>
        </w:rPr>
        <w:t xml:space="preserve"> other modified methods are appropriate</w:t>
      </w:r>
      <w:r w:rsidR="007968F6" w:rsidRPr="00A30368">
        <w:rPr>
          <w:rFonts w:cs="Arial"/>
        </w:rPr>
        <w:t xml:space="preserve"> for inclusion in the Dashboard</w:t>
      </w:r>
      <w:r w:rsidR="006C3BEC" w:rsidRPr="00A30368">
        <w:rPr>
          <w:rFonts w:cs="Arial"/>
        </w:rPr>
        <w:t>.</w:t>
      </w:r>
    </w:p>
    <w:p w14:paraId="7E130006" w14:textId="4C776B92" w:rsidR="00491DB1" w:rsidRPr="00A30368" w:rsidRDefault="006C3BEC" w:rsidP="006C3BEC">
      <w:pPr>
        <w:pStyle w:val="Heading3"/>
        <w:spacing w:before="240" w:after="240"/>
        <w:rPr>
          <w:rFonts w:ascii="Arial" w:hAnsi="Arial" w:cs="Arial"/>
          <w:b/>
          <w:color w:val="auto"/>
          <w:sz w:val="28"/>
          <w:szCs w:val="28"/>
        </w:rPr>
      </w:pPr>
      <w:r w:rsidRPr="00A30368">
        <w:rPr>
          <w:rFonts w:ascii="Arial" w:hAnsi="Arial" w:cs="Arial"/>
          <w:b/>
          <w:color w:val="auto"/>
          <w:sz w:val="28"/>
          <w:szCs w:val="28"/>
        </w:rPr>
        <w:t>Next Steps</w:t>
      </w:r>
    </w:p>
    <w:p w14:paraId="7E130008" w14:textId="11F0964D" w:rsidR="00491DB1" w:rsidRPr="00A30368" w:rsidRDefault="00C733B8" w:rsidP="006C3BEC">
      <w:pPr>
        <w:spacing w:before="240" w:after="240"/>
      </w:pPr>
      <w:r w:rsidRPr="00A30368">
        <w:t>D</w:t>
      </w:r>
      <w:r w:rsidR="004F3F1B" w:rsidRPr="00A30368">
        <w:t>uring the annual review of the Dashboard at the</w:t>
      </w:r>
      <w:r w:rsidR="00491DB1" w:rsidRPr="00A30368">
        <w:t xml:space="preserve"> March 2019 SBE </w:t>
      </w:r>
      <w:r w:rsidR="004F3F1B" w:rsidRPr="00A30368">
        <w:t>meeting</w:t>
      </w:r>
      <w:r w:rsidR="00491DB1" w:rsidRPr="00A30368">
        <w:t xml:space="preserve"> (</w:t>
      </w:r>
      <w:hyperlink r:id="rId16" w:tooltip="March 2019 SBE Meeting Agenda Item 17" w:history="1">
        <w:r w:rsidR="00491DB1" w:rsidRPr="00A30368">
          <w:rPr>
            <w:rStyle w:val="Hyperlink"/>
          </w:rPr>
          <w:t>https://www.cde.ca.gov/be/ag/ag/yr19/documents/mar19item17.docx</w:t>
        </w:r>
      </w:hyperlink>
      <w:r w:rsidR="00491DB1" w:rsidRPr="00A30368">
        <w:t>)</w:t>
      </w:r>
      <w:r w:rsidR="004F3F1B" w:rsidRPr="00A30368">
        <w:t>,</w:t>
      </w:r>
      <w:r w:rsidR="00491DB1" w:rsidRPr="00A30368">
        <w:t xml:space="preserve"> the SBE approved the CDE’s recommendation to </w:t>
      </w:r>
      <w:r w:rsidR="003665D0" w:rsidRPr="00A30368">
        <w:t xml:space="preserve">explore </w:t>
      </w:r>
      <w:r w:rsidR="00491DB1" w:rsidRPr="00A30368">
        <w:t>the following revis</w:t>
      </w:r>
      <w:r w:rsidR="006C3BEC" w:rsidRPr="00A30368">
        <w:t>ions to the Dashboard for 2019:</w:t>
      </w:r>
    </w:p>
    <w:p w14:paraId="7E130009" w14:textId="3BFACBB9" w:rsidR="00491DB1" w:rsidRPr="00A30368" w:rsidRDefault="00491DB1" w:rsidP="006C3BEC">
      <w:pPr>
        <w:pStyle w:val="ListParagraph"/>
        <w:numPr>
          <w:ilvl w:val="0"/>
          <w:numId w:val="7"/>
        </w:numPr>
        <w:spacing w:before="240" w:after="240"/>
        <w:contextualSpacing w:val="0"/>
        <w:rPr>
          <w:rFonts w:cs="Arial"/>
        </w:rPr>
      </w:pPr>
      <w:r w:rsidRPr="00A30368">
        <w:rPr>
          <w:rFonts w:cs="Arial"/>
        </w:rPr>
        <w:t>Incorporation of the California Alternate Assessments in the Academic Indicator</w:t>
      </w:r>
    </w:p>
    <w:p w14:paraId="7E13000A" w14:textId="77777777" w:rsidR="00491DB1" w:rsidRPr="00A30368" w:rsidRDefault="00491DB1" w:rsidP="006C3BEC">
      <w:pPr>
        <w:pStyle w:val="ListParagraph"/>
        <w:numPr>
          <w:ilvl w:val="0"/>
          <w:numId w:val="7"/>
        </w:numPr>
        <w:spacing w:before="240" w:after="240"/>
        <w:contextualSpacing w:val="0"/>
        <w:rPr>
          <w:rFonts w:cs="Arial"/>
        </w:rPr>
      </w:pPr>
      <w:r w:rsidRPr="00A30368">
        <w:rPr>
          <w:rFonts w:cs="Arial"/>
        </w:rPr>
        <w:t>Incorporation of the Five-Year Graduation Rate into the Dashboard</w:t>
      </w:r>
    </w:p>
    <w:p w14:paraId="7E13000B" w14:textId="5B8E9B35" w:rsidR="00491DB1" w:rsidRPr="00A30368" w:rsidRDefault="00491DB1" w:rsidP="006C3BEC">
      <w:pPr>
        <w:pStyle w:val="ListParagraph"/>
        <w:numPr>
          <w:ilvl w:val="0"/>
          <w:numId w:val="7"/>
        </w:numPr>
        <w:spacing w:before="240" w:after="240"/>
        <w:contextualSpacing w:val="0"/>
        <w:rPr>
          <w:rFonts w:cs="Arial"/>
        </w:rPr>
      </w:pPr>
      <w:r w:rsidRPr="00A30368">
        <w:rPr>
          <w:rFonts w:cs="Arial"/>
        </w:rPr>
        <w:t>Application of the Three-by-Five Color Grid for the CCI</w:t>
      </w:r>
    </w:p>
    <w:p w14:paraId="7E13000C" w14:textId="1F664DDA" w:rsidR="00491DB1" w:rsidRPr="00A30368" w:rsidRDefault="00491DB1" w:rsidP="006C3BEC">
      <w:pPr>
        <w:pStyle w:val="ListParagraph"/>
        <w:numPr>
          <w:ilvl w:val="0"/>
          <w:numId w:val="7"/>
        </w:numPr>
        <w:spacing w:before="240" w:after="240"/>
        <w:contextualSpacing w:val="0"/>
        <w:rPr>
          <w:rFonts w:cs="Arial"/>
        </w:rPr>
      </w:pPr>
      <w:r w:rsidRPr="00A30368">
        <w:rPr>
          <w:rFonts w:cs="Arial"/>
        </w:rPr>
        <w:t>Inclusion of Status for the English Learner Progress Indicator into the Dashboard</w:t>
      </w:r>
    </w:p>
    <w:p w14:paraId="7E13000D" w14:textId="77777777" w:rsidR="00491DB1" w:rsidRPr="00A30368" w:rsidRDefault="00491DB1" w:rsidP="006C3BEC">
      <w:pPr>
        <w:pStyle w:val="ListParagraph"/>
        <w:numPr>
          <w:ilvl w:val="0"/>
          <w:numId w:val="7"/>
        </w:numPr>
        <w:spacing w:before="240" w:after="240"/>
        <w:contextualSpacing w:val="0"/>
        <w:rPr>
          <w:rFonts w:cs="Arial"/>
        </w:rPr>
      </w:pPr>
      <w:r w:rsidRPr="00A30368">
        <w:rPr>
          <w:rFonts w:cs="Arial"/>
        </w:rPr>
        <w:t>Inclusion of Additional Measures in the CCI for Students with Disabilities</w:t>
      </w:r>
    </w:p>
    <w:p w14:paraId="7E13000E" w14:textId="2E3B92CF" w:rsidR="00491DB1" w:rsidRPr="00A30368" w:rsidRDefault="00491DB1" w:rsidP="006C3BEC">
      <w:pPr>
        <w:spacing w:before="240" w:after="240"/>
      </w:pPr>
      <w:r w:rsidRPr="00A30368">
        <w:lastRenderedPageBreak/>
        <w:t>As data analyses and input from stakeholders become available, the CDE will shar</w:t>
      </w:r>
      <w:r w:rsidR="00C733B8" w:rsidRPr="00A30368">
        <w:t>e</w:t>
      </w:r>
      <w:r w:rsidRPr="00A30368">
        <w:t xml:space="preserve"> </w:t>
      </w:r>
      <w:r w:rsidR="007968F6" w:rsidRPr="00A30368">
        <w:t xml:space="preserve">additional </w:t>
      </w:r>
      <w:r w:rsidRPr="00A30368">
        <w:t>information and propos</w:t>
      </w:r>
      <w:r w:rsidR="007968F6" w:rsidRPr="00A30368">
        <w:t>e</w:t>
      </w:r>
      <w:r w:rsidRPr="00A30368">
        <w:t xml:space="preserve"> any potential changes in future SBE agenda items and memorand</w:t>
      </w:r>
      <w:r w:rsidR="00C733B8" w:rsidRPr="00A30368">
        <w:t>a</w:t>
      </w:r>
      <w:r w:rsidR="006C3BEC" w:rsidRPr="00A30368">
        <w:t>.</w:t>
      </w:r>
    </w:p>
    <w:p w14:paraId="7E13000F" w14:textId="77777777" w:rsidR="00057A96" w:rsidRPr="00A30368" w:rsidRDefault="00057A96" w:rsidP="006C3BEC">
      <w:pPr>
        <w:pStyle w:val="Heading2"/>
        <w:spacing w:before="240" w:after="240"/>
        <w:rPr>
          <w:sz w:val="36"/>
        </w:rPr>
      </w:pPr>
      <w:r w:rsidRPr="00A30368">
        <w:rPr>
          <w:sz w:val="36"/>
        </w:rPr>
        <w:t>Attachment(s)</w:t>
      </w:r>
    </w:p>
    <w:p w14:paraId="7E130010" w14:textId="77777777" w:rsidR="00057A96" w:rsidRPr="006C3BEC" w:rsidRDefault="00D403D5" w:rsidP="006C3BEC">
      <w:pPr>
        <w:spacing w:before="240" w:after="240"/>
      </w:pPr>
      <w:r w:rsidRPr="00A30368">
        <w:t>None.</w:t>
      </w:r>
    </w:p>
    <w:sectPr w:rsidR="00057A96" w:rsidRPr="006C3BEC" w:rsidSect="00057A96">
      <w:type w:val="continuous"/>
      <w:pgSz w:w="12240" w:h="15840"/>
      <w:pgMar w:top="72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2E9416" w14:textId="77777777" w:rsidR="004F46A8" w:rsidRDefault="004F46A8" w:rsidP="00A96AC1">
      <w:r>
        <w:separator/>
      </w:r>
    </w:p>
  </w:endnote>
  <w:endnote w:type="continuationSeparator" w:id="0">
    <w:p w14:paraId="09E2C79E" w14:textId="77777777" w:rsidR="004F46A8" w:rsidRDefault="004F46A8" w:rsidP="00A96A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D8A499" w14:textId="77777777" w:rsidR="004F46A8" w:rsidRDefault="004F46A8" w:rsidP="00A96AC1">
      <w:r>
        <w:separator/>
      </w:r>
    </w:p>
  </w:footnote>
  <w:footnote w:type="continuationSeparator" w:id="0">
    <w:p w14:paraId="553D1440" w14:textId="77777777" w:rsidR="004F46A8" w:rsidRDefault="004F46A8" w:rsidP="00A96A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130017" w14:textId="5136570C" w:rsidR="00A96AC1" w:rsidRDefault="005478CD" w:rsidP="00A96AC1">
    <w:pPr>
      <w:pStyle w:val="Header"/>
      <w:jc w:val="right"/>
      <w:rPr>
        <w:rFonts w:cs="Arial"/>
      </w:rPr>
    </w:pPr>
    <w:r>
      <w:rPr>
        <w:rFonts w:cs="Arial"/>
      </w:rPr>
      <w:t>memo-</w:t>
    </w:r>
    <w:r w:rsidR="00A96AC1">
      <w:rPr>
        <w:rFonts w:cs="Arial"/>
      </w:rPr>
      <w:t>pptb-amard-apr</w:t>
    </w:r>
    <w:r w:rsidR="00A96AC1" w:rsidRPr="00BB5923">
      <w:rPr>
        <w:rFonts w:cs="Arial"/>
      </w:rPr>
      <w:t>19item0</w:t>
    </w:r>
    <w:r w:rsidR="00A96AC1">
      <w:rPr>
        <w:rFonts w:cs="Arial"/>
      </w:rPr>
      <w:t>3</w:t>
    </w:r>
  </w:p>
  <w:p w14:paraId="7E130018" w14:textId="01FF1AED" w:rsidR="00A96AC1" w:rsidRPr="00BB5923" w:rsidRDefault="00A96AC1" w:rsidP="00A96AC1">
    <w:pPr>
      <w:pStyle w:val="Header"/>
      <w:spacing w:after="480"/>
      <w:jc w:val="right"/>
      <w:rPr>
        <w:rFonts w:cs="Arial"/>
      </w:rPr>
    </w:pPr>
    <w:r w:rsidRPr="004F6905">
      <w:rPr>
        <w:rFonts w:cs="Arial"/>
      </w:rPr>
      <w:t xml:space="preserve">Page </w:t>
    </w:r>
    <w:r w:rsidRPr="004F6905">
      <w:rPr>
        <w:rFonts w:cs="Arial"/>
      </w:rPr>
      <w:fldChar w:fldCharType="begin"/>
    </w:r>
    <w:r w:rsidRPr="004F6905">
      <w:rPr>
        <w:rFonts w:cs="Arial"/>
      </w:rPr>
      <w:instrText xml:space="preserve"> PAGE   \* MERGEFORMAT </w:instrText>
    </w:r>
    <w:r w:rsidRPr="004F6905">
      <w:rPr>
        <w:rFonts w:cs="Arial"/>
      </w:rPr>
      <w:fldChar w:fldCharType="separate"/>
    </w:r>
    <w:r w:rsidR="004F6905">
      <w:rPr>
        <w:rFonts w:cs="Arial"/>
        <w:noProof/>
      </w:rPr>
      <w:t>12</w:t>
    </w:r>
    <w:r w:rsidRPr="004F6905">
      <w:rPr>
        <w:rFonts w:cs="Arial"/>
        <w:noProof/>
      </w:rPr>
      <w:fldChar w:fldCharType="end"/>
    </w:r>
    <w:r w:rsidRPr="004F6905">
      <w:rPr>
        <w:rFonts w:cs="Arial"/>
        <w:noProof/>
      </w:rPr>
      <w:t xml:space="preserve"> </w:t>
    </w:r>
    <w:r w:rsidRPr="004F6905">
      <w:rPr>
        <w:rFonts w:cs="Arial"/>
      </w:rPr>
      <w:t xml:space="preserve">of </w:t>
    </w:r>
    <w:r w:rsidR="00C04D83" w:rsidRPr="004F6905">
      <w:rPr>
        <w:rFonts w:cs="Arial"/>
      </w:rPr>
      <w:t>12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CE00B3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221CE63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4296CB9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A6F2313C"/>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7A608C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1E8DC4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3B78DAC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65303F6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BC7EBA5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6169AC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5024E8"/>
    <w:multiLevelType w:val="hybridMultilevel"/>
    <w:tmpl w:val="62B8BA62"/>
    <w:lvl w:ilvl="0" w:tplc="5CD49414">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1EB787E"/>
    <w:multiLevelType w:val="hybridMultilevel"/>
    <w:tmpl w:val="7200DF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AAF3193"/>
    <w:multiLevelType w:val="hybridMultilevel"/>
    <w:tmpl w:val="3D54369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3" w15:restartNumberingAfterBreak="0">
    <w:nsid w:val="39315A68"/>
    <w:multiLevelType w:val="hybridMultilevel"/>
    <w:tmpl w:val="282EBAF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7F00476"/>
    <w:multiLevelType w:val="hybridMultilevel"/>
    <w:tmpl w:val="A2DAEC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F360D2B"/>
    <w:multiLevelType w:val="hybridMultilevel"/>
    <w:tmpl w:val="9B849BE0"/>
    <w:lvl w:ilvl="0" w:tplc="0B400B74">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C3E1347"/>
    <w:multiLevelType w:val="hybridMultilevel"/>
    <w:tmpl w:val="88DA78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4CC7A80"/>
    <w:multiLevelType w:val="hybridMultilevel"/>
    <w:tmpl w:val="A6082C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6CB0CB2"/>
    <w:multiLevelType w:val="hybridMultilevel"/>
    <w:tmpl w:val="061CB4BA"/>
    <w:lvl w:ilvl="0" w:tplc="0B400B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8034E89"/>
    <w:multiLevelType w:val="hybridMultilevel"/>
    <w:tmpl w:val="4712FA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8D72AEA"/>
    <w:multiLevelType w:val="hybridMultilevel"/>
    <w:tmpl w:val="010CA938"/>
    <w:lvl w:ilvl="0" w:tplc="04090001">
      <w:start w:val="1"/>
      <w:numFmt w:val="bullet"/>
      <w:lvlText w:val=""/>
      <w:lvlJc w:val="left"/>
      <w:pPr>
        <w:ind w:left="789" w:hanging="360"/>
      </w:pPr>
      <w:rPr>
        <w:rFonts w:ascii="Symbol" w:hAnsi="Symbol" w:hint="default"/>
      </w:rPr>
    </w:lvl>
    <w:lvl w:ilvl="1" w:tplc="04090003">
      <w:start w:val="1"/>
      <w:numFmt w:val="bullet"/>
      <w:lvlText w:val="o"/>
      <w:lvlJc w:val="left"/>
      <w:pPr>
        <w:ind w:left="1509" w:hanging="360"/>
      </w:pPr>
      <w:rPr>
        <w:rFonts w:ascii="Courier New" w:hAnsi="Courier New" w:cs="Courier New" w:hint="default"/>
      </w:rPr>
    </w:lvl>
    <w:lvl w:ilvl="2" w:tplc="04090005" w:tentative="1">
      <w:start w:val="1"/>
      <w:numFmt w:val="bullet"/>
      <w:lvlText w:val=""/>
      <w:lvlJc w:val="left"/>
      <w:pPr>
        <w:ind w:left="2229" w:hanging="360"/>
      </w:pPr>
      <w:rPr>
        <w:rFonts w:ascii="Wingdings" w:hAnsi="Wingdings" w:hint="default"/>
      </w:rPr>
    </w:lvl>
    <w:lvl w:ilvl="3" w:tplc="04090001" w:tentative="1">
      <w:start w:val="1"/>
      <w:numFmt w:val="bullet"/>
      <w:lvlText w:val=""/>
      <w:lvlJc w:val="left"/>
      <w:pPr>
        <w:ind w:left="2949" w:hanging="360"/>
      </w:pPr>
      <w:rPr>
        <w:rFonts w:ascii="Symbol" w:hAnsi="Symbol" w:hint="default"/>
      </w:rPr>
    </w:lvl>
    <w:lvl w:ilvl="4" w:tplc="04090003" w:tentative="1">
      <w:start w:val="1"/>
      <w:numFmt w:val="bullet"/>
      <w:lvlText w:val="o"/>
      <w:lvlJc w:val="left"/>
      <w:pPr>
        <w:ind w:left="3669" w:hanging="360"/>
      </w:pPr>
      <w:rPr>
        <w:rFonts w:ascii="Courier New" w:hAnsi="Courier New" w:cs="Courier New" w:hint="default"/>
      </w:rPr>
    </w:lvl>
    <w:lvl w:ilvl="5" w:tplc="04090005" w:tentative="1">
      <w:start w:val="1"/>
      <w:numFmt w:val="bullet"/>
      <w:lvlText w:val=""/>
      <w:lvlJc w:val="left"/>
      <w:pPr>
        <w:ind w:left="4389" w:hanging="360"/>
      </w:pPr>
      <w:rPr>
        <w:rFonts w:ascii="Wingdings" w:hAnsi="Wingdings" w:hint="default"/>
      </w:rPr>
    </w:lvl>
    <w:lvl w:ilvl="6" w:tplc="04090001" w:tentative="1">
      <w:start w:val="1"/>
      <w:numFmt w:val="bullet"/>
      <w:lvlText w:val=""/>
      <w:lvlJc w:val="left"/>
      <w:pPr>
        <w:ind w:left="5109" w:hanging="360"/>
      </w:pPr>
      <w:rPr>
        <w:rFonts w:ascii="Symbol" w:hAnsi="Symbol" w:hint="default"/>
      </w:rPr>
    </w:lvl>
    <w:lvl w:ilvl="7" w:tplc="04090003" w:tentative="1">
      <w:start w:val="1"/>
      <w:numFmt w:val="bullet"/>
      <w:lvlText w:val="o"/>
      <w:lvlJc w:val="left"/>
      <w:pPr>
        <w:ind w:left="5829" w:hanging="360"/>
      </w:pPr>
      <w:rPr>
        <w:rFonts w:ascii="Courier New" w:hAnsi="Courier New" w:cs="Courier New" w:hint="default"/>
      </w:rPr>
    </w:lvl>
    <w:lvl w:ilvl="8" w:tplc="04090005" w:tentative="1">
      <w:start w:val="1"/>
      <w:numFmt w:val="bullet"/>
      <w:lvlText w:val=""/>
      <w:lvlJc w:val="left"/>
      <w:pPr>
        <w:ind w:left="6549" w:hanging="360"/>
      </w:pPr>
      <w:rPr>
        <w:rFonts w:ascii="Wingdings" w:hAnsi="Wingdings" w:hint="default"/>
      </w:rPr>
    </w:lvl>
  </w:abstractNum>
  <w:num w:numId="1">
    <w:abstractNumId w:val="17"/>
  </w:num>
  <w:num w:numId="2">
    <w:abstractNumId w:val="15"/>
  </w:num>
  <w:num w:numId="3">
    <w:abstractNumId w:val="18"/>
  </w:num>
  <w:num w:numId="4">
    <w:abstractNumId w:val="10"/>
  </w:num>
  <w:num w:numId="5">
    <w:abstractNumId w:val="16"/>
  </w:num>
  <w:num w:numId="6">
    <w:abstractNumId w:val="19"/>
  </w:num>
  <w:num w:numId="7">
    <w:abstractNumId w:val="11"/>
  </w:num>
  <w:num w:numId="8">
    <w:abstractNumId w:val="12"/>
  </w:num>
  <w:num w:numId="9">
    <w:abstractNumId w:val="13"/>
  </w:num>
  <w:num w:numId="10">
    <w:abstractNumId w:val="20"/>
  </w:num>
  <w:num w:numId="11">
    <w:abstractNumId w:val="14"/>
  </w:num>
  <w:num w:numId="12">
    <w:abstractNumId w:val="9"/>
  </w:num>
  <w:num w:numId="13">
    <w:abstractNumId w:val="7"/>
  </w:num>
  <w:num w:numId="14">
    <w:abstractNumId w:val="6"/>
  </w:num>
  <w:num w:numId="15">
    <w:abstractNumId w:val="5"/>
  </w:num>
  <w:num w:numId="16">
    <w:abstractNumId w:val="4"/>
  </w:num>
  <w:num w:numId="17">
    <w:abstractNumId w:val="8"/>
  </w:num>
  <w:num w:numId="18">
    <w:abstractNumId w:val="3"/>
  </w:num>
  <w:num w:numId="19">
    <w:abstractNumId w:val="2"/>
  </w:num>
  <w:num w:numId="20">
    <w:abstractNumId w:val="1"/>
  </w:num>
  <w:num w:numId="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7A96"/>
    <w:rsid w:val="00003630"/>
    <w:rsid w:val="0001074C"/>
    <w:rsid w:val="000360AD"/>
    <w:rsid w:val="00045077"/>
    <w:rsid w:val="00053B2A"/>
    <w:rsid w:val="00057A96"/>
    <w:rsid w:val="00057CFC"/>
    <w:rsid w:val="0006104F"/>
    <w:rsid w:val="00065EC1"/>
    <w:rsid w:val="00077927"/>
    <w:rsid w:val="00082E9A"/>
    <w:rsid w:val="000859D4"/>
    <w:rsid w:val="000A6F8D"/>
    <w:rsid w:val="000C139F"/>
    <w:rsid w:val="000C4E69"/>
    <w:rsid w:val="000D6429"/>
    <w:rsid w:val="00110039"/>
    <w:rsid w:val="00113D81"/>
    <w:rsid w:val="00140D57"/>
    <w:rsid w:val="00141C03"/>
    <w:rsid w:val="0016173B"/>
    <w:rsid w:val="001648E9"/>
    <w:rsid w:val="00181129"/>
    <w:rsid w:val="00182152"/>
    <w:rsid w:val="00184DEF"/>
    <w:rsid w:val="001942FE"/>
    <w:rsid w:val="001A57C8"/>
    <w:rsid w:val="001A7E27"/>
    <w:rsid w:val="001D675B"/>
    <w:rsid w:val="001D6B59"/>
    <w:rsid w:val="001E76B8"/>
    <w:rsid w:val="001F232C"/>
    <w:rsid w:val="0020026B"/>
    <w:rsid w:val="00214DAE"/>
    <w:rsid w:val="002156D1"/>
    <w:rsid w:val="00221482"/>
    <w:rsid w:val="002408E4"/>
    <w:rsid w:val="00244B8B"/>
    <w:rsid w:val="0024797C"/>
    <w:rsid w:val="00264E8C"/>
    <w:rsid w:val="00282D58"/>
    <w:rsid w:val="0029286A"/>
    <w:rsid w:val="002C13CB"/>
    <w:rsid w:val="002D06B7"/>
    <w:rsid w:val="002D6D20"/>
    <w:rsid w:val="00310ED9"/>
    <w:rsid w:val="00314DE5"/>
    <w:rsid w:val="00315B1A"/>
    <w:rsid w:val="00321317"/>
    <w:rsid w:val="00321D49"/>
    <w:rsid w:val="00322C00"/>
    <w:rsid w:val="003254D7"/>
    <w:rsid w:val="00325EAA"/>
    <w:rsid w:val="0033616F"/>
    <w:rsid w:val="003402BA"/>
    <w:rsid w:val="00351591"/>
    <w:rsid w:val="00364585"/>
    <w:rsid w:val="00364C1F"/>
    <w:rsid w:val="003665D0"/>
    <w:rsid w:val="00375850"/>
    <w:rsid w:val="003830B8"/>
    <w:rsid w:val="003B4332"/>
    <w:rsid w:val="003D3371"/>
    <w:rsid w:val="003E1EC2"/>
    <w:rsid w:val="003E3B94"/>
    <w:rsid w:val="00425C1E"/>
    <w:rsid w:val="004475FA"/>
    <w:rsid w:val="00455639"/>
    <w:rsid w:val="004573B1"/>
    <w:rsid w:val="004733CA"/>
    <w:rsid w:val="00474A2F"/>
    <w:rsid w:val="00491DB1"/>
    <w:rsid w:val="004E121C"/>
    <w:rsid w:val="004F3189"/>
    <w:rsid w:val="004F3F1B"/>
    <w:rsid w:val="004F46A8"/>
    <w:rsid w:val="004F6905"/>
    <w:rsid w:val="00503A6A"/>
    <w:rsid w:val="0051479B"/>
    <w:rsid w:val="00516A4D"/>
    <w:rsid w:val="00516BD5"/>
    <w:rsid w:val="0054334A"/>
    <w:rsid w:val="005478CD"/>
    <w:rsid w:val="00571846"/>
    <w:rsid w:val="00586B64"/>
    <w:rsid w:val="005B1325"/>
    <w:rsid w:val="005B5AB3"/>
    <w:rsid w:val="005D600A"/>
    <w:rsid w:val="00617A95"/>
    <w:rsid w:val="006332BB"/>
    <w:rsid w:val="00640BA6"/>
    <w:rsid w:val="0067153D"/>
    <w:rsid w:val="00681207"/>
    <w:rsid w:val="00682353"/>
    <w:rsid w:val="006A3DB2"/>
    <w:rsid w:val="006C3BEC"/>
    <w:rsid w:val="006C5082"/>
    <w:rsid w:val="006C6B1C"/>
    <w:rsid w:val="00701D4F"/>
    <w:rsid w:val="00737EA6"/>
    <w:rsid w:val="00743B9A"/>
    <w:rsid w:val="00760BB9"/>
    <w:rsid w:val="00766915"/>
    <w:rsid w:val="0077294D"/>
    <w:rsid w:val="00783C50"/>
    <w:rsid w:val="007968F6"/>
    <w:rsid w:val="007A2653"/>
    <w:rsid w:val="007A52B7"/>
    <w:rsid w:val="007A78B0"/>
    <w:rsid w:val="007C578A"/>
    <w:rsid w:val="007D0C7A"/>
    <w:rsid w:val="007E4BE2"/>
    <w:rsid w:val="007F0F57"/>
    <w:rsid w:val="008213F2"/>
    <w:rsid w:val="00837CFD"/>
    <w:rsid w:val="00844BBF"/>
    <w:rsid w:val="00880293"/>
    <w:rsid w:val="008B1135"/>
    <w:rsid w:val="008D12D9"/>
    <w:rsid w:val="008D2B05"/>
    <w:rsid w:val="008F2B46"/>
    <w:rsid w:val="008F6CA0"/>
    <w:rsid w:val="00941027"/>
    <w:rsid w:val="00963290"/>
    <w:rsid w:val="00982A10"/>
    <w:rsid w:val="0099014A"/>
    <w:rsid w:val="009B78A7"/>
    <w:rsid w:val="009C3EE7"/>
    <w:rsid w:val="009E4AD4"/>
    <w:rsid w:val="00A06E6E"/>
    <w:rsid w:val="00A11875"/>
    <w:rsid w:val="00A17045"/>
    <w:rsid w:val="00A30368"/>
    <w:rsid w:val="00A32037"/>
    <w:rsid w:val="00A35C73"/>
    <w:rsid w:val="00A62B7E"/>
    <w:rsid w:val="00A718F6"/>
    <w:rsid w:val="00A80019"/>
    <w:rsid w:val="00A86BF9"/>
    <w:rsid w:val="00A96AC1"/>
    <w:rsid w:val="00AB4C92"/>
    <w:rsid w:val="00AC5890"/>
    <w:rsid w:val="00B1326E"/>
    <w:rsid w:val="00B20481"/>
    <w:rsid w:val="00B23C2A"/>
    <w:rsid w:val="00B30409"/>
    <w:rsid w:val="00B64EC0"/>
    <w:rsid w:val="00B75065"/>
    <w:rsid w:val="00B83455"/>
    <w:rsid w:val="00B867E7"/>
    <w:rsid w:val="00BB00F1"/>
    <w:rsid w:val="00BC3667"/>
    <w:rsid w:val="00BC376B"/>
    <w:rsid w:val="00BC5FD6"/>
    <w:rsid w:val="00BD05C6"/>
    <w:rsid w:val="00BE1DF3"/>
    <w:rsid w:val="00BE4FED"/>
    <w:rsid w:val="00BF5267"/>
    <w:rsid w:val="00BF7F32"/>
    <w:rsid w:val="00C04D83"/>
    <w:rsid w:val="00C05D5A"/>
    <w:rsid w:val="00C27E36"/>
    <w:rsid w:val="00C420BB"/>
    <w:rsid w:val="00C61F78"/>
    <w:rsid w:val="00C733B8"/>
    <w:rsid w:val="00C94835"/>
    <w:rsid w:val="00CC5474"/>
    <w:rsid w:val="00CF09DA"/>
    <w:rsid w:val="00CF548A"/>
    <w:rsid w:val="00D11F28"/>
    <w:rsid w:val="00D30D61"/>
    <w:rsid w:val="00D403D5"/>
    <w:rsid w:val="00D4438D"/>
    <w:rsid w:val="00D569B3"/>
    <w:rsid w:val="00D61C92"/>
    <w:rsid w:val="00D6378E"/>
    <w:rsid w:val="00D81E7D"/>
    <w:rsid w:val="00D846AF"/>
    <w:rsid w:val="00D85250"/>
    <w:rsid w:val="00D90D7D"/>
    <w:rsid w:val="00DB4538"/>
    <w:rsid w:val="00DC5FAA"/>
    <w:rsid w:val="00DE44DB"/>
    <w:rsid w:val="00DF6F28"/>
    <w:rsid w:val="00E004C5"/>
    <w:rsid w:val="00E029DB"/>
    <w:rsid w:val="00E048DF"/>
    <w:rsid w:val="00E2636E"/>
    <w:rsid w:val="00E32FDC"/>
    <w:rsid w:val="00E33A74"/>
    <w:rsid w:val="00E34587"/>
    <w:rsid w:val="00E50E7A"/>
    <w:rsid w:val="00E5169C"/>
    <w:rsid w:val="00E70DF7"/>
    <w:rsid w:val="00E91FF0"/>
    <w:rsid w:val="00EB745F"/>
    <w:rsid w:val="00EB7796"/>
    <w:rsid w:val="00EC3FF1"/>
    <w:rsid w:val="00EC6853"/>
    <w:rsid w:val="00EE2A7C"/>
    <w:rsid w:val="00EF3145"/>
    <w:rsid w:val="00EF4CEC"/>
    <w:rsid w:val="00F00D53"/>
    <w:rsid w:val="00F06887"/>
    <w:rsid w:val="00F177A9"/>
    <w:rsid w:val="00F253C0"/>
    <w:rsid w:val="00F266B9"/>
    <w:rsid w:val="00F35B63"/>
    <w:rsid w:val="00F37CA7"/>
    <w:rsid w:val="00F61AF9"/>
    <w:rsid w:val="00F668C5"/>
    <w:rsid w:val="00F734E3"/>
    <w:rsid w:val="00F8242A"/>
    <w:rsid w:val="00F86E6A"/>
    <w:rsid w:val="00FA1B6C"/>
    <w:rsid w:val="00FC2255"/>
    <w:rsid w:val="00FC77BD"/>
    <w:rsid w:val="00FF35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12FF0F"/>
  <w15:chartTrackingRefBased/>
  <w15:docId w15:val="{D8193D93-5ABD-436C-9EDD-771A4720B3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94835"/>
    <w:pPr>
      <w:spacing w:after="0" w:line="240" w:lineRule="auto"/>
    </w:pPr>
    <w:rPr>
      <w:rFonts w:ascii="Arial" w:eastAsia="Times New Roman" w:hAnsi="Arial" w:cs="Times New Roman"/>
      <w:sz w:val="24"/>
      <w:szCs w:val="24"/>
    </w:rPr>
  </w:style>
  <w:style w:type="paragraph" w:styleId="Heading1">
    <w:name w:val="heading 1"/>
    <w:basedOn w:val="Normal"/>
    <w:next w:val="Normal"/>
    <w:link w:val="Heading1Char"/>
    <w:uiPriority w:val="9"/>
    <w:qFormat/>
    <w:rsid w:val="0033616F"/>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057A96"/>
    <w:pPr>
      <w:keepNext/>
      <w:keepLines/>
      <w:spacing w:before="160" w:after="120"/>
      <w:outlineLvl w:val="1"/>
    </w:pPr>
    <w:rPr>
      <w:rFonts w:eastAsiaTheme="majorEastAsia" w:cstheme="majorBidi"/>
      <w:b/>
      <w:sz w:val="26"/>
      <w:szCs w:val="26"/>
    </w:rPr>
  </w:style>
  <w:style w:type="paragraph" w:styleId="Heading3">
    <w:name w:val="heading 3"/>
    <w:basedOn w:val="Normal"/>
    <w:next w:val="Normal"/>
    <w:link w:val="Heading3Char"/>
    <w:uiPriority w:val="9"/>
    <w:unhideWhenUsed/>
    <w:qFormat/>
    <w:rsid w:val="00FC2255"/>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1F232C"/>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BF7F32"/>
    <w:pPr>
      <w:framePr w:w="7920" w:h="1980" w:hRule="exact" w:hSpace="180" w:wrap="auto" w:hAnchor="page" w:xAlign="center" w:yAlign="bottom"/>
      <w:ind w:left="2880"/>
    </w:pPr>
    <w:rPr>
      <w:rFonts w:eastAsiaTheme="majorEastAsia" w:cstheme="majorBidi"/>
      <w:kern w:val="24"/>
    </w:rPr>
  </w:style>
  <w:style w:type="character" w:customStyle="1" w:styleId="Heading2Char">
    <w:name w:val="Heading 2 Char"/>
    <w:basedOn w:val="DefaultParagraphFont"/>
    <w:link w:val="Heading2"/>
    <w:uiPriority w:val="9"/>
    <w:rsid w:val="00057A96"/>
    <w:rPr>
      <w:rFonts w:ascii="Arial" w:eastAsiaTheme="majorEastAsia" w:hAnsi="Arial" w:cstheme="majorBidi"/>
      <w:b/>
      <w:sz w:val="26"/>
      <w:szCs w:val="26"/>
    </w:rPr>
  </w:style>
  <w:style w:type="paragraph" w:styleId="BalloonText">
    <w:name w:val="Balloon Text"/>
    <w:basedOn w:val="Normal"/>
    <w:link w:val="BalloonTextChar"/>
    <w:uiPriority w:val="99"/>
    <w:semiHidden/>
    <w:unhideWhenUsed/>
    <w:rsid w:val="00D569B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69B3"/>
    <w:rPr>
      <w:rFonts w:ascii="Segoe UI" w:eastAsia="Times New Roman" w:hAnsi="Segoe UI" w:cs="Segoe UI"/>
      <w:sz w:val="18"/>
      <w:szCs w:val="18"/>
    </w:rPr>
  </w:style>
  <w:style w:type="character" w:customStyle="1" w:styleId="Heading1Char">
    <w:name w:val="Heading 1 Char"/>
    <w:basedOn w:val="DefaultParagraphFont"/>
    <w:link w:val="Heading1"/>
    <w:uiPriority w:val="9"/>
    <w:rsid w:val="0033616F"/>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rsid w:val="00FC2255"/>
    <w:rPr>
      <w:rFonts w:asciiTheme="majorHAnsi" w:eastAsiaTheme="majorEastAsia" w:hAnsiTheme="majorHAnsi" w:cstheme="majorBidi"/>
      <w:color w:val="1F4D78" w:themeColor="accent1" w:themeShade="7F"/>
      <w:sz w:val="24"/>
      <w:szCs w:val="24"/>
    </w:rPr>
  </w:style>
  <w:style w:type="character" w:styleId="Hyperlink">
    <w:name w:val="Hyperlink"/>
    <w:basedOn w:val="DefaultParagraphFont"/>
    <w:uiPriority w:val="99"/>
    <w:unhideWhenUsed/>
    <w:rsid w:val="00B64EC0"/>
    <w:rPr>
      <w:color w:val="0563C1" w:themeColor="hyperlink"/>
      <w:u w:val="single"/>
    </w:rPr>
  </w:style>
  <w:style w:type="paragraph" w:styleId="ListParagraph">
    <w:name w:val="List Paragraph"/>
    <w:aliases w:val="list"/>
    <w:basedOn w:val="Normal"/>
    <w:link w:val="ListParagraphChar"/>
    <w:uiPriority w:val="34"/>
    <w:qFormat/>
    <w:rsid w:val="00003630"/>
    <w:pPr>
      <w:ind w:left="720"/>
      <w:contextualSpacing/>
    </w:pPr>
  </w:style>
  <w:style w:type="paragraph" w:styleId="Header">
    <w:name w:val="header"/>
    <w:basedOn w:val="Normal"/>
    <w:link w:val="HeaderChar"/>
    <w:unhideWhenUsed/>
    <w:rsid w:val="00A96AC1"/>
    <w:pPr>
      <w:tabs>
        <w:tab w:val="center" w:pos="4680"/>
        <w:tab w:val="right" w:pos="9360"/>
      </w:tabs>
    </w:pPr>
  </w:style>
  <w:style w:type="character" w:customStyle="1" w:styleId="HeaderChar">
    <w:name w:val="Header Char"/>
    <w:basedOn w:val="DefaultParagraphFont"/>
    <w:link w:val="Header"/>
    <w:rsid w:val="00A96AC1"/>
    <w:rPr>
      <w:rFonts w:ascii="Arial" w:eastAsia="Times New Roman" w:hAnsi="Arial" w:cs="Times New Roman"/>
      <w:sz w:val="24"/>
      <w:szCs w:val="24"/>
    </w:rPr>
  </w:style>
  <w:style w:type="paragraph" w:styleId="Footer">
    <w:name w:val="footer"/>
    <w:basedOn w:val="Normal"/>
    <w:link w:val="FooterChar"/>
    <w:uiPriority w:val="99"/>
    <w:unhideWhenUsed/>
    <w:rsid w:val="00A96AC1"/>
    <w:pPr>
      <w:tabs>
        <w:tab w:val="center" w:pos="4680"/>
        <w:tab w:val="right" w:pos="9360"/>
      </w:tabs>
    </w:pPr>
  </w:style>
  <w:style w:type="character" w:customStyle="1" w:styleId="FooterChar">
    <w:name w:val="Footer Char"/>
    <w:basedOn w:val="DefaultParagraphFont"/>
    <w:link w:val="Footer"/>
    <w:uiPriority w:val="99"/>
    <w:rsid w:val="00A96AC1"/>
    <w:rPr>
      <w:rFonts w:ascii="Arial" w:eastAsia="Times New Roman" w:hAnsi="Arial" w:cs="Times New Roman"/>
      <w:sz w:val="24"/>
      <w:szCs w:val="24"/>
    </w:rPr>
  </w:style>
  <w:style w:type="character" w:customStyle="1" w:styleId="ListParagraphChar">
    <w:name w:val="List Paragraph Char"/>
    <w:aliases w:val="list Char"/>
    <w:basedOn w:val="DefaultParagraphFont"/>
    <w:link w:val="ListParagraph"/>
    <w:uiPriority w:val="34"/>
    <w:locked/>
    <w:rsid w:val="00491DB1"/>
    <w:rPr>
      <w:rFonts w:ascii="Arial" w:eastAsia="Times New Roman" w:hAnsi="Arial" w:cs="Times New Roman"/>
      <w:sz w:val="24"/>
      <w:szCs w:val="24"/>
    </w:rPr>
  </w:style>
  <w:style w:type="character" w:styleId="CommentReference">
    <w:name w:val="annotation reference"/>
    <w:basedOn w:val="DefaultParagraphFont"/>
    <w:uiPriority w:val="99"/>
    <w:semiHidden/>
    <w:unhideWhenUsed/>
    <w:rsid w:val="003E1EC2"/>
    <w:rPr>
      <w:sz w:val="16"/>
      <w:szCs w:val="16"/>
    </w:rPr>
  </w:style>
  <w:style w:type="paragraph" w:styleId="CommentText">
    <w:name w:val="annotation text"/>
    <w:basedOn w:val="Normal"/>
    <w:link w:val="CommentTextChar"/>
    <w:uiPriority w:val="99"/>
    <w:semiHidden/>
    <w:unhideWhenUsed/>
    <w:rsid w:val="003E1EC2"/>
    <w:rPr>
      <w:sz w:val="20"/>
      <w:szCs w:val="20"/>
    </w:rPr>
  </w:style>
  <w:style w:type="character" w:customStyle="1" w:styleId="CommentTextChar">
    <w:name w:val="Comment Text Char"/>
    <w:basedOn w:val="DefaultParagraphFont"/>
    <w:link w:val="CommentText"/>
    <w:uiPriority w:val="99"/>
    <w:semiHidden/>
    <w:rsid w:val="003E1EC2"/>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3E1EC2"/>
    <w:rPr>
      <w:b/>
      <w:bCs/>
    </w:rPr>
  </w:style>
  <w:style w:type="character" w:customStyle="1" w:styleId="CommentSubjectChar">
    <w:name w:val="Comment Subject Char"/>
    <w:basedOn w:val="CommentTextChar"/>
    <w:link w:val="CommentSubject"/>
    <w:uiPriority w:val="99"/>
    <w:semiHidden/>
    <w:rsid w:val="003E1EC2"/>
    <w:rPr>
      <w:rFonts w:ascii="Arial" w:eastAsia="Times New Roman" w:hAnsi="Arial" w:cs="Times New Roman"/>
      <w:b/>
      <w:bCs/>
      <w:sz w:val="20"/>
      <w:szCs w:val="20"/>
    </w:rPr>
  </w:style>
  <w:style w:type="table" w:styleId="TableGrid">
    <w:name w:val="Table Grid"/>
    <w:basedOn w:val="TableNormal"/>
    <w:uiPriority w:val="39"/>
    <w:rsid w:val="007E4B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1F232C"/>
    <w:rPr>
      <w:rFonts w:asciiTheme="majorHAnsi" w:eastAsiaTheme="majorEastAsia" w:hAnsiTheme="majorHAnsi" w:cstheme="majorBidi"/>
      <w:i/>
      <w:iCs/>
      <w:color w:val="2E74B5" w:themeColor="accent1" w:themeShade="BF"/>
      <w:sz w:val="24"/>
      <w:szCs w:val="24"/>
    </w:rPr>
  </w:style>
  <w:style w:type="paragraph" w:styleId="NoSpacing">
    <w:name w:val="No Spacing"/>
    <w:uiPriority w:val="1"/>
    <w:qFormat/>
    <w:rsid w:val="00760BB9"/>
    <w:pPr>
      <w:spacing w:after="0" w:line="240" w:lineRule="auto"/>
    </w:pPr>
    <w:rPr>
      <w:rFonts w:ascii="Arial" w:hAnsi="Arial"/>
      <w:sz w:val="24"/>
    </w:rPr>
  </w:style>
  <w:style w:type="paragraph" w:styleId="MessageHeader">
    <w:name w:val="Message Header"/>
    <w:basedOn w:val="Normal"/>
    <w:link w:val="MessageHeaderChar"/>
    <w:uiPriority w:val="99"/>
    <w:unhideWhenUsed/>
    <w:rsid w:val="00C94835"/>
    <w:pPr>
      <w:spacing w:after="360"/>
      <w:ind w:left="1440" w:hanging="1440"/>
    </w:pPr>
    <w:rPr>
      <w:rFonts w:eastAsiaTheme="majorEastAsia" w:cstheme="majorBidi"/>
    </w:rPr>
  </w:style>
  <w:style w:type="character" w:customStyle="1" w:styleId="MessageHeaderChar">
    <w:name w:val="Message Header Char"/>
    <w:basedOn w:val="DefaultParagraphFont"/>
    <w:link w:val="MessageHeader"/>
    <w:uiPriority w:val="99"/>
    <w:rsid w:val="00C94835"/>
    <w:rPr>
      <w:rFonts w:ascii="Arial" w:eastAsiaTheme="majorEastAsia" w:hAnsi="Arial" w:cstheme="maj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97735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cde.ca.gov/be/ag/ag/yr17/documents/sep17item02.doc"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cde.ca.gov/be/ag/ag/yr19/documents/mar19item17.docx"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cde.ca.gov/ta/ac/cm/documents/localindquickref2018.docx" TargetMode="External"/><Relationship Id="rId5" Type="http://schemas.openxmlformats.org/officeDocument/2006/relationships/styles" Target="styles.xml"/><Relationship Id="rId15" Type="http://schemas.openxmlformats.org/officeDocument/2006/relationships/hyperlink" Target="https://www.cde.ca.gov/be/ag/ag/yr19/documents/mar19item17.docx" TargetMode="Externa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8453CFC7061F841A73706A3CAF5A3E5" ma:contentTypeVersion="0" ma:contentTypeDescription="Create a new document." ma:contentTypeScope="" ma:versionID="4db607152fe6b1b2a551c27ad01b0e6d">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4540D4A-4162-48CB-B75D-FCC4E55586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75EB96F5-20E1-40D6-8560-72AD4CE59E3D}">
  <ds:schemaRefs>
    <ds:schemaRef ds:uri="http://schemas.microsoft.com/sharepoint/v3/contenttype/forms"/>
  </ds:schemaRefs>
</ds:datastoreItem>
</file>

<file path=customXml/itemProps3.xml><?xml version="1.0" encoding="utf-8"?>
<ds:datastoreItem xmlns:ds="http://schemas.openxmlformats.org/officeDocument/2006/customXml" ds:itemID="{C3D4596F-7CB7-4A8F-A02B-8C648A02A82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12</Pages>
  <Words>3346</Words>
  <Characters>19075</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April 2019 Memo PPTB AMARD Item 03 - Information Memorandum (CA State Board of Education)</vt:lpstr>
    </vt:vector>
  </TitlesOfParts>
  <Company>California State Board of Education</Company>
  <LinksUpToDate>false</LinksUpToDate>
  <CharactersWithSpaces>22377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April 2019 Memo PPTB AMARD Item 03 - Information Memorandum (CA State Board of Education)</dc:title>
  <dc:subject>Update on Continuous Improvement of the State and Federal Accountability System: A Review of the Design, Development, and Implementation of the California School Dashboard.</dc:subject>
  <dc:creator/>
  <cp:keywords/>
  <dc:description/>
  <cp:revision>14</cp:revision>
  <cp:lastPrinted>2019-03-26T23:12:00Z</cp:lastPrinted>
  <dcterms:created xsi:type="dcterms:W3CDTF">2019-04-10T23:05:00Z</dcterms:created>
  <dcterms:modified xsi:type="dcterms:W3CDTF">2019-04-15T23:49:00Z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0x01010068453CFC7061F841A73706A3CAF5A3E5</vt:lpwstr>
  </property>
</Properties>
</file>