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DD1F2" w14:textId="77777777" w:rsidR="00057A96" w:rsidRPr="00BA2DE8" w:rsidRDefault="00057A96" w:rsidP="00057A96">
      <w:bookmarkStart w:id="0" w:name="_GoBack"/>
      <w:bookmarkEnd w:id="0"/>
      <w:r w:rsidRPr="00BA2DE8">
        <w:t>California Department of Education</w:t>
      </w:r>
    </w:p>
    <w:p w14:paraId="0EBC0E47" w14:textId="77777777" w:rsidR="00057A96" w:rsidRPr="00BA2DE8" w:rsidRDefault="00057A96" w:rsidP="00057A96">
      <w:r w:rsidRPr="00BA2DE8">
        <w:t>Executive Office</w:t>
      </w:r>
    </w:p>
    <w:p w14:paraId="5F7C79B5" w14:textId="77777777" w:rsidR="00982A10" w:rsidRPr="00BA2DE8" w:rsidRDefault="00057A96" w:rsidP="00982A10">
      <w:r w:rsidRPr="00BA2DE8">
        <w:t>SBE-00</w:t>
      </w:r>
      <w:r w:rsidR="00BC376B" w:rsidRPr="00BA2DE8">
        <w:t>2</w:t>
      </w:r>
      <w:r w:rsidRPr="00BA2DE8">
        <w:t xml:space="preserve"> (REV. 1</w:t>
      </w:r>
      <w:r w:rsidR="000C139F" w:rsidRPr="00BA2DE8">
        <w:t>1</w:t>
      </w:r>
      <w:r w:rsidRPr="00BA2DE8">
        <w:t>/2017)</w:t>
      </w:r>
    </w:p>
    <w:p w14:paraId="4555EC45" w14:textId="77777777" w:rsidR="00976427" w:rsidRPr="00BA2DE8" w:rsidRDefault="00982A10" w:rsidP="00976427">
      <w:pPr>
        <w:tabs>
          <w:tab w:val="left" w:pos="5760"/>
        </w:tabs>
        <w:ind w:right="90"/>
        <w:jc w:val="right"/>
        <w:rPr>
          <w:rFonts w:cs="Arial"/>
          <w:b/>
          <w:sz w:val="40"/>
          <w:szCs w:val="52"/>
        </w:rPr>
        <w:sectPr w:rsidR="00976427" w:rsidRPr="00BA2DE8" w:rsidSect="00976427">
          <w:headerReference w:type="default" r:id="rId10"/>
          <w:type w:val="continuous"/>
          <w:pgSz w:w="12240" w:h="15840"/>
          <w:pgMar w:top="720" w:right="1440" w:bottom="1440" w:left="1440" w:header="720" w:footer="720" w:gutter="0"/>
          <w:cols w:num="2" w:space="720"/>
          <w:titlePg/>
          <w:docGrid w:linePitch="360"/>
        </w:sectPr>
      </w:pPr>
      <w:r w:rsidRPr="00BA2DE8">
        <w:br w:type="column"/>
      </w:r>
      <w:r w:rsidR="00976427" w:rsidRPr="00BA2DE8">
        <w:t>memo-pptb-amard-aug19item02</w:t>
      </w:r>
    </w:p>
    <w:p w14:paraId="0C55F2E7" w14:textId="77777777" w:rsidR="00982A10" w:rsidRPr="00BA2DE8" w:rsidRDefault="00982A10" w:rsidP="00982A10"/>
    <w:p w14:paraId="5854479B" w14:textId="77777777" w:rsidR="00982A10" w:rsidRPr="00BA2DE8" w:rsidRDefault="00982A10" w:rsidP="0033616F">
      <w:pPr>
        <w:pStyle w:val="Heading1"/>
        <w:spacing w:line="360" w:lineRule="auto"/>
        <w:rPr>
          <w:rFonts w:ascii="Arial" w:hAnsi="Arial" w:cs="Arial"/>
          <w:b/>
          <w:color w:val="auto"/>
          <w:sz w:val="40"/>
          <w:szCs w:val="52"/>
        </w:rPr>
        <w:sectPr w:rsidR="00982A10" w:rsidRPr="00BA2DE8" w:rsidSect="00982A10">
          <w:type w:val="continuous"/>
          <w:pgSz w:w="12240" w:h="15840"/>
          <w:pgMar w:top="720" w:right="1440" w:bottom="1440" w:left="1440" w:header="720" w:footer="720" w:gutter="0"/>
          <w:cols w:num="2" w:space="144" w:equalWidth="0">
            <w:col w:w="5760" w:space="144"/>
            <w:col w:w="3456"/>
          </w:cols>
        </w:sectPr>
      </w:pPr>
    </w:p>
    <w:p w14:paraId="344BEE49" w14:textId="77777777" w:rsidR="00057A96" w:rsidRPr="00BA2DE8" w:rsidRDefault="00BC376B" w:rsidP="0033616F">
      <w:pPr>
        <w:pStyle w:val="Heading1"/>
        <w:spacing w:line="360" w:lineRule="auto"/>
        <w:rPr>
          <w:rFonts w:ascii="Arial" w:hAnsi="Arial" w:cs="Arial"/>
          <w:b/>
          <w:color w:val="auto"/>
          <w:sz w:val="40"/>
          <w:szCs w:val="52"/>
        </w:rPr>
      </w:pPr>
      <w:r w:rsidRPr="00BA2DE8">
        <w:rPr>
          <w:rFonts w:ascii="Arial" w:hAnsi="Arial" w:cs="Arial"/>
          <w:b/>
          <w:color w:val="auto"/>
          <w:sz w:val="40"/>
          <w:szCs w:val="52"/>
        </w:rPr>
        <w:t>MEMORANDUM</w:t>
      </w:r>
    </w:p>
    <w:p w14:paraId="60012C5A" w14:textId="1416479E" w:rsidR="00057A96" w:rsidRPr="00BA2DE8" w:rsidRDefault="008F6CA0" w:rsidP="000D41E2">
      <w:pPr>
        <w:pStyle w:val="MessageHeader"/>
      </w:pPr>
      <w:r w:rsidRPr="00BA2DE8">
        <w:rPr>
          <w:b/>
        </w:rPr>
        <w:t>DATE:</w:t>
      </w:r>
      <w:r w:rsidRPr="00BA2DE8">
        <w:tab/>
      </w:r>
      <w:r w:rsidR="001527B2" w:rsidRPr="00BA2DE8">
        <w:t>August 13</w:t>
      </w:r>
      <w:r w:rsidR="00976427" w:rsidRPr="00BA2DE8">
        <w:t>, 2019</w:t>
      </w:r>
      <w:r w:rsidR="00057A96" w:rsidRPr="00BA2DE8">
        <w:t xml:space="preserve"> </w:t>
      </w:r>
    </w:p>
    <w:p w14:paraId="280F5DA0" w14:textId="77777777" w:rsidR="00057A96" w:rsidRPr="00BA2DE8" w:rsidRDefault="00057A96" w:rsidP="000D41E2">
      <w:pPr>
        <w:pStyle w:val="MessageHeader"/>
      </w:pPr>
      <w:r w:rsidRPr="00BA2DE8">
        <w:rPr>
          <w:b/>
        </w:rPr>
        <w:t>TO:</w:t>
      </w:r>
      <w:r w:rsidRPr="00BA2DE8">
        <w:rPr>
          <w:b/>
        </w:rPr>
        <w:tab/>
      </w:r>
      <w:r w:rsidRPr="00BA2DE8">
        <w:t>MEMBERS, State Board of Education</w:t>
      </w:r>
      <w:r w:rsidRPr="00BA2DE8">
        <w:tab/>
      </w:r>
    </w:p>
    <w:p w14:paraId="7087904C" w14:textId="77777777" w:rsidR="00057A96" w:rsidRPr="00BA2DE8" w:rsidRDefault="00057A96" w:rsidP="000D41E2">
      <w:pPr>
        <w:pStyle w:val="MessageHeader"/>
      </w:pPr>
      <w:r w:rsidRPr="00BA2DE8">
        <w:rPr>
          <w:b/>
        </w:rPr>
        <w:t>FROM:</w:t>
      </w:r>
      <w:r w:rsidR="00C61F78" w:rsidRPr="00BA2DE8">
        <w:tab/>
        <w:t>TO</w:t>
      </w:r>
      <w:r w:rsidR="001D4A5B" w:rsidRPr="00BA2DE8">
        <w:t>NY THURMOND</w:t>
      </w:r>
      <w:r w:rsidR="00C61F78" w:rsidRPr="00BA2DE8">
        <w:t xml:space="preserve">, </w:t>
      </w:r>
      <w:r w:rsidRPr="00BA2DE8">
        <w:t>State Superintendent of Public Instruction</w:t>
      </w:r>
    </w:p>
    <w:p w14:paraId="1BB7B743" w14:textId="033DEC60" w:rsidR="00597CBE" w:rsidRPr="00BA2DE8" w:rsidRDefault="00057A96" w:rsidP="000D41E2">
      <w:pPr>
        <w:pStyle w:val="MessageHeader"/>
      </w:pPr>
      <w:r w:rsidRPr="00BA2DE8">
        <w:rPr>
          <w:b/>
        </w:rPr>
        <w:t>SUBJECT:</w:t>
      </w:r>
      <w:r w:rsidRPr="00BA2DE8">
        <w:rPr>
          <w:b/>
        </w:rPr>
        <w:tab/>
      </w:r>
      <w:r w:rsidR="00B15513" w:rsidRPr="00BA2DE8">
        <w:rPr>
          <w:rFonts w:cs="Arial"/>
        </w:rPr>
        <w:t xml:space="preserve">Update on the Inclusion of English Learner Students in the Academic Indicator, </w:t>
      </w:r>
      <w:bookmarkStart w:id="1" w:name="_Hlk14446918"/>
      <w:r w:rsidR="00B15513" w:rsidRPr="00BA2DE8">
        <w:rPr>
          <w:rFonts w:cs="Arial"/>
        </w:rPr>
        <w:t xml:space="preserve">Availability of At-Risk </w:t>
      </w:r>
      <w:r w:rsidR="00A60D2E" w:rsidRPr="00BA2DE8">
        <w:rPr>
          <w:rFonts w:cs="Arial"/>
        </w:rPr>
        <w:t>and</w:t>
      </w:r>
      <w:r w:rsidR="0054268C" w:rsidRPr="00BA2DE8">
        <w:rPr>
          <w:rFonts w:cs="Arial"/>
        </w:rPr>
        <w:t xml:space="preserve"> </w:t>
      </w:r>
      <w:r w:rsidR="00B15513" w:rsidRPr="00BA2DE8">
        <w:rPr>
          <w:rFonts w:cs="Arial"/>
        </w:rPr>
        <w:t>Long-</w:t>
      </w:r>
      <w:r w:rsidR="00243EFC" w:rsidRPr="00BA2DE8">
        <w:rPr>
          <w:rFonts w:cs="Arial"/>
        </w:rPr>
        <w:t>Term</w:t>
      </w:r>
      <w:r w:rsidR="00B15513" w:rsidRPr="00BA2DE8">
        <w:rPr>
          <w:rFonts w:cs="Arial"/>
        </w:rPr>
        <w:t xml:space="preserve"> English Learner Report</w:t>
      </w:r>
      <w:r w:rsidR="00DE237B" w:rsidRPr="00BA2DE8">
        <w:rPr>
          <w:rFonts w:cs="Arial"/>
        </w:rPr>
        <w:t>s</w:t>
      </w:r>
      <w:r w:rsidR="00B15513" w:rsidRPr="00BA2DE8">
        <w:rPr>
          <w:rFonts w:cs="Arial"/>
        </w:rPr>
        <w:t xml:space="preserve"> in DataQuest</w:t>
      </w:r>
      <w:bookmarkEnd w:id="1"/>
      <w:r w:rsidR="0027686F" w:rsidRPr="00BA2DE8">
        <w:rPr>
          <w:rFonts w:cs="Arial"/>
        </w:rPr>
        <w:t>, and Incorporat</w:t>
      </w:r>
      <w:r w:rsidR="00DE237B" w:rsidRPr="00BA2DE8">
        <w:rPr>
          <w:rFonts w:cs="Arial"/>
        </w:rPr>
        <w:t>ion of</w:t>
      </w:r>
      <w:r w:rsidR="0027686F" w:rsidRPr="00BA2DE8">
        <w:rPr>
          <w:rFonts w:cs="Arial"/>
        </w:rPr>
        <w:t xml:space="preserve"> the English Learner Progress Indicator Status into School and L</w:t>
      </w:r>
      <w:r w:rsidR="00335EED" w:rsidRPr="00BA2DE8">
        <w:rPr>
          <w:rFonts w:cs="Arial"/>
        </w:rPr>
        <w:t xml:space="preserve">ocal </w:t>
      </w:r>
      <w:r w:rsidR="0027686F" w:rsidRPr="00BA2DE8">
        <w:rPr>
          <w:rFonts w:cs="Arial"/>
        </w:rPr>
        <w:t>E</w:t>
      </w:r>
      <w:r w:rsidR="00335EED" w:rsidRPr="00BA2DE8">
        <w:rPr>
          <w:rFonts w:cs="Arial"/>
        </w:rPr>
        <w:t xml:space="preserve">ducational </w:t>
      </w:r>
      <w:r w:rsidR="0027686F" w:rsidRPr="00BA2DE8">
        <w:rPr>
          <w:rFonts w:cs="Arial"/>
        </w:rPr>
        <w:t>A</w:t>
      </w:r>
      <w:r w:rsidR="00335EED" w:rsidRPr="00BA2DE8">
        <w:rPr>
          <w:rFonts w:cs="Arial"/>
        </w:rPr>
        <w:t>gency</w:t>
      </w:r>
      <w:r w:rsidR="0027686F" w:rsidRPr="00BA2DE8">
        <w:rPr>
          <w:rFonts w:cs="Arial"/>
        </w:rPr>
        <w:t xml:space="preserve"> </w:t>
      </w:r>
      <w:r w:rsidR="00AA5686" w:rsidRPr="00BA2DE8">
        <w:rPr>
          <w:rFonts w:cs="Arial"/>
        </w:rPr>
        <w:t xml:space="preserve">Assistance </w:t>
      </w:r>
      <w:r w:rsidR="0027686F" w:rsidRPr="00BA2DE8">
        <w:rPr>
          <w:rFonts w:cs="Arial"/>
        </w:rPr>
        <w:t>Eligibility.</w:t>
      </w:r>
    </w:p>
    <w:p w14:paraId="71FE3E5C" w14:textId="77777777" w:rsidR="00976427" w:rsidRPr="00BA2DE8" w:rsidRDefault="00976427" w:rsidP="00976427">
      <w:pPr>
        <w:pStyle w:val="Heading2"/>
        <w:spacing w:before="0" w:after="240"/>
        <w:rPr>
          <w:sz w:val="36"/>
        </w:rPr>
      </w:pPr>
      <w:r w:rsidRPr="00BA2DE8">
        <w:rPr>
          <w:sz w:val="36"/>
        </w:rPr>
        <w:t>Summary of Key Issues</w:t>
      </w:r>
    </w:p>
    <w:p w14:paraId="41AB3207" w14:textId="77777777" w:rsidR="0027686F" w:rsidRPr="00BA2DE8" w:rsidRDefault="0027686F" w:rsidP="00A2005C">
      <w:pPr>
        <w:spacing w:after="240"/>
        <w:rPr>
          <w:rFonts w:cs="Arial"/>
        </w:rPr>
      </w:pPr>
      <w:r w:rsidRPr="00BA2DE8">
        <w:rPr>
          <w:rFonts w:cs="Arial"/>
        </w:rPr>
        <w:t xml:space="preserve">This Information Memorandum provides </w:t>
      </w:r>
      <w:r w:rsidR="00DE237B" w:rsidRPr="00BA2DE8">
        <w:rPr>
          <w:rFonts w:cs="Arial"/>
        </w:rPr>
        <w:t>an update on</w:t>
      </w:r>
      <w:r w:rsidR="00CB6440" w:rsidRPr="00BA2DE8">
        <w:rPr>
          <w:rFonts w:cs="Arial"/>
        </w:rPr>
        <w:t xml:space="preserve">: </w:t>
      </w:r>
    </w:p>
    <w:p w14:paraId="40D9CEB0" w14:textId="29594CCB" w:rsidR="0027686F" w:rsidRPr="00BA2DE8" w:rsidRDefault="00731598" w:rsidP="002134F3">
      <w:pPr>
        <w:pStyle w:val="ListParagraph"/>
        <w:numPr>
          <w:ilvl w:val="0"/>
          <w:numId w:val="6"/>
        </w:numPr>
        <w:spacing w:after="240" w:line="240" w:lineRule="auto"/>
        <w:contextualSpacing w:val="0"/>
        <w:rPr>
          <w:rFonts w:ascii="Arial" w:hAnsi="Arial" w:cs="Arial"/>
          <w:sz w:val="24"/>
          <w:szCs w:val="24"/>
        </w:rPr>
      </w:pPr>
      <w:r w:rsidRPr="00BA2DE8">
        <w:rPr>
          <w:rFonts w:ascii="Arial" w:hAnsi="Arial" w:cs="Arial"/>
          <w:sz w:val="24"/>
          <w:szCs w:val="24"/>
        </w:rPr>
        <w:t>The i</w:t>
      </w:r>
      <w:r w:rsidR="0027686F" w:rsidRPr="00BA2DE8">
        <w:rPr>
          <w:rFonts w:ascii="Arial" w:hAnsi="Arial" w:cs="Arial"/>
          <w:sz w:val="24"/>
          <w:szCs w:val="24"/>
        </w:rPr>
        <w:t xml:space="preserve">nclusion </w:t>
      </w:r>
      <w:r w:rsidR="0059345A" w:rsidRPr="00BA2DE8">
        <w:rPr>
          <w:rFonts w:ascii="Arial" w:hAnsi="Arial" w:cs="Arial"/>
          <w:sz w:val="24"/>
          <w:szCs w:val="24"/>
        </w:rPr>
        <w:t>of r</w:t>
      </w:r>
      <w:r w:rsidR="0027686F" w:rsidRPr="00BA2DE8">
        <w:rPr>
          <w:rFonts w:ascii="Arial" w:hAnsi="Arial" w:cs="Arial"/>
          <w:sz w:val="24"/>
          <w:szCs w:val="24"/>
        </w:rPr>
        <w:t xml:space="preserve">eclassified </w:t>
      </w:r>
      <w:r w:rsidR="0059345A" w:rsidRPr="00BA2DE8">
        <w:rPr>
          <w:rFonts w:ascii="Arial" w:hAnsi="Arial" w:cs="Arial"/>
          <w:sz w:val="24"/>
          <w:szCs w:val="24"/>
        </w:rPr>
        <w:t>students in the E</w:t>
      </w:r>
      <w:r w:rsidR="00335EED" w:rsidRPr="00BA2DE8">
        <w:rPr>
          <w:rFonts w:ascii="Arial" w:hAnsi="Arial" w:cs="Arial"/>
          <w:sz w:val="24"/>
          <w:szCs w:val="24"/>
        </w:rPr>
        <w:t>nglish learner (EL)</w:t>
      </w:r>
      <w:r w:rsidR="0059345A" w:rsidRPr="00BA2DE8">
        <w:rPr>
          <w:rFonts w:ascii="Arial" w:hAnsi="Arial" w:cs="Arial"/>
          <w:sz w:val="24"/>
          <w:szCs w:val="24"/>
        </w:rPr>
        <w:t xml:space="preserve"> student group in</w:t>
      </w:r>
      <w:r w:rsidR="0027686F" w:rsidRPr="00BA2DE8">
        <w:rPr>
          <w:rFonts w:ascii="Arial" w:hAnsi="Arial" w:cs="Arial"/>
          <w:sz w:val="24"/>
          <w:szCs w:val="24"/>
        </w:rPr>
        <w:t xml:space="preserve"> the Academic Indicator</w:t>
      </w:r>
      <w:r w:rsidR="00335EED" w:rsidRPr="00BA2DE8">
        <w:rPr>
          <w:rFonts w:ascii="Arial" w:hAnsi="Arial" w:cs="Arial"/>
          <w:sz w:val="24"/>
          <w:szCs w:val="24"/>
        </w:rPr>
        <w:t>.</w:t>
      </w:r>
    </w:p>
    <w:p w14:paraId="340D6192" w14:textId="4E5AAC07" w:rsidR="0027686F" w:rsidRPr="00BA2DE8" w:rsidRDefault="0027686F" w:rsidP="002134F3">
      <w:pPr>
        <w:pStyle w:val="ListParagraph"/>
        <w:numPr>
          <w:ilvl w:val="0"/>
          <w:numId w:val="6"/>
        </w:numPr>
        <w:spacing w:after="240" w:line="240" w:lineRule="auto"/>
        <w:contextualSpacing w:val="0"/>
        <w:rPr>
          <w:rFonts w:ascii="Arial" w:hAnsi="Arial" w:cs="Arial"/>
          <w:sz w:val="24"/>
          <w:szCs w:val="24"/>
        </w:rPr>
      </w:pPr>
      <w:r w:rsidRPr="00BA2DE8">
        <w:rPr>
          <w:rFonts w:ascii="Arial" w:hAnsi="Arial" w:cs="Arial"/>
          <w:sz w:val="24"/>
          <w:szCs w:val="24"/>
        </w:rPr>
        <w:t>The release of At-Risk and Long-Term English Learner report</w:t>
      </w:r>
      <w:r w:rsidR="00DE237B" w:rsidRPr="00BA2DE8">
        <w:rPr>
          <w:rFonts w:ascii="Arial" w:hAnsi="Arial" w:cs="Arial"/>
          <w:sz w:val="24"/>
          <w:szCs w:val="24"/>
        </w:rPr>
        <w:t>s</w:t>
      </w:r>
      <w:r w:rsidRPr="00BA2DE8">
        <w:rPr>
          <w:rFonts w:ascii="Arial" w:hAnsi="Arial" w:cs="Arial"/>
          <w:sz w:val="24"/>
          <w:szCs w:val="24"/>
        </w:rPr>
        <w:t xml:space="preserve"> </w:t>
      </w:r>
      <w:r w:rsidR="00DE237B" w:rsidRPr="00BA2DE8">
        <w:rPr>
          <w:rFonts w:ascii="Arial" w:hAnsi="Arial" w:cs="Arial"/>
          <w:sz w:val="24"/>
          <w:szCs w:val="24"/>
        </w:rPr>
        <w:t>i</w:t>
      </w:r>
      <w:r w:rsidRPr="00BA2DE8">
        <w:rPr>
          <w:rFonts w:ascii="Arial" w:hAnsi="Arial" w:cs="Arial"/>
          <w:sz w:val="24"/>
          <w:szCs w:val="24"/>
        </w:rPr>
        <w:t>n DataQuest</w:t>
      </w:r>
      <w:r w:rsidR="00335EED" w:rsidRPr="00BA2DE8">
        <w:rPr>
          <w:rFonts w:ascii="Arial" w:hAnsi="Arial" w:cs="Arial"/>
          <w:sz w:val="24"/>
          <w:szCs w:val="24"/>
        </w:rPr>
        <w:t>.</w:t>
      </w:r>
    </w:p>
    <w:p w14:paraId="3B5B51DC" w14:textId="07865F3D" w:rsidR="0027686F" w:rsidRPr="00BA2DE8" w:rsidRDefault="0059345A" w:rsidP="002134F3">
      <w:pPr>
        <w:pStyle w:val="ListParagraph"/>
        <w:numPr>
          <w:ilvl w:val="0"/>
          <w:numId w:val="6"/>
        </w:numPr>
        <w:spacing w:after="240" w:line="240" w:lineRule="auto"/>
        <w:contextualSpacing w:val="0"/>
        <w:rPr>
          <w:rFonts w:ascii="Arial" w:hAnsi="Arial" w:cs="Arial"/>
          <w:sz w:val="24"/>
          <w:szCs w:val="24"/>
        </w:rPr>
      </w:pPr>
      <w:r w:rsidRPr="00BA2DE8">
        <w:rPr>
          <w:rFonts w:ascii="Arial" w:hAnsi="Arial" w:cs="Arial"/>
          <w:sz w:val="24"/>
          <w:szCs w:val="24"/>
        </w:rPr>
        <w:t>An update on the development of a methodology to use the Status o</w:t>
      </w:r>
      <w:r w:rsidR="00335EED" w:rsidRPr="00BA2DE8">
        <w:rPr>
          <w:rFonts w:ascii="Arial" w:hAnsi="Arial" w:cs="Arial"/>
          <w:sz w:val="24"/>
          <w:szCs w:val="24"/>
        </w:rPr>
        <w:t>n</w:t>
      </w:r>
      <w:r w:rsidRPr="00BA2DE8">
        <w:rPr>
          <w:rFonts w:ascii="Arial" w:hAnsi="Arial" w:cs="Arial"/>
          <w:sz w:val="24"/>
          <w:szCs w:val="24"/>
        </w:rPr>
        <w:t xml:space="preserve"> the English Learner Progress Indicator for </w:t>
      </w:r>
      <w:r w:rsidR="00AA5686" w:rsidRPr="00BA2DE8">
        <w:rPr>
          <w:rFonts w:ascii="Arial" w:hAnsi="Arial" w:cs="Arial"/>
          <w:sz w:val="24"/>
          <w:szCs w:val="24"/>
        </w:rPr>
        <w:t xml:space="preserve">assistance </w:t>
      </w:r>
      <w:r w:rsidRPr="00BA2DE8">
        <w:rPr>
          <w:rFonts w:ascii="Arial" w:hAnsi="Arial" w:cs="Arial"/>
          <w:sz w:val="24"/>
          <w:szCs w:val="24"/>
        </w:rPr>
        <w:t>eligibility in the 2019–20 school year.</w:t>
      </w:r>
    </w:p>
    <w:p w14:paraId="396044E8" w14:textId="77777777" w:rsidR="0059345A" w:rsidRPr="00BA2DE8" w:rsidRDefault="0059345A" w:rsidP="0059345A">
      <w:pPr>
        <w:pStyle w:val="Heading2"/>
        <w:spacing w:before="0" w:after="240"/>
        <w:rPr>
          <w:sz w:val="36"/>
        </w:rPr>
      </w:pPr>
      <w:r w:rsidRPr="00BA2DE8">
        <w:rPr>
          <w:sz w:val="36"/>
        </w:rPr>
        <w:t>Attachments</w:t>
      </w:r>
    </w:p>
    <w:p w14:paraId="3D40544B" w14:textId="03EB3FBD" w:rsidR="00143625" w:rsidRPr="00BA2DE8" w:rsidRDefault="00143625" w:rsidP="002134F3">
      <w:pPr>
        <w:spacing w:after="240"/>
      </w:pPr>
      <w:r w:rsidRPr="00BA2DE8">
        <w:t>Attachment 1: Inclusion of Reclassified Students in the English Language Student Group for the Academic Indicator (</w:t>
      </w:r>
      <w:r w:rsidR="006D54C4" w:rsidRPr="00BA2DE8">
        <w:t>6</w:t>
      </w:r>
      <w:r w:rsidRPr="00BA2DE8">
        <w:t xml:space="preserve"> Pages)</w:t>
      </w:r>
    </w:p>
    <w:p w14:paraId="4810E90B" w14:textId="53CD5942" w:rsidR="00143625" w:rsidRPr="00BA2DE8" w:rsidRDefault="00143625" w:rsidP="002134F3">
      <w:pPr>
        <w:spacing w:after="240"/>
      </w:pPr>
      <w:r w:rsidRPr="00BA2DE8">
        <w:t xml:space="preserve">Attachment 2: </w:t>
      </w:r>
      <w:r w:rsidR="00BD4CF1" w:rsidRPr="00BA2DE8">
        <w:rPr>
          <w:rFonts w:cs="Arial"/>
        </w:rPr>
        <w:t>Availability of At-Risk and Long-Term English Learner Reports in DataQuest</w:t>
      </w:r>
      <w:r w:rsidRPr="00BA2DE8">
        <w:t xml:space="preserve"> (</w:t>
      </w:r>
      <w:r w:rsidR="005D6077" w:rsidRPr="00BA2DE8">
        <w:t>1</w:t>
      </w:r>
      <w:r w:rsidRPr="00BA2DE8">
        <w:t xml:space="preserve"> Page)</w:t>
      </w:r>
    </w:p>
    <w:p w14:paraId="31DE53FE" w14:textId="1988F396" w:rsidR="0059345A" w:rsidRPr="00BA2DE8" w:rsidRDefault="00243EFC" w:rsidP="002134F3">
      <w:pPr>
        <w:spacing w:after="240"/>
        <w:rPr>
          <w:rFonts w:cs="Arial"/>
        </w:rPr>
        <w:sectPr w:rsidR="0059345A" w:rsidRPr="00BA2DE8" w:rsidSect="00057A96">
          <w:type w:val="continuous"/>
          <w:pgSz w:w="12240" w:h="15840"/>
          <w:pgMar w:top="720" w:right="1440" w:bottom="1440" w:left="1440" w:header="720" w:footer="720" w:gutter="0"/>
          <w:cols w:space="720"/>
        </w:sectPr>
      </w:pPr>
      <w:r w:rsidRPr="00BA2DE8">
        <w:t xml:space="preserve">Attachment 3: </w:t>
      </w:r>
      <w:r w:rsidRPr="00BA2DE8">
        <w:rPr>
          <w:rFonts w:cs="Arial"/>
        </w:rPr>
        <w:t>D</w:t>
      </w:r>
      <w:r w:rsidR="00054343" w:rsidRPr="00BA2DE8">
        <w:rPr>
          <w:rFonts w:cs="Arial"/>
        </w:rPr>
        <w:t>evelopment of a M</w:t>
      </w:r>
      <w:r w:rsidRPr="00BA2DE8">
        <w:rPr>
          <w:rFonts w:cs="Arial"/>
        </w:rPr>
        <w:t xml:space="preserve">ethodology to </w:t>
      </w:r>
      <w:r w:rsidR="0002742F" w:rsidRPr="00BA2DE8">
        <w:rPr>
          <w:rFonts w:cs="Arial"/>
        </w:rPr>
        <w:t>U</w:t>
      </w:r>
      <w:r w:rsidRPr="00BA2DE8">
        <w:rPr>
          <w:rFonts w:cs="Arial"/>
        </w:rPr>
        <w:t xml:space="preserve">se the Status of the English Learner Progress Indicator for </w:t>
      </w:r>
      <w:r w:rsidR="00AA5686" w:rsidRPr="00BA2DE8">
        <w:rPr>
          <w:rFonts w:cs="Arial"/>
        </w:rPr>
        <w:t xml:space="preserve">Assistance </w:t>
      </w:r>
      <w:r w:rsidR="00054343" w:rsidRPr="00BA2DE8">
        <w:rPr>
          <w:rFonts w:cs="Arial"/>
        </w:rPr>
        <w:t>E</w:t>
      </w:r>
      <w:r w:rsidRPr="00BA2DE8">
        <w:rPr>
          <w:rFonts w:cs="Arial"/>
        </w:rPr>
        <w:t xml:space="preserve">ligibility in the 2019–20 </w:t>
      </w:r>
      <w:r w:rsidR="0002742F" w:rsidRPr="00BA2DE8">
        <w:rPr>
          <w:rFonts w:cs="Arial"/>
        </w:rPr>
        <w:t>S</w:t>
      </w:r>
      <w:r w:rsidRPr="00BA2DE8">
        <w:rPr>
          <w:rFonts w:cs="Arial"/>
        </w:rPr>
        <w:t xml:space="preserve">chool </w:t>
      </w:r>
      <w:r w:rsidR="0002742F" w:rsidRPr="00BA2DE8">
        <w:rPr>
          <w:rFonts w:cs="Arial"/>
        </w:rPr>
        <w:t>Y</w:t>
      </w:r>
      <w:r w:rsidRPr="00BA2DE8">
        <w:rPr>
          <w:rFonts w:cs="Arial"/>
        </w:rPr>
        <w:t>ear (</w:t>
      </w:r>
      <w:r w:rsidR="004B0341" w:rsidRPr="00BA2DE8">
        <w:rPr>
          <w:rFonts w:cs="Arial"/>
        </w:rPr>
        <w:t xml:space="preserve">8 </w:t>
      </w:r>
      <w:r w:rsidRPr="00BA2DE8">
        <w:rPr>
          <w:rFonts w:cs="Arial"/>
        </w:rPr>
        <w:t>Page</w:t>
      </w:r>
      <w:r w:rsidR="00AA5686" w:rsidRPr="00BA2DE8">
        <w:rPr>
          <w:rFonts w:cs="Arial"/>
        </w:rPr>
        <w:t>s</w:t>
      </w:r>
      <w:r w:rsidRPr="00BA2DE8">
        <w:rPr>
          <w:rFonts w:cs="Arial"/>
        </w:rPr>
        <w:t>)</w:t>
      </w:r>
    </w:p>
    <w:p w14:paraId="394901D4" w14:textId="327071E8" w:rsidR="00143625" w:rsidRPr="00BA2DE8" w:rsidRDefault="00143625" w:rsidP="003E11D4">
      <w:pPr>
        <w:pStyle w:val="Heading1"/>
        <w:spacing w:after="240"/>
        <w:rPr>
          <w:rFonts w:ascii="Arial" w:hAnsi="Arial" w:cs="Arial"/>
          <w:b/>
          <w:color w:val="auto"/>
          <w:sz w:val="40"/>
          <w:szCs w:val="40"/>
        </w:rPr>
      </w:pPr>
      <w:r w:rsidRPr="00BA2DE8">
        <w:rPr>
          <w:rFonts w:ascii="Arial" w:hAnsi="Arial" w:cs="Arial"/>
          <w:b/>
          <w:color w:val="auto"/>
          <w:sz w:val="40"/>
          <w:szCs w:val="40"/>
        </w:rPr>
        <w:lastRenderedPageBreak/>
        <w:t>Attachment 1</w:t>
      </w:r>
    </w:p>
    <w:p w14:paraId="40D7F197" w14:textId="2E8AC66A" w:rsidR="0059345A" w:rsidRPr="00BA2DE8" w:rsidRDefault="00143625" w:rsidP="0059345A">
      <w:pPr>
        <w:pStyle w:val="Heading2"/>
        <w:spacing w:before="0" w:after="240"/>
        <w:rPr>
          <w:sz w:val="36"/>
        </w:rPr>
      </w:pPr>
      <w:r w:rsidRPr="00BA2DE8">
        <w:rPr>
          <w:sz w:val="36"/>
        </w:rPr>
        <w:t>Inclusion of Reclassified S</w:t>
      </w:r>
      <w:r w:rsidR="0059345A" w:rsidRPr="00BA2DE8">
        <w:rPr>
          <w:sz w:val="36"/>
        </w:rPr>
        <w:t>tudents in the E</w:t>
      </w:r>
      <w:r w:rsidRPr="00BA2DE8">
        <w:rPr>
          <w:sz w:val="36"/>
        </w:rPr>
        <w:t>nglish</w:t>
      </w:r>
      <w:r w:rsidR="0059345A" w:rsidRPr="00BA2DE8">
        <w:rPr>
          <w:sz w:val="36"/>
        </w:rPr>
        <w:t xml:space="preserve"> </w:t>
      </w:r>
      <w:r w:rsidRPr="00BA2DE8">
        <w:rPr>
          <w:sz w:val="36"/>
        </w:rPr>
        <w:t>Language S</w:t>
      </w:r>
      <w:r w:rsidR="0059345A" w:rsidRPr="00BA2DE8">
        <w:rPr>
          <w:sz w:val="36"/>
        </w:rPr>
        <w:t xml:space="preserve">tudent </w:t>
      </w:r>
      <w:r w:rsidRPr="00BA2DE8">
        <w:rPr>
          <w:sz w:val="36"/>
        </w:rPr>
        <w:t>G</w:t>
      </w:r>
      <w:r w:rsidR="0059345A" w:rsidRPr="00BA2DE8">
        <w:rPr>
          <w:sz w:val="36"/>
        </w:rPr>
        <w:t xml:space="preserve">roup </w:t>
      </w:r>
      <w:r w:rsidRPr="00BA2DE8">
        <w:rPr>
          <w:sz w:val="36"/>
        </w:rPr>
        <w:t>for</w:t>
      </w:r>
      <w:r w:rsidR="0059345A" w:rsidRPr="00BA2DE8">
        <w:rPr>
          <w:sz w:val="36"/>
        </w:rPr>
        <w:t xml:space="preserve"> the Academic Indicator</w:t>
      </w:r>
    </w:p>
    <w:p w14:paraId="5FCDFC3A" w14:textId="06B9D519" w:rsidR="00DF2217" w:rsidRPr="00BA2DE8" w:rsidRDefault="00C36AD0" w:rsidP="00806464">
      <w:pPr>
        <w:spacing w:after="240"/>
        <w:rPr>
          <w:rFonts w:cs="Arial"/>
        </w:rPr>
      </w:pPr>
      <w:r w:rsidRPr="00BA2DE8">
        <w:rPr>
          <w:rFonts w:cs="Arial"/>
        </w:rPr>
        <w:t xml:space="preserve">The </w:t>
      </w:r>
      <w:r w:rsidR="00B640AF" w:rsidRPr="00BA2DE8">
        <w:rPr>
          <w:rFonts w:cs="Arial"/>
        </w:rPr>
        <w:t xml:space="preserve">federal </w:t>
      </w:r>
      <w:r w:rsidRPr="00BA2DE8">
        <w:rPr>
          <w:rFonts w:cs="Arial"/>
        </w:rPr>
        <w:t xml:space="preserve">Every Student Succeeds Act (ESSA) includes a provision that allows states to include students who are reclassified as fluent English proficient (RFEP) in the English learner (EL) student group for up to four years in the academic </w:t>
      </w:r>
      <w:r w:rsidR="0015074E" w:rsidRPr="00BA2DE8">
        <w:rPr>
          <w:rFonts w:cs="Arial"/>
        </w:rPr>
        <w:t>indicator</w:t>
      </w:r>
      <w:r w:rsidRPr="00BA2DE8">
        <w:rPr>
          <w:rFonts w:cs="Arial"/>
        </w:rPr>
        <w:t>. States are required to define the EL student group for the academic measures in the</w:t>
      </w:r>
      <w:r w:rsidR="00335EED" w:rsidRPr="00BA2DE8">
        <w:rPr>
          <w:rFonts w:cs="Arial"/>
        </w:rPr>
        <w:t>ir</w:t>
      </w:r>
      <w:r w:rsidRPr="00BA2DE8">
        <w:rPr>
          <w:rFonts w:cs="Arial"/>
        </w:rPr>
        <w:t xml:space="preserve"> </w:t>
      </w:r>
      <w:r w:rsidR="00335EED" w:rsidRPr="00BA2DE8">
        <w:rPr>
          <w:rFonts w:cs="Arial"/>
        </w:rPr>
        <w:t xml:space="preserve">ESSA </w:t>
      </w:r>
      <w:r w:rsidRPr="00BA2DE8">
        <w:rPr>
          <w:rFonts w:cs="Arial"/>
        </w:rPr>
        <w:t>plan.</w:t>
      </w:r>
    </w:p>
    <w:p w14:paraId="02902FA4" w14:textId="644DF2A0" w:rsidR="00DF2217" w:rsidRPr="00BA2DE8" w:rsidRDefault="00C36AD0" w:rsidP="00806464">
      <w:pPr>
        <w:spacing w:after="240"/>
        <w:rPr>
          <w:rFonts w:cs="Arial"/>
          <w:bCs/>
        </w:rPr>
      </w:pPr>
      <w:r w:rsidRPr="00BA2DE8">
        <w:rPr>
          <w:rFonts w:cs="Arial"/>
          <w:bCs/>
        </w:rPr>
        <w:t>California’s accountability system</w:t>
      </w:r>
      <w:r w:rsidR="00806464" w:rsidRPr="00BA2DE8">
        <w:rPr>
          <w:rFonts w:cs="Arial"/>
          <w:bCs/>
        </w:rPr>
        <w:t xml:space="preserve"> reports the performance of the </w:t>
      </w:r>
      <w:r w:rsidRPr="00BA2DE8">
        <w:rPr>
          <w:rFonts w:cs="Arial"/>
          <w:bCs/>
        </w:rPr>
        <w:t xml:space="preserve">EL student group </w:t>
      </w:r>
      <w:r w:rsidR="00DF2217" w:rsidRPr="00BA2DE8">
        <w:rPr>
          <w:rFonts w:cs="Arial"/>
          <w:bCs/>
        </w:rPr>
        <w:t xml:space="preserve">for all state indicators. </w:t>
      </w:r>
      <w:r w:rsidR="00335EED" w:rsidRPr="00BA2DE8">
        <w:rPr>
          <w:rFonts w:cs="Arial"/>
          <w:bCs/>
        </w:rPr>
        <w:t>T</w:t>
      </w:r>
      <w:r w:rsidRPr="00BA2DE8">
        <w:rPr>
          <w:rFonts w:cs="Arial"/>
          <w:bCs/>
        </w:rPr>
        <w:t>he definition of ELs varies by state indicators</w:t>
      </w:r>
      <w:r w:rsidR="00DF2217" w:rsidRPr="00BA2DE8">
        <w:rPr>
          <w:rFonts w:cs="Arial"/>
          <w:bCs/>
        </w:rPr>
        <w:t xml:space="preserve">. Table 1 displays which students are incorporated in the EL student group for each indicator. (This table is adapted from the 2018 Dashboard flyer, “Who Is Included in the English Learner Student Group?” which is </w:t>
      </w:r>
      <w:r w:rsidR="00430292" w:rsidRPr="00BA2DE8">
        <w:rPr>
          <w:rFonts w:cs="Arial"/>
          <w:bCs/>
        </w:rPr>
        <w:t>available</w:t>
      </w:r>
      <w:r w:rsidR="00DF2217" w:rsidRPr="00BA2DE8">
        <w:rPr>
          <w:rFonts w:cs="Arial"/>
          <w:bCs/>
        </w:rPr>
        <w:t xml:space="preserve"> at </w:t>
      </w:r>
      <w:hyperlink r:id="rId11" w:tooltip="Dashboards Who is included in the English Learner Student Group" w:history="1">
        <w:r w:rsidR="00DF2217" w:rsidRPr="00BA2DE8">
          <w:rPr>
            <w:rStyle w:val="Hyperlink"/>
            <w:rFonts w:cs="Arial"/>
            <w:bCs/>
          </w:rPr>
          <w:t>https://www.cde.ca.gov/ta/ac/cm/documents/englishlearnergroup.pdf</w:t>
        </w:r>
      </w:hyperlink>
      <w:r w:rsidR="00DF2217" w:rsidRPr="00BA2DE8">
        <w:rPr>
          <w:rFonts w:cs="Arial"/>
          <w:bCs/>
        </w:rPr>
        <w:t>.)</w:t>
      </w:r>
    </w:p>
    <w:p w14:paraId="26588D9D" w14:textId="3BA0E3BA" w:rsidR="00806464" w:rsidRPr="00BA2DE8" w:rsidRDefault="00DF2217" w:rsidP="00DF2217">
      <w:pPr>
        <w:spacing w:after="240"/>
        <w:jc w:val="center"/>
        <w:rPr>
          <w:rFonts w:cs="Arial"/>
          <w:b/>
          <w:bCs/>
        </w:rPr>
      </w:pPr>
      <w:r w:rsidRPr="00BA2DE8">
        <w:rPr>
          <w:rFonts w:cs="Arial"/>
          <w:b/>
          <w:bCs/>
        </w:rPr>
        <w:t>Table 1</w:t>
      </w:r>
    </w:p>
    <w:p w14:paraId="273E1A22" w14:textId="5D773205" w:rsidR="00DF2217" w:rsidRPr="00BA2DE8" w:rsidRDefault="00DF2217" w:rsidP="00DF2217">
      <w:pPr>
        <w:spacing w:after="240"/>
        <w:jc w:val="center"/>
        <w:rPr>
          <w:rFonts w:cs="Arial"/>
          <w:b/>
          <w:bCs/>
        </w:rPr>
      </w:pPr>
      <w:r w:rsidRPr="00BA2DE8">
        <w:rPr>
          <w:rFonts w:cs="Arial"/>
          <w:b/>
          <w:bCs/>
        </w:rPr>
        <w:t>Who is Included in the EL Student Group for Each State Indicator</w:t>
      </w:r>
    </w:p>
    <w:tbl>
      <w:tblPr>
        <w:tblStyle w:val="TableGrid1"/>
        <w:tblW w:w="9535" w:type="dxa"/>
        <w:tblLook w:val="04A0" w:firstRow="1" w:lastRow="0" w:firstColumn="1" w:lastColumn="0" w:noHBand="0" w:noVBand="1"/>
        <w:tblCaption w:val="Who counts as an EL"/>
        <w:tblDescription w:val="Table with indicator and list of who counts as an EL"/>
      </w:tblPr>
      <w:tblGrid>
        <w:gridCol w:w="2605"/>
        <w:gridCol w:w="6930"/>
      </w:tblGrid>
      <w:tr w:rsidR="0009036D" w:rsidRPr="00BA2DE8" w14:paraId="2A56714C" w14:textId="77777777" w:rsidTr="000D7857">
        <w:trPr>
          <w:tblHeader/>
        </w:trPr>
        <w:tc>
          <w:tcPr>
            <w:tcW w:w="2605" w:type="dxa"/>
            <w:shd w:val="clear" w:color="auto" w:fill="E7E6E6" w:themeFill="background2"/>
            <w:vAlign w:val="bottom"/>
          </w:tcPr>
          <w:p w14:paraId="321B4ACE" w14:textId="77777777" w:rsidR="0009036D" w:rsidRPr="00BA2DE8" w:rsidRDefault="0009036D" w:rsidP="0009036D">
            <w:pPr>
              <w:spacing w:after="240"/>
              <w:jc w:val="center"/>
              <w:rPr>
                <w:rFonts w:cs="Arial"/>
                <w:b/>
                <w:bCs/>
              </w:rPr>
            </w:pPr>
            <w:r w:rsidRPr="00BA2DE8">
              <w:rPr>
                <w:rFonts w:cs="Arial"/>
                <w:b/>
                <w:bCs/>
              </w:rPr>
              <w:t>Indicator</w:t>
            </w:r>
          </w:p>
        </w:tc>
        <w:tc>
          <w:tcPr>
            <w:tcW w:w="6930" w:type="dxa"/>
            <w:shd w:val="clear" w:color="auto" w:fill="E7E6E6" w:themeFill="background2"/>
            <w:vAlign w:val="bottom"/>
          </w:tcPr>
          <w:p w14:paraId="5C119A39" w14:textId="77777777" w:rsidR="0009036D" w:rsidRPr="00BA2DE8" w:rsidRDefault="0009036D" w:rsidP="0009036D">
            <w:pPr>
              <w:spacing w:after="240"/>
              <w:jc w:val="center"/>
              <w:rPr>
                <w:rFonts w:cs="Arial"/>
                <w:b/>
                <w:bCs/>
              </w:rPr>
            </w:pPr>
            <w:r w:rsidRPr="00BA2DE8">
              <w:rPr>
                <w:rFonts w:cs="Arial"/>
                <w:b/>
                <w:bCs/>
              </w:rPr>
              <w:t>Who Counts as an EL?</w:t>
            </w:r>
          </w:p>
        </w:tc>
      </w:tr>
      <w:tr w:rsidR="0009036D" w:rsidRPr="00BA2DE8" w14:paraId="1C4A24BA" w14:textId="77777777" w:rsidTr="0009036D">
        <w:trPr>
          <w:trHeight w:val="908"/>
        </w:trPr>
        <w:tc>
          <w:tcPr>
            <w:tcW w:w="2605" w:type="dxa"/>
            <w:vAlign w:val="center"/>
          </w:tcPr>
          <w:p w14:paraId="51453C5C" w14:textId="77777777" w:rsidR="0009036D" w:rsidRPr="00BA2DE8" w:rsidRDefault="0009036D" w:rsidP="0009036D">
            <w:pPr>
              <w:spacing w:after="240"/>
              <w:jc w:val="center"/>
              <w:rPr>
                <w:rFonts w:cs="Arial"/>
                <w:bCs/>
              </w:rPr>
            </w:pPr>
            <w:r w:rsidRPr="00BA2DE8">
              <w:rPr>
                <w:rFonts w:cs="Arial"/>
                <w:bCs/>
              </w:rPr>
              <w:t>Academic Performance</w:t>
            </w:r>
          </w:p>
        </w:tc>
        <w:tc>
          <w:tcPr>
            <w:tcW w:w="6930" w:type="dxa"/>
          </w:tcPr>
          <w:p w14:paraId="682987C3" w14:textId="3E0E31CE" w:rsidR="0009036D" w:rsidRPr="00BA2DE8" w:rsidRDefault="0009036D" w:rsidP="00950F0A">
            <w:r w:rsidRPr="00BA2DE8">
              <w:t xml:space="preserve">Students who are </w:t>
            </w:r>
            <w:r w:rsidR="00C260FE" w:rsidRPr="00BA2DE8">
              <w:t xml:space="preserve">reported </w:t>
            </w:r>
            <w:r w:rsidRPr="00BA2DE8">
              <w:t>as EL during the time of testing, including students who were reclassified (or RFEP) within the past four years.</w:t>
            </w:r>
          </w:p>
        </w:tc>
      </w:tr>
      <w:tr w:rsidR="0009036D" w:rsidRPr="00BA2DE8" w14:paraId="1F3F3310" w14:textId="77777777" w:rsidTr="0009036D">
        <w:trPr>
          <w:trHeight w:val="602"/>
        </w:trPr>
        <w:tc>
          <w:tcPr>
            <w:tcW w:w="2605" w:type="dxa"/>
            <w:vAlign w:val="center"/>
          </w:tcPr>
          <w:p w14:paraId="636FA1B9" w14:textId="77777777" w:rsidR="0009036D" w:rsidRPr="00BA2DE8" w:rsidRDefault="0009036D" w:rsidP="0009036D">
            <w:pPr>
              <w:spacing w:after="240"/>
              <w:jc w:val="center"/>
              <w:rPr>
                <w:rFonts w:cs="Arial"/>
                <w:bCs/>
              </w:rPr>
            </w:pPr>
            <w:r w:rsidRPr="00BA2DE8">
              <w:rPr>
                <w:rFonts w:cs="Arial"/>
                <w:bCs/>
              </w:rPr>
              <w:t>Chronic Absenteeism</w:t>
            </w:r>
          </w:p>
        </w:tc>
        <w:tc>
          <w:tcPr>
            <w:tcW w:w="6930" w:type="dxa"/>
          </w:tcPr>
          <w:p w14:paraId="4C9C3237" w14:textId="39901E81" w:rsidR="0009036D" w:rsidRPr="00BA2DE8" w:rsidRDefault="0009036D" w:rsidP="0015074E">
            <w:r w:rsidRPr="00BA2DE8">
              <w:t xml:space="preserve">Students who are </w:t>
            </w:r>
            <w:r w:rsidR="00C260FE" w:rsidRPr="00BA2DE8">
              <w:t xml:space="preserve">reported </w:t>
            </w:r>
            <w:r w:rsidRPr="00BA2DE8">
              <w:t>as an EL at any time during the 2017–18 academic year.</w:t>
            </w:r>
          </w:p>
        </w:tc>
      </w:tr>
      <w:tr w:rsidR="0009036D" w:rsidRPr="00BA2DE8" w14:paraId="6C31DCC1" w14:textId="77777777" w:rsidTr="0009036D">
        <w:trPr>
          <w:trHeight w:val="908"/>
        </w:trPr>
        <w:tc>
          <w:tcPr>
            <w:tcW w:w="2605" w:type="dxa"/>
            <w:vAlign w:val="center"/>
          </w:tcPr>
          <w:p w14:paraId="5696A070" w14:textId="77777777" w:rsidR="0009036D" w:rsidRPr="00BA2DE8" w:rsidRDefault="0009036D" w:rsidP="0009036D">
            <w:pPr>
              <w:spacing w:after="240"/>
              <w:jc w:val="center"/>
              <w:rPr>
                <w:rFonts w:cs="Arial"/>
                <w:bCs/>
              </w:rPr>
            </w:pPr>
            <w:r w:rsidRPr="00BA2DE8">
              <w:rPr>
                <w:rFonts w:cs="Arial"/>
                <w:bCs/>
              </w:rPr>
              <w:t>College/Career Readiness</w:t>
            </w:r>
          </w:p>
        </w:tc>
        <w:tc>
          <w:tcPr>
            <w:tcW w:w="6930" w:type="dxa"/>
          </w:tcPr>
          <w:p w14:paraId="6B95C84B" w14:textId="3744CBB3" w:rsidR="0009036D" w:rsidRPr="00BA2DE8" w:rsidRDefault="0009036D" w:rsidP="0009036D">
            <w:r w:rsidRPr="00BA2DE8">
              <w:t xml:space="preserve">Students who are </w:t>
            </w:r>
            <w:r w:rsidR="00C260FE" w:rsidRPr="00BA2DE8">
              <w:t>reported</w:t>
            </w:r>
            <w:r w:rsidR="0015074E" w:rsidRPr="00BA2DE8">
              <w:t xml:space="preserve"> </w:t>
            </w:r>
            <w:r w:rsidRPr="00BA2DE8">
              <w:t>as EL at any time during the four-year cohort, or the Dashboard Alternative School Status (DASS) graduation rate, for the Class of 2018.</w:t>
            </w:r>
          </w:p>
        </w:tc>
      </w:tr>
      <w:tr w:rsidR="0009036D" w:rsidRPr="00BA2DE8" w14:paraId="5FE68116" w14:textId="77777777" w:rsidTr="006B1C06">
        <w:trPr>
          <w:trHeight w:val="692"/>
        </w:trPr>
        <w:tc>
          <w:tcPr>
            <w:tcW w:w="2605" w:type="dxa"/>
            <w:vAlign w:val="center"/>
          </w:tcPr>
          <w:p w14:paraId="4FEECD86" w14:textId="77777777" w:rsidR="0009036D" w:rsidRPr="00BA2DE8" w:rsidRDefault="0009036D" w:rsidP="0009036D">
            <w:pPr>
              <w:spacing w:after="240"/>
              <w:jc w:val="center"/>
              <w:rPr>
                <w:rFonts w:cs="Arial"/>
                <w:bCs/>
              </w:rPr>
            </w:pPr>
            <w:r w:rsidRPr="00BA2DE8">
              <w:rPr>
                <w:rFonts w:cs="Arial"/>
                <w:bCs/>
              </w:rPr>
              <w:t>English Learner Progress</w:t>
            </w:r>
          </w:p>
        </w:tc>
        <w:tc>
          <w:tcPr>
            <w:tcW w:w="6930" w:type="dxa"/>
          </w:tcPr>
          <w:p w14:paraId="174F7FCC" w14:textId="7184C51C" w:rsidR="0009036D" w:rsidRPr="00BA2DE8" w:rsidRDefault="0009036D" w:rsidP="006B1C06">
            <w:r w:rsidRPr="00BA2DE8">
              <w:t>Results for students who took the Summative English Language Proficiency Assessments for California (ELPAC).</w:t>
            </w:r>
          </w:p>
        </w:tc>
      </w:tr>
      <w:tr w:rsidR="0009036D" w:rsidRPr="00BA2DE8" w14:paraId="297EE8D6" w14:textId="77777777" w:rsidTr="0009036D">
        <w:trPr>
          <w:trHeight w:val="890"/>
        </w:trPr>
        <w:tc>
          <w:tcPr>
            <w:tcW w:w="2605" w:type="dxa"/>
            <w:vAlign w:val="center"/>
          </w:tcPr>
          <w:p w14:paraId="28F309E0" w14:textId="77777777" w:rsidR="0009036D" w:rsidRPr="00BA2DE8" w:rsidRDefault="0009036D" w:rsidP="0009036D">
            <w:pPr>
              <w:spacing w:after="240"/>
              <w:jc w:val="center"/>
              <w:rPr>
                <w:rFonts w:cs="Arial"/>
                <w:bCs/>
              </w:rPr>
            </w:pPr>
            <w:r w:rsidRPr="00BA2DE8">
              <w:rPr>
                <w:rFonts w:cs="Arial"/>
                <w:bCs/>
              </w:rPr>
              <w:t>Graduate Rate</w:t>
            </w:r>
          </w:p>
        </w:tc>
        <w:tc>
          <w:tcPr>
            <w:tcW w:w="6930" w:type="dxa"/>
          </w:tcPr>
          <w:p w14:paraId="0ECEAAE6" w14:textId="01216864" w:rsidR="0009036D" w:rsidRPr="00BA2DE8" w:rsidRDefault="0009036D" w:rsidP="0009036D">
            <w:r w:rsidRPr="00BA2DE8">
              <w:t xml:space="preserve">Students who are </w:t>
            </w:r>
            <w:r w:rsidR="00C260FE" w:rsidRPr="00BA2DE8">
              <w:t>reported</w:t>
            </w:r>
            <w:r w:rsidR="0015074E" w:rsidRPr="00BA2DE8">
              <w:t xml:space="preserve"> </w:t>
            </w:r>
            <w:r w:rsidRPr="00BA2DE8">
              <w:t>as EL at any time during the four-year cohort, or the DASS graduation rate, for the Class of 2018.</w:t>
            </w:r>
          </w:p>
        </w:tc>
      </w:tr>
      <w:tr w:rsidR="0009036D" w:rsidRPr="00BA2DE8" w14:paraId="53BC9167" w14:textId="77777777" w:rsidTr="0009036D">
        <w:trPr>
          <w:trHeight w:val="620"/>
        </w:trPr>
        <w:tc>
          <w:tcPr>
            <w:tcW w:w="2605" w:type="dxa"/>
            <w:vAlign w:val="center"/>
          </w:tcPr>
          <w:p w14:paraId="04B724D3" w14:textId="77777777" w:rsidR="0009036D" w:rsidRPr="00BA2DE8" w:rsidRDefault="0009036D" w:rsidP="0009036D">
            <w:pPr>
              <w:spacing w:after="240"/>
              <w:jc w:val="center"/>
              <w:rPr>
                <w:rFonts w:cs="Arial"/>
                <w:bCs/>
              </w:rPr>
            </w:pPr>
            <w:r w:rsidRPr="00BA2DE8">
              <w:rPr>
                <w:rFonts w:cs="Arial"/>
                <w:bCs/>
              </w:rPr>
              <w:t>Suspension Rate</w:t>
            </w:r>
          </w:p>
        </w:tc>
        <w:tc>
          <w:tcPr>
            <w:tcW w:w="6930" w:type="dxa"/>
          </w:tcPr>
          <w:p w14:paraId="010C6648" w14:textId="36A11B37" w:rsidR="0009036D" w:rsidRPr="00BA2DE8" w:rsidRDefault="0009036D" w:rsidP="0009036D">
            <w:r w:rsidRPr="00BA2DE8">
              <w:t xml:space="preserve">Students who are </w:t>
            </w:r>
            <w:r w:rsidR="00C260FE" w:rsidRPr="00BA2DE8">
              <w:t>reported</w:t>
            </w:r>
            <w:r w:rsidR="0015074E" w:rsidRPr="00BA2DE8">
              <w:t xml:space="preserve"> </w:t>
            </w:r>
            <w:r w:rsidRPr="00BA2DE8">
              <w:t>as an EL at any time during the 2017–18 academic year.</w:t>
            </w:r>
          </w:p>
        </w:tc>
      </w:tr>
    </w:tbl>
    <w:p w14:paraId="0688CBBE" w14:textId="77777777" w:rsidR="001D14D1" w:rsidRPr="00BA2DE8" w:rsidRDefault="001D14D1">
      <w:pPr>
        <w:spacing w:after="160" w:line="259" w:lineRule="auto"/>
        <w:rPr>
          <w:rFonts w:cs="Arial"/>
        </w:rPr>
      </w:pPr>
      <w:r w:rsidRPr="00BA2DE8">
        <w:rPr>
          <w:rFonts w:cs="Arial"/>
        </w:rPr>
        <w:br w:type="page"/>
      </w:r>
    </w:p>
    <w:p w14:paraId="144220DB" w14:textId="5391677A" w:rsidR="00DF2217" w:rsidRPr="00BA2DE8" w:rsidRDefault="00C36AD0" w:rsidP="002134F3">
      <w:pPr>
        <w:spacing w:before="240"/>
        <w:rPr>
          <w:rFonts w:cs="Arial"/>
          <w:bCs/>
        </w:rPr>
      </w:pPr>
      <w:r w:rsidRPr="00BA2DE8">
        <w:rPr>
          <w:rFonts w:cs="Arial"/>
        </w:rPr>
        <w:lastRenderedPageBreak/>
        <w:t xml:space="preserve">In January 2017, the </w:t>
      </w:r>
      <w:r w:rsidR="00335EED" w:rsidRPr="00BA2DE8">
        <w:rPr>
          <w:rFonts w:cs="Arial"/>
        </w:rPr>
        <w:t xml:space="preserve">State Board of Education </w:t>
      </w:r>
      <w:r w:rsidR="00596854" w:rsidRPr="00BA2DE8">
        <w:rPr>
          <w:rFonts w:cs="Arial"/>
        </w:rPr>
        <w:t xml:space="preserve">(SBE) </w:t>
      </w:r>
      <w:r w:rsidR="00335EED" w:rsidRPr="00BA2DE8">
        <w:rPr>
          <w:rFonts w:cs="Arial"/>
        </w:rPr>
        <w:t xml:space="preserve">adopted </w:t>
      </w:r>
      <w:r w:rsidRPr="00BA2DE8">
        <w:rPr>
          <w:rFonts w:cs="Arial"/>
        </w:rPr>
        <w:t>the</w:t>
      </w:r>
      <w:r w:rsidR="00174DA5" w:rsidRPr="00BA2DE8">
        <w:rPr>
          <w:rFonts w:cs="Arial"/>
        </w:rPr>
        <w:t xml:space="preserve"> definition for </w:t>
      </w:r>
      <w:r w:rsidR="00596854" w:rsidRPr="00BA2DE8">
        <w:rPr>
          <w:rFonts w:cs="Arial"/>
        </w:rPr>
        <w:t xml:space="preserve">the </w:t>
      </w:r>
      <w:r w:rsidR="00174DA5" w:rsidRPr="00BA2DE8">
        <w:rPr>
          <w:rFonts w:cs="Arial"/>
        </w:rPr>
        <w:t>E</w:t>
      </w:r>
      <w:r w:rsidR="00596854" w:rsidRPr="00BA2DE8">
        <w:rPr>
          <w:rFonts w:cs="Arial"/>
        </w:rPr>
        <w:t>L student group</w:t>
      </w:r>
      <w:r w:rsidR="00174DA5" w:rsidRPr="00BA2DE8">
        <w:rPr>
          <w:rFonts w:cs="Arial"/>
        </w:rPr>
        <w:t xml:space="preserve"> for the</w:t>
      </w:r>
      <w:r w:rsidRPr="00BA2DE8">
        <w:rPr>
          <w:rFonts w:cs="Arial"/>
        </w:rPr>
        <w:t xml:space="preserve"> Academic Indicator</w:t>
      </w:r>
      <w:r w:rsidR="003670B3" w:rsidRPr="00BA2DE8">
        <w:rPr>
          <w:rFonts w:cs="Arial"/>
        </w:rPr>
        <w:t>,</w:t>
      </w:r>
      <w:r w:rsidRPr="00BA2DE8">
        <w:rPr>
          <w:rFonts w:cs="Arial"/>
        </w:rPr>
        <w:t xml:space="preserve"> </w:t>
      </w:r>
      <w:r w:rsidR="00174DA5" w:rsidRPr="00BA2DE8">
        <w:rPr>
          <w:rFonts w:cs="Arial"/>
        </w:rPr>
        <w:t>which</w:t>
      </w:r>
      <w:r w:rsidRPr="00BA2DE8">
        <w:rPr>
          <w:rFonts w:cs="Arial"/>
        </w:rPr>
        <w:t xml:space="preserve"> include</w:t>
      </w:r>
      <w:r w:rsidR="00174DA5" w:rsidRPr="00BA2DE8">
        <w:rPr>
          <w:rFonts w:cs="Arial"/>
        </w:rPr>
        <w:t>s</w:t>
      </w:r>
      <w:r w:rsidRPr="00BA2DE8">
        <w:rPr>
          <w:rFonts w:cs="Arial"/>
        </w:rPr>
        <w:t xml:space="preserve"> </w:t>
      </w:r>
      <w:r w:rsidR="00174DA5" w:rsidRPr="00BA2DE8">
        <w:rPr>
          <w:rFonts w:cs="Arial"/>
        </w:rPr>
        <w:t xml:space="preserve">current EL </w:t>
      </w:r>
      <w:r w:rsidRPr="00BA2DE8">
        <w:rPr>
          <w:rFonts w:cs="Arial"/>
        </w:rPr>
        <w:t xml:space="preserve">students </w:t>
      </w:r>
      <w:r w:rsidR="00174DA5" w:rsidRPr="00BA2DE8">
        <w:rPr>
          <w:rFonts w:cs="Arial"/>
        </w:rPr>
        <w:t xml:space="preserve">and ELs </w:t>
      </w:r>
      <w:r w:rsidRPr="00BA2DE8">
        <w:rPr>
          <w:rFonts w:cs="Arial"/>
        </w:rPr>
        <w:t>recl</w:t>
      </w:r>
      <w:r w:rsidR="005D6077" w:rsidRPr="00BA2DE8">
        <w:rPr>
          <w:rFonts w:cs="Arial"/>
        </w:rPr>
        <w:t>assified for four years or less</w:t>
      </w:r>
      <w:r w:rsidR="005D6077" w:rsidRPr="00BA2DE8">
        <w:rPr>
          <w:rFonts w:cs="Arial"/>
          <w:strike/>
        </w:rPr>
        <w:t xml:space="preserve"> </w:t>
      </w:r>
      <w:r w:rsidR="00DF2217" w:rsidRPr="00BA2DE8">
        <w:rPr>
          <w:rFonts w:cs="Arial"/>
        </w:rPr>
        <w:t>(</w:t>
      </w:r>
      <w:hyperlink r:id="rId12" w:tooltip="California State Board of Education January 2017 Agenda" w:history="1">
        <w:r w:rsidR="00DF2217" w:rsidRPr="00BA2DE8">
          <w:rPr>
            <w:rStyle w:val="Hyperlink"/>
            <w:rFonts w:cs="Arial"/>
            <w:bCs/>
          </w:rPr>
          <w:t>https://www.cde.ca.gov/be/ag/ag/yr17/documents/jan17item02.doc</w:t>
        </w:r>
      </w:hyperlink>
      <w:r w:rsidR="00DF2217" w:rsidRPr="00BA2DE8">
        <w:rPr>
          <w:rFonts w:cs="Arial"/>
          <w:bCs/>
        </w:rPr>
        <w:t xml:space="preserve"> and</w:t>
      </w:r>
    </w:p>
    <w:p w14:paraId="4DB50DE9" w14:textId="0E209EE5" w:rsidR="00C17CBF" w:rsidRPr="00BA2DE8" w:rsidRDefault="009B5950" w:rsidP="006113AE">
      <w:pPr>
        <w:rPr>
          <w:rFonts w:cs="Arial"/>
        </w:rPr>
      </w:pPr>
      <w:hyperlink r:id="rId13" w:tooltip="Proposed Standards for the Academuic Indicator Based on Student Test Scored in English Language Arts/Literacy and Mathematics for GRades three through eight, definition of english learner subgroup. " w:history="1">
        <w:r w:rsidR="00DF2217" w:rsidRPr="00BA2DE8">
          <w:rPr>
            <w:rStyle w:val="Hyperlink"/>
            <w:rFonts w:cs="Arial"/>
            <w:bCs/>
          </w:rPr>
          <w:t>https://www.cde.ca.gov/be/ag/ag/yr17/documents/jan17item02a1addendum.doc</w:t>
        </w:r>
      </w:hyperlink>
      <w:r w:rsidR="00F4781C" w:rsidRPr="00BA2DE8">
        <w:rPr>
          <w:rFonts w:cs="Arial"/>
          <w:bCs/>
        </w:rPr>
        <w:t>)</w:t>
      </w:r>
      <w:r w:rsidR="005D6077" w:rsidRPr="00BA2DE8">
        <w:rPr>
          <w:rFonts w:cs="Arial"/>
          <w:bCs/>
        </w:rPr>
        <w:t>.</w:t>
      </w:r>
      <w:r w:rsidR="00F4781C" w:rsidRPr="00BA2DE8">
        <w:rPr>
          <w:rFonts w:cs="Arial"/>
          <w:bCs/>
        </w:rPr>
        <w:t xml:space="preserve"> </w:t>
      </w:r>
      <w:r w:rsidR="003670B3" w:rsidRPr="00BA2DE8">
        <w:rPr>
          <w:rFonts w:cs="Arial"/>
          <w:bCs/>
        </w:rPr>
        <w:t>This definition support</w:t>
      </w:r>
      <w:r w:rsidR="006113AE" w:rsidRPr="00BA2DE8">
        <w:rPr>
          <w:rFonts w:cs="Arial"/>
          <w:bCs/>
        </w:rPr>
        <w:t>s</w:t>
      </w:r>
      <w:r w:rsidR="003670B3" w:rsidRPr="00BA2DE8">
        <w:rPr>
          <w:rFonts w:cs="Arial"/>
          <w:bCs/>
        </w:rPr>
        <w:t xml:space="preserve"> a central premise that school and district performance on the Academic Indicator reflect</w:t>
      </w:r>
      <w:r w:rsidR="00C17CBF" w:rsidRPr="00BA2DE8">
        <w:rPr>
          <w:rFonts w:cs="Arial"/>
          <w:bCs/>
        </w:rPr>
        <w:t>s</w:t>
      </w:r>
      <w:r w:rsidR="003670B3" w:rsidRPr="00BA2DE8">
        <w:rPr>
          <w:rFonts w:cs="Arial"/>
          <w:bCs/>
        </w:rPr>
        <w:t xml:space="preserve"> the </w:t>
      </w:r>
      <w:r w:rsidR="00F4781C" w:rsidRPr="00BA2DE8">
        <w:rPr>
          <w:rFonts w:cs="Arial"/>
        </w:rPr>
        <w:t>effectiveness of the entire EL program</w:t>
      </w:r>
      <w:r w:rsidR="003670B3" w:rsidRPr="00BA2DE8">
        <w:rPr>
          <w:rFonts w:cs="Arial"/>
        </w:rPr>
        <w:t>—</w:t>
      </w:r>
      <w:r w:rsidR="00F4781C" w:rsidRPr="00BA2DE8">
        <w:rPr>
          <w:rFonts w:cs="Arial"/>
        </w:rPr>
        <w:t>from initial designation through successful reclassification</w:t>
      </w:r>
      <w:r w:rsidR="003D2F47" w:rsidRPr="00BA2DE8">
        <w:rPr>
          <w:rFonts w:cs="Arial"/>
        </w:rPr>
        <w:t xml:space="preserve">. </w:t>
      </w:r>
      <w:r w:rsidR="006113AE" w:rsidRPr="00BA2DE8">
        <w:rPr>
          <w:rFonts w:cs="Arial"/>
        </w:rPr>
        <w:t>This is borne out by the data</w:t>
      </w:r>
      <w:r w:rsidR="006B2422" w:rsidRPr="00BA2DE8">
        <w:rPr>
          <w:rFonts w:cs="Arial"/>
        </w:rPr>
        <w:t xml:space="preserve"> (Tables 2 and 3)</w:t>
      </w:r>
      <w:r w:rsidR="006113AE" w:rsidRPr="00BA2DE8">
        <w:rPr>
          <w:rFonts w:cs="Arial"/>
        </w:rPr>
        <w:t>, which shows that</w:t>
      </w:r>
      <w:r w:rsidR="00C17CBF" w:rsidRPr="00BA2DE8">
        <w:rPr>
          <w:rFonts w:cs="Arial"/>
        </w:rPr>
        <w:t>, among districts and schools</w:t>
      </w:r>
      <w:r w:rsidR="00837F87" w:rsidRPr="00BA2DE8">
        <w:rPr>
          <w:rFonts w:cs="Arial"/>
        </w:rPr>
        <w:t xml:space="preserve"> that receive a Red performance </w:t>
      </w:r>
      <w:r w:rsidR="00C17CBF" w:rsidRPr="00BA2DE8">
        <w:rPr>
          <w:rFonts w:cs="Arial"/>
        </w:rPr>
        <w:t>level</w:t>
      </w:r>
      <w:r w:rsidR="00837F87" w:rsidRPr="00BA2DE8">
        <w:rPr>
          <w:rFonts w:cs="Arial"/>
        </w:rPr>
        <w:t xml:space="preserve"> </w:t>
      </w:r>
      <w:r w:rsidR="00C17CBF" w:rsidRPr="00BA2DE8">
        <w:rPr>
          <w:rFonts w:cs="Arial"/>
        </w:rPr>
        <w:t xml:space="preserve">for their EL student group in </w:t>
      </w:r>
      <w:r w:rsidR="00731598" w:rsidRPr="00BA2DE8">
        <w:rPr>
          <w:rFonts w:cs="Arial"/>
        </w:rPr>
        <w:t>English language arts (</w:t>
      </w:r>
      <w:r w:rsidR="00C17CBF" w:rsidRPr="00BA2DE8">
        <w:rPr>
          <w:rFonts w:cs="Arial"/>
        </w:rPr>
        <w:t>ELA</w:t>
      </w:r>
      <w:r w:rsidR="00731598" w:rsidRPr="00BA2DE8">
        <w:rPr>
          <w:rFonts w:cs="Arial"/>
        </w:rPr>
        <w:t>)</w:t>
      </w:r>
      <w:r w:rsidR="00C17CBF" w:rsidRPr="00BA2DE8">
        <w:rPr>
          <w:rFonts w:cs="Arial"/>
        </w:rPr>
        <w:t xml:space="preserve"> or mathematics, </w:t>
      </w:r>
      <w:r w:rsidR="00A03EED" w:rsidRPr="00BA2DE8">
        <w:rPr>
          <w:rFonts w:cs="Arial"/>
        </w:rPr>
        <w:t xml:space="preserve">a significant percent of </w:t>
      </w:r>
      <w:r w:rsidR="00C17CBF" w:rsidRPr="00BA2DE8">
        <w:rPr>
          <w:rFonts w:cs="Arial"/>
        </w:rPr>
        <w:t xml:space="preserve">RFEP </w:t>
      </w:r>
      <w:r w:rsidR="00A03EED" w:rsidRPr="00BA2DE8">
        <w:rPr>
          <w:rFonts w:cs="Arial"/>
        </w:rPr>
        <w:t xml:space="preserve">students have a negative </w:t>
      </w:r>
      <w:r w:rsidR="00C17CBF" w:rsidRPr="00BA2DE8">
        <w:rPr>
          <w:rFonts w:cs="Arial"/>
        </w:rPr>
        <w:t xml:space="preserve">Distance from Standard (DFS). </w:t>
      </w:r>
    </w:p>
    <w:p w14:paraId="7420C668" w14:textId="77777777" w:rsidR="00C17CBF" w:rsidRPr="00BA2DE8" w:rsidRDefault="00C17CBF" w:rsidP="006113AE">
      <w:pPr>
        <w:rPr>
          <w:rFonts w:cs="Arial"/>
        </w:rPr>
      </w:pPr>
    </w:p>
    <w:p w14:paraId="5F05F4CD" w14:textId="47AFA0EE" w:rsidR="00A03EED" w:rsidRPr="00BA2DE8" w:rsidRDefault="00A03EED" w:rsidP="00E502E8">
      <w:pPr>
        <w:jc w:val="center"/>
        <w:rPr>
          <w:rFonts w:cs="Arial"/>
          <w:b/>
        </w:rPr>
      </w:pPr>
      <w:r w:rsidRPr="00BA2DE8">
        <w:rPr>
          <w:rFonts w:cs="Arial"/>
          <w:b/>
        </w:rPr>
        <w:t>Table 2</w:t>
      </w:r>
      <w:r w:rsidR="00E502E8" w:rsidRPr="00BA2DE8">
        <w:rPr>
          <w:rFonts w:cs="Arial"/>
          <w:b/>
        </w:rPr>
        <w:t xml:space="preserve">: </w:t>
      </w:r>
    </w:p>
    <w:p w14:paraId="37BD965D" w14:textId="415C3286" w:rsidR="006B2422" w:rsidRPr="00BA2DE8" w:rsidRDefault="00E502E8" w:rsidP="00E502E8">
      <w:pPr>
        <w:jc w:val="center"/>
        <w:rPr>
          <w:rFonts w:cs="Arial"/>
          <w:b/>
        </w:rPr>
      </w:pPr>
      <w:r w:rsidRPr="00BA2DE8">
        <w:rPr>
          <w:rFonts w:cs="Arial"/>
          <w:b/>
        </w:rPr>
        <w:t>District</w:t>
      </w:r>
      <w:r w:rsidR="006B2422" w:rsidRPr="00BA2DE8">
        <w:rPr>
          <w:rFonts w:cs="Arial"/>
          <w:b/>
        </w:rPr>
        <w:t>s</w:t>
      </w:r>
      <w:r w:rsidRPr="00BA2DE8">
        <w:rPr>
          <w:rFonts w:cs="Arial"/>
          <w:b/>
        </w:rPr>
        <w:t xml:space="preserve"> and School</w:t>
      </w:r>
      <w:r w:rsidR="006B2422" w:rsidRPr="00BA2DE8">
        <w:rPr>
          <w:rFonts w:cs="Arial"/>
          <w:b/>
        </w:rPr>
        <w:t>s with Red Performance Level for ELA</w:t>
      </w:r>
      <w:r w:rsidR="00231496" w:rsidRPr="00BA2DE8">
        <w:rPr>
          <w:rFonts w:cs="Arial"/>
          <w:b/>
        </w:rPr>
        <w:t xml:space="preserve"> and Mathematics </w:t>
      </w:r>
    </w:p>
    <w:p w14:paraId="6C89908F" w14:textId="71B10188" w:rsidR="00E502E8" w:rsidRPr="00BA2DE8" w:rsidRDefault="006B2422" w:rsidP="00E502E8">
      <w:pPr>
        <w:jc w:val="center"/>
        <w:rPr>
          <w:rFonts w:cs="Arial"/>
          <w:b/>
        </w:rPr>
      </w:pPr>
      <w:r w:rsidRPr="00BA2DE8">
        <w:rPr>
          <w:rFonts w:cs="Arial"/>
          <w:b/>
        </w:rPr>
        <w:t xml:space="preserve">Percent </w:t>
      </w:r>
      <w:r w:rsidR="00231496" w:rsidRPr="00BA2DE8">
        <w:rPr>
          <w:rFonts w:cs="Arial"/>
          <w:b/>
        </w:rPr>
        <w:t>of</w:t>
      </w:r>
      <w:r w:rsidRPr="00BA2DE8">
        <w:rPr>
          <w:rFonts w:cs="Arial"/>
          <w:b/>
        </w:rPr>
        <w:t xml:space="preserve"> EL and RFEP Students</w:t>
      </w:r>
      <w:r w:rsidR="00231496" w:rsidRPr="00BA2DE8">
        <w:rPr>
          <w:rFonts w:cs="Arial"/>
          <w:b/>
        </w:rPr>
        <w:t xml:space="preserve"> Contributing to the </w:t>
      </w:r>
      <w:r w:rsidRPr="00BA2DE8">
        <w:rPr>
          <w:rFonts w:cs="Arial"/>
          <w:b/>
        </w:rPr>
        <w:t xml:space="preserve">Negative DFS </w:t>
      </w:r>
      <w:r w:rsidR="00231496" w:rsidRPr="00BA2DE8">
        <w:rPr>
          <w:rFonts w:cs="Arial"/>
          <w:b/>
        </w:rPr>
        <w:t>Score</w:t>
      </w:r>
    </w:p>
    <w:p w14:paraId="028D3F9B" w14:textId="77777777" w:rsidR="00A03EED" w:rsidRPr="00BA2DE8" w:rsidRDefault="00A03EED" w:rsidP="006113AE">
      <w:pPr>
        <w:rPr>
          <w:rFonts w:cs="Arial"/>
        </w:rPr>
      </w:pPr>
    </w:p>
    <w:tbl>
      <w:tblPr>
        <w:tblStyle w:val="TableGrid"/>
        <w:tblW w:w="9351" w:type="dxa"/>
        <w:tblLook w:val="04A0" w:firstRow="1" w:lastRow="0" w:firstColumn="1" w:lastColumn="0" w:noHBand="0" w:noVBand="1"/>
        <w:tblCaption w:val="Table two "/>
        <w:tblDescription w:val="Disctricts and Schools with red performance level for ELA and Mathematics percent of EL and RFEP Students Contributing to the Negative DFS Score "/>
      </w:tblPr>
      <w:tblGrid>
        <w:gridCol w:w="2146"/>
        <w:gridCol w:w="2799"/>
        <w:gridCol w:w="4406"/>
      </w:tblGrid>
      <w:tr w:rsidR="006B2422" w:rsidRPr="00BA2DE8" w14:paraId="15FAAD32" w14:textId="77777777" w:rsidTr="009C52D2">
        <w:trPr>
          <w:tblHeader/>
        </w:trPr>
        <w:tc>
          <w:tcPr>
            <w:tcW w:w="2146" w:type="dxa"/>
          </w:tcPr>
          <w:p w14:paraId="0D50B440" w14:textId="605137F3" w:rsidR="006B2422" w:rsidRPr="00BA2DE8" w:rsidRDefault="00731598" w:rsidP="00731598">
            <w:pPr>
              <w:rPr>
                <w:rFonts w:cs="Arial"/>
              </w:rPr>
            </w:pPr>
            <w:r w:rsidRPr="00BA2DE8">
              <w:rPr>
                <w:rFonts w:cs="Arial"/>
              </w:rPr>
              <w:t>Content Area</w:t>
            </w:r>
          </w:p>
        </w:tc>
        <w:tc>
          <w:tcPr>
            <w:tcW w:w="2799" w:type="dxa"/>
          </w:tcPr>
          <w:p w14:paraId="4C458DC0" w14:textId="1380741E" w:rsidR="006B2422" w:rsidRPr="00BA2DE8" w:rsidRDefault="009C52D2" w:rsidP="00950F0A">
            <w:pPr>
              <w:jc w:val="center"/>
              <w:rPr>
                <w:rFonts w:cs="Arial"/>
              </w:rPr>
            </w:pPr>
            <w:r w:rsidRPr="00BA2DE8">
              <w:rPr>
                <w:rFonts w:cs="Arial"/>
              </w:rPr>
              <w:t>Number of Red Performing Districts/Schools</w:t>
            </w:r>
            <w:r w:rsidR="00231496" w:rsidRPr="00BA2DE8">
              <w:rPr>
                <w:rFonts w:cs="Arial"/>
              </w:rPr>
              <w:t xml:space="preserve"> </w:t>
            </w:r>
          </w:p>
        </w:tc>
        <w:tc>
          <w:tcPr>
            <w:tcW w:w="4406" w:type="dxa"/>
          </w:tcPr>
          <w:p w14:paraId="6C1FAB47" w14:textId="5E861F36" w:rsidR="00731598" w:rsidRPr="00BA2DE8" w:rsidRDefault="00026C44" w:rsidP="00026C44">
            <w:pPr>
              <w:rPr>
                <w:rFonts w:cs="Arial"/>
              </w:rPr>
            </w:pPr>
            <w:r w:rsidRPr="00BA2DE8">
              <w:rPr>
                <w:rFonts w:cs="Arial"/>
              </w:rPr>
              <w:t xml:space="preserve">Percent of </w:t>
            </w:r>
            <w:r w:rsidR="00231496" w:rsidRPr="00BA2DE8">
              <w:rPr>
                <w:rFonts w:cs="Arial"/>
              </w:rPr>
              <w:t xml:space="preserve">Red Performing </w:t>
            </w:r>
            <w:r w:rsidRPr="00BA2DE8">
              <w:rPr>
                <w:rFonts w:cs="Arial"/>
              </w:rPr>
              <w:t xml:space="preserve">Districts and Schools that have </w:t>
            </w:r>
            <w:r w:rsidR="005D6077" w:rsidRPr="00BA2DE8">
              <w:rPr>
                <w:rFonts w:cs="Arial"/>
              </w:rPr>
              <w:t>Negative DFS</w:t>
            </w:r>
            <w:r w:rsidR="00731598" w:rsidRPr="00BA2DE8">
              <w:rPr>
                <w:rFonts w:cs="Arial"/>
              </w:rPr>
              <w:t xml:space="preserve"> for both EL</w:t>
            </w:r>
            <w:r w:rsidRPr="00BA2DE8">
              <w:rPr>
                <w:rFonts w:cs="Arial"/>
              </w:rPr>
              <w:t xml:space="preserve"> Only</w:t>
            </w:r>
            <w:r w:rsidR="00731598" w:rsidRPr="00BA2DE8">
              <w:rPr>
                <w:rFonts w:cs="Arial"/>
              </w:rPr>
              <w:t xml:space="preserve"> and RFEP Students</w:t>
            </w:r>
          </w:p>
        </w:tc>
      </w:tr>
      <w:tr w:rsidR="006B2422" w:rsidRPr="00BA2DE8" w14:paraId="350D4981" w14:textId="77777777" w:rsidTr="009C52D2">
        <w:tc>
          <w:tcPr>
            <w:tcW w:w="2146" w:type="dxa"/>
          </w:tcPr>
          <w:p w14:paraId="56E48BE8" w14:textId="006DB5C5" w:rsidR="006B2422" w:rsidRPr="00BA2DE8" w:rsidRDefault="006B2422" w:rsidP="006B2422">
            <w:pPr>
              <w:rPr>
                <w:rFonts w:cs="Arial"/>
              </w:rPr>
            </w:pPr>
            <w:r w:rsidRPr="00BA2DE8">
              <w:rPr>
                <w:rFonts w:cs="Arial"/>
              </w:rPr>
              <w:t>ELA</w:t>
            </w:r>
          </w:p>
        </w:tc>
        <w:tc>
          <w:tcPr>
            <w:tcW w:w="2799" w:type="dxa"/>
          </w:tcPr>
          <w:p w14:paraId="17E6CFA1" w14:textId="6801C031" w:rsidR="006B2422" w:rsidRPr="00BA2DE8" w:rsidRDefault="001B194C" w:rsidP="006B2422">
            <w:pPr>
              <w:rPr>
                <w:rFonts w:cs="Arial"/>
              </w:rPr>
            </w:pPr>
            <w:r w:rsidRPr="00BA2DE8">
              <w:rPr>
                <w:rFonts w:cs="Arial"/>
              </w:rPr>
              <w:t xml:space="preserve">89 </w:t>
            </w:r>
            <w:r w:rsidR="006B2422" w:rsidRPr="00BA2DE8">
              <w:rPr>
                <w:rFonts w:cs="Arial"/>
              </w:rPr>
              <w:t>District</w:t>
            </w:r>
            <w:r w:rsidRPr="00BA2DE8">
              <w:rPr>
                <w:rFonts w:cs="Arial"/>
              </w:rPr>
              <w:t>s</w:t>
            </w:r>
          </w:p>
        </w:tc>
        <w:tc>
          <w:tcPr>
            <w:tcW w:w="4406" w:type="dxa"/>
          </w:tcPr>
          <w:p w14:paraId="18D81794" w14:textId="64109B8A" w:rsidR="006B2422" w:rsidRPr="00BA2DE8" w:rsidRDefault="006B2422" w:rsidP="006B2422">
            <w:pPr>
              <w:rPr>
                <w:rFonts w:cs="Arial"/>
              </w:rPr>
            </w:pPr>
            <w:r w:rsidRPr="00BA2DE8">
              <w:rPr>
                <w:rFonts w:cs="Arial"/>
              </w:rPr>
              <w:t>97.8%</w:t>
            </w:r>
          </w:p>
        </w:tc>
      </w:tr>
      <w:tr w:rsidR="006B2422" w:rsidRPr="00BA2DE8" w14:paraId="2C08C2E1" w14:textId="77777777" w:rsidTr="009C52D2">
        <w:tc>
          <w:tcPr>
            <w:tcW w:w="2146" w:type="dxa"/>
          </w:tcPr>
          <w:p w14:paraId="3C73D008" w14:textId="709BACD9" w:rsidR="006B2422" w:rsidRPr="00BA2DE8" w:rsidRDefault="006B2422" w:rsidP="006B2422">
            <w:pPr>
              <w:rPr>
                <w:rFonts w:cs="Arial"/>
              </w:rPr>
            </w:pPr>
            <w:r w:rsidRPr="00BA2DE8">
              <w:rPr>
                <w:rFonts w:cs="Arial"/>
              </w:rPr>
              <w:t>ELA</w:t>
            </w:r>
          </w:p>
        </w:tc>
        <w:tc>
          <w:tcPr>
            <w:tcW w:w="2799" w:type="dxa"/>
          </w:tcPr>
          <w:p w14:paraId="0EA498BA" w14:textId="26764004" w:rsidR="006B2422" w:rsidRPr="00BA2DE8" w:rsidRDefault="001B194C" w:rsidP="006B2422">
            <w:pPr>
              <w:rPr>
                <w:rFonts w:cs="Arial"/>
              </w:rPr>
            </w:pPr>
            <w:r w:rsidRPr="00BA2DE8">
              <w:rPr>
                <w:rFonts w:cs="Arial"/>
              </w:rPr>
              <w:t xml:space="preserve">1,019 </w:t>
            </w:r>
            <w:r w:rsidR="006B2422" w:rsidRPr="00BA2DE8">
              <w:rPr>
                <w:rFonts w:cs="Arial"/>
              </w:rPr>
              <w:t>School</w:t>
            </w:r>
            <w:r w:rsidRPr="00BA2DE8">
              <w:rPr>
                <w:rFonts w:cs="Arial"/>
              </w:rPr>
              <w:t>s</w:t>
            </w:r>
          </w:p>
        </w:tc>
        <w:tc>
          <w:tcPr>
            <w:tcW w:w="4406" w:type="dxa"/>
          </w:tcPr>
          <w:p w14:paraId="42009960" w14:textId="6C2BF790" w:rsidR="006B2422" w:rsidRPr="00BA2DE8" w:rsidRDefault="006B2422" w:rsidP="006B2422">
            <w:pPr>
              <w:rPr>
                <w:rFonts w:cs="Arial"/>
              </w:rPr>
            </w:pPr>
            <w:r w:rsidRPr="00BA2DE8">
              <w:rPr>
                <w:rFonts w:cs="Arial"/>
              </w:rPr>
              <w:t>91.8%</w:t>
            </w:r>
          </w:p>
        </w:tc>
      </w:tr>
      <w:tr w:rsidR="006B2422" w:rsidRPr="00BA2DE8" w14:paraId="790C7687" w14:textId="77777777" w:rsidTr="009C52D2">
        <w:tc>
          <w:tcPr>
            <w:tcW w:w="2146" w:type="dxa"/>
          </w:tcPr>
          <w:p w14:paraId="78D43E41" w14:textId="6E2C0187" w:rsidR="006B2422" w:rsidRPr="00BA2DE8" w:rsidRDefault="006B2422" w:rsidP="006B2422">
            <w:pPr>
              <w:rPr>
                <w:rFonts w:cs="Arial"/>
              </w:rPr>
            </w:pPr>
            <w:r w:rsidRPr="00BA2DE8">
              <w:rPr>
                <w:rFonts w:cs="Arial"/>
              </w:rPr>
              <w:t>Mathematics</w:t>
            </w:r>
          </w:p>
        </w:tc>
        <w:tc>
          <w:tcPr>
            <w:tcW w:w="2799" w:type="dxa"/>
          </w:tcPr>
          <w:p w14:paraId="01653FEC" w14:textId="5978F3A4" w:rsidR="006B2422" w:rsidRPr="00BA2DE8" w:rsidRDefault="001B194C" w:rsidP="006B2422">
            <w:pPr>
              <w:rPr>
                <w:rFonts w:cs="Arial"/>
              </w:rPr>
            </w:pPr>
            <w:r w:rsidRPr="00BA2DE8">
              <w:rPr>
                <w:rFonts w:cs="Arial"/>
              </w:rPr>
              <w:t xml:space="preserve">102 </w:t>
            </w:r>
            <w:r w:rsidR="006B2422" w:rsidRPr="00BA2DE8">
              <w:rPr>
                <w:rFonts w:cs="Arial"/>
              </w:rPr>
              <w:t>District</w:t>
            </w:r>
            <w:r w:rsidRPr="00BA2DE8">
              <w:rPr>
                <w:rFonts w:cs="Arial"/>
              </w:rPr>
              <w:t>s</w:t>
            </w:r>
          </w:p>
        </w:tc>
        <w:tc>
          <w:tcPr>
            <w:tcW w:w="4406" w:type="dxa"/>
          </w:tcPr>
          <w:p w14:paraId="24520166" w14:textId="6A1145B8" w:rsidR="006B2422" w:rsidRPr="00BA2DE8" w:rsidRDefault="006B2422" w:rsidP="006B2422">
            <w:pPr>
              <w:rPr>
                <w:rFonts w:cs="Arial"/>
              </w:rPr>
            </w:pPr>
            <w:r w:rsidRPr="00BA2DE8">
              <w:rPr>
                <w:rFonts w:cs="Arial"/>
              </w:rPr>
              <w:t>100%</w:t>
            </w:r>
          </w:p>
        </w:tc>
      </w:tr>
      <w:tr w:rsidR="006B2422" w:rsidRPr="00BA2DE8" w14:paraId="638A8186" w14:textId="77777777" w:rsidTr="009C52D2">
        <w:tc>
          <w:tcPr>
            <w:tcW w:w="2146" w:type="dxa"/>
          </w:tcPr>
          <w:p w14:paraId="715B73B2" w14:textId="5397E6A4" w:rsidR="006B2422" w:rsidRPr="00BA2DE8" w:rsidRDefault="006B2422" w:rsidP="006B2422">
            <w:pPr>
              <w:rPr>
                <w:rFonts w:cs="Arial"/>
              </w:rPr>
            </w:pPr>
            <w:r w:rsidRPr="00BA2DE8">
              <w:rPr>
                <w:rFonts w:cs="Arial"/>
              </w:rPr>
              <w:t>Mathematics</w:t>
            </w:r>
          </w:p>
        </w:tc>
        <w:tc>
          <w:tcPr>
            <w:tcW w:w="2799" w:type="dxa"/>
          </w:tcPr>
          <w:p w14:paraId="5C725A3E" w14:textId="5EA8B9E3" w:rsidR="006B2422" w:rsidRPr="00BA2DE8" w:rsidRDefault="001B194C" w:rsidP="006B2422">
            <w:pPr>
              <w:rPr>
                <w:rFonts w:cs="Arial"/>
              </w:rPr>
            </w:pPr>
            <w:r w:rsidRPr="00BA2DE8">
              <w:rPr>
                <w:rFonts w:cs="Arial"/>
              </w:rPr>
              <w:t xml:space="preserve">942 </w:t>
            </w:r>
            <w:r w:rsidR="006B2422" w:rsidRPr="00BA2DE8">
              <w:rPr>
                <w:rFonts w:cs="Arial"/>
              </w:rPr>
              <w:t>School</w:t>
            </w:r>
            <w:r w:rsidRPr="00BA2DE8">
              <w:rPr>
                <w:rFonts w:cs="Arial"/>
              </w:rPr>
              <w:t>s</w:t>
            </w:r>
          </w:p>
        </w:tc>
        <w:tc>
          <w:tcPr>
            <w:tcW w:w="4406" w:type="dxa"/>
          </w:tcPr>
          <w:p w14:paraId="29FCD52A" w14:textId="33AC869A" w:rsidR="006B2422" w:rsidRPr="00BA2DE8" w:rsidRDefault="006B2422" w:rsidP="006B2422">
            <w:pPr>
              <w:rPr>
                <w:rFonts w:cs="Arial"/>
              </w:rPr>
            </w:pPr>
            <w:r w:rsidRPr="00BA2DE8">
              <w:rPr>
                <w:rFonts w:cs="Arial"/>
              </w:rPr>
              <w:t>100%</w:t>
            </w:r>
          </w:p>
        </w:tc>
      </w:tr>
    </w:tbl>
    <w:p w14:paraId="3C3E785A" w14:textId="0772B034" w:rsidR="0073385D" w:rsidRPr="00BA2DE8" w:rsidRDefault="00F4781C" w:rsidP="002134F3">
      <w:pPr>
        <w:spacing w:before="240" w:after="240"/>
        <w:rPr>
          <w:rFonts w:cs="Arial"/>
          <w:bCs/>
        </w:rPr>
      </w:pPr>
      <w:r w:rsidRPr="00BA2DE8">
        <w:rPr>
          <w:rFonts w:cs="Arial"/>
        </w:rPr>
        <w:t xml:space="preserve">A strong EL program moves students toward language proficiency as quickly as possible to allow students better access to the curriculum while supporting EL students in their mastery of the standards in all content areas. Including RFEP students in the Academic Indicator identifies </w:t>
      </w:r>
      <w:r w:rsidR="00454485" w:rsidRPr="00BA2DE8">
        <w:rPr>
          <w:rFonts w:cs="Arial"/>
        </w:rPr>
        <w:t>local education</w:t>
      </w:r>
      <w:r w:rsidR="002D76E9" w:rsidRPr="00BA2DE8">
        <w:rPr>
          <w:rFonts w:cs="Arial"/>
        </w:rPr>
        <w:t>al</w:t>
      </w:r>
      <w:r w:rsidR="00454485" w:rsidRPr="00BA2DE8">
        <w:rPr>
          <w:rFonts w:cs="Arial"/>
        </w:rPr>
        <w:t xml:space="preserve"> agencies </w:t>
      </w:r>
      <w:r w:rsidR="00DA2510" w:rsidRPr="00BA2DE8">
        <w:rPr>
          <w:rFonts w:cs="Arial"/>
        </w:rPr>
        <w:t>(</w:t>
      </w:r>
      <w:r w:rsidRPr="00BA2DE8">
        <w:rPr>
          <w:rFonts w:cs="Arial"/>
        </w:rPr>
        <w:t>LEA</w:t>
      </w:r>
      <w:r w:rsidR="00536809" w:rsidRPr="00BA2DE8">
        <w:rPr>
          <w:rFonts w:cs="Arial"/>
        </w:rPr>
        <w:t>s</w:t>
      </w:r>
      <w:r w:rsidR="00DA2510" w:rsidRPr="00BA2DE8">
        <w:rPr>
          <w:rFonts w:cs="Arial"/>
        </w:rPr>
        <w:t>)</w:t>
      </w:r>
      <w:r w:rsidRPr="00BA2DE8">
        <w:rPr>
          <w:rFonts w:cs="Arial"/>
        </w:rPr>
        <w:t xml:space="preserve"> and schools whose full continuum of EL students have not received the support necessary to master the standards measured by the statewide assessments. </w:t>
      </w:r>
    </w:p>
    <w:p w14:paraId="4DA23350" w14:textId="6C7489DF" w:rsidR="0073385D" w:rsidRPr="00BA2DE8" w:rsidRDefault="003670B3" w:rsidP="002134F3">
      <w:pPr>
        <w:spacing w:after="240"/>
        <w:rPr>
          <w:rFonts w:cs="Arial"/>
          <w:bCs/>
        </w:rPr>
      </w:pPr>
      <w:r w:rsidRPr="00BA2DE8">
        <w:rPr>
          <w:rFonts w:cs="Arial"/>
          <w:color w:val="000000"/>
        </w:rPr>
        <w:t>It is important to n</w:t>
      </w:r>
      <w:r w:rsidRPr="00BA2DE8">
        <w:rPr>
          <w:rFonts w:cs="Arial"/>
        </w:rPr>
        <w:t>ote that this definition of ELs in the Academic Indicator gained the support of several nationally known researcher</w:t>
      </w:r>
      <w:r w:rsidR="005D6077" w:rsidRPr="00BA2DE8">
        <w:rPr>
          <w:rFonts w:cs="Arial"/>
        </w:rPr>
        <w:t>s: Robert Linquanti from WestEd;</w:t>
      </w:r>
      <w:r w:rsidRPr="00BA2DE8">
        <w:rPr>
          <w:rFonts w:cs="Arial"/>
        </w:rPr>
        <w:t xml:space="preserve"> Pete Goldschmidt from the California State University, Northridge; Kenji Hakuta from Stanford University; and Delia Pompa with the Migration Policy Institute.</w:t>
      </w:r>
      <w:r w:rsidR="0073385D" w:rsidRPr="00BA2DE8">
        <w:rPr>
          <w:rFonts w:cs="Arial"/>
        </w:rPr>
        <w:t xml:space="preserve"> However, f</w:t>
      </w:r>
      <w:r w:rsidR="0073385D" w:rsidRPr="00BA2DE8">
        <w:rPr>
          <w:rFonts w:cs="Arial"/>
          <w:bCs/>
        </w:rPr>
        <w:t xml:space="preserve">or transparency purposes, the </w:t>
      </w:r>
      <w:r w:rsidR="00316CF5" w:rsidRPr="00BA2DE8">
        <w:rPr>
          <w:rFonts w:cs="Arial"/>
          <w:bCs/>
        </w:rPr>
        <w:t xml:space="preserve">SBE requested that the </w:t>
      </w:r>
      <w:r w:rsidR="0073385D" w:rsidRPr="00BA2DE8">
        <w:rPr>
          <w:rFonts w:cs="Arial"/>
          <w:bCs/>
        </w:rPr>
        <w:t xml:space="preserve">California School Dashboard (Dashboard) provide </w:t>
      </w:r>
      <w:r w:rsidR="00316CF5" w:rsidRPr="00BA2DE8">
        <w:rPr>
          <w:rFonts w:cs="Arial"/>
          <w:bCs/>
        </w:rPr>
        <w:t>further disaggregation of the</w:t>
      </w:r>
      <w:r w:rsidR="006B1C06" w:rsidRPr="00BA2DE8">
        <w:rPr>
          <w:rFonts w:cs="Arial"/>
          <w:bCs/>
        </w:rPr>
        <w:t xml:space="preserve"> current</w:t>
      </w:r>
      <w:r w:rsidR="00316CF5" w:rsidRPr="00BA2DE8">
        <w:rPr>
          <w:rFonts w:cs="Arial"/>
          <w:bCs/>
        </w:rPr>
        <w:t xml:space="preserve"> </w:t>
      </w:r>
      <w:r w:rsidR="0073385D" w:rsidRPr="00BA2DE8">
        <w:rPr>
          <w:rFonts w:cs="Arial"/>
          <w:bCs/>
        </w:rPr>
        <w:t xml:space="preserve">DFS scores </w:t>
      </w:r>
      <w:r w:rsidR="00837F87" w:rsidRPr="00BA2DE8">
        <w:rPr>
          <w:rFonts w:cs="Arial"/>
          <w:bCs/>
        </w:rPr>
        <w:t>and the increase from the prior year for</w:t>
      </w:r>
      <w:r w:rsidR="006B1C06" w:rsidRPr="00BA2DE8">
        <w:rPr>
          <w:rFonts w:cs="Arial"/>
          <w:bCs/>
        </w:rPr>
        <w:t xml:space="preserve"> the following student groups</w:t>
      </w:r>
      <w:r w:rsidR="00316CF5" w:rsidRPr="00BA2DE8">
        <w:rPr>
          <w:rFonts w:cs="Arial"/>
          <w:bCs/>
        </w:rPr>
        <w:t xml:space="preserve">: </w:t>
      </w:r>
      <w:r w:rsidR="0073385D" w:rsidRPr="00BA2DE8">
        <w:rPr>
          <w:rFonts w:cs="Arial"/>
          <w:bCs/>
        </w:rPr>
        <w:t xml:space="preserve">English </w:t>
      </w:r>
      <w:r w:rsidR="00837F87" w:rsidRPr="00BA2DE8">
        <w:rPr>
          <w:rFonts w:cs="Arial"/>
          <w:bCs/>
        </w:rPr>
        <w:t>l</w:t>
      </w:r>
      <w:r w:rsidR="0073385D" w:rsidRPr="00BA2DE8">
        <w:rPr>
          <w:rFonts w:cs="Arial"/>
          <w:bCs/>
        </w:rPr>
        <w:t xml:space="preserve">earners </w:t>
      </w:r>
      <w:r w:rsidR="00837F87" w:rsidRPr="00BA2DE8">
        <w:rPr>
          <w:rFonts w:cs="Arial"/>
          <w:bCs/>
        </w:rPr>
        <w:t>o</w:t>
      </w:r>
      <w:r w:rsidR="0073385D" w:rsidRPr="00BA2DE8">
        <w:rPr>
          <w:rFonts w:cs="Arial"/>
          <w:bCs/>
        </w:rPr>
        <w:t xml:space="preserve">nly, RFEP, and English </w:t>
      </w:r>
      <w:r w:rsidR="00837F87" w:rsidRPr="00BA2DE8">
        <w:rPr>
          <w:rFonts w:cs="Arial"/>
          <w:bCs/>
        </w:rPr>
        <w:t>o</w:t>
      </w:r>
      <w:r w:rsidR="0073385D" w:rsidRPr="00BA2DE8">
        <w:rPr>
          <w:rFonts w:cs="Arial"/>
          <w:bCs/>
        </w:rPr>
        <w:t>nly.</w:t>
      </w:r>
    </w:p>
    <w:p w14:paraId="29F18B6D" w14:textId="1338953F" w:rsidR="0012701F" w:rsidRPr="00BA2DE8" w:rsidRDefault="0012701F" w:rsidP="002134F3">
      <w:pPr>
        <w:spacing w:after="240"/>
        <w:rPr>
          <w:rFonts w:cs="Arial"/>
          <w:bCs/>
        </w:rPr>
      </w:pPr>
      <w:r w:rsidRPr="00BA2DE8">
        <w:rPr>
          <w:rFonts w:cs="Arial"/>
          <w:bCs/>
        </w:rPr>
        <w:t xml:space="preserve">The January 2017 </w:t>
      </w:r>
      <w:r w:rsidR="00430292" w:rsidRPr="00BA2DE8">
        <w:rPr>
          <w:rFonts w:cs="Arial"/>
          <w:bCs/>
        </w:rPr>
        <w:t xml:space="preserve">SBE </w:t>
      </w:r>
      <w:r w:rsidRPr="00BA2DE8">
        <w:rPr>
          <w:rFonts w:cs="Arial"/>
          <w:bCs/>
        </w:rPr>
        <w:t>agenda item also provided the following two additional reasons for including RFEP students in the EL student group four years:</w:t>
      </w:r>
    </w:p>
    <w:p w14:paraId="73DFF670" w14:textId="17EDADFD" w:rsidR="0012701F" w:rsidRPr="00BA2DE8" w:rsidRDefault="0012701F" w:rsidP="0012701F">
      <w:pPr>
        <w:numPr>
          <w:ilvl w:val="0"/>
          <w:numId w:val="2"/>
        </w:numPr>
        <w:spacing w:after="240"/>
        <w:rPr>
          <w:rFonts w:cs="Arial"/>
        </w:rPr>
      </w:pPr>
      <w:r w:rsidRPr="00BA2DE8">
        <w:rPr>
          <w:rFonts w:cs="Arial"/>
        </w:rPr>
        <w:t xml:space="preserve">Excluding RFEPs from the group significantly reduces the number of schools with a valid N size </w:t>
      </w:r>
      <w:r w:rsidR="003D2F47" w:rsidRPr="00BA2DE8">
        <w:rPr>
          <w:rFonts w:cs="Arial"/>
        </w:rPr>
        <w:t xml:space="preserve">to receive a color </w:t>
      </w:r>
      <w:r w:rsidRPr="00BA2DE8">
        <w:rPr>
          <w:rFonts w:cs="Arial"/>
        </w:rPr>
        <w:t xml:space="preserve">for accountability purposes. </w:t>
      </w:r>
    </w:p>
    <w:p w14:paraId="71FE1B33" w14:textId="4F737FDD" w:rsidR="0012701F" w:rsidRPr="00BA2DE8" w:rsidRDefault="0012701F" w:rsidP="0012701F">
      <w:pPr>
        <w:numPr>
          <w:ilvl w:val="0"/>
          <w:numId w:val="2"/>
        </w:numPr>
        <w:spacing w:after="240"/>
        <w:rPr>
          <w:rFonts w:cs="Arial"/>
        </w:rPr>
      </w:pPr>
      <w:r w:rsidRPr="00BA2DE8">
        <w:rPr>
          <w:rFonts w:cs="Arial"/>
        </w:rPr>
        <w:lastRenderedPageBreak/>
        <w:t xml:space="preserve">Because </w:t>
      </w:r>
      <w:r w:rsidR="002D76E9" w:rsidRPr="00BA2DE8">
        <w:rPr>
          <w:rFonts w:cs="Arial"/>
        </w:rPr>
        <w:t xml:space="preserve">most of the </w:t>
      </w:r>
      <w:r w:rsidRPr="00BA2DE8">
        <w:rPr>
          <w:rFonts w:cs="Arial"/>
        </w:rPr>
        <w:t>reclassification criteria</w:t>
      </w:r>
      <w:r w:rsidR="002D76E9" w:rsidRPr="00BA2DE8">
        <w:rPr>
          <w:rFonts w:cs="Arial"/>
        </w:rPr>
        <w:t xml:space="preserve"> are locally determined</w:t>
      </w:r>
      <w:r w:rsidRPr="00BA2DE8">
        <w:rPr>
          <w:rFonts w:cs="Arial"/>
        </w:rPr>
        <w:t xml:space="preserve"> by LEA</w:t>
      </w:r>
      <w:r w:rsidR="006B1C06" w:rsidRPr="00BA2DE8">
        <w:rPr>
          <w:rFonts w:cs="Arial"/>
        </w:rPr>
        <w:t>s</w:t>
      </w:r>
      <w:r w:rsidRPr="00BA2DE8">
        <w:rPr>
          <w:rFonts w:cs="Arial"/>
        </w:rPr>
        <w:t xml:space="preserve">, the EL and RFEP student populations may have different </w:t>
      </w:r>
      <w:r w:rsidR="003D2F47" w:rsidRPr="00BA2DE8">
        <w:rPr>
          <w:rFonts w:cs="Arial"/>
        </w:rPr>
        <w:t>characteristics</w:t>
      </w:r>
      <w:r w:rsidRPr="00BA2DE8">
        <w:rPr>
          <w:rFonts w:cs="Arial"/>
        </w:rPr>
        <w:t xml:space="preserve"> across LEAs and schools, making comparability an issue in an accountability system. For example, the EL only students in one district may have more students performing at ELPAC levels 1 and 2, compared to other districts that may have more students who are proficient on the ELPAC in their EL group. This same issue would also apply to the RFEP student group because LEAs have </w:t>
      </w:r>
      <w:r w:rsidR="002D76E9" w:rsidRPr="00BA2DE8">
        <w:rPr>
          <w:rFonts w:cs="Arial"/>
        </w:rPr>
        <w:t xml:space="preserve">locally adopted criteria </w:t>
      </w:r>
      <w:r w:rsidRPr="00BA2DE8">
        <w:rPr>
          <w:rFonts w:cs="Arial"/>
        </w:rPr>
        <w:t xml:space="preserve">for reclassifying students. Therefore, including students who are RFEP for four years stabilizes the group, allowing for better comparison across LEAs and schools. (Note, beginning in </w:t>
      </w:r>
      <w:r w:rsidR="00633CAA" w:rsidRPr="00BA2DE8">
        <w:rPr>
          <w:rFonts w:cs="Arial"/>
        </w:rPr>
        <w:t xml:space="preserve">January 2019, the ELPAC overall </w:t>
      </w:r>
      <w:r w:rsidR="003D2F47" w:rsidRPr="00BA2DE8">
        <w:rPr>
          <w:rFonts w:cs="Arial"/>
        </w:rPr>
        <w:t xml:space="preserve">score at level </w:t>
      </w:r>
      <w:r w:rsidR="00633CAA" w:rsidRPr="00BA2DE8">
        <w:rPr>
          <w:rFonts w:cs="Arial"/>
        </w:rPr>
        <w:t xml:space="preserve">4 criteria is used statewide for the first </w:t>
      </w:r>
      <w:r w:rsidR="006B1C06" w:rsidRPr="00BA2DE8">
        <w:rPr>
          <w:rFonts w:cs="Arial"/>
        </w:rPr>
        <w:t xml:space="preserve">reclassification </w:t>
      </w:r>
      <w:r w:rsidR="00633CAA" w:rsidRPr="00BA2DE8">
        <w:rPr>
          <w:rFonts w:cs="Arial"/>
        </w:rPr>
        <w:t>criteria</w:t>
      </w:r>
      <w:r w:rsidR="006B1C06" w:rsidRPr="00BA2DE8">
        <w:rPr>
          <w:rFonts w:cs="Arial"/>
        </w:rPr>
        <w:t>,</w:t>
      </w:r>
      <w:r w:rsidR="00633CAA" w:rsidRPr="00BA2DE8">
        <w:rPr>
          <w:rFonts w:cs="Arial"/>
        </w:rPr>
        <w:t xml:space="preserve"> all other criteria remain locally determined. The Observation Protocol for Teachers of English Learners (OPTEL) is being piloted this fall as a potential statewide tool to standardize two additional criteria. The OPTEL will be presented to the SBE in July of 2020.)</w:t>
      </w:r>
    </w:p>
    <w:p w14:paraId="6F205651" w14:textId="13C4201C" w:rsidR="00950F0A" w:rsidRPr="00BA2DE8" w:rsidRDefault="00950F0A" w:rsidP="00950F0A">
      <w:pPr>
        <w:spacing w:after="240"/>
        <w:rPr>
          <w:rFonts w:cs="Arial"/>
          <w:bCs/>
        </w:rPr>
      </w:pPr>
      <w:r w:rsidRPr="00BA2DE8">
        <w:rPr>
          <w:rFonts w:cs="Arial"/>
          <w:bCs/>
        </w:rPr>
        <w:t>Also important to note is that the EL student group is included in all state indicators and is the only student group with its own indicator, the English Learner Progress Indicator (ELPI). The ELPI</w:t>
      </w:r>
      <w:r w:rsidR="00492EA2" w:rsidRPr="00BA2DE8">
        <w:rPr>
          <w:rFonts w:cs="Arial"/>
          <w:bCs/>
        </w:rPr>
        <w:t>,</w:t>
      </w:r>
      <w:r w:rsidRPr="00BA2DE8">
        <w:rPr>
          <w:rFonts w:cs="Arial"/>
          <w:bCs/>
        </w:rPr>
        <w:t xml:space="preserve"> </w:t>
      </w:r>
      <w:r w:rsidR="00C260FE" w:rsidRPr="00BA2DE8">
        <w:rPr>
          <w:rFonts w:cs="Arial"/>
          <w:bCs/>
        </w:rPr>
        <w:t>beginning with the 2019 Dashboard</w:t>
      </w:r>
      <w:r w:rsidR="00492EA2" w:rsidRPr="00BA2DE8">
        <w:rPr>
          <w:rFonts w:cs="Arial"/>
          <w:bCs/>
        </w:rPr>
        <w:t>,</w:t>
      </w:r>
      <w:r w:rsidR="00C260FE" w:rsidRPr="00BA2DE8">
        <w:rPr>
          <w:rFonts w:cs="Arial"/>
          <w:bCs/>
        </w:rPr>
        <w:t xml:space="preserve"> </w:t>
      </w:r>
      <w:r w:rsidRPr="00BA2DE8">
        <w:rPr>
          <w:rFonts w:cs="Arial"/>
          <w:bCs/>
        </w:rPr>
        <w:t xml:space="preserve">only includes students who are currently classified as ELs and are therefore required to take the </w:t>
      </w:r>
      <w:r w:rsidRPr="00BA2DE8">
        <w:rPr>
          <w:rFonts w:cs="Arial"/>
        </w:rPr>
        <w:t xml:space="preserve">ELPAC. The ELPI Status will be reported in the 2019 Dashboard </w:t>
      </w:r>
      <w:r w:rsidRPr="00BA2DE8">
        <w:rPr>
          <w:rFonts w:cs="Arial"/>
          <w:bCs/>
        </w:rPr>
        <w:t>and is designed to determine whether EL students are making sufficient progress in English acquisition</w:t>
      </w:r>
      <w:r w:rsidR="00492EA2" w:rsidRPr="00BA2DE8">
        <w:rPr>
          <w:rFonts w:cs="Arial"/>
          <w:bCs/>
        </w:rPr>
        <w:t xml:space="preserve"> in contrast to the Academic Indicator that measures student</w:t>
      </w:r>
      <w:r w:rsidR="00A13D14" w:rsidRPr="00BA2DE8">
        <w:rPr>
          <w:rFonts w:cs="Arial"/>
          <w:bCs/>
        </w:rPr>
        <w:t>’</w:t>
      </w:r>
      <w:r w:rsidR="00492EA2" w:rsidRPr="00BA2DE8">
        <w:rPr>
          <w:rFonts w:cs="Arial"/>
          <w:bCs/>
        </w:rPr>
        <w:t>s mastery of academic standards</w:t>
      </w:r>
      <w:r w:rsidRPr="00BA2DE8">
        <w:rPr>
          <w:rFonts w:cs="Arial"/>
          <w:bCs/>
        </w:rPr>
        <w:t>. The inclusion of the ELPI will provide another important piece of information on the success of schools and LEAs ELD programs.</w:t>
      </w:r>
    </w:p>
    <w:p w14:paraId="16817B8E" w14:textId="381CE8BC" w:rsidR="00F4781C" w:rsidRPr="00BA2DE8" w:rsidRDefault="0012701F" w:rsidP="002134F3">
      <w:pPr>
        <w:spacing w:after="240"/>
        <w:rPr>
          <w:rFonts w:cs="Arial"/>
          <w:bCs/>
        </w:rPr>
      </w:pPr>
      <w:r w:rsidRPr="00BA2DE8">
        <w:rPr>
          <w:rFonts w:cs="Arial"/>
          <w:bCs/>
        </w:rPr>
        <w:t>In t</w:t>
      </w:r>
      <w:r w:rsidR="00596854" w:rsidRPr="00BA2DE8">
        <w:rPr>
          <w:rFonts w:cs="Arial"/>
          <w:bCs/>
        </w:rPr>
        <w:t>he</w:t>
      </w:r>
      <w:r w:rsidR="00316CF5" w:rsidRPr="00BA2DE8">
        <w:rPr>
          <w:rFonts w:cs="Arial"/>
          <w:bCs/>
        </w:rPr>
        <w:t xml:space="preserve"> January 2017 SBE</w:t>
      </w:r>
      <w:r w:rsidR="00596854" w:rsidRPr="00BA2DE8">
        <w:rPr>
          <w:rFonts w:cs="Arial"/>
          <w:bCs/>
        </w:rPr>
        <w:t xml:space="preserve"> agenda item</w:t>
      </w:r>
      <w:r w:rsidR="00DF2217" w:rsidRPr="00BA2DE8">
        <w:rPr>
          <w:rFonts w:cs="Arial"/>
          <w:bCs/>
        </w:rPr>
        <w:t xml:space="preserve">, </w:t>
      </w:r>
      <w:r w:rsidR="00596854" w:rsidRPr="00BA2DE8">
        <w:rPr>
          <w:rFonts w:cs="Arial"/>
          <w:bCs/>
        </w:rPr>
        <w:t xml:space="preserve">the </w:t>
      </w:r>
      <w:r w:rsidR="005D6077" w:rsidRPr="00BA2DE8">
        <w:rPr>
          <w:rFonts w:cs="Arial"/>
          <w:bCs/>
        </w:rPr>
        <w:t xml:space="preserve">California Department of Education (CDE) </w:t>
      </w:r>
      <w:r w:rsidR="00596854" w:rsidRPr="00BA2DE8">
        <w:rPr>
          <w:rFonts w:cs="Arial"/>
          <w:bCs/>
        </w:rPr>
        <w:t>noted the importance of continuing to r</w:t>
      </w:r>
      <w:r w:rsidR="00596854" w:rsidRPr="00BA2DE8">
        <w:rPr>
          <w:rFonts w:cs="Arial"/>
          <w:color w:val="000000"/>
        </w:rPr>
        <w:t xml:space="preserve">eview the data closely and make recommendations, if </w:t>
      </w:r>
      <w:r w:rsidR="003D2F47" w:rsidRPr="00BA2DE8">
        <w:rPr>
          <w:rFonts w:cs="Arial"/>
          <w:color w:val="000000"/>
        </w:rPr>
        <w:t>needed, to respond</w:t>
      </w:r>
      <w:r w:rsidR="00596854" w:rsidRPr="00BA2DE8">
        <w:rPr>
          <w:rFonts w:cs="Arial"/>
          <w:color w:val="000000"/>
        </w:rPr>
        <w:t xml:space="preserve"> to changes</w:t>
      </w:r>
      <w:r w:rsidR="002E4135" w:rsidRPr="00BA2DE8">
        <w:rPr>
          <w:rFonts w:cs="Arial"/>
          <w:color w:val="000000"/>
        </w:rPr>
        <w:t xml:space="preserve"> </w:t>
      </w:r>
      <w:r w:rsidR="00F4781C" w:rsidRPr="00BA2DE8">
        <w:rPr>
          <w:rFonts w:cs="Arial"/>
          <w:color w:val="000000"/>
        </w:rPr>
        <w:t xml:space="preserve">over the coming years, most notably the transition to the English </w:t>
      </w:r>
      <w:r w:rsidR="00F4781C" w:rsidRPr="00BA2DE8">
        <w:rPr>
          <w:rFonts w:cs="Arial"/>
          <w:bCs/>
          <w:color w:val="000000"/>
          <w:lang w:val="en"/>
        </w:rPr>
        <w:t>Language Proficiency Assessments for California</w:t>
      </w:r>
      <w:r w:rsidR="00F4781C" w:rsidRPr="00BA2DE8">
        <w:rPr>
          <w:rFonts w:cs="Arial"/>
          <w:color w:val="000000"/>
          <w:lang w:val="en"/>
        </w:rPr>
        <w:t xml:space="preserve"> (</w:t>
      </w:r>
      <w:r w:rsidR="00F4781C" w:rsidRPr="00BA2DE8">
        <w:rPr>
          <w:rFonts w:cs="Arial"/>
          <w:bCs/>
          <w:color w:val="000000"/>
          <w:lang w:val="en"/>
        </w:rPr>
        <w:t>ELPAC</w:t>
      </w:r>
      <w:r w:rsidR="00F4781C" w:rsidRPr="00BA2DE8">
        <w:rPr>
          <w:rFonts w:cs="Arial"/>
          <w:color w:val="000000"/>
          <w:lang w:val="en"/>
        </w:rPr>
        <w:t xml:space="preserve">) </w:t>
      </w:r>
      <w:r w:rsidR="00F4781C" w:rsidRPr="00BA2DE8">
        <w:rPr>
          <w:rFonts w:cs="Arial"/>
          <w:color w:val="000000"/>
        </w:rPr>
        <w:t>in 2018. Potential legislation to modify the reclassification criteria may also prompt the SBE to revisit the Academic and English Learner Indicators</w:t>
      </w:r>
      <w:r w:rsidR="00316CF5" w:rsidRPr="00BA2DE8">
        <w:rPr>
          <w:rFonts w:cs="Arial"/>
          <w:color w:val="000000"/>
        </w:rPr>
        <w:t xml:space="preserve"> in future years</w:t>
      </w:r>
      <w:r w:rsidR="00F4781C" w:rsidRPr="00BA2DE8">
        <w:rPr>
          <w:rFonts w:cs="Arial"/>
          <w:color w:val="000000"/>
        </w:rPr>
        <w:t>.</w:t>
      </w:r>
    </w:p>
    <w:p w14:paraId="06F78A56" w14:textId="3F6D49BD" w:rsidR="00A469A5" w:rsidRPr="00BA2DE8" w:rsidRDefault="00596854" w:rsidP="003670B3">
      <w:pPr>
        <w:spacing w:after="240"/>
        <w:rPr>
          <w:rFonts w:cs="Arial"/>
        </w:rPr>
      </w:pPr>
      <w:r w:rsidRPr="00BA2DE8">
        <w:rPr>
          <w:rFonts w:cs="Arial"/>
          <w:bCs/>
        </w:rPr>
        <w:t>Using the most recently available data, the CDE conducted simulations to evaluate the appropriateness of continuing to apply the current definition for the EL student group to the Academic Indicator. This Information Memorandum presents this data, which continues to show that r</w:t>
      </w:r>
      <w:r w:rsidR="00633CAA" w:rsidRPr="00BA2DE8">
        <w:rPr>
          <w:rFonts w:cs="Arial"/>
          <w:bCs/>
        </w:rPr>
        <w:t>educing the number of years since</w:t>
      </w:r>
      <w:r w:rsidRPr="00BA2DE8">
        <w:rPr>
          <w:rFonts w:cs="Arial"/>
          <w:bCs/>
        </w:rPr>
        <w:t xml:space="preserve"> students are reclassified from</w:t>
      </w:r>
      <w:r w:rsidR="006B1C06" w:rsidRPr="00BA2DE8">
        <w:rPr>
          <w:rFonts w:cs="Arial"/>
          <w:bCs/>
        </w:rPr>
        <w:t xml:space="preserve"> inclusion in</w:t>
      </w:r>
      <w:r w:rsidRPr="00BA2DE8">
        <w:rPr>
          <w:rFonts w:cs="Arial"/>
          <w:bCs/>
        </w:rPr>
        <w:t xml:space="preserve"> the EL student group would result in fewer LEAs and schools receiving a performance level (color).</w:t>
      </w:r>
      <w:r w:rsidR="00A469A5" w:rsidRPr="00BA2DE8">
        <w:rPr>
          <w:rFonts w:cs="Arial"/>
          <w:bCs/>
        </w:rPr>
        <w:t xml:space="preserve"> </w:t>
      </w:r>
    </w:p>
    <w:p w14:paraId="3901D226" w14:textId="77777777" w:rsidR="00C36AD0" w:rsidRPr="00BA2DE8" w:rsidRDefault="00C36AD0" w:rsidP="006113AE">
      <w:pPr>
        <w:pStyle w:val="Heading2"/>
        <w:rPr>
          <w:b w:val="0"/>
        </w:rPr>
      </w:pPr>
      <w:r w:rsidRPr="00BA2DE8">
        <w:rPr>
          <w:sz w:val="24"/>
        </w:rPr>
        <w:t>Current Data on English Learners and the Academic Indicator</w:t>
      </w:r>
    </w:p>
    <w:p w14:paraId="79D68E4B" w14:textId="40DC707B" w:rsidR="00C36AD0" w:rsidRPr="00BA2DE8" w:rsidRDefault="00C36AD0" w:rsidP="006113AE">
      <w:pPr>
        <w:spacing w:after="240"/>
        <w:rPr>
          <w:rFonts w:cs="Arial"/>
        </w:rPr>
      </w:pPr>
      <w:r w:rsidRPr="00BA2DE8">
        <w:rPr>
          <w:rFonts w:cs="Arial"/>
        </w:rPr>
        <w:t xml:space="preserve">Tables </w:t>
      </w:r>
      <w:r w:rsidR="006B2422" w:rsidRPr="00BA2DE8">
        <w:rPr>
          <w:rFonts w:cs="Arial"/>
        </w:rPr>
        <w:t>3</w:t>
      </w:r>
      <w:r w:rsidRPr="00BA2DE8">
        <w:rPr>
          <w:rFonts w:cs="Arial"/>
        </w:rPr>
        <w:t xml:space="preserve"> and </w:t>
      </w:r>
      <w:r w:rsidR="006B2422" w:rsidRPr="00BA2DE8">
        <w:rPr>
          <w:rFonts w:cs="Arial"/>
        </w:rPr>
        <w:t>4</w:t>
      </w:r>
      <w:r w:rsidRPr="00BA2DE8">
        <w:rPr>
          <w:rFonts w:cs="Arial"/>
        </w:rPr>
        <w:t xml:space="preserve"> provide updated data on the number and percent of schools and LEAs identified in each of the performance categories for ELA, based on three different definitions of the EL student group:</w:t>
      </w:r>
    </w:p>
    <w:p w14:paraId="0ABC3D31" w14:textId="77777777" w:rsidR="00C36AD0" w:rsidRPr="00BA2DE8" w:rsidRDefault="00C36AD0" w:rsidP="002134F3">
      <w:pPr>
        <w:pStyle w:val="ListParagraph"/>
        <w:numPr>
          <w:ilvl w:val="0"/>
          <w:numId w:val="3"/>
        </w:numPr>
        <w:spacing w:after="240" w:line="240" w:lineRule="auto"/>
        <w:rPr>
          <w:rFonts w:ascii="Arial" w:hAnsi="Arial" w:cs="Arial"/>
          <w:sz w:val="24"/>
          <w:szCs w:val="24"/>
        </w:rPr>
      </w:pPr>
      <w:r w:rsidRPr="00BA2DE8">
        <w:rPr>
          <w:rFonts w:ascii="Arial" w:hAnsi="Arial" w:cs="Arial"/>
          <w:sz w:val="24"/>
          <w:szCs w:val="24"/>
        </w:rPr>
        <w:lastRenderedPageBreak/>
        <w:t>ELs and students reclassified for up to four years (2015–18): Current definition</w:t>
      </w:r>
    </w:p>
    <w:p w14:paraId="72842D9B" w14:textId="77777777" w:rsidR="00C36AD0" w:rsidRPr="00BA2DE8" w:rsidRDefault="00C36AD0" w:rsidP="002134F3">
      <w:pPr>
        <w:pStyle w:val="ListParagraph"/>
        <w:numPr>
          <w:ilvl w:val="0"/>
          <w:numId w:val="3"/>
        </w:numPr>
        <w:spacing w:after="240" w:line="240" w:lineRule="auto"/>
        <w:rPr>
          <w:rFonts w:ascii="Arial" w:hAnsi="Arial" w:cs="Arial"/>
          <w:sz w:val="24"/>
          <w:szCs w:val="24"/>
        </w:rPr>
      </w:pPr>
      <w:r w:rsidRPr="00BA2DE8">
        <w:rPr>
          <w:rFonts w:ascii="Arial" w:hAnsi="Arial" w:cs="Arial"/>
          <w:sz w:val="24"/>
          <w:szCs w:val="24"/>
        </w:rPr>
        <w:t>ELs and students reclassified for up to three years (2016–18)</w:t>
      </w:r>
    </w:p>
    <w:p w14:paraId="53D684F9" w14:textId="77777777" w:rsidR="00C36AD0" w:rsidRPr="00BA2DE8" w:rsidRDefault="00C36AD0" w:rsidP="002134F3">
      <w:pPr>
        <w:pStyle w:val="ListParagraph"/>
        <w:numPr>
          <w:ilvl w:val="0"/>
          <w:numId w:val="3"/>
        </w:numPr>
        <w:spacing w:after="240" w:line="240" w:lineRule="auto"/>
        <w:rPr>
          <w:rFonts w:ascii="Arial" w:hAnsi="Arial" w:cs="Arial"/>
          <w:sz w:val="24"/>
          <w:szCs w:val="24"/>
        </w:rPr>
      </w:pPr>
      <w:r w:rsidRPr="00BA2DE8">
        <w:rPr>
          <w:rFonts w:ascii="Arial" w:hAnsi="Arial" w:cs="Arial"/>
          <w:sz w:val="24"/>
          <w:szCs w:val="24"/>
        </w:rPr>
        <w:t>ELs and students reclassified for up to two years (2017–18)</w:t>
      </w:r>
    </w:p>
    <w:p w14:paraId="67B8336C" w14:textId="77777777" w:rsidR="00C36AD0" w:rsidRPr="00BA2DE8" w:rsidRDefault="00C36AD0" w:rsidP="00C36AD0">
      <w:pPr>
        <w:rPr>
          <w:rFonts w:cs="Arial"/>
          <w:sz w:val="2"/>
        </w:rPr>
      </w:pPr>
    </w:p>
    <w:p w14:paraId="440717B6" w14:textId="545F9075" w:rsidR="00C36AD0" w:rsidRPr="00BA2DE8" w:rsidRDefault="00C17CBF" w:rsidP="00C36AD0">
      <w:pPr>
        <w:jc w:val="center"/>
        <w:rPr>
          <w:rFonts w:cs="Arial"/>
          <w:b/>
        </w:rPr>
      </w:pPr>
      <w:r w:rsidRPr="00BA2DE8">
        <w:rPr>
          <w:rFonts w:cs="Arial"/>
          <w:b/>
        </w:rPr>
        <w:t xml:space="preserve">Table </w:t>
      </w:r>
      <w:r w:rsidR="006B2422" w:rsidRPr="00BA2DE8">
        <w:rPr>
          <w:rFonts w:cs="Arial"/>
          <w:b/>
        </w:rPr>
        <w:t>3</w:t>
      </w:r>
    </w:p>
    <w:p w14:paraId="682E7E34" w14:textId="77777777" w:rsidR="003F0BE0" w:rsidRPr="00BA2DE8" w:rsidRDefault="00C36AD0" w:rsidP="00C36AD0">
      <w:pPr>
        <w:jc w:val="center"/>
        <w:rPr>
          <w:rFonts w:cs="Arial"/>
          <w:b/>
        </w:rPr>
      </w:pPr>
      <w:r w:rsidRPr="00BA2DE8">
        <w:rPr>
          <w:rFonts w:cs="Arial"/>
          <w:b/>
        </w:rPr>
        <w:t>School Comparison: EL Student Group Data for ELA</w:t>
      </w:r>
    </w:p>
    <w:p w14:paraId="5F258C43" w14:textId="554C38DE" w:rsidR="00C36AD0" w:rsidRPr="00BA2DE8" w:rsidRDefault="00C36AD0" w:rsidP="00C36AD0">
      <w:pPr>
        <w:jc w:val="center"/>
        <w:rPr>
          <w:rFonts w:cs="Arial"/>
          <w:b/>
        </w:rPr>
      </w:pPr>
      <w:r w:rsidRPr="00BA2DE8">
        <w:rPr>
          <w:rFonts w:cs="Arial"/>
          <w:b/>
        </w:rPr>
        <w:t xml:space="preserve"> </w:t>
      </w:r>
    </w:p>
    <w:tbl>
      <w:tblPr>
        <w:tblStyle w:val="TableGrid"/>
        <w:tblW w:w="0" w:type="auto"/>
        <w:tblLook w:val="04A0" w:firstRow="1" w:lastRow="0" w:firstColumn="1" w:lastColumn="0" w:noHBand="0" w:noVBand="1"/>
        <w:tblDescription w:val="School Comparison: EL student group data for ELA - catagorized by color"/>
      </w:tblPr>
      <w:tblGrid>
        <w:gridCol w:w="1243"/>
        <w:gridCol w:w="1089"/>
        <w:gridCol w:w="1151"/>
        <w:gridCol w:w="1139"/>
        <w:gridCol w:w="1128"/>
        <w:gridCol w:w="1101"/>
        <w:gridCol w:w="1109"/>
        <w:gridCol w:w="1390"/>
      </w:tblGrid>
      <w:tr w:rsidR="003F0BE0" w:rsidRPr="00BA2DE8" w14:paraId="54E695C5" w14:textId="77777777" w:rsidTr="000D7857">
        <w:trPr>
          <w:tblHeader/>
        </w:trPr>
        <w:tc>
          <w:tcPr>
            <w:tcW w:w="1243" w:type="dxa"/>
            <w:shd w:val="clear" w:color="auto" w:fill="BFBFBF" w:themeFill="background1" w:themeFillShade="BF"/>
            <w:vAlign w:val="center"/>
          </w:tcPr>
          <w:p w14:paraId="39EAC481" w14:textId="77777777" w:rsidR="003F0BE0" w:rsidRPr="00BA2DE8" w:rsidRDefault="003F0BE0" w:rsidP="00395EFE">
            <w:pPr>
              <w:pStyle w:val="ListBullet"/>
              <w:numPr>
                <w:ilvl w:val="0"/>
                <w:numId w:val="0"/>
              </w:numPr>
              <w:tabs>
                <w:tab w:val="left" w:pos="450"/>
              </w:tabs>
              <w:jc w:val="center"/>
              <w:rPr>
                <w:b/>
              </w:rPr>
            </w:pPr>
            <w:r w:rsidRPr="00BA2DE8">
              <w:rPr>
                <w:b/>
              </w:rPr>
              <w:t>EL and RFEP Students</w:t>
            </w:r>
          </w:p>
        </w:tc>
        <w:tc>
          <w:tcPr>
            <w:tcW w:w="1089" w:type="dxa"/>
            <w:shd w:val="clear" w:color="auto" w:fill="BFBFBF" w:themeFill="background1" w:themeFillShade="BF"/>
            <w:vAlign w:val="center"/>
          </w:tcPr>
          <w:p w14:paraId="7E8166F8" w14:textId="77777777" w:rsidR="003F0BE0" w:rsidRPr="00BA2DE8" w:rsidRDefault="003F0BE0" w:rsidP="00395EFE">
            <w:pPr>
              <w:pStyle w:val="ListBullet"/>
              <w:numPr>
                <w:ilvl w:val="0"/>
                <w:numId w:val="0"/>
              </w:numPr>
              <w:tabs>
                <w:tab w:val="left" w:pos="450"/>
              </w:tabs>
              <w:jc w:val="center"/>
              <w:rPr>
                <w:b/>
              </w:rPr>
            </w:pPr>
            <w:r w:rsidRPr="00BA2DE8">
              <w:rPr>
                <w:b/>
              </w:rPr>
              <w:t>Red</w:t>
            </w:r>
          </w:p>
        </w:tc>
        <w:tc>
          <w:tcPr>
            <w:tcW w:w="1151" w:type="dxa"/>
            <w:shd w:val="clear" w:color="auto" w:fill="BFBFBF" w:themeFill="background1" w:themeFillShade="BF"/>
            <w:vAlign w:val="center"/>
          </w:tcPr>
          <w:p w14:paraId="45583DB1" w14:textId="77777777" w:rsidR="003F0BE0" w:rsidRPr="00BA2DE8" w:rsidRDefault="003F0BE0" w:rsidP="00395EFE">
            <w:pPr>
              <w:pStyle w:val="ListBullet"/>
              <w:numPr>
                <w:ilvl w:val="0"/>
                <w:numId w:val="0"/>
              </w:numPr>
              <w:tabs>
                <w:tab w:val="left" w:pos="450"/>
              </w:tabs>
              <w:jc w:val="center"/>
              <w:rPr>
                <w:b/>
              </w:rPr>
            </w:pPr>
            <w:r w:rsidRPr="00BA2DE8">
              <w:rPr>
                <w:b/>
              </w:rPr>
              <w:t>Orange</w:t>
            </w:r>
          </w:p>
        </w:tc>
        <w:tc>
          <w:tcPr>
            <w:tcW w:w="1139" w:type="dxa"/>
            <w:shd w:val="clear" w:color="auto" w:fill="BFBFBF" w:themeFill="background1" w:themeFillShade="BF"/>
            <w:vAlign w:val="center"/>
          </w:tcPr>
          <w:p w14:paraId="6543840B" w14:textId="77777777" w:rsidR="003F0BE0" w:rsidRPr="00BA2DE8" w:rsidRDefault="003F0BE0" w:rsidP="00395EFE">
            <w:pPr>
              <w:pStyle w:val="ListBullet"/>
              <w:numPr>
                <w:ilvl w:val="0"/>
                <w:numId w:val="0"/>
              </w:numPr>
              <w:tabs>
                <w:tab w:val="left" w:pos="450"/>
              </w:tabs>
              <w:jc w:val="center"/>
              <w:rPr>
                <w:b/>
              </w:rPr>
            </w:pPr>
            <w:r w:rsidRPr="00BA2DE8">
              <w:rPr>
                <w:b/>
              </w:rPr>
              <w:t>Yellow</w:t>
            </w:r>
          </w:p>
        </w:tc>
        <w:tc>
          <w:tcPr>
            <w:tcW w:w="1128" w:type="dxa"/>
            <w:shd w:val="clear" w:color="auto" w:fill="BFBFBF" w:themeFill="background1" w:themeFillShade="BF"/>
            <w:vAlign w:val="center"/>
          </w:tcPr>
          <w:p w14:paraId="6A2D848B" w14:textId="77777777" w:rsidR="003F0BE0" w:rsidRPr="00BA2DE8" w:rsidRDefault="003F0BE0" w:rsidP="00395EFE">
            <w:pPr>
              <w:pStyle w:val="ListBullet"/>
              <w:numPr>
                <w:ilvl w:val="0"/>
                <w:numId w:val="0"/>
              </w:numPr>
              <w:tabs>
                <w:tab w:val="left" w:pos="450"/>
              </w:tabs>
              <w:jc w:val="center"/>
              <w:rPr>
                <w:b/>
              </w:rPr>
            </w:pPr>
            <w:r w:rsidRPr="00BA2DE8">
              <w:rPr>
                <w:b/>
              </w:rPr>
              <w:t>Green</w:t>
            </w:r>
          </w:p>
        </w:tc>
        <w:tc>
          <w:tcPr>
            <w:tcW w:w="1101" w:type="dxa"/>
            <w:shd w:val="clear" w:color="auto" w:fill="BFBFBF" w:themeFill="background1" w:themeFillShade="BF"/>
            <w:vAlign w:val="center"/>
          </w:tcPr>
          <w:p w14:paraId="6F42AD92" w14:textId="77777777" w:rsidR="003F0BE0" w:rsidRPr="00BA2DE8" w:rsidRDefault="003F0BE0" w:rsidP="00395EFE">
            <w:pPr>
              <w:pStyle w:val="ListBullet"/>
              <w:numPr>
                <w:ilvl w:val="0"/>
                <w:numId w:val="0"/>
              </w:numPr>
              <w:tabs>
                <w:tab w:val="left" w:pos="450"/>
              </w:tabs>
              <w:jc w:val="center"/>
              <w:rPr>
                <w:b/>
              </w:rPr>
            </w:pPr>
            <w:r w:rsidRPr="00BA2DE8">
              <w:rPr>
                <w:b/>
              </w:rPr>
              <w:t>Blue</w:t>
            </w:r>
          </w:p>
        </w:tc>
        <w:tc>
          <w:tcPr>
            <w:tcW w:w="1109" w:type="dxa"/>
            <w:shd w:val="clear" w:color="auto" w:fill="BFBFBF" w:themeFill="background1" w:themeFillShade="BF"/>
            <w:vAlign w:val="center"/>
          </w:tcPr>
          <w:p w14:paraId="6C09BB83" w14:textId="77777777" w:rsidR="003F0BE0" w:rsidRPr="00BA2DE8" w:rsidRDefault="003F0BE0" w:rsidP="00395EFE">
            <w:pPr>
              <w:pStyle w:val="ListBullet"/>
              <w:numPr>
                <w:ilvl w:val="0"/>
                <w:numId w:val="0"/>
              </w:numPr>
              <w:tabs>
                <w:tab w:val="left" w:pos="450"/>
              </w:tabs>
              <w:jc w:val="center"/>
              <w:rPr>
                <w:b/>
              </w:rPr>
            </w:pPr>
            <w:r w:rsidRPr="00BA2DE8">
              <w:rPr>
                <w:b/>
              </w:rPr>
              <w:t>Total</w:t>
            </w:r>
          </w:p>
        </w:tc>
        <w:tc>
          <w:tcPr>
            <w:tcW w:w="1390" w:type="dxa"/>
            <w:shd w:val="clear" w:color="auto" w:fill="BFBFBF" w:themeFill="background1" w:themeFillShade="BF"/>
            <w:vAlign w:val="center"/>
          </w:tcPr>
          <w:p w14:paraId="4C6B8BFF" w14:textId="77777777" w:rsidR="003F0BE0" w:rsidRPr="00BA2DE8" w:rsidRDefault="003F0BE0" w:rsidP="00395EFE">
            <w:pPr>
              <w:pStyle w:val="ListBullet"/>
              <w:numPr>
                <w:ilvl w:val="0"/>
                <w:numId w:val="0"/>
              </w:numPr>
              <w:tabs>
                <w:tab w:val="left" w:pos="450"/>
              </w:tabs>
              <w:jc w:val="center"/>
              <w:rPr>
                <w:b/>
              </w:rPr>
            </w:pPr>
            <w:r w:rsidRPr="00BA2DE8">
              <w:rPr>
                <w:b/>
              </w:rPr>
              <w:t>Difference</w:t>
            </w:r>
          </w:p>
        </w:tc>
      </w:tr>
      <w:tr w:rsidR="003F0BE0" w:rsidRPr="00BA2DE8" w14:paraId="2D84BB42" w14:textId="77777777" w:rsidTr="00395EFE">
        <w:trPr>
          <w:trHeight w:val="953"/>
        </w:trPr>
        <w:tc>
          <w:tcPr>
            <w:tcW w:w="1243" w:type="dxa"/>
            <w:vAlign w:val="center"/>
          </w:tcPr>
          <w:p w14:paraId="2D0C8221" w14:textId="77777777" w:rsidR="003F0BE0" w:rsidRPr="00BA2DE8" w:rsidRDefault="003F0BE0" w:rsidP="00395EFE">
            <w:pPr>
              <w:pStyle w:val="ListBullet"/>
              <w:numPr>
                <w:ilvl w:val="0"/>
                <w:numId w:val="0"/>
              </w:numPr>
              <w:tabs>
                <w:tab w:val="left" w:pos="450"/>
              </w:tabs>
              <w:jc w:val="center"/>
            </w:pPr>
            <w:r w:rsidRPr="00BA2DE8">
              <w:t>EL + 4 Years RFEP</w:t>
            </w:r>
          </w:p>
        </w:tc>
        <w:tc>
          <w:tcPr>
            <w:tcW w:w="1089" w:type="dxa"/>
            <w:vAlign w:val="center"/>
          </w:tcPr>
          <w:p w14:paraId="53E9047A" w14:textId="77777777" w:rsidR="003F0BE0" w:rsidRPr="00BA2DE8" w:rsidRDefault="003F0BE0" w:rsidP="00395EFE">
            <w:pPr>
              <w:jc w:val="center"/>
            </w:pPr>
            <w:r w:rsidRPr="00BA2DE8">
              <w:t>1,019</w:t>
            </w:r>
          </w:p>
          <w:p w14:paraId="2D5DAA04" w14:textId="77777777" w:rsidR="003F0BE0" w:rsidRPr="00BA2DE8" w:rsidRDefault="003F0BE0" w:rsidP="00395EFE">
            <w:pPr>
              <w:jc w:val="center"/>
            </w:pPr>
            <w:r w:rsidRPr="00BA2DE8">
              <w:t>15.8%</w:t>
            </w:r>
          </w:p>
        </w:tc>
        <w:tc>
          <w:tcPr>
            <w:tcW w:w="1151" w:type="dxa"/>
            <w:vAlign w:val="center"/>
          </w:tcPr>
          <w:p w14:paraId="7D50324B" w14:textId="77777777" w:rsidR="003F0BE0" w:rsidRPr="00BA2DE8" w:rsidRDefault="003F0BE0" w:rsidP="00395EFE">
            <w:pPr>
              <w:jc w:val="center"/>
            </w:pPr>
            <w:r w:rsidRPr="00BA2DE8">
              <w:t>2,032</w:t>
            </w:r>
          </w:p>
          <w:p w14:paraId="08A65518" w14:textId="77777777" w:rsidR="003F0BE0" w:rsidRPr="00BA2DE8" w:rsidRDefault="003F0BE0" w:rsidP="00395EFE">
            <w:pPr>
              <w:jc w:val="center"/>
            </w:pPr>
            <w:r w:rsidRPr="00BA2DE8">
              <w:t>31.4%</w:t>
            </w:r>
          </w:p>
        </w:tc>
        <w:tc>
          <w:tcPr>
            <w:tcW w:w="1139" w:type="dxa"/>
            <w:vAlign w:val="center"/>
          </w:tcPr>
          <w:p w14:paraId="701B3848" w14:textId="77777777" w:rsidR="003F0BE0" w:rsidRPr="00BA2DE8" w:rsidRDefault="003F0BE0" w:rsidP="00395EFE">
            <w:pPr>
              <w:jc w:val="center"/>
            </w:pPr>
            <w:r w:rsidRPr="00BA2DE8">
              <w:t>2,403</w:t>
            </w:r>
          </w:p>
          <w:p w14:paraId="5F4B15B2" w14:textId="77777777" w:rsidR="003F0BE0" w:rsidRPr="00BA2DE8" w:rsidRDefault="003F0BE0" w:rsidP="00395EFE">
            <w:pPr>
              <w:jc w:val="center"/>
            </w:pPr>
            <w:r w:rsidRPr="00BA2DE8">
              <w:t>37.1%</w:t>
            </w:r>
          </w:p>
        </w:tc>
        <w:tc>
          <w:tcPr>
            <w:tcW w:w="1128" w:type="dxa"/>
            <w:vAlign w:val="center"/>
          </w:tcPr>
          <w:p w14:paraId="5E8C2B19" w14:textId="77777777" w:rsidR="003F0BE0" w:rsidRPr="00BA2DE8" w:rsidRDefault="003F0BE0" w:rsidP="00395EFE">
            <w:pPr>
              <w:jc w:val="center"/>
            </w:pPr>
            <w:r w:rsidRPr="00BA2DE8">
              <w:t>659</w:t>
            </w:r>
          </w:p>
          <w:p w14:paraId="425E4B54" w14:textId="77777777" w:rsidR="003F0BE0" w:rsidRPr="00BA2DE8" w:rsidRDefault="003F0BE0" w:rsidP="00395EFE">
            <w:pPr>
              <w:jc w:val="center"/>
            </w:pPr>
            <w:r w:rsidRPr="00BA2DE8">
              <w:t>10.2%</w:t>
            </w:r>
          </w:p>
        </w:tc>
        <w:tc>
          <w:tcPr>
            <w:tcW w:w="1101" w:type="dxa"/>
            <w:vAlign w:val="center"/>
          </w:tcPr>
          <w:p w14:paraId="367CA8E9" w14:textId="77777777" w:rsidR="003F0BE0" w:rsidRPr="00BA2DE8" w:rsidRDefault="003F0BE0" w:rsidP="00395EFE">
            <w:pPr>
              <w:jc w:val="center"/>
            </w:pPr>
            <w:r w:rsidRPr="00BA2DE8">
              <w:t>358</w:t>
            </w:r>
          </w:p>
          <w:p w14:paraId="6768D2DA" w14:textId="77777777" w:rsidR="003F0BE0" w:rsidRPr="00BA2DE8" w:rsidRDefault="003F0BE0" w:rsidP="00395EFE">
            <w:pPr>
              <w:jc w:val="center"/>
            </w:pPr>
            <w:r w:rsidRPr="00BA2DE8">
              <w:t>5.5%</w:t>
            </w:r>
          </w:p>
        </w:tc>
        <w:tc>
          <w:tcPr>
            <w:tcW w:w="1109" w:type="dxa"/>
            <w:vAlign w:val="center"/>
          </w:tcPr>
          <w:p w14:paraId="3B6DD7BA" w14:textId="77777777" w:rsidR="003F0BE0" w:rsidRPr="00BA2DE8" w:rsidRDefault="003F0BE0" w:rsidP="00395EFE">
            <w:pPr>
              <w:jc w:val="center"/>
            </w:pPr>
            <w:r w:rsidRPr="00BA2DE8">
              <w:t>6,471</w:t>
            </w:r>
          </w:p>
        </w:tc>
        <w:tc>
          <w:tcPr>
            <w:tcW w:w="1390" w:type="dxa"/>
            <w:vAlign w:val="center"/>
          </w:tcPr>
          <w:p w14:paraId="7FF9CEF0" w14:textId="5CB99CD5" w:rsidR="003F0BE0" w:rsidRPr="00BA2DE8" w:rsidRDefault="003F0BE0" w:rsidP="00395EFE">
            <w:pPr>
              <w:jc w:val="center"/>
            </w:pPr>
            <w:r w:rsidRPr="00BA2DE8">
              <w:t>Baseline</w:t>
            </w:r>
            <w:r w:rsidR="00EA65C7" w:rsidRPr="00BA2DE8">
              <w:t>*</w:t>
            </w:r>
          </w:p>
        </w:tc>
      </w:tr>
      <w:tr w:rsidR="003F0BE0" w:rsidRPr="00BA2DE8" w14:paraId="6AA455A3" w14:textId="77777777" w:rsidTr="00395EFE">
        <w:trPr>
          <w:trHeight w:val="917"/>
        </w:trPr>
        <w:tc>
          <w:tcPr>
            <w:tcW w:w="1243" w:type="dxa"/>
            <w:vAlign w:val="center"/>
          </w:tcPr>
          <w:p w14:paraId="5810A65F" w14:textId="77777777" w:rsidR="003F0BE0" w:rsidRPr="00BA2DE8" w:rsidRDefault="003F0BE0" w:rsidP="00395EFE">
            <w:pPr>
              <w:jc w:val="center"/>
            </w:pPr>
            <w:r w:rsidRPr="00BA2DE8">
              <w:rPr>
                <w:rFonts w:cs="Arial"/>
              </w:rPr>
              <w:t>EL + 3 Years RFEP</w:t>
            </w:r>
          </w:p>
        </w:tc>
        <w:tc>
          <w:tcPr>
            <w:tcW w:w="1089" w:type="dxa"/>
            <w:vAlign w:val="center"/>
          </w:tcPr>
          <w:p w14:paraId="11CB6AB9" w14:textId="77777777" w:rsidR="003F0BE0" w:rsidRPr="00BA2DE8" w:rsidRDefault="003F0BE0" w:rsidP="00395EFE">
            <w:pPr>
              <w:jc w:val="center"/>
            </w:pPr>
            <w:r w:rsidRPr="00BA2DE8">
              <w:t>653</w:t>
            </w:r>
          </w:p>
          <w:p w14:paraId="43C9F760" w14:textId="77777777" w:rsidR="003F0BE0" w:rsidRPr="00BA2DE8" w:rsidRDefault="003F0BE0" w:rsidP="00395EFE">
            <w:pPr>
              <w:jc w:val="center"/>
            </w:pPr>
            <w:r w:rsidRPr="00BA2DE8">
              <w:t>10.6%</w:t>
            </w:r>
          </w:p>
        </w:tc>
        <w:tc>
          <w:tcPr>
            <w:tcW w:w="1151" w:type="dxa"/>
            <w:vAlign w:val="center"/>
          </w:tcPr>
          <w:p w14:paraId="3623F23F" w14:textId="77777777" w:rsidR="003F0BE0" w:rsidRPr="00BA2DE8" w:rsidRDefault="003F0BE0" w:rsidP="00395EFE">
            <w:pPr>
              <w:jc w:val="center"/>
            </w:pPr>
            <w:r w:rsidRPr="00BA2DE8">
              <w:t>1,661</w:t>
            </w:r>
          </w:p>
          <w:p w14:paraId="1C112298" w14:textId="77777777" w:rsidR="003F0BE0" w:rsidRPr="00BA2DE8" w:rsidRDefault="003F0BE0" w:rsidP="00395EFE">
            <w:pPr>
              <w:jc w:val="center"/>
            </w:pPr>
            <w:r w:rsidRPr="00BA2DE8">
              <w:t>27.1%</w:t>
            </w:r>
          </w:p>
        </w:tc>
        <w:tc>
          <w:tcPr>
            <w:tcW w:w="1139" w:type="dxa"/>
            <w:vAlign w:val="center"/>
          </w:tcPr>
          <w:p w14:paraId="5868F48A" w14:textId="77777777" w:rsidR="003F0BE0" w:rsidRPr="00BA2DE8" w:rsidRDefault="003F0BE0" w:rsidP="00395EFE">
            <w:pPr>
              <w:jc w:val="center"/>
            </w:pPr>
            <w:r w:rsidRPr="00BA2DE8">
              <w:t>2,939</w:t>
            </w:r>
          </w:p>
          <w:p w14:paraId="4D7A2B5F" w14:textId="77777777" w:rsidR="003F0BE0" w:rsidRPr="00BA2DE8" w:rsidRDefault="003F0BE0" w:rsidP="00395EFE">
            <w:pPr>
              <w:jc w:val="center"/>
            </w:pPr>
            <w:r w:rsidRPr="00BA2DE8">
              <w:t>48.0%</w:t>
            </w:r>
          </w:p>
        </w:tc>
        <w:tc>
          <w:tcPr>
            <w:tcW w:w="1128" w:type="dxa"/>
            <w:vAlign w:val="center"/>
          </w:tcPr>
          <w:p w14:paraId="62DEC229" w14:textId="77777777" w:rsidR="003F0BE0" w:rsidRPr="00BA2DE8" w:rsidRDefault="003F0BE0" w:rsidP="00395EFE">
            <w:pPr>
              <w:jc w:val="center"/>
            </w:pPr>
            <w:r w:rsidRPr="00BA2DE8">
              <w:t>469</w:t>
            </w:r>
          </w:p>
          <w:p w14:paraId="16CB9941" w14:textId="77777777" w:rsidR="003F0BE0" w:rsidRPr="00BA2DE8" w:rsidRDefault="003F0BE0" w:rsidP="00395EFE">
            <w:pPr>
              <w:jc w:val="center"/>
            </w:pPr>
            <w:r w:rsidRPr="00BA2DE8">
              <w:t>7.7%</w:t>
            </w:r>
          </w:p>
        </w:tc>
        <w:tc>
          <w:tcPr>
            <w:tcW w:w="1101" w:type="dxa"/>
            <w:vAlign w:val="center"/>
          </w:tcPr>
          <w:p w14:paraId="1BC31DD8" w14:textId="77777777" w:rsidR="003F0BE0" w:rsidRPr="00BA2DE8" w:rsidRDefault="003F0BE0" w:rsidP="00395EFE">
            <w:pPr>
              <w:jc w:val="center"/>
            </w:pPr>
            <w:r w:rsidRPr="00BA2DE8">
              <w:t>397</w:t>
            </w:r>
          </w:p>
          <w:p w14:paraId="275CA908" w14:textId="77777777" w:rsidR="003F0BE0" w:rsidRPr="00BA2DE8" w:rsidRDefault="003F0BE0" w:rsidP="00395EFE">
            <w:pPr>
              <w:jc w:val="center"/>
            </w:pPr>
            <w:r w:rsidRPr="00BA2DE8">
              <w:t>6.5%</w:t>
            </w:r>
          </w:p>
        </w:tc>
        <w:tc>
          <w:tcPr>
            <w:tcW w:w="1109" w:type="dxa"/>
            <w:vAlign w:val="center"/>
          </w:tcPr>
          <w:p w14:paraId="28CD6F46" w14:textId="77777777" w:rsidR="003F0BE0" w:rsidRPr="00BA2DE8" w:rsidRDefault="003F0BE0" w:rsidP="00395EFE">
            <w:pPr>
              <w:jc w:val="center"/>
            </w:pPr>
            <w:r w:rsidRPr="00BA2DE8">
              <w:t>6,119</w:t>
            </w:r>
          </w:p>
        </w:tc>
        <w:tc>
          <w:tcPr>
            <w:tcW w:w="1390" w:type="dxa"/>
            <w:vAlign w:val="center"/>
          </w:tcPr>
          <w:p w14:paraId="6C32A253" w14:textId="77777777" w:rsidR="003F0BE0" w:rsidRPr="00BA2DE8" w:rsidRDefault="003F0BE0" w:rsidP="00395EFE">
            <w:pPr>
              <w:jc w:val="center"/>
            </w:pPr>
            <w:r w:rsidRPr="00BA2DE8">
              <w:t>-352</w:t>
            </w:r>
          </w:p>
          <w:p w14:paraId="6D8A3872" w14:textId="77777777" w:rsidR="003F0BE0" w:rsidRPr="00BA2DE8" w:rsidRDefault="003F0BE0" w:rsidP="00395EFE">
            <w:pPr>
              <w:jc w:val="center"/>
            </w:pPr>
            <w:r w:rsidRPr="00BA2DE8">
              <w:t>Schools**</w:t>
            </w:r>
          </w:p>
        </w:tc>
      </w:tr>
      <w:tr w:rsidR="003F0BE0" w:rsidRPr="00BA2DE8" w14:paraId="5C91829A" w14:textId="77777777" w:rsidTr="00395EFE">
        <w:trPr>
          <w:trHeight w:val="953"/>
        </w:trPr>
        <w:tc>
          <w:tcPr>
            <w:tcW w:w="1243" w:type="dxa"/>
            <w:vAlign w:val="center"/>
          </w:tcPr>
          <w:p w14:paraId="3D764188" w14:textId="77777777" w:rsidR="003F0BE0" w:rsidRPr="00BA2DE8" w:rsidRDefault="003F0BE0" w:rsidP="00395EFE">
            <w:pPr>
              <w:jc w:val="center"/>
            </w:pPr>
            <w:r w:rsidRPr="00BA2DE8">
              <w:rPr>
                <w:rFonts w:cs="Arial"/>
              </w:rPr>
              <w:t>EL + 2 Years RFEP</w:t>
            </w:r>
          </w:p>
        </w:tc>
        <w:tc>
          <w:tcPr>
            <w:tcW w:w="1089" w:type="dxa"/>
            <w:vAlign w:val="center"/>
          </w:tcPr>
          <w:p w14:paraId="7CBCC6C9" w14:textId="77777777" w:rsidR="003F0BE0" w:rsidRPr="00BA2DE8" w:rsidRDefault="003F0BE0" w:rsidP="00395EFE">
            <w:pPr>
              <w:jc w:val="center"/>
            </w:pPr>
            <w:r w:rsidRPr="00BA2DE8">
              <w:t>689</w:t>
            </w:r>
          </w:p>
          <w:p w14:paraId="7122F8B0" w14:textId="77777777" w:rsidR="003F0BE0" w:rsidRPr="00BA2DE8" w:rsidRDefault="003F0BE0" w:rsidP="00395EFE">
            <w:pPr>
              <w:jc w:val="center"/>
            </w:pPr>
            <w:r w:rsidRPr="00BA2DE8">
              <w:t>12.2%</w:t>
            </w:r>
          </w:p>
        </w:tc>
        <w:tc>
          <w:tcPr>
            <w:tcW w:w="1151" w:type="dxa"/>
            <w:vAlign w:val="center"/>
          </w:tcPr>
          <w:p w14:paraId="65AB78E3" w14:textId="77777777" w:rsidR="003F0BE0" w:rsidRPr="00BA2DE8" w:rsidRDefault="003F0BE0" w:rsidP="00395EFE">
            <w:pPr>
              <w:jc w:val="center"/>
            </w:pPr>
            <w:r w:rsidRPr="00BA2DE8">
              <w:t>1,864</w:t>
            </w:r>
          </w:p>
          <w:p w14:paraId="7E498D87" w14:textId="77777777" w:rsidR="003F0BE0" w:rsidRPr="00BA2DE8" w:rsidRDefault="003F0BE0" w:rsidP="00395EFE">
            <w:pPr>
              <w:jc w:val="center"/>
            </w:pPr>
            <w:r w:rsidRPr="00BA2DE8">
              <w:t>32.9%</w:t>
            </w:r>
          </w:p>
        </w:tc>
        <w:tc>
          <w:tcPr>
            <w:tcW w:w="1139" w:type="dxa"/>
            <w:vAlign w:val="center"/>
          </w:tcPr>
          <w:p w14:paraId="66C777EA" w14:textId="77777777" w:rsidR="003F0BE0" w:rsidRPr="00BA2DE8" w:rsidRDefault="003F0BE0" w:rsidP="00395EFE">
            <w:pPr>
              <w:jc w:val="center"/>
            </w:pPr>
            <w:r w:rsidRPr="00BA2DE8">
              <w:t>2,585</w:t>
            </w:r>
          </w:p>
          <w:p w14:paraId="0D50403A" w14:textId="77777777" w:rsidR="003F0BE0" w:rsidRPr="00BA2DE8" w:rsidRDefault="003F0BE0" w:rsidP="00395EFE">
            <w:pPr>
              <w:jc w:val="center"/>
            </w:pPr>
            <w:r w:rsidRPr="00BA2DE8">
              <w:t>45.6%</w:t>
            </w:r>
          </w:p>
        </w:tc>
        <w:tc>
          <w:tcPr>
            <w:tcW w:w="1128" w:type="dxa"/>
            <w:vAlign w:val="center"/>
          </w:tcPr>
          <w:p w14:paraId="5ABC99FB" w14:textId="77777777" w:rsidR="003F0BE0" w:rsidRPr="00BA2DE8" w:rsidRDefault="003F0BE0" w:rsidP="00395EFE">
            <w:pPr>
              <w:jc w:val="center"/>
            </w:pPr>
            <w:r w:rsidRPr="00BA2DE8">
              <w:t>280</w:t>
            </w:r>
          </w:p>
          <w:p w14:paraId="106C12C5" w14:textId="77777777" w:rsidR="003F0BE0" w:rsidRPr="00BA2DE8" w:rsidRDefault="003F0BE0" w:rsidP="00395EFE">
            <w:pPr>
              <w:jc w:val="center"/>
            </w:pPr>
            <w:r w:rsidRPr="00BA2DE8">
              <w:t>4.9%</w:t>
            </w:r>
          </w:p>
        </w:tc>
        <w:tc>
          <w:tcPr>
            <w:tcW w:w="1101" w:type="dxa"/>
            <w:vAlign w:val="center"/>
          </w:tcPr>
          <w:p w14:paraId="1D18C837" w14:textId="77777777" w:rsidR="003F0BE0" w:rsidRPr="00BA2DE8" w:rsidRDefault="003F0BE0" w:rsidP="00395EFE">
            <w:pPr>
              <w:jc w:val="center"/>
            </w:pPr>
            <w:r w:rsidRPr="00BA2DE8">
              <w:t>255</w:t>
            </w:r>
          </w:p>
          <w:p w14:paraId="5AC5A5BE" w14:textId="77777777" w:rsidR="003F0BE0" w:rsidRPr="00BA2DE8" w:rsidRDefault="003F0BE0" w:rsidP="00395EFE">
            <w:pPr>
              <w:jc w:val="center"/>
            </w:pPr>
            <w:r w:rsidRPr="00BA2DE8">
              <w:t>4.5%</w:t>
            </w:r>
          </w:p>
        </w:tc>
        <w:tc>
          <w:tcPr>
            <w:tcW w:w="1109" w:type="dxa"/>
            <w:vAlign w:val="center"/>
          </w:tcPr>
          <w:p w14:paraId="6B7459F7" w14:textId="77777777" w:rsidR="003F0BE0" w:rsidRPr="00BA2DE8" w:rsidRDefault="003F0BE0" w:rsidP="00395EFE">
            <w:pPr>
              <w:jc w:val="center"/>
            </w:pPr>
            <w:r w:rsidRPr="00BA2DE8">
              <w:t>5,673</w:t>
            </w:r>
          </w:p>
        </w:tc>
        <w:tc>
          <w:tcPr>
            <w:tcW w:w="1390" w:type="dxa"/>
            <w:vAlign w:val="center"/>
          </w:tcPr>
          <w:p w14:paraId="69AC40CE" w14:textId="77777777" w:rsidR="003F0BE0" w:rsidRPr="00BA2DE8" w:rsidRDefault="003F0BE0" w:rsidP="00395EFE">
            <w:pPr>
              <w:jc w:val="center"/>
            </w:pPr>
            <w:r w:rsidRPr="00BA2DE8">
              <w:t>-798</w:t>
            </w:r>
          </w:p>
          <w:p w14:paraId="103F0438" w14:textId="77777777" w:rsidR="003F0BE0" w:rsidRPr="00BA2DE8" w:rsidRDefault="003F0BE0" w:rsidP="00395EFE">
            <w:pPr>
              <w:jc w:val="center"/>
            </w:pPr>
            <w:r w:rsidRPr="00BA2DE8">
              <w:t>Schools**</w:t>
            </w:r>
          </w:p>
        </w:tc>
      </w:tr>
    </w:tbl>
    <w:p w14:paraId="3E82DCCD" w14:textId="77777777" w:rsidR="0078760F" w:rsidRPr="00BA2DE8" w:rsidRDefault="0078760F" w:rsidP="00C36AD0">
      <w:pPr>
        <w:jc w:val="center"/>
        <w:rPr>
          <w:rFonts w:cs="Arial"/>
          <w:b/>
        </w:rPr>
      </w:pPr>
    </w:p>
    <w:p w14:paraId="6AEAD13E" w14:textId="77777777" w:rsidR="00C36AD0" w:rsidRPr="00BA2DE8" w:rsidRDefault="00C36AD0" w:rsidP="002134F3">
      <w:pPr>
        <w:spacing w:before="240"/>
      </w:pPr>
      <w:r w:rsidRPr="00BA2DE8">
        <w:t>*Criteria currently applied to the EL student group</w:t>
      </w:r>
    </w:p>
    <w:p w14:paraId="4D6A39E6" w14:textId="596D03CA" w:rsidR="009F5603" w:rsidRPr="00BA2DE8" w:rsidRDefault="006B1C06" w:rsidP="002134F3">
      <w:pPr>
        <w:spacing w:after="240"/>
        <w:rPr>
          <w:szCs w:val="22"/>
        </w:rPr>
      </w:pPr>
      <w:r w:rsidRPr="00BA2DE8">
        <w:rPr>
          <w:szCs w:val="22"/>
        </w:rPr>
        <w:t>**</w:t>
      </w:r>
      <w:r w:rsidR="00C36AD0" w:rsidRPr="00BA2DE8">
        <w:rPr>
          <w:szCs w:val="22"/>
        </w:rPr>
        <w:t xml:space="preserve">Difference in number of schools receiving a color based on valid N size (30 </w:t>
      </w:r>
      <w:r w:rsidR="00EA65C7" w:rsidRPr="00BA2DE8">
        <w:rPr>
          <w:szCs w:val="22"/>
        </w:rPr>
        <w:t xml:space="preserve">or more </w:t>
      </w:r>
      <w:r w:rsidR="00C36AD0" w:rsidRPr="00BA2DE8">
        <w:rPr>
          <w:szCs w:val="22"/>
        </w:rPr>
        <w:t>students in the EL student group)</w:t>
      </w:r>
    </w:p>
    <w:p w14:paraId="72D03ECA" w14:textId="092FF2A2" w:rsidR="00C36AD0" w:rsidRPr="00BA2DE8" w:rsidRDefault="009F5603" w:rsidP="0052365F">
      <w:pPr>
        <w:spacing w:after="160" w:line="259" w:lineRule="auto"/>
        <w:rPr>
          <w:szCs w:val="22"/>
        </w:rPr>
      </w:pPr>
      <w:r w:rsidRPr="00BA2DE8">
        <w:rPr>
          <w:szCs w:val="22"/>
        </w:rPr>
        <w:br w:type="page"/>
      </w:r>
    </w:p>
    <w:p w14:paraId="3D1E9EBE" w14:textId="342FE9D5" w:rsidR="00C36AD0" w:rsidRPr="00BA2DE8" w:rsidRDefault="00C36AD0" w:rsidP="00C36AD0">
      <w:pPr>
        <w:jc w:val="center"/>
        <w:rPr>
          <w:rFonts w:cs="Arial"/>
          <w:b/>
        </w:rPr>
      </w:pPr>
      <w:r w:rsidRPr="00BA2DE8">
        <w:rPr>
          <w:rFonts w:cs="Arial"/>
          <w:b/>
        </w:rPr>
        <w:lastRenderedPageBreak/>
        <w:t xml:space="preserve">Table </w:t>
      </w:r>
      <w:r w:rsidR="006B2422" w:rsidRPr="00BA2DE8">
        <w:rPr>
          <w:rFonts w:cs="Arial"/>
          <w:b/>
        </w:rPr>
        <w:t>4</w:t>
      </w:r>
    </w:p>
    <w:p w14:paraId="5ABCB843" w14:textId="02416D29" w:rsidR="00C36AD0" w:rsidRPr="00BA2DE8" w:rsidRDefault="00C36AD0" w:rsidP="00C36AD0">
      <w:pPr>
        <w:jc w:val="center"/>
        <w:rPr>
          <w:rFonts w:cs="Arial"/>
          <w:b/>
        </w:rPr>
      </w:pPr>
      <w:r w:rsidRPr="00BA2DE8">
        <w:rPr>
          <w:b/>
        </w:rPr>
        <w:t>LEA Comparison</w:t>
      </w:r>
      <w:r w:rsidRPr="00BA2DE8">
        <w:rPr>
          <w:rFonts w:cs="Arial"/>
          <w:b/>
        </w:rPr>
        <w:t>: EL Student Group Data for ELA</w:t>
      </w:r>
    </w:p>
    <w:p w14:paraId="230581A2" w14:textId="77777777" w:rsidR="00D62F64" w:rsidRPr="00BA2DE8" w:rsidRDefault="00D62F64" w:rsidP="00C36AD0">
      <w:pPr>
        <w:jc w:val="center"/>
        <w:rPr>
          <w:rFonts w:cs="Arial"/>
          <w:b/>
        </w:rPr>
      </w:pPr>
    </w:p>
    <w:tbl>
      <w:tblPr>
        <w:tblStyle w:val="TableGrid"/>
        <w:tblW w:w="0" w:type="auto"/>
        <w:tblLook w:val="04A0" w:firstRow="1" w:lastRow="0" w:firstColumn="1" w:lastColumn="0" w:noHBand="0" w:noVBand="1"/>
        <w:tblDescription w:val="LEA Comparison: EL Student Group Data for ELA -  Catagorized by color"/>
      </w:tblPr>
      <w:tblGrid>
        <w:gridCol w:w="1243"/>
        <w:gridCol w:w="1089"/>
        <w:gridCol w:w="1151"/>
        <w:gridCol w:w="1139"/>
        <w:gridCol w:w="1128"/>
        <w:gridCol w:w="1101"/>
        <w:gridCol w:w="1109"/>
        <w:gridCol w:w="1390"/>
      </w:tblGrid>
      <w:tr w:rsidR="00D62F64" w:rsidRPr="00BA2DE8" w14:paraId="0AA91C60" w14:textId="77777777" w:rsidTr="000D7857">
        <w:trPr>
          <w:tblHeader/>
        </w:trPr>
        <w:tc>
          <w:tcPr>
            <w:tcW w:w="1243" w:type="dxa"/>
            <w:shd w:val="clear" w:color="auto" w:fill="BFBFBF" w:themeFill="background1" w:themeFillShade="BF"/>
            <w:vAlign w:val="center"/>
          </w:tcPr>
          <w:p w14:paraId="3AC9AE07" w14:textId="77777777" w:rsidR="00D62F64" w:rsidRPr="00BA2DE8" w:rsidRDefault="00D62F64" w:rsidP="00395EFE">
            <w:pPr>
              <w:pStyle w:val="ListBullet"/>
              <w:numPr>
                <w:ilvl w:val="0"/>
                <w:numId w:val="0"/>
              </w:numPr>
              <w:tabs>
                <w:tab w:val="left" w:pos="450"/>
              </w:tabs>
              <w:jc w:val="center"/>
              <w:rPr>
                <w:b/>
              </w:rPr>
            </w:pPr>
            <w:r w:rsidRPr="00BA2DE8">
              <w:rPr>
                <w:b/>
              </w:rPr>
              <w:t>EL and RFEP Students</w:t>
            </w:r>
          </w:p>
        </w:tc>
        <w:tc>
          <w:tcPr>
            <w:tcW w:w="1089" w:type="dxa"/>
            <w:shd w:val="clear" w:color="auto" w:fill="BFBFBF" w:themeFill="background1" w:themeFillShade="BF"/>
            <w:vAlign w:val="center"/>
          </w:tcPr>
          <w:p w14:paraId="6626224D" w14:textId="77777777" w:rsidR="00D62F64" w:rsidRPr="00BA2DE8" w:rsidRDefault="00D62F64" w:rsidP="00395EFE">
            <w:pPr>
              <w:pStyle w:val="ListBullet"/>
              <w:numPr>
                <w:ilvl w:val="0"/>
                <w:numId w:val="0"/>
              </w:numPr>
              <w:tabs>
                <w:tab w:val="left" w:pos="450"/>
              </w:tabs>
              <w:jc w:val="center"/>
              <w:rPr>
                <w:b/>
              </w:rPr>
            </w:pPr>
            <w:r w:rsidRPr="00BA2DE8">
              <w:rPr>
                <w:b/>
              </w:rPr>
              <w:t>Red</w:t>
            </w:r>
          </w:p>
        </w:tc>
        <w:tc>
          <w:tcPr>
            <w:tcW w:w="1151" w:type="dxa"/>
            <w:shd w:val="clear" w:color="auto" w:fill="BFBFBF" w:themeFill="background1" w:themeFillShade="BF"/>
            <w:vAlign w:val="center"/>
          </w:tcPr>
          <w:p w14:paraId="5FFEC30E" w14:textId="77777777" w:rsidR="00D62F64" w:rsidRPr="00BA2DE8" w:rsidRDefault="00D62F64" w:rsidP="00395EFE">
            <w:pPr>
              <w:pStyle w:val="ListBullet"/>
              <w:numPr>
                <w:ilvl w:val="0"/>
                <w:numId w:val="0"/>
              </w:numPr>
              <w:tabs>
                <w:tab w:val="left" w:pos="450"/>
              </w:tabs>
              <w:jc w:val="center"/>
              <w:rPr>
                <w:b/>
              </w:rPr>
            </w:pPr>
            <w:r w:rsidRPr="00BA2DE8">
              <w:rPr>
                <w:b/>
              </w:rPr>
              <w:t>Orange</w:t>
            </w:r>
          </w:p>
        </w:tc>
        <w:tc>
          <w:tcPr>
            <w:tcW w:w="1139" w:type="dxa"/>
            <w:shd w:val="clear" w:color="auto" w:fill="BFBFBF" w:themeFill="background1" w:themeFillShade="BF"/>
            <w:vAlign w:val="center"/>
          </w:tcPr>
          <w:p w14:paraId="4B8DDD2E" w14:textId="77777777" w:rsidR="00D62F64" w:rsidRPr="00BA2DE8" w:rsidRDefault="00D62F64" w:rsidP="00395EFE">
            <w:pPr>
              <w:pStyle w:val="ListBullet"/>
              <w:numPr>
                <w:ilvl w:val="0"/>
                <w:numId w:val="0"/>
              </w:numPr>
              <w:tabs>
                <w:tab w:val="left" w:pos="450"/>
              </w:tabs>
              <w:jc w:val="center"/>
              <w:rPr>
                <w:b/>
              </w:rPr>
            </w:pPr>
            <w:r w:rsidRPr="00BA2DE8">
              <w:rPr>
                <w:b/>
              </w:rPr>
              <w:t>Yellow</w:t>
            </w:r>
          </w:p>
        </w:tc>
        <w:tc>
          <w:tcPr>
            <w:tcW w:w="1128" w:type="dxa"/>
            <w:shd w:val="clear" w:color="auto" w:fill="BFBFBF" w:themeFill="background1" w:themeFillShade="BF"/>
            <w:vAlign w:val="center"/>
          </w:tcPr>
          <w:p w14:paraId="1C6B1989" w14:textId="77777777" w:rsidR="00D62F64" w:rsidRPr="00BA2DE8" w:rsidRDefault="00D62F64" w:rsidP="00395EFE">
            <w:pPr>
              <w:pStyle w:val="ListBullet"/>
              <w:numPr>
                <w:ilvl w:val="0"/>
                <w:numId w:val="0"/>
              </w:numPr>
              <w:tabs>
                <w:tab w:val="left" w:pos="450"/>
              </w:tabs>
              <w:jc w:val="center"/>
              <w:rPr>
                <w:b/>
              </w:rPr>
            </w:pPr>
            <w:r w:rsidRPr="00BA2DE8">
              <w:rPr>
                <w:b/>
              </w:rPr>
              <w:t>Green</w:t>
            </w:r>
          </w:p>
        </w:tc>
        <w:tc>
          <w:tcPr>
            <w:tcW w:w="1101" w:type="dxa"/>
            <w:shd w:val="clear" w:color="auto" w:fill="BFBFBF" w:themeFill="background1" w:themeFillShade="BF"/>
            <w:vAlign w:val="center"/>
          </w:tcPr>
          <w:p w14:paraId="53BF5EDB" w14:textId="77777777" w:rsidR="00D62F64" w:rsidRPr="00BA2DE8" w:rsidRDefault="00D62F64" w:rsidP="00395EFE">
            <w:pPr>
              <w:pStyle w:val="ListBullet"/>
              <w:numPr>
                <w:ilvl w:val="0"/>
                <w:numId w:val="0"/>
              </w:numPr>
              <w:tabs>
                <w:tab w:val="left" w:pos="450"/>
              </w:tabs>
              <w:jc w:val="center"/>
              <w:rPr>
                <w:b/>
              </w:rPr>
            </w:pPr>
            <w:r w:rsidRPr="00BA2DE8">
              <w:rPr>
                <w:b/>
              </w:rPr>
              <w:t>Blue</w:t>
            </w:r>
          </w:p>
        </w:tc>
        <w:tc>
          <w:tcPr>
            <w:tcW w:w="1109" w:type="dxa"/>
            <w:shd w:val="clear" w:color="auto" w:fill="BFBFBF" w:themeFill="background1" w:themeFillShade="BF"/>
            <w:vAlign w:val="center"/>
          </w:tcPr>
          <w:p w14:paraId="6FA6D956" w14:textId="77777777" w:rsidR="00D62F64" w:rsidRPr="00BA2DE8" w:rsidRDefault="00D62F64" w:rsidP="00395EFE">
            <w:pPr>
              <w:pStyle w:val="ListBullet"/>
              <w:numPr>
                <w:ilvl w:val="0"/>
                <w:numId w:val="0"/>
              </w:numPr>
              <w:tabs>
                <w:tab w:val="left" w:pos="450"/>
              </w:tabs>
              <w:jc w:val="center"/>
              <w:rPr>
                <w:b/>
              </w:rPr>
            </w:pPr>
            <w:r w:rsidRPr="00BA2DE8">
              <w:rPr>
                <w:b/>
              </w:rPr>
              <w:t>Total</w:t>
            </w:r>
          </w:p>
        </w:tc>
        <w:tc>
          <w:tcPr>
            <w:tcW w:w="1390" w:type="dxa"/>
            <w:shd w:val="clear" w:color="auto" w:fill="BFBFBF" w:themeFill="background1" w:themeFillShade="BF"/>
            <w:vAlign w:val="center"/>
          </w:tcPr>
          <w:p w14:paraId="6EECBA04" w14:textId="77777777" w:rsidR="00D62F64" w:rsidRPr="00BA2DE8" w:rsidRDefault="00D62F64" w:rsidP="00395EFE">
            <w:pPr>
              <w:pStyle w:val="ListBullet"/>
              <w:numPr>
                <w:ilvl w:val="0"/>
                <w:numId w:val="0"/>
              </w:numPr>
              <w:tabs>
                <w:tab w:val="left" w:pos="450"/>
              </w:tabs>
              <w:jc w:val="center"/>
              <w:rPr>
                <w:b/>
              </w:rPr>
            </w:pPr>
            <w:r w:rsidRPr="00BA2DE8">
              <w:rPr>
                <w:b/>
              </w:rPr>
              <w:t>Difference</w:t>
            </w:r>
          </w:p>
        </w:tc>
      </w:tr>
      <w:tr w:rsidR="00D62F64" w:rsidRPr="00BA2DE8" w14:paraId="585E443C" w14:textId="77777777" w:rsidTr="000D7857">
        <w:trPr>
          <w:trHeight w:val="953"/>
          <w:tblHeader/>
        </w:trPr>
        <w:tc>
          <w:tcPr>
            <w:tcW w:w="1243" w:type="dxa"/>
            <w:vAlign w:val="center"/>
          </w:tcPr>
          <w:p w14:paraId="14B2382A" w14:textId="77777777" w:rsidR="00D62F64" w:rsidRPr="00BA2DE8" w:rsidRDefault="00D62F64" w:rsidP="00395EFE">
            <w:pPr>
              <w:pStyle w:val="ListBullet"/>
              <w:numPr>
                <w:ilvl w:val="0"/>
                <w:numId w:val="0"/>
              </w:numPr>
              <w:tabs>
                <w:tab w:val="left" w:pos="450"/>
              </w:tabs>
              <w:jc w:val="center"/>
            </w:pPr>
            <w:r w:rsidRPr="00BA2DE8">
              <w:t>EL + 4 Years RFEP</w:t>
            </w:r>
          </w:p>
        </w:tc>
        <w:tc>
          <w:tcPr>
            <w:tcW w:w="1089" w:type="dxa"/>
            <w:vAlign w:val="center"/>
          </w:tcPr>
          <w:p w14:paraId="142159F5" w14:textId="77777777" w:rsidR="00D62F64" w:rsidRPr="00BA2DE8" w:rsidRDefault="00D62F64" w:rsidP="00395EFE">
            <w:pPr>
              <w:jc w:val="center"/>
            </w:pPr>
            <w:r w:rsidRPr="00BA2DE8">
              <w:t>89</w:t>
            </w:r>
          </w:p>
          <w:p w14:paraId="5E84D668" w14:textId="77777777" w:rsidR="00D62F64" w:rsidRPr="00BA2DE8" w:rsidRDefault="00D62F64" w:rsidP="00395EFE">
            <w:pPr>
              <w:jc w:val="center"/>
            </w:pPr>
            <w:r w:rsidRPr="00BA2DE8">
              <w:t>13.4%</w:t>
            </w:r>
          </w:p>
        </w:tc>
        <w:tc>
          <w:tcPr>
            <w:tcW w:w="1151" w:type="dxa"/>
            <w:vAlign w:val="center"/>
          </w:tcPr>
          <w:p w14:paraId="29223BC9" w14:textId="77777777" w:rsidR="00D62F64" w:rsidRPr="00BA2DE8" w:rsidRDefault="00D62F64" w:rsidP="00395EFE">
            <w:pPr>
              <w:jc w:val="center"/>
            </w:pPr>
            <w:r w:rsidRPr="00BA2DE8">
              <w:t>237</w:t>
            </w:r>
          </w:p>
          <w:p w14:paraId="215C45FE" w14:textId="77777777" w:rsidR="00D62F64" w:rsidRPr="00BA2DE8" w:rsidRDefault="00D62F64" w:rsidP="00395EFE">
            <w:pPr>
              <w:jc w:val="center"/>
            </w:pPr>
            <w:r w:rsidRPr="00BA2DE8">
              <w:t>35.6%</w:t>
            </w:r>
          </w:p>
        </w:tc>
        <w:tc>
          <w:tcPr>
            <w:tcW w:w="1139" w:type="dxa"/>
            <w:vAlign w:val="center"/>
          </w:tcPr>
          <w:p w14:paraId="6BF5EF0C" w14:textId="77777777" w:rsidR="00D62F64" w:rsidRPr="00BA2DE8" w:rsidRDefault="00D62F64" w:rsidP="00395EFE">
            <w:pPr>
              <w:jc w:val="center"/>
            </w:pPr>
            <w:r w:rsidRPr="00BA2DE8">
              <w:t>275</w:t>
            </w:r>
          </w:p>
          <w:p w14:paraId="54E08E07" w14:textId="77777777" w:rsidR="00D62F64" w:rsidRPr="00BA2DE8" w:rsidRDefault="00D62F64" w:rsidP="00395EFE">
            <w:pPr>
              <w:jc w:val="center"/>
            </w:pPr>
            <w:r w:rsidRPr="00BA2DE8">
              <w:t>41.3%</w:t>
            </w:r>
          </w:p>
        </w:tc>
        <w:tc>
          <w:tcPr>
            <w:tcW w:w="1128" w:type="dxa"/>
            <w:vAlign w:val="center"/>
          </w:tcPr>
          <w:p w14:paraId="45B58752" w14:textId="77777777" w:rsidR="00D62F64" w:rsidRPr="00BA2DE8" w:rsidRDefault="00D62F64" w:rsidP="00395EFE">
            <w:pPr>
              <w:jc w:val="center"/>
            </w:pPr>
            <w:r w:rsidRPr="00BA2DE8">
              <w:t>51</w:t>
            </w:r>
          </w:p>
          <w:p w14:paraId="60153A64" w14:textId="77777777" w:rsidR="00D62F64" w:rsidRPr="00BA2DE8" w:rsidRDefault="00D62F64" w:rsidP="00395EFE">
            <w:pPr>
              <w:jc w:val="center"/>
            </w:pPr>
            <w:r w:rsidRPr="00BA2DE8">
              <w:t>7.7%</w:t>
            </w:r>
          </w:p>
        </w:tc>
        <w:tc>
          <w:tcPr>
            <w:tcW w:w="1101" w:type="dxa"/>
            <w:vAlign w:val="center"/>
          </w:tcPr>
          <w:p w14:paraId="296DF3DC" w14:textId="77777777" w:rsidR="00D62F64" w:rsidRPr="00BA2DE8" w:rsidRDefault="00D62F64" w:rsidP="00395EFE">
            <w:pPr>
              <w:jc w:val="center"/>
            </w:pPr>
            <w:r w:rsidRPr="00BA2DE8">
              <w:t>14</w:t>
            </w:r>
          </w:p>
          <w:p w14:paraId="7A30F71D" w14:textId="77777777" w:rsidR="00D62F64" w:rsidRPr="00BA2DE8" w:rsidRDefault="00D62F64" w:rsidP="00395EFE">
            <w:pPr>
              <w:jc w:val="center"/>
            </w:pPr>
            <w:r w:rsidRPr="00BA2DE8">
              <w:t>2.1%</w:t>
            </w:r>
          </w:p>
        </w:tc>
        <w:tc>
          <w:tcPr>
            <w:tcW w:w="1109" w:type="dxa"/>
            <w:vAlign w:val="center"/>
          </w:tcPr>
          <w:p w14:paraId="43851C94" w14:textId="77777777" w:rsidR="00D62F64" w:rsidRPr="00BA2DE8" w:rsidRDefault="00D62F64" w:rsidP="00395EFE">
            <w:pPr>
              <w:jc w:val="center"/>
            </w:pPr>
            <w:r w:rsidRPr="00BA2DE8">
              <w:t>666</w:t>
            </w:r>
          </w:p>
        </w:tc>
        <w:tc>
          <w:tcPr>
            <w:tcW w:w="1390" w:type="dxa"/>
            <w:vAlign w:val="center"/>
          </w:tcPr>
          <w:p w14:paraId="64A63C25" w14:textId="77777777" w:rsidR="00D62F64" w:rsidRPr="00BA2DE8" w:rsidRDefault="00D62F64" w:rsidP="00395EFE">
            <w:pPr>
              <w:jc w:val="center"/>
            </w:pPr>
            <w:r w:rsidRPr="00BA2DE8">
              <w:t>Baseline</w:t>
            </w:r>
          </w:p>
        </w:tc>
      </w:tr>
      <w:tr w:rsidR="00D62F64" w:rsidRPr="00BA2DE8" w14:paraId="58AC287E" w14:textId="77777777" w:rsidTr="000D7857">
        <w:trPr>
          <w:trHeight w:val="917"/>
          <w:tblHeader/>
        </w:trPr>
        <w:tc>
          <w:tcPr>
            <w:tcW w:w="1243" w:type="dxa"/>
            <w:vAlign w:val="center"/>
          </w:tcPr>
          <w:p w14:paraId="336CA81C" w14:textId="77777777" w:rsidR="00D62F64" w:rsidRPr="00BA2DE8" w:rsidRDefault="00D62F64" w:rsidP="00395EFE">
            <w:pPr>
              <w:jc w:val="center"/>
            </w:pPr>
            <w:r w:rsidRPr="00BA2DE8">
              <w:rPr>
                <w:rFonts w:cs="Arial"/>
              </w:rPr>
              <w:t>EL + 3 Years RFEP</w:t>
            </w:r>
          </w:p>
        </w:tc>
        <w:tc>
          <w:tcPr>
            <w:tcW w:w="1089" w:type="dxa"/>
            <w:vAlign w:val="center"/>
          </w:tcPr>
          <w:p w14:paraId="6A7A0CBE" w14:textId="77777777" w:rsidR="00D62F64" w:rsidRPr="00BA2DE8" w:rsidRDefault="00D62F64" w:rsidP="00395EFE">
            <w:pPr>
              <w:jc w:val="center"/>
            </w:pPr>
            <w:r w:rsidRPr="00BA2DE8">
              <w:t>55</w:t>
            </w:r>
          </w:p>
          <w:p w14:paraId="6747B54E" w14:textId="77777777" w:rsidR="00D62F64" w:rsidRPr="00BA2DE8" w:rsidRDefault="00D62F64" w:rsidP="00395EFE">
            <w:pPr>
              <w:jc w:val="center"/>
            </w:pPr>
            <w:r w:rsidRPr="00BA2DE8">
              <w:t>8.6%</w:t>
            </w:r>
          </w:p>
        </w:tc>
        <w:tc>
          <w:tcPr>
            <w:tcW w:w="1151" w:type="dxa"/>
            <w:vAlign w:val="center"/>
          </w:tcPr>
          <w:p w14:paraId="45035AD6" w14:textId="77777777" w:rsidR="00D62F64" w:rsidRPr="00BA2DE8" w:rsidRDefault="00D62F64" w:rsidP="00395EFE">
            <w:pPr>
              <w:jc w:val="center"/>
            </w:pPr>
            <w:r w:rsidRPr="00BA2DE8">
              <w:t>154</w:t>
            </w:r>
          </w:p>
          <w:p w14:paraId="2CC093FE" w14:textId="77777777" w:rsidR="00D62F64" w:rsidRPr="00BA2DE8" w:rsidRDefault="00D62F64" w:rsidP="00395EFE">
            <w:pPr>
              <w:jc w:val="center"/>
            </w:pPr>
            <w:r w:rsidRPr="00BA2DE8">
              <w:t>24.0%</w:t>
            </w:r>
          </w:p>
        </w:tc>
        <w:tc>
          <w:tcPr>
            <w:tcW w:w="1139" w:type="dxa"/>
            <w:vAlign w:val="center"/>
          </w:tcPr>
          <w:p w14:paraId="72FA3F5A" w14:textId="77777777" w:rsidR="00D62F64" w:rsidRPr="00BA2DE8" w:rsidRDefault="00D62F64" w:rsidP="00395EFE">
            <w:pPr>
              <w:jc w:val="center"/>
            </w:pPr>
            <w:r w:rsidRPr="00BA2DE8">
              <w:t>370</w:t>
            </w:r>
          </w:p>
          <w:p w14:paraId="055D55DC" w14:textId="77777777" w:rsidR="00D62F64" w:rsidRPr="00BA2DE8" w:rsidRDefault="00D62F64" w:rsidP="00395EFE">
            <w:pPr>
              <w:jc w:val="center"/>
            </w:pPr>
            <w:r w:rsidRPr="00BA2DE8">
              <w:t>57.7%</w:t>
            </w:r>
          </w:p>
        </w:tc>
        <w:tc>
          <w:tcPr>
            <w:tcW w:w="1128" w:type="dxa"/>
            <w:vAlign w:val="center"/>
          </w:tcPr>
          <w:p w14:paraId="68B39DA1" w14:textId="77777777" w:rsidR="00D62F64" w:rsidRPr="00BA2DE8" w:rsidRDefault="00D62F64" w:rsidP="00395EFE">
            <w:pPr>
              <w:jc w:val="center"/>
            </w:pPr>
            <w:r w:rsidRPr="00BA2DE8">
              <w:t>41</w:t>
            </w:r>
          </w:p>
          <w:p w14:paraId="4DB318FB" w14:textId="77777777" w:rsidR="00D62F64" w:rsidRPr="00BA2DE8" w:rsidRDefault="00D62F64" w:rsidP="00395EFE">
            <w:pPr>
              <w:jc w:val="center"/>
            </w:pPr>
            <w:r w:rsidRPr="00BA2DE8">
              <w:t>6.4%</w:t>
            </w:r>
          </w:p>
        </w:tc>
        <w:tc>
          <w:tcPr>
            <w:tcW w:w="1101" w:type="dxa"/>
            <w:vAlign w:val="center"/>
          </w:tcPr>
          <w:p w14:paraId="6AD239CF" w14:textId="77777777" w:rsidR="00D62F64" w:rsidRPr="00BA2DE8" w:rsidRDefault="00D62F64" w:rsidP="00395EFE">
            <w:pPr>
              <w:jc w:val="center"/>
            </w:pPr>
            <w:r w:rsidRPr="00BA2DE8">
              <w:t>21</w:t>
            </w:r>
          </w:p>
          <w:p w14:paraId="1E00B83B" w14:textId="77777777" w:rsidR="00D62F64" w:rsidRPr="00BA2DE8" w:rsidRDefault="00D62F64" w:rsidP="00395EFE">
            <w:pPr>
              <w:jc w:val="center"/>
            </w:pPr>
            <w:r w:rsidRPr="00BA2DE8">
              <w:t>3.3%</w:t>
            </w:r>
          </w:p>
        </w:tc>
        <w:tc>
          <w:tcPr>
            <w:tcW w:w="1109" w:type="dxa"/>
            <w:vAlign w:val="center"/>
          </w:tcPr>
          <w:p w14:paraId="1CA876FE" w14:textId="77777777" w:rsidR="00D62F64" w:rsidRPr="00BA2DE8" w:rsidRDefault="00D62F64" w:rsidP="00395EFE">
            <w:pPr>
              <w:jc w:val="center"/>
            </w:pPr>
            <w:r w:rsidRPr="00BA2DE8">
              <w:t>641</w:t>
            </w:r>
          </w:p>
        </w:tc>
        <w:tc>
          <w:tcPr>
            <w:tcW w:w="1390" w:type="dxa"/>
            <w:vAlign w:val="center"/>
          </w:tcPr>
          <w:p w14:paraId="05E9B3A9" w14:textId="77777777" w:rsidR="00D62F64" w:rsidRPr="00BA2DE8" w:rsidRDefault="00D62F64" w:rsidP="00395EFE">
            <w:pPr>
              <w:jc w:val="center"/>
            </w:pPr>
            <w:r w:rsidRPr="00BA2DE8">
              <w:t>-25</w:t>
            </w:r>
          </w:p>
          <w:p w14:paraId="719E1583" w14:textId="496915CA" w:rsidR="00D62F64" w:rsidRPr="00BA2DE8" w:rsidRDefault="00D62F64" w:rsidP="00EA65C7">
            <w:pPr>
              <w:jc w:val="center"/>
            </w:pPr>
            <w:r w:rsidRPr="00BA2DE8">
              <w:t>Districts</w:t>
            </w:r>
          </w:p>
        </w:tc>
      </w:tr>
      <w:tr w:rsidR="00D62F64" w:rsidRPr="00BA2DE8" w14:paraId="2D17B9D8" w14:textId="77777777" w:rsidTr="000D7857">
        <w:trPr>
          <w:trHeight w:val="953"/>
          <w:tblHeader/>
        </w:trPr>
        <w:tc>
          <w:tcPr>
            <w:tcW w:w="1243" w:type="dxa"/>
            <w:vAlign w:val="center"/>
          </w:tcPr>
          <w:p w14:paraId="5F9A44CF" w14:textId="77777777" w:rsidR="00D62F64" w:rsidRPr="00BA2DE8" w:rsidRDefault="00D62F64" w:rsidP="00395EFE">
            <w:pPr>
              <w:jc w:val="center"/>
            </w:pPr>
            <w:r w:rsidRPr="00BA2DE8">
              <w:rPr>
                <w:rFonts w:cs="Arial"/>
              </w:rPr>
              <w:t>EL + 2 Years RFEP</w:t>
            </w:r>
          </w:p>
        </w:tc>
        <w:tc>
          <w:tcPr>
            <w:tcW w:w="1089" w:type="dxa"/>
            <w:vAlign w:val="center"/>
          </w:tcPr>
          <w:p w14:paraId="3C4EADA3" w14:textId="77777777" w:rsidR="00D62F64" w:rsidRPr="00BA2DE8" w:rsidRDefault="00D62F64" w:rsidP="00395EFE">
            <w:pPr>
              <w:jc w:val="center"/>
            </w:pPr>
            <w:r w:rsidRPr="00BA2DE8">
              <w:t>70</w:t>
            </w:r>
          </w:p>
          <w:p w14:paraId="31682A65" w14:textId="77777777" w:rsidR="00D62F64" w:rsidRPr="00BA2DE8" w:rsidRDefault="00D62F64" w:rsidP="00395EFE">
            <w:pPr>
              <w:jc w:val="center"/>
            </w:pPr>
            <w:r w:rsidRPr="00BA2DE8">
              <w:t>11.2%</w:t>
            </w:r>
          </w:p>
        </w:tc>
        <w:tc>
          <w:tcPr>
            <w:tcW w:w="1151" w:type="dxa"/>
            <w:vAlign w:val="center"/>
          </w:tcPr>
          <w:p w14:paraId="042F38EA" w14:textId="77777777" w:rsidR="00D62F64" w:rsidRPr="00BA2DE8" w:rsidRDefault="00D62F64" w:rsidP="00395EFE">
            <w:pPr>
              <w:jc w:val="center"/>
            </w:pPr>
            <w:r w:rsidRPr="00BA2DE8">
              <w:t>201</w:t>
            </w:r>
          </w:p>
          <w:p w14:paraId="22A722C8" w14:textId="77777777" w:rsidR="00D62F64" w:rsidRPr="00BA2DE8" w:rsidRDefault="00D62F64" w:rsidP="00395EFE">
            <w:pPr>
              <w:jc w:val="center"/>
            </w:pPr>
            <w:r w:rsidRPr="00BA2DE8">
              <w:t>32.1%</w:t>
            </w:r>
          </w:p>
        </w:tc>
        <w:tc>
          <w:tcPr>
            <w:tcW w:w="1139" w:type="dxa"/>
            <w:vAlign w:val="center"/>
          </w:tcPr>
          <w:p w14:paraId="00EE07DC" w14:textId="77777777" w:rsidR="00D62F64" w:rsidRPr="00BA2DE8" w:rsidRDefault="00D62F64" w:rsidP="00395EFE">
            <w:pPr>
              <w:jc w:val="center"/>
            </w:pPr>
            <w:r w:rsidRPr="00BA2DE8">
              <w:t>316</w:t>
            </w:r>
          </w:p>
          <w:p w14:paraId="46B0350C" w14:textId="77777777" w:rsidR="00D62F64" w:rsidRPr="00BA2DE8" w:rsidRDefault="00D62F64" w:rsidP="00395EFE">
            <w:pPr>
              <w:jc w:val="center"/>
            </w:pPr>
            <w:r w:rsidRPr="00BA2DE8">
              <w:t>50.4%</w:t>
            </w:r>
          </w:p>
        </w:tc>
        <w:tc>
          <w:tcPr>
            <w:tcW w:w="1128" w:type="dxa"/>
            <w:vAlign w:val="center"/>
          </w:tcPr>
          <w:p w14:paraId="70EFFB0E" w14:textId="77777777" w:rsidR="00D62F64" w:rsidRPr="00BA2DE8" w:rsidRDefault="00D62F64" w:rsidP="00395EFE">
            <w:pPr>
              <w:jc w:val="center"/>
            </w:pPr>
            <w:r w:rsidRPr="00BA2DE8">
              <w:t>27</w:t>
            </w:r>
          </w:p>
          <w:p w14:paraId="417F2A64" w14:textId="77777777" w:rsidR="00D62F64" w:rsidRPr="00BA2DE8" w:rsidRDefault="00D62F64" w:rsidP="00395EFE">
            <w:pPr>
              <w:jc w:val="center"/>
            </w:pPr>
            <w:r w:rsidRPr="00BA2DE8">
              <w:t>4.3%</w:t>
            </w:r>
          </w:p>
        </w:tc>
        <w:tc>
          <w:tcPr>
            <w:tcW w:w="1101" w:type="dxa"/>
            <w:vAlign w:val="center"/>
          </w:tcPr>
          <w:p w14:paraId="468A2428" w14:textId="77777777" w:rsidR="00D62F64" w:rsidRPr="00BA2DE8" w:rsidRDefault="00D62F64" w:rsidP="00395EFE">
            <w:pPr>
              <w:jc w:val="center"/>
            </w:pPr>
            <w:r w:rsidRPr="00BA2DE8">
              <w:t>13</w:t>
            </w:r>
          </w:p>
          <w:p w14:paraId="3C99E69A" w14:textId="77777777" w:rsidR="00D62F64" w:rsidRPr="00BA2DE8" w:rsidRDefault="00D62F64" w:rsidP="00395EFE">
            <w:pPr>
              <w:jc w:val="center"/>
            </w:pPr>
            <w:r w:rsidRPr="00BA2DE8">
              <w:t>2.2%</w:t>
            </w:r>
          </w:p>
        </w:tc>
        <w:tc>
          <w:tcPr>
            <w:tcW w:w="1109" w:type="dxa"/>
            <w:vAlign w:val="center"/>
          </w:tcPr>
          <w:p w14:paraId="77307423" w14:textId="77777777" w:rsidR="00D62F64" w:rsidRPr="00BA2DE8" w:rsidRDefault="00D62F64" w:rsidP="00395EFE">
            <w:pPr>
              <w:jc w:val="center"/>
            </w:pPr>
            <w:r w:rsidRPr="00BA2DE8">
              <w:t>627</w:t>
            </w:r>
          </w:p>
        </w:tc>
        <w:tc>
          <w:tcPr>
            <w:tcW w:w="1390" w:type="dxa"/>
            <w:vAlign w:val="center"/>
          </w:tcPr>
          <w:p w14:paraId="18E46CE3" w14:textId="77777777" w:rsidR="00D62F64" w:rsidRPr="00BA2DE8" w:rsidRDefault="00D62F64" w:rsidP="00395EFE">
            <w:pPr>
              <w:jc w:val="center"/>
            </w:pPr>
            <w:r w:rsidRPr="00BA2DE8">
              <w:t>-39</w:t>
            </w:r>
          </w:p>
          <w:p w14:paraId="0E31F1D9" w14:textId="3D263F62" w:rsidR="00D62F64" w:rsidRPr="00BA2DE8" w:rsidRDefault="00EA65C7" w:rsidP="00EA65C7">
            <w:pPr>
              <w:jc w:val="center"/>
            </w:pPr>
            <w:r w:rsidRPr="00BA2DE8">
              <w:t>Districts</w:t>
            </w:r>
          </w:p>
        </w:tc>
      </w:tr>
    </w:tbl>
    <w:p w14:paraId="5E466A95" w14:textId="77777777" w:rsidR="00D62F64" w:rsidRPr="00BA2DE8" w:rsidRDefault="00D62F64" w:rsidP="00C36AD0">
      <w:pPr>
        <w:jc w:val="center"/>
        <w:rPr>
          <w:b/>
        </w:rPr>
      </w:pPr>
    </w:p>
    <w:p w14:paraId="14F5C8FF" w14:textId="77777777" w:rsidR="0078760F" w:rsidRPr="00BA2DE8" w:rsidRDefault="0078760F" w:rsidP="0078760F">
      <w:pPr>
        <w:jc w:val="center"/>
        <w:rPr>
          <w:rFonts w:cs="Arial"/>
          <w:b/>
        </w:rPr>
      </w:pPr>
    </w:p>
    <w:p w14:paraId="5FBBD009" w14:textId="5A5CD512" w:rsidR="00C36AD0" w:rsidRPr="00BA2DE8" w:rsidRDefault="00C36AD0" w:rsidP="002134F3">
      <w:pPr>
        <w:spacing w:before="240"/>
      </w:pPr>
      <w:r w:rsidRPr="00BA2DE8">
        <w:t xml:space="preserve">The data in Tables </w:t>
      </w:r>
      <w:r w:rsidR="006D54C4" w:rsidRPr="00BA2DE8">
        <w:t>3</w:t>
      </w:r>
      <w:r w:rsidRPr="00BA2DE8">
        <w:t xml:space="preserve"> and </w:t>
      </w:r>
      <w:r w:rsidR="006D54C4" w:rsidRPr="00BA2DE8">
        <w:t>4</w:t>
      </w:r>
      <w:r w:rsidRPr="00BA2DE8">
        <w:t xml:space="preserve"> show that significantly fewer schools and </w:t>
      </w:r>
      <w:r w:rsidRPr="00BA2DE8">
        <w:rPr>
          <w:caps/>
        </w:rPr>
        <w:t>LEA</w:t>
      </w:r>
      <w:r w:rsidRPr="00BA2DE8">
        <w:t xml:space="preserve">s would receive a performance level </w:t>
      </w:r>
      <w:r w:rsidR="00FE5653" w:rsidRPr="00BA2DE8">
        <w:t>for their EL student</w:t>
      </w:r>
      <w:r w:rsidR="006D54C4" w:rsidRPr="00BA2DE8">
        <w:t xml:space="preserve"> groups</w:t>
      </w:r>
      <w:r w:rsidR="00FE5653" w:rsidRPr="00BA2DE8">
        <w:t xml:space="preserve"> (and thus </w:t>
      </w:r>
      <w:r w:rsidR="00230498" w:rsidRPr="00BA2DE8">
        <w:t xml:space="preserve">would not </w:t>
      </w:r>
      <w:r w:rsidR="00FE5653" w:rsidRPr="00BA2DE8">
        <w:t xml:space="preserve">be held accountable for the academic achievement of their EL students) </w:t>
      </w:r>
      <w:r w:rsidRPr="00BA2DE8">
        <w:t xml:space="preserve">when the inclusion of reclassified students is reduced from four years to three or two years. </w:t>
      </w:r>
    </w:p>
    <w:p w14:paraId="124427A2" w14:textId="2072592A" w:rsidR="00C36AD0" w:rsidRPr="00BA2DE8" w:rsidRDefault="00C36AD0" w:rsidP="002134F3">
      <w:pPr>
        <w:spacing w:before="240" w:after="240"/>
      </w:pPr>
      <w:r w:rsidRPr="00BA2DE8">
        <w:t xml:space="preserve">Tables </w:t>
      </w:r>
      <w:r w:rsidR="006B2422" w:rsidRPr="00BA2DE8">
        <w:t>5</w:t>
      </w:r>
      <w:r w:rsidRPr="00BA2DE8">
        <w:t xml:space="preserve"> and </w:t>
      </w:r>
      <w:r w:rsidR="006B2422" w:rsidRPr="00BA2DE8">
        <w:t>6</w:t>
      </w:r>
      <w:r w:rsidRPr="00BA2DE8">
        <w:t xml:space="preserve"> provide the same information for mathematics and the results are similar.</w:t>
      </w:r>
    </w:p>
    <w:p w14:paraId="3886FB71" w14:textId="143C6B8D" w:rsidR="00C36AD0" w:rsidRPr="00BA2DE8" w:rsidRDefault="00C36AD0" w:rsidP="00C36AD0">
      <w:pPr>
        <w:jc w:val="center"/>
        <w:rPr>
          <w:rFonts w:cs="Arial"/>
          <w:b/>
        </w:rPr>
      </w:pPr>
      <w:r w:rsidRPr="00BA2DE8">
        <w:rPr>
          <w:rFonts w:cs="Arial"/>
          <w:b/>
        </w:rPr>
        <w:t xml:space="preserve">Table </w:t>
      </w:r>
      <w:r w:rsidR="006B2422" w:rsidRPr="00BA2DE8">
        <w:rPr>
          <w:rFonts w:cs="Arial"/>
          <w:b/>
        </w:rPr>
        <w:t>5</w:t>
      </w:r>
    </w:p>
    <w:p w14:paraId="2D6902AE" w14:textId="6C7E9A4D" w:rsidR="00C36AD0" w:rsidRPr="00BA2DE8" w:rsidRDefault="00C36AD0" w:rsidP="00C36AD0">
      <w:pPr>
        <w:jc w:val="center"/>
        <w:rPr>
          <w:rFonts w:cs="Arial"/>
          <w:b/>
        </w:rPr>
      </w:pPr>
      <w:r w:rsidRPr="00BA2DE8">
        <w:rPr>
          <w:rFonts w:cs="Arial"/>
          <w:b/>
        </w:rPr>
        <w:t xml:space="preserve">School </w:t>
      </w:r>
      <w:r w:rsidRPr="00BA2DE8">
        <w:rPr>
          <w:b/>
        </w:rPr>
        <w:t>Comparison:</w:t>
      </w:r>
      <w:r w:rsidRPr="00BA2DE8">
        <w:rPr>
          <w:rFonts w:cs="Arial"/>
          <w:b/>
        </w:rPr>
        <w:t xml:space="preserve"> EL Student Group Data for Mathematics</w:t>
      </w:r>
    </w:p>
    <w:p w14:paraId="4FF27C53" w14:textId="77777777" w:rsidR="00312DE4" w:rsidRPr="00BA2DE8" w:rsidRDefault="00312DE4" w:rsidP="00C36AD0">
      <w:pPr>
        <w:jc w:val="center"/>
        <w:rPr>
          <w:rFonts w:cs="Arial"/>
          <w:b/>
        </w:rPr>
      </w:pPr>
    </w:p>
    <w:tbl>
      <w:tblPr>
        <w:tblStyle w:val="TableGrid"/>
        <w:tblW w:w="0" w:type="auto"/>
        <w:tblLook w:val="04A0" w:firstRow="1" w:lastRow="0" w:firstColumn="1" w:lastColumn="0" w:noHBand="0" w:noVBand="1"/>
        <w:tblDescription w:val="School Comparison: EL Student Group Data for Mathematics catagorized by color"/>
      </w:tblPr>
      <w:tblGrid>
        <w:gridCol w:w="1243"/>
        <w:gridCol w:w="1089"/>
        <w:gridCol w:w="1151"/>
        <w:gridCol w:w="1139"/>
        <w:gridCol w:w="1128"/>
        <w:gridCol w:w="1101"/>
        <w:gridCol w:w="1109"/>
        <w:gridCol w:w="1390"/>
      </w:tblGrid>
      <w:tr w:rsidR="00312DE4" w:rsidRPr="00BA2DE8" w14:paraId="7CD8D5CC" w14:textId="77777777" w:rsidTr="000D7857">
        <w:trPr>
          <w:tblHeader/>
        </w:trPr>
        <w:tc>
          <w:tcPr>
            <w:tcW w:w="1243" w:type="dxa"/>
            <w:shd w:val="clear" w:color="auto" w:fill="BFBFBF" w:themeFill="background1" w:themeFillShade="BF"/>
            <w:vAlign w:val="center"/>
          </w:tcPr>
          <w:p w14:paraId="00F5922E" w14:textId="77777777" w:rsidR="00312DE4" w:rsidRPr="00BA2DE8" w:rsidRDefault="00312DE4" w:rsidP="00395EFE">
            <w:pPr>
              <w:pStyle w:val="ListBullet"/>
              <w:numPr>
                <w:ilvl w:val="0"/>
                <w:numId w:val="0"/>
              </w:numPr>
              <w:tabs>
                <w:tab w:val="left" w:pos="450"/>
              </w:tabs>
              <w:jc w:val="center"/>
              <w:rPr>
                <w:b/>
              </w:rPr>
            </w:pPr>
            <w:r w:rsidRPr="00BA2DE8">
              <w:rPr>
                <w:b/>
              </w:rPr>
              <w:t>EL and RFEP Students</w:t>
            </w:r>
          </w:p>
        </w:tc>
        <w:tc>
          <w:tcPr>
            <w:tcW w:w="1089" w:type="dxa"/>
            <w:shd w:val="clear" w:color="auto" w:fill="BFBFBF" w:themeFill="background1" w:themeFillShade="BF"/>
            <w:vAlign w:val="center"/>
          </w:tcPr>
          <w:p w14:paraId="67F5A076" w14:textId="77777777" w:rsidR="00312DE4" w:rsidRPr="00BA2DE8" w:rsidRDefault="00312DE4" w:rsidP="00395EFE">
            <w:pPr>
              <w:pStyle w:val="ListBullet"/>
              <w:numPr>
                <w:ilvl w:val="0"/>
                <w:numId w:val="0"/>
              </w:numPr>
              <w:tabs>
                <w:tab w:val="left" w:pos="450"/>
              </w:tabs>
              <w:jc w:val="center"/>
              <w:rPr>
                <w:b/>
              </w:rPr>
            </w:pPr>
            <w:r w:rsidRPr="00BA2DE8">
              <w:rPr>
                <w:b/>
              </w:rPr>
              <w:t>Red</w:t>
            </w:r>
          </w:p>
        </w:tc>
        <w:tc>
          <w:tcPr>
            <w:tcW w:w="1151" w:type="dxa"/>
            <w:shd w:val="clear" w:color="auto" w:fill="BFBFBF" w:themeFill="background1" w:themeFillShade="BF"/>
            <w:vAlign w:val="center"/>
          </w:tcPr>
          <w:p w14:paraId="5519C016" w14:textId="77777777" w:rsidR="00312DE4" w:rsidRPr="00BA2DE8" w:rsidRDefault="00312DE4" w:rsidP="00395EFE">
            <w:pPr>
              <w:pStyle w:val="ListBullet"/>
              <w:numPr>
                <w:ilvl w:val="0"/>
                <w:numId w:val="0"/>
              </w:numPr>
              <w:tabs>
                <w:tab w:val="left" w:pos="450"/>
              </w:tabs>
              <w:jc w:val="center"/>
              <w:rPr>
                <w:b/>
              </w:rPr>
            </w:pPr>
            <w:r w:rsidRPr="00BA2DE8">
              <w:rPr>
                <w:b/>
              </w:rPr>
              <w:t>Orange</w:t>
            </w:r>
          </w:p>
        </w:tc>
        <w:tc>
          <w:tcPr>
            <w:tcW w:w="1139" w:type="dxa"/>
            <w:shd w:val="clear" w:color="auto" w:fill="BFBFBF" w:themeFill="background1" w:themeFillShade="BF"/>
            <w:vAlign w:val="center"/>
          </w:tcPr>
          <w:p w14:paraId="57EADC8A" w14:textId="77777777" w:rsidR="00312DE4" w:rsidRPr="00BA2DE8" w:rsidRDefault="00312DE4" w:rsidP="00395EFE">
            <w:pPr>
              <w:pStyle w:val="ListBullet"/>
              <w:numPr>
                <w:ilvl w:val="0"/>
                <w:numId w:val="0"/>
              </w:numPr>
              <w:tabs>
                <w:tab w:val="left" w:pos="450"/>
              </w:tabs>
              <w:jc w:val="center"/>
              <w:rPr>
                <w:b/>
              </w:rPr>
            </w:pPr>
            <w:r w:rsidRPr="00BA2DE8">
              <w:rPr>
                <w:b/>
              </w:rPr>
              <w:t>Yellow</w:t>
            </w:r>
          </w:p>
        </w:tc>
        <w:tc>
          <w:tcPr>
            <w:tcW w:w="1128" w:type="dxa"/>
            <w:shd w:val="clear" w:color="auto" w:fill="BFBFBF" w:themeFill="background1" w:themeFillShade="BF"/>
            <w:vAlign w:val="center"/>
          </w:tcPr>
          <w:p w14:paraId="681B7E16" w14:textId="77777777" w:rsidR="00312DE4" w:rsidRPr="00BA2DE8" w:rsidRDefault="00312DE4" w:rsidP="00395EFE">
            <w:pPr>
              <w:pStyle w:val="ListBullet"/>
              <w:numPr>
                <w:ilvl w:val="0"/>
                <w:numId w:val="0"/>
              </w:numPr>
              <w:tabs>
                <w:tab w:val="left" w:pos="450"/>
              </w:tabs>
              <w:jc w:val="center"/>
              <w:rPr>
                <w:b/>
              </w:rPr>
            </w:pPr>
            <w:r w:rsidRPr="00BA2DE8">
              <w:rPr>
                <w:b/>
              </w:rPr>
              <w:t>Green</w:t>
            </w:r>
          </w:p>
        </w:tc>
        <w:tc>
          <w:tcPr>
            <w:tcW w:w="1101" w:type="dxa"/>
            <w:shd w:val="clear" w:color="auto" w:fill="BFBFBF" w:themeFill="background1" w:themeFillShade="BF"/>
            <w:vAlign w:val="center"/>
          </w:tcPr>
          <w:p w14:paraId="01C0F7AD" w14:textId="77777777" w:rsidR="00312DE4" w:rsidRPr="00BA2DE8" w:rsidRDefault="00312DE4" w:rsidP="00395EFE">
            <w:pPr>
              <w:pStyle w:val="ListBullet"/>
              <w:numPr>
                <w:ilvl w:val="0"/>
                <w:numId w:val="0"/>
              </w:numPr>
              <w:tabs>
                <w:tab w:val="left" w:pos="450"/>
              </w:tabs>
              <w:jc w:val="center"/>
              <w:rPr>
                <w:b/>
              </w:rPr>
            </w:pPr>
            <w:r w:rsidRPr="00BA2DE8">
              <w:rPr>
                <w:b/>
              </w:rPr>
              <w:t>Blue</w:t>
            </w:r>
          </w:p>
        </w:tc>
        <w:tc>
          <w:tcPr>
            <w:tcW w:w="1109" w:type="dxa"/>
            <w:shd w:val="clear" w:color="auto" w:fill="BFBFBF" w:themeFill="background1" w:themeFillShade="BF"/>
            <w:vAlign w:val="center"/>
          </w:tcPr>
          <w:p w14:paraId="62EA479E" w14:textId="77777777" w:rsidR="00312DE4" w:rsidRPr="00BA2DE8" w:rsidRDefault="00312DE4" w:rsidP="00395EFE">
            <w:pPr>
              <w:pStyle w:val="ListBullet"/>
              <w:numPr>
                <w:ilvl w:val="0"/>
                <w:numId w:val="0"/>
              </w:numPr>
              <w:tabs>
                <w:tab w:val="left" w:pos="450"/>
              </w:tabs>
              <w:jc w:val="center"/>
              <w:rPr>
                <w:b/>
              </w:rPr>
            </w:pPr>
            <w:r w:rsidRPr="00BA2DE8">
              <w:rPr>
                <w:b/>
              </w:rPr>
              <w:t>Total</w:t>
            </w:r>
          </w:p>
        </w:tc>
        <w:tc>
          <w:tcPr>
            <w:tcW w:w="1390" w:type="dxa"/>
            <w:shd w:val="clear" w:color="auto" w:fill="BFBFBF" w:themeFill="background1" w:themeFillShade="BF"/>
            <w:vAlign w:val="center"/>
          </w:tcPr>
          <w:p w14:paraId="50CA52D7" w14:textId="77777777" w:rsidR="00312DE4" w:rsidRPr="00BA2DE8" w:rsidRDefault="00312DE4" w:rsidP="00395EFE">
            <w:pPr>
              <w:pStyle w:val="ListBullet"/>
              <w:numPr>
                <w:ilvl w:val="0"/>
                <w:numId w:val="0"/>
              </w:numPr>
              <w:tabs>
                <w:tab w:val="left" w:pos="450"/>
              </w:tabs>
              <w:jc w:val="center"/>
              <w:rPr>
                <w:b/>
              </w:rPr>
            </w:pPr>
            <w:r w:rsidRPr="00BA2DE8">
              <w:rPr>
                <w:b/>
              </w:rPr>
              <w:t>Difference</w:t>
            </w:r>
          </w:p>
        </w:tc>
      </w:tr>
      <w:tr w:rsidR="00312DE4" w:rsidRPr="00BA2DE8" w14:paraId="1C43B67C" w14:textId="77777777" w:rsidTr="00395EFE">
        <w:trPr>
          <w:trHeight w:val="953"/>
        </w:trPr>
        <w:tc>
          <w:tcPr>
            <w:tcW w:w="1243" w:type="dxa"/>
            <w:vAlign w:val="center"/>
          </w:tcPr>
          <w:p w14:paraId="258EEF31" w14:textId="77777777" w:rsidR="00312DE4" w:rsidRPr="00BA2DE8" w:rsidRDefault="00312DE4" w:rsidP="00395EFE">
            <w:pPr>
              <w:pStyle w:val="ListBullet"/>
              <w:numPr>
                <w:ilvl w:val="0"/>
                <w:numId w:val="0"/>
              </w:numPr>
              <w:tabs>
                <w:tab w:val="left" w:pos="450"/>
              </w:tabs>
              <w:jc w:val="center"/>
            </w:pPr>
            <w:r w:rsidRPr="00BA2DE8">
              <w:t>EL + 4 Years RFEP</w:t>
            </w:r>
          </w:p>
        </w:tc>
        <w:tc>
          <w:tcPr>
            <w:tcW w:w="1089" w:type="dxa"/>
            <w:vAlign w:val="center"/>
          </w:tcPr>
          <w:p w14:paraId="777AFCD8" w14:textId="77777777" w:rsidR="00312DE4" w:rsidRPr="00BA2DE8" w:rsidRDefault="00312DE4" w:rsidP="00395EFE">
            <w:pPr>
              <w:jc w:val="center"/>
            </w:pPr>
            <w:r w:rsidRPr="00BA2DE8">
              <w:t>942</w:t>
            </w:r>
          </w:p>
          <w:p w14:paraId="4442E6B3" w14:textId="77777777" w:rsidR="00312DE4" w:rsidRPr="00BA2DE8" w:rsidRDefault="00312DE4" w:rsidP="00395EFE">
            <w:pPr>
              <w:jc w:val="center"/>
            </w:pPr>
            <w:r w:rsidRPr="00BA2DE8">
              <w:t>14.6%</w:t>
            </w:r>
          </w:p>
        </w:tc>
        <w:tc>
          <w:tcPr>
            <w:tcW w:w="1151" w:type="dxa"/>
            <w:vAlign w:val="center"/>
          </w:tcPr>
          <w:p w14:paraId="55994129" w14:textId="77777777" w:rsidR="00312DE4" w:rsidRPr="00BA2DE8" w:rsidRDefault="00312DE4" w:rsidP="00395EFE">
            <w:pPr>
              <w:jc w:val="center"/>
            </w:pPr>
            <w:r w:rsidRPr="00BA2DE8">
              <w:t>2,275</w:t>
            </w:r>
          </w:p>
          <w:p w14:paraId="73659D74" w14:textId="77777777" w:rsidR="00312DE4" w:rsidRPr="00BA2DE8" w:rsidRDefault="00312DE4" w:rsidP="00395EFE">
            <w:pPr>
              <w:jc w:val="center"/>
            </w:pPr>
            <w:r w:rsidRPr="00BA2DE8">
              <w:t>35.2%</w:t>
            </w:r>
          </w:p>
        </w:tc>
        <w:tc>
          <w:tcPr>
            <w:tcW w:w="1139" w:type="dxa"/>
            <w:vAlign w:val="center"/>
          </w:tcPr>
          <w:p w14:paraId="1C5669FF" w14:textId="77777777" w:rsidR="00312DE4" w:rsidRPr="00BA2DE8" w:rsidRDefault="00312DE4" w:rsidP="00395EFE">
            <w:pPr>
              <w:jc w:val="center"/>
            </w:pPr>
            <w:r w:rsidRPr="00BA2DE8">
              <w:t>2,001</w:t>
            </w:r>
          </w:p>
          <w:p w14:paraId="3A2D230B" w14:textId="77777777" w:rsidR="00312DE4" w:rsidRPr="00BA2DE8" w:rsidRDefault="00312DE4" w:rsidP="00395EFE">
            <w:pPr>
              <w:jc w:val="center"/>
            </w:pPr>
            <w:r w:rsidRPr="00BA2DE8">
              <w:t>30.9%</w:t>
            </w:r>
          </w:p>
        </w:tc>
        <w:tc>
          <w:tcPr>
            <w:tcW w:w="1128" w:type="dxa"/>
            <w:vAlign w:val="center"/>
          </w:tcPr>
          <w:p w14:paraId="70A63ACE" w14:textId="77777777" w:rsidR="00312DE4" w:rsidRPr="00BA2DE8" w:rsidRDefault="00312DE4" w:rsidP="00395EFE">
            <w:pPr>
              <w:jc w:val="center"/>
            </w:pPr>
            <w:r w:rsidRPr="00BA2DE8">
              <w:t>853</w:t>
            </w:r>
          </w:p>
          <w:p w14:paraId="342ADA90" w14:textId="77777777" w:rsidR="00312DE4" w:rsidRPr="00BA2DE8" w:rsidRDefault="00312DE4" w:rsidP="00395EFE">
            <w:pPr>
              <w:jc w:val="center"/>
            </w:pPr>
            <w:r w:rsidRPr="00BA2DE8">
              <w:t>13.2%</w:t>
            </w:r>
          </w:p>
        </w:tc>
        <w:tc>
          <w:tcPr>
            <w:tcW w:w="1101" w:type="dxa"/>
            <w:vAlign w:val="center"/>
          </w:tcPr>
          <w:p w14:paraId="6B0F852D" w14:textId="77777777" w:rsidR="00312DE4" w:rsidRPr="00BA2DE8" w:rsidRDefault="00312DE4" w:rsidP="00395EFE">
            <w:pPr>
              <w:jc w:val="center"/>
            </w:pPr>
            <w:r w:rsidRPr="00BA2DE8">
              <w:t>397</w:t>
            </w:r>
          </w:p>
          <w:p w14:paraId="4D74F866" w14:textId="77777777" w:rsidR="00312DE4" w:rsidRPr="00BA2DE8" w:rsidRDefault="00312DE4" w:rsidP="00395EFE">
            <w:pPr>
              <w:jc w:val="center"/>
            </w:pPr>
            <w:r w:rsidRPr="00BA2DE8">
              <w:t>6.1%</w:t>
            </w:r>
          </w:p>
        </w:tc>
        <w:tc>
          <w:tcPr>
            <w:tcW w:w="1109" w:type="dxa"/>
            <w:vAlign w:val="center"/>
          </w:tcPr>
          <w:p w14:paraId="1B6A2E02" w14:textId="77777777" w:rsidR="00312DE4" w:rsidRPr="00BA2DE8" w:rsidRDefault="00312DE4" w:rsidP="00395EFE">
            <w:pPr>
              <w:jc w:val="center"/>
            </w:pPr>
            <w:r w:rsidRPr="00BA2DE8">
              <w:t>6,468</w:t>
            </w:r>
          </w:p>
        </w:tc>
        <w:tc>
          <w:tcPr>
            <w:tcW w:w="1390" w:type="dxa"/>
            <w:vAlign w:val="center"/>
          </w:tcPr>
          <w:p w14:paraId="5373CB1B" w14:textId="77777777" w:rsidR="00312DE4" w:rsidRPr="00BA2DE8" w:rsidRDefault="00312DE4" w:rsidP="00395EFE">
            <w:pPr>
              <w:jc w:val="center"/>
            </w:pPr>
            <w:r w:rsidRPr="00BA2DE8">
              <w:t>Baseline</w:t>
            </w:r>
          </w:p>
        </w:tc>
      </w:tr>
      <w:tr w:rsidR="00312DE4" w:rsidRPr="00BA2DE8" w14:paraId="26FB2021" w14:textId="77777777" w:rsidTr="00395EFE">
        <w:trPr>
          <w:trHeight w:val="917"/>
        </w:trPr>
        <w:tc>
          <w:tcPr>
            <w:tcW w:w="1243" w:type="dxa"/>
            <w:vAlign w:val="center"/>
          </w:tcPr>
          <w:p w14:paraId="6CBC6732" w14:textId="77777777" w:rsidR="00312DE4" w:rsidRPr="00BA2DE8" w:rsidRDefault="00312DE4" w:rsidP="00395EFE">
            <w:pPr>
              <w:jc w:val="center"/>
            </w:pPr>
            <w:r w:rsidRPr="00BA2DE8">
              <w:rPr>
                <w:rFonts w:cs="Arial"/>
              </w:rPr>
              <w:t>EL + 3 Years RFEP</w:t>
            </w:r>
          </w:p>
        </w:tc>
        <w:tc>
          <w:tcPr>
            <w:tcW w:w="1089" w:type="dxa"/>
            <w:vAlign w:val="center"/>
          </w:tcPr>
          <w:p w14:paraId="12CFD331" w14:textId="77777777" w:rsidR="00312DE4" w:rsidRPr="00BA2DE8" w:rsidRDefault="00312DE4" w:rsidP="00395EFE">
            <w:pPr>
              <w:jc w:val="center"/>
            </w:pPr>
            <w:r w:rsidRPr="00BA2DE8">
              <w:t>578</w:t>
            </w:r>
          </w:p>
          <w:p w14:paraId="49E5B32D" w14:textId="77777777" w:rsidR="00312DE4" w:rsidRPr="00BA2DE8" w:rsidRDefault="00312DE4" w:rsidP="00395EFE">
            <w:pPr>
              <w:jc w:val="center"/>
            </w:pPr>
            <w:r w:rsidRPr="00BA2DE8">
              <w:t>9.5%</w:t>
            </w:r>
          </w:p>
        </w:tc>
        <w:tc>
          <w:tcPr>
            <w:tcW w:w="1151" w:type="dxa"/>
            <w:vAlign w:val="center"/>
          </w:tcPr>
          <w:p w14:paraId="0C179DEB" w14:textId="77777777" w:rsidR="00312DE4" w:rsidRPr="00BA2DE8" w:rsidRDefault="00312DE4" w:rsidP="00395EFE">
            <w:pPr>
              <w:jc w:val="center"/>
            </w:pPr>
            <w:r w:rsidRPr="00BA2DE8">
              <w:t>1,976</w:t>
            </w:r>
          </w:p>
          <w:p w14:paraId="0111E850" w14:textId="77777777" w:rsidR="00312DE4" w:rsidRPr="00BA2DE8" w:rsidRDefault="00312DE4" w:rsidP="00395EFE">
            <w:pPr>
              <w:jc w:val="center"/>
            </w:pPr>
            <w:r w:rsidRPr="00BA2DE8">
              <w:t>32.3%</w:t>
            </w:r>
          </w:p>
        </w:tc>
        <w:tc>
          <w:tcPr>
            <w:tcW w:w="1139" w:type="dxa"/>
            <w:vAlign w:val="center"/>
          </w:tcPr>
          <w:p w14:paraId="2709F16C" w14:textId="77777777" w:rsidR="00312DE4" w:rsidRPr="00BA2DE8" w:rsidRDefault="00312DE4" w:rsidP="00395EFE">
            <w:pPr>
              <w:jc w:val="center"/>
            </w:pPr>
            <w:r w:rsidRPr="00BA2DE8">
              <w:t>2,423</w:t>
            </w:r>
          </w:p>
          <w:p w14:paraId="437F8418" w14:textId="77777777" w:rsidR="00312DE4" w:rsidRPr="00BA2DE8" w:rsidRDefault="00312DE4" w:rsidP="00395EFE">
            <w:pPr>
              <w:jc w:val="center"/>
            </w:pPr>
            <w:r w:rsidRPr="00BA2DE8">
              <w:t>39.6%</w:t>
            </w:r>
          </w:p>
        </w:tc>
        <w:tc>
          <w:tcPr>
            <w:tcW w:w="1128" w:type="dxa"/>
            <w:vAlign w:val="center"/>
          </w:tcPr>
          <w:p w14:paraId="0DFB531E" w14:textId="77777777" w:rsidR="00312DE4" w:rsidRPr="00BA2DE8" w:rsidRDefault="00312DE4" w:rsidP="00395EFE">
            <w:pPr>
              <w:jc w:val="center"/>
            </w:pPr>
            <w:r w:rsidRPr="00BA2DE8">
              <w:t>720</w:t>
            </w:r>
          </w:p>
          <w:p w14:paraId="7DB05F24" w14:textId="77777777" w:rsidR="00312DE4" w:rsidRPr="00BA2DE8" w:rsidRDefault="00312DE4" w:rsidP="00395EFE">
            <w:pPr>
              <w:jc w:val="center"/>
            </w:pPr>
            <w:r w:rsidRPr="00BA2DE8">
              <w:t>11.8%</w:t>
            </w:r>
          </w:p>
        </w:tc>
        <w:tc>
          <w:tcPr>
            <w:tcW w:w="1101" w:type="dxa"/>
            <w:vAlign w:val="center"/>
          </w:tcPr>
          <w:p w14:paraId="723EDF96" w14:textId="77777777" w:rsidR="00312DE4" w:rsidRPr="00BA2DE8" w:rsidRDefault="00312DE4" w:rsidP="00395EFE">
            <w:pPr>
              <w:jc w:val="center"/>
            </w:pPr>
            <w:r w:rsidRPr="00BA2DE8">
              <w:t>415</w:t>
            </w:r>
          </w:p>
          <w:p w14:paraId="711472E7" w14:textId="77777777" w:rsidR="00312DE4" w:rsidRPr="00BA2DE8" w:rsidRDefault="00312DE4" w:rsidP="00395EFE">
            <w:pPr>
              <w:jc w:val="center"/>
            </w:pPr>
            <w:r w:rsidRPr="00BA2DE8">
              <w:t>6.8%</w:t>
            </w:r>
          </w:p>
        </w:tc>
        <w:tc>
          <w:tcPr>
            <w:tcW w:w="1109" w:type="dxa"/>
            <w:vAlign w:val="center"/>
          </w:tcPr>
          <w:p w14:paraId="3888FA09" w14:textId="77777777" w:rsidR="00312DE4" w:rsidRPr="00BA2DE8" w:rsidRDefault="00312DE4" w:rsidP="00395EFE">
            <w:pPr>
              <w:jc w:val="center"/>
            </w:pPr>
            <w:r w:rsidRPr="00BA2DE8">
              <w:t>6,112</w:t>
            </w:r>
          </w:p>
        </w:tc>
        <w:tc>
          <w:tcPr>
            <w:tcW w:w="1390" w:type="dxa"/>
            <w:vAlign w:val="center"/>
          </w:tcPr>
          <w:p w14:paraId="79ECF752" w14:textId="77777777" w:rsidR="00312DE4" w:rsidRPr="00BA2DE8" w:rsidRDefault="00312DE4" w:rsidP="00395EFE">
            <w:pPr>
              <w:jc w:val="center"/>
            </w:pPr>
            <w:r w:rsidRPr="00BA2DE8">
              <w:t>-356</w:t>
            </w:r>
          </w:p>
          <w:p w14:paraId="12D8ECA5" w14:textId="77777777" w:rsidR="00312DE4" w:rsidRPr="00BA2DE8" w:rsidRDefault="00312DE4" w:rsidP="00395EFE">
            <w:pPr>
              <w:jc w:val="center"/>
            </w:pPr>
            <w:r w:rsidRPr="00BA2DE8">
              <w:t>Schools</w:t>
            </w:r>
          </w:p>
        </w:tc>
      </w:tr>
      <w:tr w:rsidR="00312DE4" w:rsidRPr="00BA2DE8" w14:paraId="7EA07392" w14:textId="77777777" w:rsidTr="00395EFE">
        <w:trPr>
          <w:trHeight w:val="953"/>
        </w:trPr>
        <w:tc>
          <w:tcPr>
            <w:tcW w:w="1243" w:type="dxa"/>
            <w:vAlign w:val="center"/>
          </w:tcPr>
          <w:p w14:paraId="0B0C4F95" w14:textId="77777777" w:rsidR="00312DE4" w:rsidRPr="00BA2DE8" w:rsidRDefault="00312DE4" w:rsidP="00395EFE">
            <w:pPr>
              <w:jc w:val="center"/>
            </w:pPr>
            <w:r w:rsidRPr="00BA2DE8">
              <w:rPr>
                <w:rFonts w:cs="Arial"/>
              </w:rPr>
              <w:t>EL + 2 Years RFEP</w:t>
            </w:r>
          </w:p>
        </w:tc>
        <w:tc>
          <w:tcPr>
            <w:tcW w:w="1089" w:type="dxa"/>
            <w:vAlign w:val="center"/>
          </w:tcPr>
          <w:p w14:paraId="7255C671" w14:textId="77777777" w:rsidR="00312DE4" w:rsidRPr="00BA2DE8" w:rsidRDefault="00312DE4" w:rsidP="00395EFE">
            <w:pPr>
              <w:jc w:val="center"/>
            </w:pPr>
            <w:r w:rsidRPr="00BA2DE8">
              <w:t>621</w:t>
            </w:r>
          </w:p>
          <w:p w14:paraId="5FAAC98C" w14:textId="77777777" w:rsidR="00312DE4" w:rsidRPr="00BA2DE8" w:rsidRDefault="00312DE4" w:rsidP="00395EFE">
            <w:pPr>
              <w:jc w:val="center"/>
            </w:pPr>
            <w:r w:rsidRPr="00BA2DE8">
              <w:t>11.0%</w:t>
            </w:r>
          </w:p>
        </w:tc>
        <w:tc>
          <w:tcPr>
            <w:tcW w:w="1151" w:type="dxa"/>
            <w:vAlign w:val="center"/>
          </w:tcPr>
          <w:p w14:paraId="3602DA4C" w14:textId="77777777" w:rsidR="00312DE4" w:rsidRPr="00BA2DE8" w:rsidRDefault="00312DE4" w:rsidP="00395EFE">
            <w:pPr>
              <w:jc w:val="center"/>
            </w:pPr>
            <w:r w:rsidRPr="00BA2DE8">
              <w:t>1,868</w:t>
            </w:r>
          </w:p>
          <w:p w14:paraId="267D78AB" w14:textId="77777777" w:rsidR="00312DE4" w:rsidRPr="00BA2DE8" w:rsidRDefault="00312DE4" w:rsidP="00395EFE">
            <w:pPr>
              <w:jc w:val="center"/>
            </w:pPr>
            <w:r w:rsidRPr="00BA2DE8">
              <w:t>32.9%</w:t>
            </w:r>
          </w:p>
        </w:tc>
        <w:tc>
          <w:tcPr>
            <w:tcW w:w="1139" w:type="dxa"/>
            <w:vAlign w:val="center"/>
          </w:tcPr>
          <w:p w14:paraId="368AF08B" w14:textId="77777777" w:rsidR="00312DE4" w:rsidRPr="00BA2DE8" w:rsidRDefault="00312DE4" w:rsidP="00395EFE">
            <w:pPr>
              <w:jc w:val="center"/>
            </w:pPr>
            <w:r w:rsidRPr="00BA2DE8">
              <w:t>2,410</w:t>
            </w:r>
          </w:p>
          <w:p w14:paraId="0B3AD5B9" w14:textId="77777777" w:rsidR="00312DE4" w:rsidRPr="00BA2DE8" w:rsidRDefault="00312DE4" w:rsidP="00395EFE">
            <w:pPr>
              <w:jc w:val="center"/>
            </w:pPr>
            <w:r w:rsidRPr="00BA2DE8">
              <w:t>42.5%</w:t>
            </w:r>
          </w:p>
        </w:tc>
        <w:tc>
          <w:tcPr>
            <w:tcW w:w="1128" w:type="dxa"/>
            <w:vAlign w:val="center"/>
          </w:tcPr>
          <w:p w14:paraId="6B25C9C9" w14:textId="77777777" w:rsidR="00312DE4" w:rsidRPr="00BA2DE8" w:rsidRDefault="00312DE4" w:rsidP="00395EFE">
            <w:pPr>
              <w:jc w:val="center"/>
            </w:pPr>
            <w:r w:rsidRPr="00BA2DE8">
              <w:t>469</w:t>
            </w:r>
          </w:p>
          <w:p w14:paraId="23BB0AF9" w14:textId="77777777" w:rsidR="00312DE4" w:rsidRPr="00BA2DE8" w:rsidRDefault="00312DE4" w:rsidP="00395EFE">
            <w:pPr>
              <w:jc w:val="center"/>
            </w:pPr>
            <w:r w:rsidRPr="00BA2DE8">
              <w:t>8.57%</w:t>
            </w:r>
          </w:p>
        </w:tc>
        <w:tc>
          <w:tcPr>
            <w:tcW w:w="1101" w:type="dxa"/>
            <w:vAlign w:val="center"/>
          </w:tcPr>
          <w:p w14:paraId="59A0BC1C" w14:textId="77777777" w:rsidR="00312DE4" w:rsidRPr="00BA2DE8" w:rsidRDefault="00312DE4" w:rsidP="00395EFE">
            <w:pPr>
              <w:jc w:val="center"/>
            </w:pPr>
            <w:r w:rsidRPr="00BA2DE8">
              <w:t>304</w:t>
            </w:r>
          </w:p>
          <w:p w14:paraId="065D6D38" w14:textId="77777777" w:rsidR="00312DE4" w:rsidRPr="00BA2DE8" w:rsidRDefault="00312DE4" w:rsidP="00395EFE">
            <w:pPr>
              <w:jc w:val="center"/>
            </w:pPr>
            <w:r w:rsidRPr="00BA2DE8">
              <w:t>5.5%</w:t>
            </w:r>
          </w:p>
        </w:tc>
        <w:tc>
          <w:tcPr>
            <w:tcW w:w="1109" w:type="dxa"/>
            <w:vAlign w:val="center"/>
          </w:tcPr>
          <w:p w14:paraId="4933B82A" w14:textId="77777777" w:rsidR="00312DE4" w:rsidRPr="00BA2DE8" w:rsidRDefault="00312DE4" w:rsidP="00395EFE">
            <w:pPr>
              <w:jc w:val="center"/>
            </w:pPr>
            <w:r w:rsidRPr="00BA2DE8">
              <w:t>5,672</w:t>
            </w:r>
          </w:p>
        </w:tc>
        <w:tc>
          <w:tcPr>
            <w:tcW w:w="1390" w:type="dxa"/>
            <w:vAlign w:val="center"/>
          </w:tcPr>
          <w:p w14:paraId="602CED49" w14:textId="77777777" w:rsidR="00312DE4" w:rsidRPr="00BA2DE8" w:rsidRDefault="00312DE4" w:rsidP="00395EFE">
            <w:pPr>
              <w:jc w:val="center"/>
            </w:pPr>
            <w:r w:rsidRPr="00BA2DE8">
              <w:t>-796</w:t>
            </w:r>
          </w:p>
          <w:p w14:paraId="3697F50B" w14:textId="77777777" w:rsidR="00312DE4" w:rsidRPr="00BA2DE8" w:rsidRDefault="00312DE4" w:rsidP="00395EFE">
            <w:pPr>
              <w:jc w:val="center"/>
            </w:pPr>
            <w:r w:rsidRPr="00BA2DE8">
              <w:t>Schools</w:t>
            </w:r>
          </w:p>
        </w:tc>
      </w:tr>
    </w:tbl>
    <w:p w14:paraId="02AD8AF8" w14:textId="77777777" w:rsidR="00592C2C" w:rsidRPr="00BA2DE8" w:rsidRDefault="00592C2C" w:rsidP="0052365F">
      <w:pPr>
        <w:rPr>
          <w:rFonts w:cs="Arial"/>
          <w:b/>
        </w:rPr>
      </w:pPr>
    </w:p>
    <w:p w14:paraId="1ECDCB0A" w14:textId="5107D84D" w:rsidR="00C36AD0" w:rsidRPr="00BA2DE8" w:rsidRDefault="00C36AD0" w:rsidP="00592C2C">
      <w:pPr>
        <w:jc w:val="center"/>
        <w:rPr>
          <w:rFonts w:cs="Arial"/>
          <w:b/>
        </w:rPr>
      </w:pPr>
      <w:r w:rsidRPr="00BA2DE8">
        <w:rPr>
          <w:rFonts w:cs="Arial"/>
          <w:b/>
        </w:rPr>
        <w:lastRenderedPageBreak/>
        <w:t xml:space="preserve">Table </w:t>
      </w:r>
      <w:r w:rsidR="006B2422" w:rsidRPr="00BA2DE8">
        <w:rPr>
          <w:rFonts w:cs="Arial"/>
          <w:b/>
        </w:rPr>
        <w:t>6</w:t>
      </w:r>
    </w:p>
    <w:p w14:paraId="57F2F328" w14:textId="0C3F4814" w:rsidR="00C36AD0" w:rsidRPr="00BA2DE8" w:rsidRDefault="00C36AD0" w:rsidP="00C36AD0">
      <w:pPr>
        <w:jc w:val="center"/>
        <w:rPr>
          <w:rFonts w:cs="Arial"/>
          <w:b/>
        </w:rPr>
      </w:pPr>
      <w:r w:rsidRPr="00BA2DE8">
        <w:rPr>
          <w:rFonts w:cs="Arial"/>
          <w:b/>
        </w:rPr>
        <w:t xml:space="preserve">LEA </w:t>
      </w:r>
      <w:r w:rsidRPr="00BA2DE8">
        <w:rPr>
          <w:b/>
        </w:rPr>
        <w:t>Comparison</w:t>
      </w:r>
      <w:r w:rsidRPr="00BA2DE8">
        <w:rPr>
          <w:rFonts w:cs="Arial"/>
          <w:b/>
        </w:rPr>
        <w:t>: EL Student Group Data for Mathematics</w:t>
      </w:r>
    </w:p>
    <w:p w14:paraId="72BCCD67" w14:textId="77777777" w:rsidR="00312DE4" w:rsidRPr="00BA2DE8" w:rsidRDefault="00312DE4" w:rsidP="00C36AD0">
      <w:pPr>
        <w:jc w:val="center"/>
        <w:rPr>
          <w:rFonts w:cs="Arial"/>
          <w:b/>
        </w:rPr>
      </w:pPr>
    </w:p>
    <w:tbl>
      <w:tblPr>
        <w:tblStyle w:val="TableGrid"/>
        <w:tblW w:w="0" w:type="auto"/>
        <w:tblLook w:val="04A0" w:firstRow="1" w:lastRow="0" w:firstColumn="1" w:lastColumn="0" w:noHBand="0" w:noVBand="1"/>
        <w:tblDescription w:val="LEA Comparison: EL Student Group Data for Mathematics - Caragorized by color"/>
      </w:tblPr>
      <w:tblGrid>
        <w:gridCol w:w="1243"/>
        <w:gridCol w:w="1089"/>
        <w:gridCol w:w="1151"/>
        <w:gridCol w:w="1139"/>
        <w:gridCol w:w="1128"/>
        <w:gridCol w:w="1101"/>
        <w:gridCol w:w="1109"/>
        <w:gridCol w:w="1390"/>
      </w:tblGrid>
      <w:tr w:rsidR="00312DE4" w:rsidRPr="00BA2DE8" w14:paraId="771A0F58" w14:textId="77777777" w:rsidTr="000D7857">
        <w:trPr>
          <w:tblHeader/>
        </w:trPr>
        <w:tc>
          <w:tcPr>
            <w:tcW w:w="1243" w:type="dxa"/>
            <w:shd w:val="clear" w:color="auto" w:fill="BFBFBF" w:themeFill="background1" w:themeFillShade="BF"/>
            <w:vAlign w:val="center"/>
          </w:tcPr>
          <w:p w14:paraId="3DC6F577" w14:textId="77777777" w:rsidR="00312DE4" w:rsidRPr="00BA2DE8" w:rsidRDefault="00312DE4" w:rsidP="00395EFE">
            <w:pPr>
              <w:pStyle w:val="ListBullet"/>
              <w:numPr>
                <w:ilvl w:val="0"/>
                <w:numId w:val="0"/>
              </w:numPr>
              <w:tabs>
                <w:tab w:val="left" w:pos="450"/>
              </w:tabs>
              <w:jc w:val="center"/>
              <w:rPr>
                <w:b/>
              </w:rPr>
            </w:pPr>
            <w:r w:rsidRPr="00BA2DE8">
              <w:rPr>
                <w:b/>
              </w:rPr>
              <w:t>EL and RFEP Students</w:t>
            </w:r>
          </w:p>
        </w:tc>
        <w:tc>
          <w:tcPr>
            <w:tcW w:w="1089" w:type="dxa"/>
            <w:shd w:val="clear" w:color="auto" w:fill="BFBFBF" w:themeFill="background1" w:themeFillShade="BF"/>
            <w:vAlign w:val="center"/>
          </w:tcPr>
          <w:p w14:paraId="14C3BD43" w14:textId="77777777" w:rsidR="00312DE4" w:rsidRPr="00BA2DE8" w:rsidRDefault="00312DE4" w:rsidP="00395EFE">
            <w:pPr>
              <w:pStyle w:val="ListBullet"/>
              <w:numPr>
                <w:ilvl w:val="0"/>
                <w:numId w:val="0"/>
              </w:numPr>
              <w:tabs>
                <w:tab w:val="left" w:pos="450"/>
              </w:tabs>
              <w:jc w:val="center"/>
              <w:rPr>
                <w:b/>
              </w:rPr>
            </w:pPr>
            <w:r w:rsidRPr="00BA2DE8">
              <w:rPr>
                <w:b/>
              </w:rPr>
              <w:t>Red</w:t>
            </w:r>
          </w:p>
        </w:tc>
        <w:tc>
          <w:tcPr>
            <w:tcW w:w="1151" w:type="dxa"/>
            <w:shd w:val="clear" w:color="auto" w:fill="BFBFBF" w:themeFill="background1" w:themeFillShade="BF"/>
            <w:vAlign w:val="center"/>
          </w:tcPr>
          <w:p w14:paraId="34405D73" w14:textId="77777777" w:rsidR="00312DE4" w:rsidRPr="00BA2DE8" w:rsidRDefault="00312DE4" w:rsidP="00395EFE">
            <w:pPr>
              <w:pStyle w:val="ListBullet"/>
              <w:numPr>
                <w:ilvl w:val="0"/>
                <w:numId w:val="0"/>
              </w:numPr>
              <w:tabs>
                <w:tab w:val="left" w:pos="450"/>
              </w:tabs>
              <w:jc w:val="center"/>
              <w:rPr>
                <w:b/>
              </w:rPr>
            </w:pPr>
            <w:r w:rsidRPr="00BA2DE8">
              <w:rPr>
                <w:b/>
              </w:rPr>
              <w:t>Orange</w:t>
            </w:r>
          </w:p>
        </w:tc>
        <w:tc>
          <w:tcPr>
            <w:tcW w:w="1139" w:type="dxa"/>
            <w:shd w:val="clear" w:color="auto" w:fill="BFBFBF" w:themeFill="background1" w:themeFillShade="BF"/>
            <w:vAlign w:val="center"/>
          </w:tcPr>
          <w:p w14:paraId="244DE1C4" w14:textId="77777777" w:rsidR="00312DE4" w:rsidRPr="00BA2DE8" w:rsidRDefault="00312DE4" w:rsidP="00395EFE">
            <w:pPr>
              <w:pStyle w:val="ListBullet"/>
              <w:numPr>
                <w:ilvl w:val="0"/>
                <w:numId w:val="0"/>
              </w:numPr>
              <w:tabs>
                <w:tab w:val="left" w:pos="450"/>
              </w:tabs>
              <w:jc w:val="center"/>
              <w:rPr>
                <w:b/>
              </w:rPr>
            </w:pPr>
            <w:r w:rsidRPr="00BA2DE8">
              <w:rPr>
                <w:b/>
              </w:rPr>
              <w:t>Yellow</w:t>
            </w:r>
          </w:p>
        </w:tc>
        <w:tc>
          <w:tcPr>
            <w:tcW w:w="1128" w:type="dxa"/>
            <w:shd w:val="clear" w:color="auto" w:fill="BFBFBF" w:themeFill="background1" w:themeFillShade="BF"/>
            <w:vAlign w:val="center"/>
          </w:tcPr>
          <w:p w14:paraId="5ADADFA3" w14:textId="77777777" w:rsidR="00312DE4" w:rsidRPr="00BA2DE8" w:rsidRDefault="00312DE4" w:rsidP="00395EFE">
            <w:pPr>
              <w:pStyle w:val="ListBullet"/>
              <w:numPr>
                <w:ilvl w:val="0"/>
                <w:numId w:val="0"/>
              </w:numPr>
              <w:tabs>
                <w:tab w:val="left" w:pos="450"/>
              </w:tabs>
              <w:jc w:val="center"/>
              <w:rPr>
                <w:b/>
              </w:rPr>
            </w:pPr>
            <w:r w:rsidRPr="00BA2DE8">
              <w:rPr>
                <w:b/>
              </w:rPr>
              <w:t>Green</w:t>
            </w:r>
          </w:p>
        </w:tc>
        <w:tc>
          <w:tcPr>
            <w:tcW w:w="1101" w:type="dxa"/>
            <w:shd w:val="clear" w:color="auto" w:fill="BFBFBF" w:themeFill="background1" w:themeFillShade="BF"/>
            <w:vAlign w:val="center"/>
          </w:tcPr>
          <w:p w14:paraId="19C25C57" w14:textId="77777777" w:rsidR="00312DE4" w:rsidRPr="00BA2DE8" w:rsidRDefault="00312DE4" w:rsidP="00395EFE">
            <w:pPr>
              <w:pStyle w:val="ListBullet"/>
              <w:numPr>
                <w:ilvl w:val="0"/>
                <w:numId w:val="0"/>
              </w:numPr>
              <w:tabs>
                <w:tab w:val="left" w:pos="450"/>
              </w:tabs>
              <w:jc w:val="center"/>
              <w:rPr>
                <w:b/>
              </w:rPr>
            </w:pPr>
            <w:r w:rsidRPr="00BA2DE8">
              <w:rPr>
                <w:b/>
              </w:rPr>
              <w:t>Blue</w:t>
            </w:r>
          </w:p>
        </w:tc>
        <w:tc>
          <w:tcPr>
            <w:tcW w:w="1109" w:type="dxa"/>
            <w:shd w:val="clear" w:color="auto" w:fill="BFBFBF" w:themeFill="background1" w:themeFillShade="BF"/>
            <w:vAlign w:val="center"/>
          </w:tcPr>
          <w:p w14:paraId="505D2D34" w14:textId="77777777" w:rsidR="00312DE4" w:rsidRPr="00BA2DE8" w:rsidRDefault="00312DE4" w:rsidP="00395EFE">
            <w:pPr>
              <w:pStyle w:val="ListBullet"/>
              <w:numPr>
                <w:ilvl w:val="0"/>
                <w:numId w:val="0"/>
              </w:numPr>
              <w:tabs>
                <w:tab w:val="left" w:pos="450"/>
              </w:tabs>
              <w:jc w:val="center"/>
              <w:rPr>
                <w:b/>
              </w:rPr>
            </w:pPr>
            <w:r w:rsidRPr="00BA2DE8">
              <w:rPr>
                <w:b/>
              </w:rPr>
              <w:t>Total</w:t>
            </w:r>
          </w:p>
        </w:tc>
        <w:tc>
          <w:tcPr>
            <w:tcW w:w="1390" w:type="dxa"/>
            <w:shd w:val="clear" w:color="auto" w:fill="BFBFBF" w:themeFill="background1" w:themeFillShade="BF"/>
            <w:vAlign w:val="center"/>
          </w:tcPr>
          <w:p w14:paraId="219BF531" w14:textId="77777777" w:rsidR="00312DE4" w:rsidRPr="00BA2DE8" w:rsidRDefault="00312DE4" w:rsidP="00395EFE">
            <w:pPr>
              <w:pStyle w:val="ListBullet"/>
              <w:numPr>
                <w:ilvl w:val="0"/>
                <w:numId w:val="0"/>
              </w:numPr>
              <w:tabs>
                <w:tab w:val="left" w:pos="450"/>
              </w:tabs>
              <w:jc w:val="center"/>
              <w:rPr>
                <w:b/>
              </w:rPr>
            </w:pPr>
            <w:r w:rsidRPr="00BA2DE8">
              <w:rPr>
                <w:b/>
              </w:rPr>
              <w:t>Difference</w:t>
            </w:r>
          </w:p>
        </w:tc>
      </w:tr>
      <w:tr w:rsidR="00312DE4" w:rsidRPr="00BA2DE8" w14:paraId="776A121A" w14:textId="77777777" w:rsidTr="00395EFE">
        <w:trPr>
          <w:trHeight w:val="953"/>
        </w:trPr>
        <w:tc>
          <w:tcPr>
            <w:tcW w:w="1243" w:type="dxa"/>
            <w:vAlign w:val="center"/>
          </w:tcPr>
          <w:p w14:paraId="3DCBAC2A" w14:textId="77777777" w:rsidR="00312DE4" w:rsidRPr="00BA2DE8" w:rsidRDefault="00312DE4" w:rsidP="00395EFE">
            <w:pPr>
              <w:pStyle w:val="ListBullet"/>
              <w:numPr>
                <w:ilvl w:val="0"/>
                <w:numId w:val="0"/>
              </w:numPr>
              <w:tabs>
                <w:tab w:val="left" w:pos="450"/>
              </w:tabs>
              <w:jc w:val="center"/>
            </w:pPr>
            <w:r w:rsidRPr="00BA2DE8">
              <w:t>EL + 4 Years RFEP</w:t>
            </w:r>
          </w:p>
        </w:tc>
        <w:tc>
          <w:tcPr>
            <w:tcW w:w="1089" w:type="dxa"/>
            <w:vAlign w:val="center"/>
          </w:tcPr>
          <w:p w14:paraId="49989136" w14:textId="77777777" w:rsidR="00312DE4" w:rsidRPr="00BA2DE8" w:rsidRDefault="00312DE4" w:rsidP="00395EFE">
            <w:pPr>
              <w:jc w:val="center"/>
            </w:pPr>
            <w:r w:rsidRPr="00BA2DE8">
              <w:t>102</w:t>
            </w:r>
          </w:p>
          <w:p w14:paraId="7D07A92B" w14:textId="77777777" w:rsidR="00312DE4" w:rsidRPr="00BA2DE8" w:rsidRDefault="00312DE4" w:rsidP="00395EFE">
            <w:pPr>
              <w:jc w:val="center"/>
            </w:pPr>
            <w:r w:rsidRPr="00BA2DE8">
              <w:t>15.3%</w:t>
            </w:r>
          </w:p>
        </w:tc>
        <w:tc>
          <w:tcPr>
            <w:tcW w:w="1151" w:type="dxa"/>
            <w:vAlign w:val="center"/>
          </w:tcPr>
          <w:p w14:paraId="29F1CDAF" w14:textId="77777777" w:rsidR="00312DE4" w:rsidRPr="00BA2DE8" w:rsidRDefault="00312DE4" w:rsidP="00395EFE">
            <w:pPr>
              <w:jc w:val="center"/>
            </w:pPr>
            <w:r w:rsidRPr="00BA2DE8">
              <w:t>293</w:t>
            </w:r>
          </w:p>
          <w:p w14:paraId="3C6C7E2D" w14:textId="77777777" w:rsidR="00312DE4" w:rsidRPr="00BA2DE8" w:rsidRDefault="00312DE4" w:rsidP="00395EFE">
            <w:pPr>
              <w:jc w:val="center"/>
            </w:pPr>
            <w:r w:rsidRPr="00BA2DE8">
              <w:t>44.1%</w:t>
            </w:r>
          </w:p>
        </w:tc>
        <w:tc>
          <w:tcPr>
            <w:tcW w:w="1139" w:type="dxa"/>
            <w:vAlign w:val="center"/>
          </w:tcPr>
          <w:p w14:paraId="293168C1" w14:textId="77777777" w:rsidR="00312DE4" w:rsidRPr="00BA2DE8" w:rsidRDefault="00312DE4" w:rsidP="00395EFE">
            <w:pPr>
              <w:jc w:val="center"/>
            </w:pPr>
            <w:r w:rsidRPr="00BA2DE8">
              <w:t>193</w:t>
            </w:r>
          </w:p>
          <w:p w14:paraId="678C76DF" w14:textId="77777777" w:rsidR="00312DE4" w:rsidRPr="00BA2DE8" w:rsidRDefault="00312DE4" w:rsidP="00395EFE">
            <w:pPr>
              <w:jc w:val="center"/>
            </w:pPr>
            <w:r w:rsidRPr="00BA2DE8">
              <w:t>29.0%</w:t>
            </w:r>
          </w:p>
        </w:tc>
        <w:tc>
          <w:tcPr>
            <w:tcW w:w="1128" w:type="dxa"/>
            <w:vAlign w:val="center"/>
          </w:tcPr>
          <w:p w14:paraId="12B94326" w14:textId="77777777" w:rsidR="00312DE4" w:rsidRPr="00BA2DE8" w:rsidRDefault="00312DE4" w:rsidP="00395EFE">
            <w:pPr>
              <w:jc w:val="center"/>
            </w:pPr>
            <w:r w:rsidRPr="00BA2DE8">
              <w:t>53</w:t>
            </w:r>
          </w:p>
          <w:p w14:paraId="6851BF20" w14:textId="77777777" w:rsidR="00312DE4" w:rsidRPr="00BA2DE8" w:rsidRDefault="00312DE4" w:rsidP="00395EFE">
            <w:pPr>
              <w:jc w:val="center"/>
            </w:pPr>
            <w:r w:rsidRPr="00BA2DE8">
              <w:t>8.0%</w:t>
            </w:r>
          </w:p>
        </w:tc>
        <w:tc>
          <w:tcPr>
            <w:tcW w:w="1101" w:type="dxa"/>
            <w:vAlign w:val="center"/>
          </w:tcPr>
          <w:p w14:paraId="231E22EA" w14:textId="77777777" w:rsidR="00312DE4" w:rsidRPr="00BA2DE8" w:rsidRDefault="00312DE4" w:rsidP="00395EFE">
            <w:pPr>
              <w:jc w:val="center"/>
            </w:pPr>
            <w:r w:rsidRPr="00BA2DE8">
              <w:t>24</w:t>
            </w:r>
          </w:p>
          <w:p w14:paraId="562E4140" w14:textId="77777777" w:rsidR="00312DE4" w:rsidRPr="00BA2DE8" w:rsidRDefault="00312DE4" w:rsidP="00395EFE">
            <w:pPr>
              <w:jc w:val="center"/>
            </w:pPr>
            <w:r w:rsidRPr="00BA2DE8">
              <w:t>3.6%</w:t>
            </w:r>
          </w:p>
        </w:tc>
        <w:tc>
          <w:tcPr>
            <w:tcW w:w="1109" w:type="dxa"/>
            <w:vAlign w:val="center"/>
          </w:tcPr>
          <w:p w14:paraId="478A10B6" w14:textId="77777777" w:rsidR="00312DE4" w:rsidRPr="00BA2DE8" w:rsidRDefault="00312DE4" w:rsidP="00395EFE">
            <w:pPr>
              <w:jc w:val="center"/>
            </w:pPr>
            <w:r w:rsidRPr="00BA2DE8">
              <w:t>665</w:t>
            </w:r>
          </w:p>
        </w:tc>
        <w:tc>
          <w:tcPr>
            <w:tcW w:w="1390" w:type="dxa"/>
            <w:vAlign w:val="center"/>
          </w:tcPr>
          <w:p w14:paraId="16AFF581" w14:textId="77777777" w:rsidR="00312DE4" w:rsidRPr="00BA2DE8" w:rsidRDefault="00312DE4" w:rsidP="00395EFE">
            <w:pPr>
              <w:jc w:val="center"/>
            </w:pPr>
            <w:r w:rsidRPr="00BA2DE8">
              <w:t>Baseline</w:t>
            </w:r>
          </w:p>
        </w:tc>
      </w:tr>
      <w:tr w:rsidR="00312DE4" w:rsidRPr="00BA2DE8" w14:paraId="569D0B6C" w14:textId="77777777" w:rsidTr="00395EFE">
        <w:trPr>
          <w:trHeight w:val="917"/>
        </w:trPr>
        <w:tc>
          <w:tcPr>
            <w:tcW w:w="1243" w:type="dxa"/>
            <w:vAlign w:val="center"/>
          </w:tcPr>
          <w:p w14:paraId="3B457126" w14:textId="77777777" w:rsidR="00312DE4" w:rsidRPr="00BA2DE8" w:rsidRDefault="00312DE4" w:rsidP="00395EFE">
            <w:pPr>
              <w:jc w:val="center"/>
            </w:pPr>
            <w:r w:rsidRPr="00BA2DE8">
              <w:rPr>
                <w:rFonts w:cs="Arial"/>
              </w:rPr>
              <w:t>EL + 3 Years RFEP</w:t>
            </w:r>
          </w:p>
        </w:tc>
        <w:tc>
          <w:tcPr>
            <w:tcW w:w="1089" w:type="dxa"/>
            <w:vAlign w:val="center"/>
          </w:tcPr>
          <w:p w14:paraId="72128276" w14:textId="77777777" w:rsidR="00312DE4" w:rsidRPr="00BA2DE8" w:rsidRDefault="00312DE4" w:rsidP="00395EFE">
            <w:pPr>
              <w:jc w:val="center"/>
            </w:pPr>
            <w:r w:rsidRPr="00BA2DE8">
              <w:t>73</w:t>
            </w:r>
          </w:p>
          <w:p w14:paraId="4B23E9E5" w14:textId="77777777" w:rsidR="00312DE4" w:rsidRPr="00BA2DE8" w:rsidRDefault="00312DE4" w:rsidP="00395EFE">
            <w:pPr>
              <w:jc w:val="center"/>
            </w:pPr>
            <w:r w:rsidRPr="00BA2DE8">
              <w:t>11.4%</w:t>
            </w:r>
          </w:p>
        </w:tc>
        <w:tc>
          <w:tcPr>
            <w:tcW w:w="1151" w:type="dxa"/>
            <w:vAlign w:val="center"/>
          </w:tcPr>
          <w:p w14:paraId="3BD0C7F0" w14:textId="77777777" w:rsidR="00312DE4" w:rsidRPr="00BA2DE8" w:rsidRDefault="00312DE4" w:rsidP="00395EFE">
            <w:pPr>
              <w:jc w:val="center"/>
            </w:pPr>
            <w:r w:rsidRPr="00BA2DE8">
              <w:t>173</w:t>
            </w:r>
          </w:p>
          <w:p w14:paraId="5393228B" w14:textId="77777777" w:rsidR="00312DE4" w:rsidRPr="00BA2DE8" w:rsidRDefault="00312DE4" w:rsidP="00395EFE">
            <w:pPr>
              <w:jc w:val="center"/>
            </w:pPr>
            <w:r w:rsidRPr="00BA2DE8">
              <w:t>27.0%</w:t>
            </w:r>
          </w:p>
        </w:tc>
        <w:tc>
          <w:tcPr>
            <w:tcW w:w="1139" w:type="dxa"/>
            <w:vAlign w:val="center"/>
          </w:tcPr>
          <w:p w14:paraId="4EA11EF6" w14:textId="77777777" w:rsidR="00312DE4" w:rsidRPr="00BA2DE8" w:rsidRDefault="00312DE4" w:rsidP="00395EFE">
            <w:pPr>
              <w:jc w:val="center"/>
            </w:pPr>
            <w:r w:rsidRPr="00BA2DE8">
              <w:t>322</w:t>
            </w:r>
          </w:p>
          <w:p w14:paraId="162DB5DC" w14:textId="77777777" w:rsidR="00312DE4" w:rsidRPr="00BA2DE8" w:rsidRDefault="00312DE4" w:rsidP="00395EFE">
            <w:pPr>
              <w:jc w:val="center"/>
            </w:pPr>
            <w:r w:rsidRPr="00BA2DE8">
              <w:t>50.2%</w:t>
            </w:r>
          </w:p>
        </w:tc>
        <w:tc>
          <w:tcPr>
            <w:tcW w:w="1128" w:type="dxa"/>
            <w:vAlign w:val="center"/>
          </w:tcPr>
          <w:p w14:paraId="72A68160" w14:textId="77777777" w:rsidR="00312DE4" w:rsidRPr="00BA2DE8" w:rsidRDefault="00312DE4" w:rsidP="00395EFE">
            <w:pPr>
              <w:jc w:val="center"/>
            </w:pPr>
            <w:r w:rsidRPr="00BA2DE8">
              <w:t>48</w:t>
            </w:r>
          </w:p>
          <w:p w14:paraId="78BE3283" w14:textId="77777777" w:rsidR="00312DE4" w:rsidRPr="00BA2DE8" w:rsidRDefault="00312DE4" w:rsidP="00395EFE">
            <w:pPr>
              <w:jc w:val="center"/>
            </w:pPr>
            <w:r w:rsidRPr="00BA2DE8">
              <w:t>7.5%</w:t>
            </w:r>
          </w:p>
        </w:tc>
        <w:tc>
          <w:tcPr>
            <w:tcW w:w="1101" w:type="dxa"/>
            <w:vAlign w:val="center"/>
          </w:tcPr>
          <w:p w14:paraId="33A4C87F" w14:textId="77777777" w:rsidR="00312DE4" w:rsidRPr="00BA2DE8" w:rsidRDefault="00312DE4" w:rsidP="00395EFE">
            <w:pPr>
              <w:jc w:val="center"/>
            </w:pPr>
            <w:r w:rsidRPr="00BA2DE8">
              <w:t>25</w:t>
            </w:r>
          </w:p>
          <w:p w14:paraId="53AC822F" w14:textId="77777777" w:rsidR="00312DE4" w:rsidRPr="00BA2DE8" w:rsidRDefault="00312DE4" w:rsidP="00395EFE">
            <w:pPr>
              <w:jc w:val="center"/>
            </w:pPr>
            <w:r w:rsidRPr="00BA2DE8">
              <w:t>3.9%</w:t>
            </w:r>
          </w:p>
        </w:tc>
        <w:tc>
          <w:tcPr>
            <w:tcW w:w="1109" w:type="dxa"/>
            <w:vAlign w:val="center"/>
          </w:tcPr>
          <w:p w14:paraId="1C0B1AF2" w14:textId="77777777" w:rsidR="00312DE4" w:rsidRPr="00BA2DE8" w:rsidRDefault="00312DE4" w:rsidP="00395EFE">
            <w:pPr>
              <w:jc w:val="center"/>
            </w:pPr>
            <w:r w:rsidRPr="00BA2DE8">
              <w:t>641</w:t>
            </w:r>
          </w:p>
        </w:tc>
        <w:tc>
          <w:tcPr>
            <w:tcW w:w="1390" w:type="dxa"/>
            <w:vAlign w:val="center"/>
          </w:tcPr>
          <w:p w14:paraId="71156F88" w14:textId="77777777" w:rsidR="00312DE4" w:rsidRPr="00BA2DE8" w:rsidRDefault="00312DE4" w:rsidP="00395EFE">
            <w:pPr>
              <w:jc w:val="center"/>
            </w:pPr>
            <w:r w:rsidRPr="00BA2DE8">
              <w:t>-24</w:t>
            </w:r>
          </w:p>
          <w:p w14:paraId="5E64A865" w14:textId="77777777" w:rsidR="00312DE4" w:rsidRPr="00BA2DE8" w:rsidRDefault="00312DE4" w:rsidP="00395EFE">
            <w:pPr>
              <w:jc w:val="center"/>
            </w:pPr>
            <w:r w:rsidRPr="00BA2DE8">
              <w:t>Districts</w:t>
            </w:r>
          </w:p>
        </w:tc>
      </w:tr>
      <w:tr w:rsidR="00312DE4" w:rsidRPr="00BA2DE8" w14:paraId="3ADB5B03" w14:textId="77777777" w:rsidTr="00395EFE">
        <w:trPr>
          <w:trHeight w:val="953"/>
        </w:trPr>
        <w:tc>
          <w:tcPr>
            <w:tcW w:w="1243" w:type="dxa"/>
            <w:vAlign w:val="center"/>
          </w:tcPr>
          <w:p w14:paraId="61CC1B2E" w14:textId="77777777" w:rsidR="00312DE4" w:rsidRPr="00BA2DE8" w:rsidRDefault="00312DE4" w:rsidP="00395EFE">
            <w:pPr>
              <w:jc w:val="center"/>
            </w:pPr>
            <w:r w:rsidRPr="00BA2DE8">
              <w:rPr>
                <w:rFonts w:cs="Arial"/>
              </w:rPr>
              <w:t>EL + 2 Years RFEP</w:t>
            </w:r>
          </w:p>
        </w:tc>
        <w:tc>
          <w:tcPr>
            <w:tcW w:w="1089" w:type="dxa"/>
            <w:vAlign w:val="center"/>
          </w:tcPr>
          <w:p w14:paraId="6E3B9198" w14:textId="77777777" w:rsidR="00312DE4" w:rsidRPr="00BA2DE8" w:rsidRDefault="00312DE4" w:rsidP="00395EFE">
            <w:pPr>
              <w:jc w:val="center"/>
            </w:pPr>
            <w:r w:rsidRPr="00BA2DE8">
              <w:t>84</w:t>
            </w:r>
          </w:p>
          <w:p w14:paraId="7E4D64E8" w14:textId="77777777" w:rsidR="00312DE4" w:rsidRPr="00BA2DE8" w:rsidRDefault="00312DE4" w:rsidP="00395EFE">
            <w:pPr>
              <w:jc w:val="center"/>
            </w:pPr>
            <w:r w:rsidRPr="00BA2DE8">
              <w:t>13.4%</w:t>
            </w:r>
          </w:p>
        </w:tc>
        <w:tc>
          <w:tcPr>
            <w:tcW w:w="1151" w:type="dxa"/>
            <w:vAlign w:val="center"/>
          </w:tcPr>
          <w:p w14:paraId="7A251FAC" w14:textId="77777777" w:rsidR="00312DE4" w:rsidRPr="00BA2DE8" w:rsidRDefault="00312DE4" w:rsidP="00395EFE">
            <w:pPr>
              <w:jc w:val="center"/>
            </w:pPr>
            <w:r w:rsidRPr="00BA2DE8">
              <w:t>188</w:t>
            </w:r>
          </w:p>
          <w:p w14:paraId="7D3D1260" w14:textId="77777777" w:rsidR="00312DE4" w:rsidRPr="00BA2DE8" w:rsidRDefault="00312DE4" w:rsidP="00395EFE">
            <w:pPr>
              <w:jc w:val="center"/>
            </w:pPr>
            <w:r w:rsidRPr="00BA2DE8">
              <w:t>29.9%</w:t>
            </w:r>
          </w:p>
        </w:tc>
        <w:tc>
          <w:tcPr>
            <w:tcW w:w="1139" w:type="dxa"/>
            <w:vAlign w:val="center"/>
          </w:tcPr>
          <w:p w14:paraId="2AF6E7AF" w14:textId="77777777" w:rsidR="00312DE4" w:rsidRPr="00BA2DE8" w:rsidRDefault="00312DE4" w:rsidP="00395EFE">
            <w:pPr>
              <w:jc w:val="center"/>
            </w:pPr>
            <w:r w:rsidRPr="00BA2DE8">
              <w:t>300</w:t>
            </w:r>
          </w:p>
          <w:p w14:paraId="5D22F353" w14:textId="77777777" w:rsidR="00312DE4" w:rsidRPr="00BA2DE8" w:rsidRDefault="00312DE4" w:rsidP="00395EFE">
            <w:pPr>
              <w:jc w:val="center"/>
            </w:pPr>
            <w:r w:rsidRPr="00BA2DE8">
              <w:t>47.8%</w:t>
            </w:r>
          </w:p>
        </w:tc>
        <w:tc>
          <w:tcPr>
            <w:tcW w:w="1128" w:type="dxa"/>
            <w:vAlign w:val="center"/>
          </w:tcPr>
          <w:p w14:paraId="20DD8D52" w14:textId="77777777" w:rsidR="00312DE4" w:rsidRPr="00BA2DE8" w:rsidRDefault="00312DE4" w:rsidP="00395EFE">
            <w:pPr>
              <w:jc w:val="center"/>
            </w:pPr>
            <w:r w:rsidRPr="00BA2DE8">
              <w:t>32</w:t>
            </w:r>
          </w:p>
          <w:p w14:paraId="6E835848" w14:textId="77777777" w:rsidR="00312DE4" w:rsidRPr="00BA2DE8" w:rsidRDefault="00312DE4" w:rsidP="00395EFE">
            <w:pPr>
              <w:jc w:val="center"/>
            </w:pPr>
            <w:r w:rsidRPr="00BA2DE8">
              <w:t>5.1%</w:t>
            </w:r>
          </w:p>
        </w:tc>
        <w:tc>
          <w:tcPr>
            <w:tcW w:w="1101" w:type="dxa"/>
            <w:vAlign w:val="center"/>
          </w:tcPr>
          <w:p w14:paraId="3FDEA5A9" w14:textId="77777777" w:rsidR="00312DE4" w:rsidRPr="00BA2DE8" w:rsidRDefault="00312DE4" w:rsidP="00395EFE">
            <w:pPr>
              <w:jc w:val="center"/>
            </w:pPr>
            <w:r w:rsidRPr="00BA2DE8">
              <w:t>24</w:t>
            </w:r>
          </w:p>
          <w:p w14:paraId="5B8626A0" w14:textId="77777777" w:rsidR="00312DE4" w:rsidRPr="00BA2DE8" w:rsidRDefault="00312DE4" w:rsidP="00395EFE">
            <w:pPr>
              <w:jc w:val="center"/>
            </w:pPr>
            <w:r w:rsidRPr="00BA2DE8">
              <w:t>3.8%</w:t>
            </w:r>
          </w:p>
        </w:tc>
        <w:tc>
          <w:tcPr>
            <w:tcW w:w="1109" w:type="dxa"/>
            <w:vAlign w:val="center"/>
          </w:tcPr>
          <w:p w14:paraId="4484A6FC" w14:textId="77777777" w:rsidR="00312DE4" w:rsidRPr="00BA2DE8" w:rsidRDefault="00312DE4" w:rsidP="00395EFE">
            <w:pPr>
              <w:jc w:val="center"/>
            </w:pPr>
            <w:r w:rsidRPr="00BA2DE8">
              <w:t>628</w:t>
            </w:r>
          </w:p>
        </w:tc>
        <w:tc>
          <w:tcPr>
            <w:tcW w:w="1390" w:type="dxa"/>
            <w:vAlign w:val="center"/>
          </w:tcPr>
          <w:p w14:paraId="3006E9BD" w14:textId="77777777" w:rsidR="00312DE4" w:rsidRPr="00BA2DE8" w:rsidRDefault="00312DE4" w:rsidP="00395EFE">
            <w:pPr>
              <w:jc w:val="center"/>
            </w:pPr>
            <w:r w:rsidRPr="00BA2DE8">
              <w:t>-37</w:t>
            </w:r>
          </w:p>
          <w:p w14:paraId="1441C97C" w14:textId="77777777" w:rsidR="00312DE4" w:rsidRPr="00BA2DE8" w:rsidRDefault="00312DE4" w:rsidP="00395EFE">
            <w:pPr>
              <w:jc w:val="center"/>
            </w:pPr>
            <w:r w:rsidRPr="00BA2DE8">
              <w:t>Districts</w:t>
            </w:r>
          </w:p>
        </w:tc>
      </w:tr>
    </w:tbl>
    <w:p w14:paraId="544938AA" w14:textId="77777777" w:rsidR="00312DE4" w:rsidRPr="00BA2DE8" w:rsidRDefault="00312DE4" w:rsidP="00C36AD0">
      <w:pPr>
        <w:jc w:val="center"/>
        <w:rPr>
          <w:rFonts w:cs="Arial"/>
          <w:b/>
        </w:rPr>
      </w:pPr>
    </w:p>
    <w:p w14:paraId="1FB08F67" w14:textId="6F849DC6" w:rsidR="00C36AD0" w:rsidRPr="00BA2DE8" w:rsidRDefault="00596854" w:rsidP="006615AC">
      <w:pPr>
        <w:spacing w:before="240" w:after="240"/>
      </w:pPr>
      <w:r w:rsidRPr="00BA2DE8">
        <w:t>This data shows a</w:t>
      </w:r>
      <w:r w:rsidR="00C36AD0" w:rsidRPr="00BA2DE8">
        <w:t xml:space="preserve"> significant </w:t>
      </w:r>
      <w:r w:rsidR="00FE5653" w:rsidRPr="00BA2DE8">
        <w:t>decrease</w:t>
      </w:r>
      <w:r w:rsidR="00C36AD0" w:rsidRPr="00BA2DE8">
        <w:t xml:space="preserve"> in the number of schools and districts receiving a performance level for mathematics </w:t>
      </w:r>
      <w:r w:rsidR="00FE5653" w:rsidRPr="00BA2DE8">
        <w:t xml:space="preserve">for their EL students </w:t>
      </w:r>
      <w:r w:rsidR="00C36AD0" w:rsidRPr="00BA2DE8">
        <w:t xml:space="preserve">when the inclusion of reclassified students is reduced from four years to three or two years. </w:t>
      </w:r>
    </w:p>
    <w:p w14:paraId="2F24FE8A" w14:textId="7D18B0C1" w:rsidR="008B0B20" w:rsidRPr="00BA2DE8" w:rsidRDefault="00F77B12" w:rsidP="00C36AD0">
      <w:pPr>
        <w:sectPr w:rsidR="008B0B20" w:rsidRPr="00BA2DE8" w:rsidSect="008B0B20">
          <w:headerReference w:type="default" r:id="rId14"/>
          <w:pgSz w:w="12240" w:h="15840"/>
          <w:pgMar w:top="720" w:right="1440" w:bottom="1440" w:left="1440" w:header="720" w:footer="720" w:gutter="0"/>
          <w:pgNumType w:start="1"/>
          <w:cols w:space="720"/>
        </w:sectPr>
      </w:pPr>
      <w:r w:rsidRPr="00BA2DE8">
        <w:t xml:space="preserve">The application of the current definition for the </w:t>
      </w:r>
      <w:r w:rsidR="006113AE" w:rsidRPr="00BA2DE8">
        <w:t xml:space="preserve">EL </w:t>
      </w:r>
      <w:r w:rsidR="00047359" w:rsidRPr="00BA2DE8">
        <w:t xml:space="preserve">student </w:t>
      </w:r>
      <w:r w:rsidRPr="00BA2DE8">
        <w:t>group–</w:t>
      </w:r>
      <w:r w:rsidRPr="00BA2DE8">
        <w:rPr>
          <w:rFonts w:cs="Arial"/>
        </w:rPr>
        <w:t xml:space="preserve"> ELs and students reclassified for up to four years (2015–18)—</w:t>
      </w:r>
      <w:r w:rsidR="00FE5653" w:rsidRPr="00BA2DE8">
        <w:rPr>
          <w:rFonts w:cs="Arial"/>
        </w:rPr>
        <w:t xml:space="preserve">continues to </w:t>
      </w:r>
      <w:r w:rsidRPr="00BA2DE8">
        <w:rPr>
          <w:rFonts w:cs="Arial"/>
        </w:rPr>
        <w:t>hold more schools and districts accountable</w:t>
      </w:r>
      <w:r w:rsidR="006D54C4" w:rsidRPr="00BA2DE8">
        <w:rPr>
          <w:rFonts w:cs="Arial"/>
        </w:rPr>
        <w:t xml:space="preserve"> for the effectiveness of the entire EL program—from initial designation through successful reclassification.</w:t>
      </w:r>
      <w:r w:rsidRPr="00BA2DE8">
        <w:rPr>
          <w:rFonts w:cs="Arial"/>
        </w:rPr>
        <w:t xml:space="preserve"> </w:t>
      </w:r>
      <w:r w:rsidR="00C36AD0" w:rsidRPr="00BA2DE8">
        <w:t>For example, if the inclusion of RFEP students w</w:t>
      </w:r>
      <w:r w:rsidR="006113AE" w:rsidRPr="00BA2DE8">
        <w:t>ere</w:t>
      </w:r>
      <w:r w:rsidR="00A4017A" w:rsidRPr="00BA2DE8">
        <w:t xml:space="preserve"> reduced to two years, 798 schools (12.3 percent) and 39 LEAs would not receive a performance level (color) for the English learner group in ELA. The results are similar for mathematics: 796 schools and 37 LEAs would not receive a performance color.</w:t>
      </w:r>
      <w:r w:rsidR="00950F0A" w:rsidRPr="00BA2DE8">
        <w:t xml:space="preserve"> In addition, it is important to note the data reflects that the number of RFEP students who reach Level 3 on the Smarter Balanced Assessment increases substantially between students who have been reclassified for two years v</w:t>
      </w:r>
      <w:r w:rsidR="00492EA2" w:rsidRPr="00BA2DE8">
        <w:t>er</w:t>
      </w:r>
      <w:r w:rsidR="00950F0A" w:rsidRPr="00BA2DE8">
        <w:t>s</w:t>
      </w:r>
      <w:r w:rsidR="00492EA2" w:rsidRPr="00BA2DE8">
        <w:t>es</w:t>
      </w:r>
      <w:r w:rsidR="00950F0A" w:rsidRPr="00BA2DE8">
        <w:t xml:space="preserve"> students who have been reclassified for four years (i.e., percentage of schools with a</w:t>
      </w:r>
      <w:r w:rsidR="00492EA2" w:rsidRPr="00BA2DE8">
        <w:t>n</w:t>
      </w:r>
      <w:r w:rsidR="00950F0A" w:rsidRPr="00BA2DE8">
        <w:t xml:space="preserve"> ELA Green performance level is 10.2</w:t>
      </w:r>
      <w:r w:rsidR="00C260FE" w:rsidRPr="00BA2DE8">
        <w:t xml:space="preserve"> percent</w:t>
      </w:r>
      <w:r w:rsidR="00950F0A" w:rsidRPr="00BA2DE8">
        <w:t xml:space="preserve"> in the EL +4 Years RFEP category vs. 4.9</w:t>
      </w:r>
      <w:r w:rsidR="00C260FE" w:rsidRPr="00BA2DE8">
        <w:t xml:space="preserve"> percent</w:t>
      </w:r>
      <w:r w:rsidR="00950F0A" w:rsidRPr="00BA2DE8">
        <w:t xml:space="preserve"> EL + 2 Years RFEP category).</w:t>
      </w:r>
    </w:p>
    <w:p w14:paraId="4BAC73CA" w14:textId="77777777" w:rsidR="00143625" w:rsidRPr="00BA2DE8" w:rsidRDefault="00143625" w:rsidP="003E11D4">
      <w:pPr>
        <w:pStyle w:val="Heading1"/>
        <w:spacing w:after="240"/>
        <w:rPr>
          <w:rFonts w:ascii="Arial" w:hAnsi="Arial" w:cs="Arial"/>
          <w:b/>
          <w:color w:val="auto"/>
          <w:sz w:val="40"/>
          <w:szCs w:val="40"/>
        </w:rPr>
      </w:pPr>
      <w:r w:rsidRPr="00BA2DE8">
        <w:rPr>
          <w:rFonts w:ascii="Arial" w:hAnsi="Arial" w:cs="Arial"/>
          <w:b/>
          <w:color w:val="auto"/>
          <w:sz w:val="40"/>
          <w:szCs w:val="40"/>
        </w:rPr>
        <w:lastRenderedPageBreak/>
        <w:t>Attachment 2</w:t>
      </w:r>
    </w:p>
    <w:p w14:paraId="672B7B73" w14:textId="77777777" w:rsidR="00AA5686" w:rsidRPr="00BA2DE8" w:rsidRDefault="00BD4CF1" w:rsidP="00AA5686">
      <w:pPr>
        <w:pStyle w:val="Heading2"/>
        <w:spacing w:before="0" w:after="240"/>
        <w:rPr>
          <w:sz w:val="36"/>
        </w:rPr>
      </w:pPr>
      <w:r w:rsidRPr="00BA2DE8">
        <w:rPr>
          <w:sz w:val="36"/>
        </w:rPr>
        <w:t>Availability of At-Risk and Long-Term English Learner Reports in DataQuest</w:t>
      </w:r>
    </w:p>
    <w:p w14:paraId="0A2BCB10" w14:textId="292A74FC" w:rsidR="00BD4CF1" w:rsidRPr="00BA2DE8" w:rsidRDefault="00BD4CF1" w:rsidP="006615AC">
      <w:pPr>
        <w:spacing w:after="240"/>
      </w:pPr>
      <w:r w:rsidRPr="00BA2DE8">
        <w:t xml:space="preserve">At the July 2019 State Board of Education </w:t>
      </w:r>
      <w:r w:rsidR="00A469A5" w:rsidRPr="00BA2DE8">
        <w:t xml:space="preserve">(SBE) </w:t>
      </w:r>
      <w:r w:rsidRPr="00BA2DE8">
        <w:t xml:space="preserve">meeting, there was interest from SBE members </w:t>
      </w:r>
      <w:r w:rsidR="003D2F47" w:rsidRPr="00BA2DE8">
        <w:t>in disaggregating</w:t>
      </w:r>
      <w:r w:rsidRPr="00BA2DE8">
        <w:t xml:space="preserve"> information about the English learner (EL) student group by number of students classified as Long-Term English Learners (LTELs) for the new four-and five-year Graduation Rate. </w:t>
      </w:r>
      <w:r w:rsidR="00AA5686" w:rsidRPr="00BA2DE8">
        <w:t xml:space="preserve">The </w:t>
      </w:r>
      <w:r w:rsidRPr="00BA2DE8">
        <w:t xml:space="preserve">California Department of Education (CDE) committed to returning to the SBE with options for consideration of this information in the 2020 California School Dashboard. </w:t>
      </w:r>
    </w:p>
    <w:p w14:paraId="2030A4F0" w14:textId="06714CF3" w:rsidR="00B91B43" w:rsidRPr="00BA2DE8" w:rsidRDefault="00B91B43" w:rsidP="00B91B43">
      <w:pPr>
        <w:spacing w:after="240"/>
      </w:pPr>
      <w:r w:rsidRPr="00BA2DE8">
        <w:t xml:space="preserve">As described </w:t>
      </w:r>
      <w:r w:rsidR="00F3113A" w:rsidRPr="00BA2DE8">
        <w:t>at</w:t>
      </w:r>
      <w:r w:rsidRPr="00BA2DE8">
        <w:t xml:space="preserve"> the SBE meeting, the 2018–19 LTELs and At-Risk for LTEL (AR-LTEL) reports reflect a significant one-year increase in LTEL and AR-LTEL counts from previous years. As outline</w:t>
      </w:r>
      <w:r w:rsidR="00F3113A" w:rsidRPr="00BA2DE8">
        <w:t>d</w:t>
      </w:r>
      <w:r w:rsidRPr="00BA2DE8">
        <w:t xml:space="preserve"> in California </w:t>
      </w:r>
      <w:r w:rsidRPr="00BA2DE8">
        <w:rPr>
          <w:i/>
        </w:rPr>
        <w:t>Education Code</w:t>
      </w:r>
      <w:r w:rsidRPr="00BA2DE8">
        <w:t xml:space="preserve"> (</w:t>
      </w:r>
      <w:r w:rsidRPr="00BA2DE8">
        <w:rPr>
          <w:i/>
        </w:rPr>
        <w:t>EC</w:t>
      </w:r>
      <w:r w:rsidRPr="00BA2DE8">
        <w:t xml:space="preserve">) Section 313.1, there are four criteria to determine LTELs and AR-LTELs. Due to the one-year transition from the California English Language Development Test (CELDT) to the English Language Proficiency Assessments for California (ELPAC), the criteria to use English Learner Proficiency assessment data could not be used to determine EL students who are considered AR-LTEL or LTEL because two years of ELPAC data are required. </w:t>
      </w:r>
      <w:r w:rsidRPr="00BA2DE8">
        <w:rPr>
          <w:rFonts w:cs="Arial"/>
        </w:rPr>
        <w:t xml:space="preserve">The English language proficiency assessment criteria for LTELs, as outlined in California </w:t>
      </w:r>
      <w:r w:rsidRPr="00BA2DE8">
        <w:rPr>
          <w:rFonts w:cs="Arial"/>
          <w:i/>
        </w:rPr>
        <w:t>EC</w:t>
      </w:r>
      <w:r w:rsidRPr="00BA2DE8">
        <w:rPr>
          <w:rFonts w:cs="Arial"/>
        </w:rPr>
        <w:t xml:space="preserve"> Section 313.1(a), and AR-LTELs, as outlined in </w:t>
      </w:r>
      <w:r w:rsidRPr="00BA2DE8">
        <w:rPr>
          <w:rFonts w:cs="Arial"/>
          <w:i/>
        </w:rPr>
        <w:t>EC</w:t>
      </w:r>
      <w:r w:rsidRPr="00BA2DE8">
        <w:rPr>
          <w:rFonts w:cs="Arial"/>
        </w:rPr>
        <w:t xml:space="preserve"> Section 313.1(b), was not available in 2017–18. As a result of removing this criteria from determining LTELs and AR-LTELs, the number of LTELs and AR-LTELs increased.</w:t>
      </w:r>
    </w:p>
    <w:p w14:paraId="76F3BF92" w14:textId="16A80076" w:rsidR="00AA5686" w:rsidRPr="00BA2DE8" w:rsidRDefault="00AA5686" w:rsidP="006615AC">
      <w:pPr>
        <w:spacing w:after="240"/>
      </w:pPr>
      <w:r w:rsidRPr="00BA2DE8">
        <w:t>The</w:t>
      </w:r>
      <w:r w:rsidR="00C55E64" w:rsidRPr="00BA2DE8">
        <w:t xml:space="preserve">se </w:t>
      </w:r>
      <w:r w:rsidRPr="00BA2DE8">
        <w:t>report</w:t>
      </w:r>
      <w:r w:rsidR="00C55E64" w:rsidRPr="00BA2DE8">
        <w:t xml:space="preserve">s are available on the CDE </w:t>
      </w:r>
      <w:proofErr w:type="spellStart"/>
      <w:r w:rsidR="00C55E64" w:rsidRPr="00BA2DE8">
        <w:t>DataQuest</w:t>
      </w:r>
      <w:proofErr w:type="spellEnd"/>
      <w:r w:rsidR="00C55E64" w:rsidRPr="00BA2DE8">
        <w:t xml:space="preserve"> website</w:t>
      </w:r>
      <w:r w:rsidR="00004B0A" w:rsidRPr="00BA2DE8">
        <w:t>,</w:t>
      </w:r>
      <w:r w:rsidR="00C55E64" w:rsidRPr="00BA2DE8">
        <w:t xml:space="preserve"> </w:t>
      </w:r>
      <w:r w:rsidR="003E11D4" w:rsidRPr="003E11D4">
        <w:t>LTEL and AR-LTEL Data  Reports</w:t>
      </w:r>
      <w:r w:rsidR="003E11D4">
        <w:t xml:space="preserve"> at </w:t>
      </w:r>
      <w:hyperlink r:id="rId15" w:history="1">
        <w:r w:rsidR="003E11D4" w:rsidRPr="00AA422A">
          <w:rPr>
            <w:rStyle w:val="Hyperlink"/>
          </w:rPr>
          <w:t>https://www.cde.ca.gov/ds/sd/sd/filesltel.asp</w:t>
        </w:r>
      </w:hyperlink>
      <w:r w:rsidR="00004B0A" w:rsidRPr="00BA2DE8">
        <w:t xml:space="preserve"> </w:t>
      </w:r>
      <w:r w:rsidR="00C55E64" w:rsidRPr="00BA2DE8">
        <w:t>and</w:t>
      </w:r>
      <w:r w:rsidRPr="00BA2DE8">
        <w:t xml:space="preserve"> display, at the state-, county-, and LEA-LEVEL, the number and percent of students </w:t>
      </w:r>
      <w:r w:rsidR="00015886" w:rsidRPr="00BA2DE8">
        <w:t>AR-LTEL</w:t>
      </w:r>
      <w:r w:rsidRPr="00BA2DE8">
        <w:t xml:space="preserve"> and the number and percent of LTEL students.</w:t>
      </w:r>
    </w:p>
    <w:p w14:paraId="57687EB6" w14:textId="77777777" w:rsidR="00243EFC" w:rsidRPr="00BA2DE8" w:rsidRDefault="00243EFC" w:rsidP="002524FC">
      <w:pPr>
        <w:sectPr w:rsidR="00243EFC" w:rsidRPr="00BA2DE8" w:rsidSect="0059345A">
          <w:headerReference w:type="default" r:id="rId16"/>
          <w:pgSz w:w="12240" w:h="15840"/>
          <w:pgMar w:top="720" w:right="1440" w:bottom="1440" w:left="1440" w:header="720" w:footer="720" w:gutter="0"/>
          <w:pgNumType w:start="1"/>
          <w:cols w:space="720"/>
        </w:sectPr>
      </w:pPr>
    </w:p>
    <w:p w14:paraId="35501B19" w14:textId="1ECE9F6F" w:rsidR="00AA5686" w:rsidRPr="00BA2DE8" w:rsidRDefault="00243EFC" w:rsidP="003E11D4">
      <w:pPr>
        <w:pStyle w:val="Heading1"/>
        <w:spacing w:after="240"/>
        <w:rPr>
          <w:b/>
        </w:rPr>
      </w:pPr>
      <w:r w:rsidRPr="00BA2DE8">
        <w:rPr>
          <w:rFonts w:ascii="Arial" w:hAnsi="Arial" w:cs="Arial"/>
          <w:b/>
          <w:color w:val="auto"/>
          <w:sz w:val="40"/>
          <w:szCs w:val="40"/>
        </w:rPr>
        <w:lastRenderedPageBreak/>
        <w:t xml:space="preserve">Attachment </w:t>
      </w:r>
      <w:r w:rsidR="00AA5686" w:rsidRPr="00BA2DE8">
        <w:rPr>
          <w:rFonts w:ascii="Arial" w:hAnsi="Arial" w:cs="Arial"/>
          <w:b/>
          <w:color w:val="auto"/>
          <w:sz w:val="40"/>
          <w:szCs w:val="40"/>
        </w:rPr>
        <w:t>3</w:t>
      </w:r>
    </w:p>
    <w:p w14:paraId="5D2C6E70" w14:textId="77777777" w:rsidR="0093505D" w:rsidRPr="00BA2DE8" w:rsidRDefault="0093505D" w:rsidP="003B0F9A">
      <w:pPr>
        <w:pStyle w:val="ListBullet"/>
        <w:numPr>
          <w:ilvl w:val="0"/>
          <w:numId w:val="0"/>
        </w:numPr>
        <w:tabs>
          <w:tab w:val="left" w:pos="450"/>
        </w:tabs>
        <w:spacing w:after="240"/>
        <w:rPr>
          <w:b/>
          <w:sz w:val="36"/>
          <w:szCs w:val="36"/>
        </w:rPr>
      </w:pPr>
      <w:r w:rsidRPr="00BA2DE8">
        <w:rPr>
          <w:rFonts w:cs="Arial"/>
          <w:b/>
          <w:sz w:val="36"/>
          <w:szCs w:val="36"/>
        </w:rPr>
        <w:t xml:space="preserve">Development of a Methodology to Use the Status of the English Learner Progress Indicator for Assistance Eligibility in the 2019–20 School Year </w:t>
      </w:r>
    </w:p>
    <w:p w14:paraId="008CAC76" w14:textId="11E9D828" w:rsidR="0060321A" w:rsidRPr="00BA2DE8" w:rsidRDefault="0060321A" w:rsidP="005D6077">
      <w:pPr>
        <w:spacing w:before="240"/>
      </w:pPr>
      <w:r w:rsidRPr="00BA2DE8">
        <w:t>This atta</w:t>
      </w:r>
      <w:r w:rsidR="003D2F47" w:rsidRPr="00BA2DE8">
        <w:t>chment provides background on</w:t>
      </w:r>
      <w:r w:rsidRPr="00BA2DE8">
        <w:t xml:space="preserve"> the English Learner Progress Indicator (ELPI)</w:t>
      </w:r>
      <w:r w:rsidR="004560E7" w:rsidRPr="00BA2DE8">
        <w:t>;</w:t>
      </w:r>
      <w:r w:rsidRPr="00BA2DE8">
        <w:t xml:space="preserve"> the current work of the California Department of Education (CDE) with stakeholders, experts, and practitioners, and methodology considerations </w:t>
      </w:r>
      <w:r w:rsidR="003D2F47" w:rsidRPr="00BA2DE8">
        <w:t xml:space="preserve">for </w:t>
      </w:r>
      <w:r w:rsidRPr="00BA2DE8">
        <w:t xml:space="preserve">using two years of </w:t>
      </w:r>
      <w:r w:rsidR="005D6077" w:rsidRPr="00BA2DE8">
        <w:t>English Language Proficiency Assessments for California (</w:t>
      </w:r>
      <w:r w:rsidRPr="00BA2DE8">
        <w:t>ELPAC</w:t>
      </w:r>
      <w:r w:rsidR="005D6077" w:rsidRPr="00BA2DE8">
        <w:t>)</w:t>
      </w:r>
      <w:r w:rsidRPr="00BA2DE8">
        <w:t xml:space="preserve"> Summative Assessment (SA) data</w:t>
      </w:r>
      <w:r w:rsidR="008004CA" w:rsidRPr="00BA2DE8">
        <w:t xml:space="preserve"> to determine Status for the 2019 California School Dashboard (Dashboard)</w:t>
      </w:r>
      <w:r w:rsidRPr="00BA2DE8">
        <w:t>.</w:t>
      </w:r>
    </w:p>
    <w:p w14:paraId="17496EAF" w14:textId="77777777" w:rsidR="0060321A" w:rsidRPr="00BA2DE8" w:rsidRDefault="0060321A" w:rsidP="003B0F9A">
      <w:pPr>
        <w:pStyle w:val="Heading2"/>
        <w:rPr>
          <w:sz w:val="24"/>
        </w:rPr>
      </w:pPr>
      <w:r w:rsidRPr="00BA2DE8">
        <w:rPr>
          <w:sz w:val="24"/>
        </w:rPr>
        <w:t>Background</w:t>
      </w:r>
    </w:p>
    <w:p w14:paraId="5370069A" w14:textId="1498D717" w:rsidR="0060321A" w:rsidRPr="00BA2DE8" w:rsidRDefault="0060321A" w:rsidP="004560E7">
      <w:pPr>
        <w:spacing w:before="240" w:after="240"/>
        <w:rPr>
          <w:rFonts w:cs="Arial"/>
        </w:rPr>
      </w:pPr>
      <w:r w:rsidRPr="00BA2DE8">
        <w:rPr>
          <w:rFonts w:cs="Arial"/>
        </w:rPr>
        <w:t xml:space="preserve">The ELPI is distinguished from other measures included in the </w:t>
      </w:r>
      <w:r w:rsidR="004560E7" w:rsidRPr="00BA2DE8">
        <w:rPr>
          <w:rFonts w:cs="Arial"/>
        </w:rPr>
        <w:t>Dashboard</w:t>
      </w:r>
      <w:r w:rsidR="002B53E1" w:rsidRPr="00BA2DE8">
        <w:rPr>
          <w:rFonts w:cs="Arial"/>
        </w:rPr>
        <w:t>,</w:t>
      </w:r>
      <w:r w:rsidR="004560E7" w:rsidRPr="00BA2DE8">
        <w:rPr>
          <w:rFonts w:cs="Arial"/>
        </w:rPr>
        <w:t xml:space="preserve"> </w:t>
      </w:r>
      <w:r w:rsidRPr="00BA2DE8">
        <w:rPr>
          <w:rFonts w:cs="Arial"/>
        </w:rPr>
        <w:t xml:space="preserve">because it is the only indicator required under the </w:t>
      </w:r>
      <w:r w:rsidR="003B0F9A" w:rsidRPr="00BA2DE8">
        <w:rPr>
          <w:rFonts w:cs="Arial"/>
        </w:rPr>
        <w:t xml:space="preserve">federal </w:t>
      </w:r>
      <w:r w:rsidRPr="00BA2DE8">
        <w:rPr>
          <w:rFonts w:cs="Arial"/>
        </w:rPr>
        <w:t xml:space="preserve">Every Student Succeeds Act (ESSA) to measure </w:t>
      </w:r>
      <w:r w:rsidRPr="00BA2DE8">
        <w:rPr>
          <w:rFonts w:cs="Arial"/>
          <w:b/>
        </w:rPr>
        <w:t xml:space="preserve">progress towards proficiency </w:t>
      </w:r>
      <w:r w:rsidRPr="00BA2DE8">
        <w:rPr>
          <w:rFonts w:cs="Arial"/>
        </w:rPr>
        <w:t xml:space="preserve">rather than the end goal of proficiency itself. </w:t>
      </w:r>
      <w:r w:rsidR="003D2F47" w:rsidRPr="00BA2DE8">
        <w:rPr>
          <w:rFonts w:cs="Arial"/>
        </w:rPr>
        <w:t xml:space="preserve">This means that two years of data are required to determine </w:t>
      </w:r>
      <w:r w:rsidR="004B0341" w:rsidRPr="00BA2DE8">
        <w:rPr>
          <w:rFonts w:cs="Arial"/>
        </w:rPr>
        <w:t xml:space="preserve">Status </w:t>
      </w:r>
      <w:r w:rsidR="003D2F47" w:rsidRPr="00BA2DE8">
        <w:rPr>
          <w:rFonts w:cs="Arial"/>
        </w:rPr>
        <w:t xml:space="preserve">on this indicator. </w:t>
      </w:r>
      <w:r w:rsidRPr="00BA2DE8">
        <w:rPr>
          <w:rFonts w:cs="Arial"/>
        </w:rPr>
        <w:t xml:space="preserve">The State Board of Education (SBE) adopted the original methodology for the ELPI at their September 2016 meeting. As a result, </w:t>
      </w:r>
      <w:r w:rsidRPr="00BA2DE8">
        <w:t>ELPI Status measure</w:t>
      </w:r>
      <w:r w:rsidR="003D2F47" w:rsidRPr="00BA2DE8">
        <w:t>s</w:t>
      </w:r>
      <w:r w:rsidRPr="00BA2DE8">
        <w:t xml:space="preserve"> English Learner (EL) student growth toward English Language </w:t>
      </w:r>
      <w:r w:rsidR="004560E7" w:rsidRPr="00BA2DE8">
        <w:t>P</w:t>
      </w:r>
      <w:r w:rsidRPr="00BA2DE8">
        <w:t>roficiency (ELP) and ELPI Change measure</w:t>
      </w:r>
      <w:r w:rsidR="003D2F47" w:rsidRPr="00BA2DE8">
        <w:t>s</w:t>
      </w:r>
      <w:r w:rsidRPr="00BA2DE8">
        <w:t xml:space="preserve"> the year-to-year change in the rate that </w:t>
      </w:r>
      <w:r w:rsidR="004560E7" w:rsidRPr="00BA2DE8">
        <w:t>l</w:t>
      </w:r>
      <w:r w:rsidRPr="00BA2DE8">
        <w:t xml:space="preserve">ocal </w:t>
      </w:r>
      <w:r w:rsidR="004560E7" w:rsidRPr="00BA2DE8">
        <w:t>e</w:t>
      </w:r>
      <w:r w:rsidRPr="00BA2DE8">
        <w:t xml:space="preserve">ducational </w:t>
      </w:r>
      <w:r w:rsidR="004560E7" w:rsidRPr="00BA2DE8">
        <w:t>a</w:t>
      </w:r>
      <w:r w:rsidRPr="00BA2DE8">
        <w:t xml:space="preserve">gencies (LEAs) and schools move EL students toward ELP. </w:t>
      </w:r>
    </w:p>
    <w:p w14:paraId="7D614458" w14:textId="4E957A1A" w:rsidR="0060321A" w:rsidRPr="00BA2DE8" w:rsidRDefault="004560E7" w:rsidP="004560E7">
      <w:pPr>
        <w:spacing w:after="240"/>
        <w:rPr>
          <w:rFonts w:cs="Arial"/>
        </w:rPr>
      </w:pPr>
      <w:r w:rsidRPr="00BA2DE8">
        <w:t>T</w:t>
      </w:r>
      <w:r w:rsidR="0060321A" w:rsidRPr="00BA2DE8">
        <w:t xml:space="preserve">he 2017 Dashboard reported on ELPI Status, Change, and overall performance color using multiple years of </w:t>
      </w:r>
      <w:r w:rsidR="0060321A" w:rsidRPr="00BA2DE8">
        <w:rPr>
          <w:rFonts w:cs="Arial"/>
        </w:rPr>
        <w:t xml:space="preserve">California English Language Development Test (CELDT) </w:t>
      </w:r>
      <w:r w:rsidR="0060321A" w:rsidRPr="00BA2DE8">
        <w:t xml:space="preserve">data. </w:t>
      </w:r>
      <w:r w:rsidRPr="00BA2DE8">
        <w:t>I</w:t>
      </w:r>
      <w:r w:rsidR="0060321A" w:rsidRPr="00BA2DE8">
        <w:t>n 20</w:t>
      </w:r>
      <w:r w:rsidRPr="00BA2DE8">
        <w:t>17</w:t>
      </w:r>
      <w:r w:rsidRPr="00BA2DE8">
        <w:rPr>
          <w:rFonts w:cs="Arial"/>
        </w:rPr>
        <w:t>–</w:t>
      </w:r>
      <w:r w:rsidR="0060321A" w:rsidRPr="00BA2DE8">
        <w:t xml:space="preserve">18, California transitioned to a new English language proficiency assessment, </w:t>
      </w:r>
      <w:r w:rsidR="0060321A" w:rsidRPr="00BA2DE8">
        <w:rPr>
          <w:rFonts w:cs="Arial"/>
        </w:rPr>
        <w:t xml:space="preserve">the ELPAC. </w:t>
      </w:r>
      <w:r w:rsidR="0060321A" w:rsidRPr="00BA2DE8">
        <w:t xml:space="preserve">The </w:t>
      </w:r>
      <w:r w:rsidR="0060321A" w:rsidRPr="00BA2DE8">
        <w:rPr>
          <w:rFonts w:cs="Arial"/>
          <w:color w:val="000000"/>
          <w:lang w:val="en"/>
        </w:rPr>
        <w:t xml:space="preserve">ELPAC is substantially different from the CELDT, </w:t>
      </w:r>
      <w:r w:rsidR="0060321A" w:rsidRPr="00BA2DE8">
        <w:rPr>
          <w:rFonts w:cs="Arial"/>
        </w:rPr>
        <w:t xml:space="preserve">because the ELPAC is aligned to the 2012 California English language development standards. </w:t>
      </w:r>
      <w:r w:rsidR="0060321A" w:rsidRPr="00BA2DE8">
        <w:t xml:space="preserve">An additional difference between the assessments lies in the fact that CELDT was administered in the fall and ELPAC is administered in the spring which means the measurement of student progress is not the same due to the timing of these two tests in relation to the student’s coursework. </w:t>
      </w:r>
      <w:r w:rsidR="00A34585" w:rsidRPr="00BA2DE8">
        <w:t>For these reasons</w:t>
      </w:r>
      <w:r w:rsidR="0060321A" w:rsidRPr="00BA2DE8">
        <w:rPr>
          <w:rFonts w:cs="Arial"/>
        </w:rPr>
        <w:t xml:space="preserve">, the CELDT results and the ELPAC results are not comparable. </w:t>
      </w:r>
      <w:r w:rsidR="003D2F47" w:rsidRPr="00BA2DE8">
        <w:rPr>
          <w:rFonts w:cs="Arial"/>
        </w:rPr>
        <w:t xml:space="preserve">As noted above, </w:t>
      </w:r>
      <w:r w:rsidR="0060321A" w:rsidRPr="00BA2DE8">
        <w:rPr>
          <w:rFonts w:cs="Arial"/>
        </w:rPr>
        <w:t xml:space="preserve">ELPI Status requires an initial two years of ELPAC SA results to measure EL students progressing towards proficiency. ELPI Change requires at least three years of data to measure </w:t>
      </w:r>
      <w:r w:rsidR="0060321A" w:rsidRPr="00BA2DE8">
        <w:t xml:space="preserve">the year-to-year change in the rate LEAs and schools move EL students toward ELP. </w:t>
      </w:r>
    </w:p>
    <w:p w14:paraId="77A34120" w14:textId="1FB1339D" w:rsidR="00A34585" w:rsidRPr="00BA2DE8" w:rsidRDefault="004B0341" w:rsidP="004560E7">
      <w:pPr>
        <w:spacing w:after="240"/>
        <w:rPr>
          <w:rFonts w:cs="Arial"/>
        </w:rPr>
      </w:pPr>
      <w:r w:rsidRPr="00BA2DE8">
        <w:t xml:space="preserve">In spring 2018, the </w:t>
      </w:r>
      <w:r w:rsidR="009B3E1F" w:rsidRPr="00BA2DE8">
        <w:t xml:space="preserve">CDE </w:t>
      </w:r>
      <w:r w:rsidRPr="00BA2DE8">
        <w:t xml:space="preserve">ELPI Workgroup, which is comprised of </w:t>
      </w:r>
      <w:r w:rsidRPr="00BA2DE8">
        <w:rPr>
          <w:rFonts w:cs="Arial"/>
        </w:rPr>
        <w:t xml:space="preserve">LEA representatives, researchers, and EL experts, </w:t>
      </w:r>
      <w:r w:rsidR="009B3E1F" w:rsidRPr="00BA2DE8">
        <w:rPr>
          <w:rFonts w:cs="Arial"/>
        </w:rPr>
        <w:t xml:space="preserve">met </w:t>
      </w:r>
      <w:r w:rsidRPr="00BA2DE8">
        <w:rPr>
          <w:rFonts w:cs="Arial"/>
        </w:rPr>
        <w:t xml:space="preserve">to discuss the incorporation of ELPAC SA results into the ELPI. </w:t>
      </w:r>
      <w:r w:rsidR="009B3E1F" w:rsidRPr="00BA2DE8">
        <w:rPr>
          <w:rFonts w:cs="Arial"/>
        </w:rPr>
        <w:t xml:space="preserve">Additionally, the Technical Design Group (TDG) discussed this topic at their </w:t>
      </w:r>
      <w:r w:rsidR="009B3E1F" w:rsidRPr="00BA2DE8">
        <w:rPr>
          <w:rFonts w:cs="Arial"/>
        </w:rPr>
        <w:lastRenderedPageBreak/>
        <w:t xml:space="preserve">meeting in June 2019. </w:t>
      </w:r>
      <w:r w:rsidR="0060321A" w:rsidRPr="00BA2DE8">
        <w:rPr>
          <w:rFonts w:cs="Arial"/>
        </w:rPr>
        <w:t>The ELPI Workgroup and the TDG supported the CDE’s recommendation to</w:t>
      </w:r>
      <w:r w:rsidR="00A34585" w:rsidRPr="00BA2DE8">
        <w:rPr>
          <w:rFonts w:cs="Arial"/>
        </w:rPr>
        <w:t>:</w:t>
      </w:r>
    </w:p>
    <w:p w14:paraId="46E7BB64" w14:textId="51D08A84" w:rsidR="00A34585" w:rsidRPr="00BA2DE8" w:rsidRDefault="00A34585" w:rsidP="00023C69">
      <w:pPr>
        <w:pStyle w:val="ListParagraph"/>
        <w:numPr>
          <w:ilvl w:val="0"/>
          <w:numId w:val="17"/>
        </w:numPr>
        <w:spacing w:after="240" w:line="240" w:lineRule="auto"/>
        <w:ind w:left="792"/>
        <w:contextualSpacing w:val="0"/>
        <w:rPr>
          <w:rFonts w:ascii="Arial" w:eastAsiaTheme="majorEastAsia" w:hAnsi="Arial" w:cs="Arial"/>
          <w:sz w:val="24"/>
        </w:rPr>
      </w:pPr>
      <w:r w:rsidRPr="00BA2DE8">
        <w:rPr>
          <w:rFonts w:ascii="Arial" w:hAnsi="Arial" w:cs="Arial"/>
          <w:sz w:val="24"/>
        </w:rPr>
        <w:t>U</w:t>
      </w:r>
      <w:r w:rsidR="0060321A" w:rsidRPr="00BA2DE8">
        <w:rPr>
          <w:rFonts w:ascii="Arial" w:hAnsi="Arial" w:cs="Arial"/>
          <w:sz w:val="24"/>
        </w:rPr>
        <w:t xml:space="preserve">se the 2017 ELPI methodology as the framework for the ELPI methodology using ELPAC SA results. </w:t>
      </w:r>
    </w:p>
    <w:p w14:paraId="2833478B" w14:textId="214802BE" w:rsidR="00A34585" w:rsidRPr="00BA2DE8" w:rsidRDefault="00A34585" w:rsidP="00023C69">
      <w:pPr>
        <w:pStyle w:val="ListParagraph"/>
        <w:numPr>
          <w:ilvl w:val="0"/>
          <w:numId w:val="17"/>
        </w:numPr>
        <w:spacing w:after="240" w:line="240" w:lineRule="auto"/>
        <w:ind w:left="792"/>
        <w:contextualSpacing w:val="0"/>
        <w:rPr>
          <w:rFonts w:ascii="Arial" w:eastAsiaTheme="majorEastAsia" w:hAnsi="Arial" w:cs="Arial"/>
          <w:sz w:val="24"/>
        </w:rPr>
      </w:pPr>
      <w:r w:rsidRPr="00BA2DE8">
        <w:rPr>
          <w:rFonts w:ascii="Arial" w:hAnsi="Arial" w:cs="Arial"/>
          <w:sz w:val="24"/>
        </w:rPr>
        <w:t>R</w:t>
      </w:r>
      <w:r w:rsidR="0060321A" w:rsidRPr="00BA2DE8">
        <w:rPr>
          <w:rFonts w:ascii="Arial" w:hAnsi="Arial" w:cs="Arial"/>
          <w:sz w:val="24"/>
        </w:rPr>
        <w:t xml:space="preserve">eport Status </w:t>
      </w:r>
      <w:r w:rsidR="000C218D" w:rsidRPr="00BA2DE8">
        <w:rPr>
          <w:rFonts w:ascii="Arial" w:hAnsi="Arial" w:cs="Arial"/>
          <w:sz w:val="24"/>
        </w:rPr>
        <w:t xml:space="preserve">on the 2019 Dashboard </w:t>
      </w:r>
      <w:r w:rsidR="00670B00" w:rsidRPr="00BA2DE8">
        <w:rPr>
          <w:rFonts w:ascii="Arial" w:hAnsi="Arial" w:cs="Arial"/>
          <w:sz w:val="24"/>
        </w:rPr>
        <w:t>using t</w:t>
      </w:r>
      <w:r w:rsidR="0060321A" w:rsidRPr="00BA2DE8">
        <w:rPr>
          <w:rFonts w:ascii="Arial" w:hAnsi="Arial" w:cs="Arial"/>
          <w:sz w:val="24"/>
        </w:rPr>
        <w:t xml:space="preserve">wo years of ELPAC SA results </w:t>
      </w:r>
      <w:r w:rsidR="00670B00" w:rsidRPr="00BA2DE8">
        <w:rPr>
          <w:rFonts w:ascii="Arial" w:hAnsi="Arial" w:cs="Arial"/>
          <w:sz w:val="24"/>
        </w:rPr>
        <w:t>and</w:t>
      </w:r>
      <w:r w:rsidR="0060321A" w:rsidRPr="00BA2DE8">
        <w:rPr>
          <w:rFonts w:ascii="Arial" w:hAnsi="Arial" w:cs="Arial"/>
          <w:sz w:val="24"/>
        </w:rPr>
        <w:t xml:space="preserve"> Change and </w:t>
      </w:r>
      <w:r w:rsidR="00670B00" w:rsidRPr="00BA2DE8">
        <w:rPr>
          <w:rFonts w:ascii="Arial" w:hAnsi="Arial" w:cs="Arial"/>
          <w:sz w:val="24"/>
        </w:rPr>
        <w:t xml:space="preserve">color on the </w:t>
      </w:r>
      <w:r w:rsidR="000C218D" w:rsidRPr="00BA2DE8">
        <w:rPr>
          <w:rFonts w:ascii="Arial" w:hAnsi="Arial" w:cs="Arial"/>
          <w:sz w:val="24"/>
        </w:rPr>
        <w:t xml:space="preserve">2020 </w:t>
      </w:r>
      <w:r w:rsidR="00670B00" w:rsidRPr="00BA2DE8">
        <w:rPr>
          <w:rFonts w:ascii="Arial" w:hAnsi="Arial" w:cs="Arial"/>
          <w:sz w:val="24"/>
        </w:rPr>
        <w:t>Dashboard once three years of data becomes available</w:t>
      </w:r>
      <w:r w:rsidR="0060321A" w:rsidRPr="00BA2DE8">
        <w:rPr>
          <w:rFonts w:ascii="Arial" w:hAnsi="Arial" w:cs="Arial"/>
          <w:sz w:val="24"/>
        </w:rPr>
        <w:t>.</w:t>
      </w:r>
    </w:p>
    <w:p w14:paraId="6616D886" w14:textId="77777777" w:rsidR="00D1647C" w:rsidRPr="00BA2DE8" w:rsidRDefault="00D1647C" w:rsidP="00D1647C">
      <w:pPr>
        <w:pStyle w:val="ListParagraph"/>
        <w:numPr>
          <w:ilvl w:val="0"/>
          <w:numId w:val="17"/>
        </w:numPr>
        <w:spacing w:after="240" w:line="240" w:lineRule="auto"/>
        <w:ind w:left="792"/>
        <w:contextualSpacing w:val="0"/>
        <w:rPr>
          <w:rFonts w:eastAsiaTheme="majorEastAsia" w:cs="Arial"/>
        </w:rPr>
      </w:pPr>
      <w:r w:rsidRPr="00BA2DE8">
        <w:rPr>
          <w:rFonts w:ascii="Arial" w:hAnsi="Arial" w:cs="Arial"/>
          <w:sz w:val="24"/>
        </w:rPr>
        <w:t xml:space="preserve">Adopt a three-year ELPI timeline by reporting ELPAC performance levels on the 2018 Dashboard, ELPI Status on the 2019 Dashboard, and ELPI Status, Change and performance color on the 2020 Dashboard. </w:t>
      </w:r>
    </w:p>
    <w:p w14:paraId="57615984" w14:textId="1E0BD39A" w:rsidR="0060321A" w:rsidRPr="00BA2DE8" w:rsidRDefault="0060321A" w:rsidP="004560E7">
      <w:pPr>
        <w:spacing w:after="240"/>
      </w:pPr>
      <w:r w:rsidRPr="00BA2DE8">
        <w:t xml:space="preserve">At the July 2018 </w:t>
      </w:r>
      <w:r w:rsidR="0078616F" w:rsidRPr="00BA2DE8">
        <w:t>S</w:t>
      </w:r>
      <w:r w:rsidRPr="00BA2DE8">
        <w:t xml:space="preserve">BE meeting, the </w:t>
      </w:r>
      <w:r w:rsidR="009B3E1F" w:rsidRPr="00BA2DE8">
        <w:t>SBE</w:t>
      </w:r>
      <w:r w:rsidR="00A34585" w:rsidRPr="00BA2DE8">
        <w:t xml:space="preserve"> adopted </w:t>
      </w:r>
      <w:r w:rsidRPr="00BA2DE8">
        <w:t xml:space="preserve">the CDE’s recommendation </w:t>
      </w:r>
      <w:r w:rsidR="00A34585" w:rsidRPr="00BA2DE8">
        <w:t xml:space="preserve">for </w:t>
      </w:r>
      <w:r w:rsidRPr="00BA2DE8">
        <w:t>the ELPI three year plan (</w:t>
      </w:r>
      <w:hyperlink r:id="rId17" w:tooltip="July 2018 SBE Agenda Item" w:history="1">
        <w:r w:rsidRPr="00BA2DE8">
          <w:rPr>
            <w:rStyle w:val="Hyperlink"/>
          </w:rPr>
          <w:t>https://www.cde.ca.gov/be/ag/ag/yr18/documents/jul18item01.docx</w:t>
        </w:r>
      </w:hyperlink>
      <w:r w:rsidRPr="00BA2DE8">
        <w:t xml:space="preserve">). </w:t>
      </w:r>
      <w:r w:rsidRPr="00BA2DE8">
        <w:rPr>
          <w:rFonts w:cs="Arial"/>
        </w:rPr>
        <w:t>For the 2019 Dashboard, two years of ELPAC SA results, including information from both the spring 2018 and spring 2019 test administrations</w:t>
      </w:r>
      <w:r w:rsidR="00A34585" w:rsidRPr="00BA2DE8">
        <w:rPr>
          <w:rFonts w:cs="Arial"/>
        </w:rPr>
        <w:t>, will be used</w:t>
      </w:r>
      <w:r w:rsidRPr="00BA2DE8">
        <w:rPr>
          <w:rFonts w:cs="Arial"/>
        </w:rPr>
        <w:t xml:space="preserve"> to report Status for the ELPI. For the 2020 Dashboard, the CDE will have three years of ELPAC SA results, including information from the spring 2018, spring 2019, and spring 2020 test administrations</w:t>
      </w:r>
      <w:r w:rsidR="008004CA" w:rsidRPr="00BA2DE8">
        <w:rPr>
          <w:rFonts w:cs="Arial"/>
        </w:rPr>
        <w:t>, at which time</w:t>
      </w:r>
      <w:r w:rsidRPr="00BA2DE8">
        <w:rPr>
          <w:rFonts w:cs="Arial"/>
        </w:rPr>
        <w:t xml:space="preserve"> the CDE will be able to calculate Change for the ELPI.</w:t>
      </w:r>
    </w:p>
    <w:p w14:paraId="4CB40208" w14:textId="77777777" w:rsidR="0060321A" w:rsidRPr="00BA2DE8" w:rsidRDefault="0060321A" w:rsidP="0060321A">
      <w:pPr>
        <w:pStyle w:val="Heading2"/>
        <w:spacing w:after="240"/>
        <w:rPr>
          <w:b w:val="0"/>
        </w:rPr>
      </w:pPr>
      <w:r w:rsidRPr="00BA2DE8">
        <w:rPr>
          <w:sz w:val="24"/>
        </w:rPr>
        <w:t>Stakeholder, Expert, and Practitioner Outreach</w:t>
      </w:r>
    </w:p>
    <w:p w14:paraId="4A87A3FB" w14:textId="3592BA56" w:rsidR="0060321A" w:rsidRPr="00BA2DE8" w:rsidRDefault="0060321A" w:rsidP="0060321A">
      <w:pPr>
        <w:pStyle w:val="ListBullet"/>
        <w:numPr>
          <w:ilvl w:val="0"/>
          <w:numId w:val="0"/>
        </w:numPr>
        <w:tabs>
          <w:tab w:val="left" w:pos="450"/>
        </w:tabs>
        <w:spacing w:after="240"/>
        <w:contextualSpacing w:val="0"/>
      </w:pPr>
      <w:r w:rsidRPr="00BA2DE8">
        <w:t xml:space="preserve">Since the July 2018 SBE meeting, the CDE has been working on the development of the </w:t>
      </w:r>
      <w:r w:rsidR="008004CA" w:rsidRPr="00BA2DE8">
        <w:t xml:space="preserve">methodology for </w:t>
      </w:r>
      <w:r w:rsidRPr="00BA2DE8">
        <w:t xml:space="preserve">ELPI Status for the 2019 Dashboard. To assist with this ongoing development of the ELPI, the CDE continues to engage with EL stakeholders, researchers, technical experts, and practitioners across the state. The following is an update on the CDE’s stakeholder engagement efforts </w:t>
      </w:r>
      <w:r w:rsidR="008004CA" w:rsidRPr="00BA2DE8">
        <w:t>related to</w:t>
      </w:r>
      <w:r w:rsidRPr="00BA2DE8">
        <w:t xml:space="preserve"> the ELPI:</w:t>
      </w:r>
    </w:p>
    <w:p w14:paraId="50AAA8C7" w14:textId="3C0BDEF4" w:rsidR="0060321A" w:rsidRPr="00BA2DE8" w:rsidRDefault="0060321A" w:rsidP="0060321A">
      <w:pPr>
        <w:pStyle w:val="ListBullet"/>
        <w:numPr>
          <w:ilvl w:val="0"/>
          <w:numId w:val="10"/>
        </w:numPr>
        <w:tabs>
          <w:tab w:val="left" w:pos="450"/>
        </w:tabs>
        <w:spacing w:after="240"/>
        <w:contextualSpacing w:val="0"/>
      </w:pPr>
      <w:r w:rsidRPr="00BA2DE8">
        <w:rPr>
          <w:b/>
        </w:rPr>
        <w:t xml:space="preserve">ELPI Workgroup: </w:t>
      </w:r>
      <w:r w:rsidRPr="00BA2DE8">
        <w:t>The CDE met with the ELPI Workgroup</w:t>
      </w:r>
      <w:r w:rsidRPr="00BA2DE8">
        <w:rPr>
          <w:b/>
        </w:rPr>
        <w:t xml:space="preserve"> </w:t>
      </w:r>
      <w:r w:rsidRPr="00BA2DE8">
        <w:t xml:space="preserve">in May 2019. The CDE discussed and asked for feedback on conducting data simulations on the splitting of the ELPAC SA performance levels for accountability purposes and setting the ELPI Status cut scores by grade span. </w:t>
      </w:r>
      <w:r w:rsidR="00240F4D" w:rsidRPr="00BA2DE8">
        <w:t>Two additional meetings are scheduled with the Workgroup prior to the November 2019 SBE meeting to obtain input on the</w:t>
      </w:r>
      <w:r w:rsidRPr="00BA2DE8">
        <w:t xml:space="preserve"> ELPI methodology and the results of the data simulations using two years of ELPAC SA results to create ELPI performance levels and set Status cut scores by grade span.</w:t>
      </w:r>
    </w:p>
    <w:p w14:paraId="3E19B6E8" w14:textId="09DD870F" w:rsidR="0060321A" w:rsidRPr="00BA2DE8" w:rsidRDefault="0060321A" w:rsidP="0060321A">
      <w:pPr>
        <w:pStyle w:val="ListBullet"/>
        <w:numPr>
          <w:ilvl w:val="0"/>
          <w:numId w:val="10"/>
        </w:numPr>
        <w:tabs>
          <w:tab w:val="left" w:pos="450"/>
        </w:tabs>
        <w:spacing w:after="240"/>
        <w:contextualSpacing w:val="0"/>
      </w:pPr>
      <w:r w:rsidRPr="00BA2DE8">
        <w:rPr>
          <w:b/>
        </w:rPr>
        <w:t>Bilingual Coordinators Network (BCN):</w:t>
      </w:r>
      <w:r w:rsidRPr="00BA2DE8">
        <w:t xml:space="preserve"> The CDE presented at the March and May 2019 BCN meetings and provided regular updates, engaged in discussion, and asked for their feedback regarding the ELPI and EL-related data. </w:t>
      </w:r>
      <w:r w:rsidR="004B0341" w:rsidRPr="00BA2DE8">
        <w:t>The CDE will continue providing updates to and seeking feedback from the BCN at the September and November meetings.</w:t>
      </w:r>
    </w:p>
    <w:p w14:paraId="7B8AA93C" w14:textId="4119FF68" w:rsidR="0060321A" w:rsidRPr="00BA2DE8" w:rsidRDefault="0060321A" w:rsidP="0060321A">
      <w:pPr>
        <w:pStyle w:val="ListBullet"/>
        <w:numPr>
          <w:ilvl w:val="0"/>
          <w:numId w:val="10"/>
        </w:numPr>
        <w:tabs>
          <w:tab w:val="left" w:pos="450"/>
        </w:tabs>
        <w:spacing w:after="240"/>
        <w:contextualSpacing w:val="0"/>
      </w:pPr>
      <w:r w:rsidRPr="00BA2DE8">
        <w:rPr>
          <w:b/>
        </w:rPr>
        <w:lastRenderedPageBreak/>
        <w:t>T</w:t>
      </w:r>
      <w:r w:rsidR="00633CAA" w:rsidRPr="00BA2DE8">
        <w:rPr>
          <w:b/>
        </w:rPr>
        <w:t xml:space="preserve">echnical </w:t>
      </w:r>
      <w:r w:rsidRPr="00BA2DE8">
        <w:rPr>
          <w:b/>
        </w:rPr>
        <w:t>D</w:t>
      </w:r>
      <w:r w:rsidR="00633CAA" w:rsidRPr="00BA2DE8">
        <w:rPr>
          <w:b/>
        </w:rPr>
        <w:t xml:space="preserve">esign </w:t>
      </w:r>
      <w:r w:rsidRPr="00BA2DE8">
        <w:rPr>
          <w:b/>
        </w:rPr>
        <w:t>G</w:t>
      </w:r>
      <w:r w:rsidR="00633CAA" w:rsidRPr="00BA2DE8">
        <w:rPr>
          <w:b/>
        </w:rPr>
        <w:t>roup</w:t>
      </w:r>
      <w:r w:rsidRPr="00BA2DE8">
        <w:rPr>
          <w:b/>
        </w:rPr>
        <w:t>:</w:t>
      </w:r>
      <w:r w:rsidRPr="00BA2DE8">
        <w:t xml:space="preserve"> The CDE met with the TDG</w:t>
      </w:r>
      <w:r w:rsidRPr="00BA2DE8">
        <w:rPr>
          <w:b/>
        </w:rPr>
        <w:t xml:space="preserve"> </w:t>
      </w:r>
      <w:r w:rsidRPr="00BA2DE8">
        <w:t xml:space="preserve">in April and June 2019. The CDE discussed and asked for feedback on conducting data simulations on the splitting of the ELPAC SA performance levels for accountability purposes and setting the ELPI Status cut scores by grade span. The CDE will present at the October TDG meeting </w:t>
      </w:r>
      <w:r w:rsidR="00240F4D" w:rsidRPr="00BA2DE8">
        <w:t xml:space="preserve">the </w:t>
      </w:r>
      <w:r w:rsidRPr="00BA2DE8">
        <w:t xml:space="preserve">results of </w:t>
      </w:r>
      <w:r w:rsidR="00240F4D" w:rsidRPr="00BA2DE8">
        <w:t xml:space="preserve">the </w:t>
      </w:r>
      <w:r w:rsidRPr="00BA2DE8">
        <w:t>data simulations using two years of ELPAC data, including recommendations on how to split ELPAC levels 2 and 3 and how to set cut scores and distributions for ELPI Status by grade span.</w:t>
      </w:r>
    </w:p>
    <w:p w14:paraId="118B6387" w14:textId="77777777" w:rsidR="0060321A" w:rsidRPr="00BA2DE8" w:rsidRDefault="0060321A" w:rsidP="0060321A">
      <w:pPr>
        <w:pStyle w:val="ListBullet"/>
        <w:numPr>
          <w:ilvl w:val="0"/>
          <w:numId w:val="10"/>
        </w:numPr>
        <w:tabs>
          <w:tab w:val="left" w:pos="450"/>
        </w:tabs>
        <w:spacing w:after="240"/>
        <w:contextualSpacing w:val="0"/>
      </w:pPr>
      <w:r w:rsidRPr="00BA2DE8">
        <w:rPr>
          <w:b/>
        </w:rPr>
        <w:t>California Practitioners Advisory Group (CPAG):</w:t>
      </w:r>
      <w:r w:rsidRPr="00BA2DE8">
        <w:t xml:space="preserve"> At the June 2019 CPAG meeting, the CDE updated the CPAG on the federal ESSA waiver regarding the inclusion of RFEPs and LTELs in the ELPI. The CDE will provide the CPAG with an update on the ELPI and using the ELPI Status for LEA and school eligibility for assistance determinations at the CPAG meeting on August 22, 2019.</w:t>
      </w:r>
    </w:p>
    <w:p w14:paraId="2B75E7EB" w14:textId="77777777" w:rsidR="0060321A" w:rsidRPr="00BA2DE8" w:rsidRDefault="0060321A" w:rsidP="0060321A">
      <w:pPr>
        <w:pStyle w:val="ListBullet"/>
        <w:numPr>
          <w:ilvl w:val="0"/>
          <w:numId w:val="10"/>
        </w:numPr>
        <w:tabs>
          <w:tab w:val="left" w:pos="450"/>
        </w:tabs>
        <w:spacing w:after="240"/>
        <w:contextualSpacing w:val="0"/>
        <w:rPr>
          <w:b/>
        </w:rPr>
      </w:pPr>
      <w:r w:rsidRPr="00BA2DE8">
        <w:rPr>
          <w:b/>
        </w:rPr>
        <w:t>ESSA Stakeholder Meetings:</w:t>
      </w:r>
      <w:r w:rsidRPr="00BA2DE8">
        <w:t xml:space="preserve"> The CDE will provide the ESSA Stakeholder group with an update on the ELPI and using the ELPI Status for LEA and school eligibility for assistance determinations at the ESSA Stakeholder meetings on August 16, 2019, and October 18, 2019.</w:t>
      </w:r>
    </w:p>
    <w:p w14:paraId="654EECD9" w14:textId="0C4E17BF" w:rsidR="0060321A" w:rsidRPr="00BA2DE8" w:rsidRDefault="00633CAA" w:rsidP="0060321A">
      <w:pPr>
        <w:pStyle w:val="ListBullet"/>
        <w:numPr>
          <w:ilvl w:val="0"/>
          <w:numId w:val="10"/>
        </w:numPr>
        <w:tabs>
          <w:tab w:val="left" w:pos="450"/>
        </w:tabs>
        <w:spacing w:after="240"/>
        <w:contextualSpacing w:val="0"/>
      </w:pPr>
      <w:r w:rsidRPr="00BA2DE8">
        <w:rPr>
          <w:b/>
        </w:rPr>
        <w:t>California Association for Bilingual Education</w:t>
      </w:r>
      <w:r w:rsidR="0060321A" w:rsidRPr="00BA2DE8">
        <w:rPr>
          <w:b/>
        </w:rPr>
        <w:t xml:space="preserve"> (CABE): </w:t>
      </w:r>
      <w:r w:rsidR="0060321A" w:rsidRPr="00BA2DE8">
        <w:t>At the 2019 CABE conference in March, the CDE presented on the use of multiple data sources on EL students to assist schools and districts in transitioning to the new ELPAC. The CDE also held a session on the overview of the California School Dashboard.</w:t>
      </w:r>
    </w:p>
    <w:p w14:paraId="3B067940" w14:textId="2E0A4968" w:rsidR="00240F4D" w:rsidRPr="00BA2DE8" w:rsidRDefault="00240F4D" w:rsidP="0060321A">
      <w:pPr>
        <w:pStyle w:val="ListBullet"/>
        <w:numPr>
          <w:ilvl w:val="0"/>
          <w:numId w:val="10"/>
        </w:numPr>
        <w:tabs>
          <w:tab w:val="left" w:pos="450"/>
        </w:tabs>
        <w:spacing w:after="240"/>
        <w:contextualSpacing w:val="0"/>
      </w:pPr>
      <w:r w:rsidRPr="00BA2DE8">
        <w:rPr>
          <w:b/>
        </w:rPr>
        <w:t>Local Control Funding Formula (LCFF) Stakeholder Meeting:</w:t>
      </w:r>
      <w:r w:rsidRPr="00BA2DE8">
        <w:t xml:space="preserve"> </w:t>
      </w:r>
      <w:r w:rsidR="00D1647C" w:rsidRPr="00BA2DE8">
        <w:t>The CDE provide</w:t>
      </w:r>
      <w:r w:rsidR="004A4DB7" w:rsidRPr="00BA2DE8">
        <w:t>d</w:t>
      </w:r>
      <w:r w:rsidR="00D1647C" w:rsidRPr="00BA2DE8">
        <w:t xml:space="preserve"> the LCFF Stakeholders with an update on the ELPI methodology considerations and </w:t>
      </w:r>
      <w:r w:rsidR="00633CAA" w:rsidRPr="00BA2DE8">
        <w:t>use of</w:t>
      </w:r>
      <w:r w:rsidR="00D1647C" w:rsidRPr="00BA2DE8">
        <w:t xml:space="preserve"> ELPI Status for LEA and school eligibility for assistance determinations at the</w:t>
      </w:r>
      <w:r w:rsidR="00DF7EE8" w:rsidRPr="00BA2DE8">
        <w:t xml:space="preserve">ir </w:t>
      </w:r>
      <w:r w:rsidR="00D1647C" w:rsidRPr="00BA2DE8">
        <w:t>meeting on August 7, 2019.</w:t>
      </w:r>
    </w:p>
    <w:p w14:paraId="1FE12FCE" w14:textId="489000AF" w:rsidR="0060321A" w:rsidRPr="00BA2DE8" w:rsidRDefault="0060321A" w:rsidP="0060321A">
      <w:pPr>
        <w:pStyle w:val="Heading2"/>
        <w:spacing w:after="240"/>
        <w:rPr>
          <w:b w:val="0"/>
        </w:rPr>
      </w:pPr>
      <w:r w:rsidRPr="00BA2DE8">
        <w:rPr>
          <w:sz w:val="24"/>
        </w:rPr>
        <w:t>ELPI Methodology Considerations</w:t>
      </w:r>
    </w:p>
    <w:p w14:paraId="1CF3A5B0" w14:textId="73BA4EC9" w:rsidR="0060321A" w:rsidRPr="00BA2DE8" w:rsidRDefault="0060321A" w:rsidP="0060321A">
      <w:pPr>
        <w:pStyle w:val="ListBullet"/>
        <w:numPr>
          <w:ilvl w:val="0"/>
          <w:numId w:val="0"/>
        </w:numPr>
        <w:tabs>
          <w:tab w:val="left" w:pos="450"/>
        </w:tabs>
        <w:spacing w:after="240"/>
      </w:pPr>
      <w:r w:rsidRPr="00BA2DE8">
        <w:rPr>
          <w:rFonts w:cs="Arial"/>
        </w:rPr>
        <w:t>In spring 2019, the ELPI Workgroup and the TDG provided feedback and support for the CDE’s recommendation to conduct data simulations to determine the feasibility of splitting ELPAC overall performance levels 2 and 3 to create ELPI performance levels. These groups also supported conducting simulations to set Status cut scores by grade span once two years of ELPAC SA results bec</w:t>
      </w:r>
      <w:r w:rsidR="00240F4D" w:rsidRPr="00BA2DE8">
        <w:rPr>
          <w:rFonts w:cs="Arial"/>
        </w:rPr>
        <w:t>o</w:t>
      </w:r>
      <w:r w:rsidRPr="00BA2DE8">
        <w:rPr>
          <w:rFonts w:cs="Arial"/>
        </w:rPr>
        <w:t xml:space="preserve">me available. </w:t>
      </w:r>
      <w:r w:rsidRPr="00BA2DE8">
        <w:t>The CDE is currently conducting data simulations using two years of ELPAC SA results. The simulations include splitting the ELPAC overall performance levels 2 and 3 into the ELPI performance levels and setting the Status cut scores by grade span.</w:t>
      </w:r>
    </w:p>
    <w:p w14:paraId="4A281F16" w14:textId="77777777" w:rsidR="0060321A" w:rsidRPr="00BA2DE8" w:rsidRDefault="0060321A" w:rsidP="0060321A">
      <w:pPr>
        <w:spacing w:after="240"/>
      </w:pPr>
      <w:r w:rsidRPr="00BA2DE8">
        <w:t xml:space="preserve">Splitting ELPAC SA overall performance levels 2 and 3 into ELPI performance levels is being pursued to ensure that the ELPI reflects the average growth trajectory of ELs </w:t>
      </w:r>
      <w:r w:rsidRPr="00BA2DE8">
        <w:lastRenderedPageBreak/>
        <w:t>toward proficiency cited in prior research. Therefore, enough ELPI performance levels will be created to allow for EL progress to the ELPAC English language proficiency criterion (overall performance level 4 on the ELPAC SA) over a period of five to seven years. This would result in 6 ELPI levels:</w:t>
      </w:r>
    </w:p>
    <w:p w14:paraId="003D7A25" w14:textId="77777777" w:rsidR="0060321A" w:rsidRPr="00BA2DE8" w:rsidRDefault="0060321A" w:rsidP="0060321A">
      <w:pPr>
        <w:pStyle w:val="ListParagraph"/>
        <w:numPr>
          <w:ilvl w:val="0"/>
          <w:numId w:val="11"/>
        </w:numPr>
        <w:spacing w:after="240" w:line="240" w:lineRule="auto"/>
        <w:rPr>
          <w:rFonts w:ascii="Arial" w:hAnsi="Arial" w:cs="Arial"/>
          <w:sz w:val="24"/>
          <w:szCs w:val="24"/>
        </w:rPr>
      </w:pPr>
      <w:r w:rsidRPr="00BA2DE8">
        <w:rPr>
          <w:rFonts w:ascii="Arial" w:hAnsi="Arial" w:cs="Arial"/>
          <w:sz w:val="24"/>
          <w:szCs w:val="24"/>
        </w:rPr>
        <w:t>ELPI Level1 (ELPAC SA Level 1)</w:t>
      </w:r>
    </w:p>
    <w:p w14:paraId="5183872D" w14:textId="77777777" w:rsidR="0060321A" w:rsidRPr="00BA2DE8" w:rsidRDefault="0060321A" w:rsidP="0060321A">
      <w:pPr>
        <w:pStyle w:val="ListParagraph"/>
        <w:numPr>
          <w:ilvl w:val="0"/>
          <w:numId w:val="11"/>
        </w:numPr>
        <w:spacing w:after="240" w:line="240" w:lineRule="auto"/>
        <w:rPr>
          <w:rFonts w:ascii="Arial" w:hAnsi="Arial" w:cs="Arial"/>
          <w:sz w:val="24"/>
          <w:szCs w:val="24"/>
        </w:rPr>
      </w:pPr>
      <w:r w:rsidRPr="00BA2DE8">
        <w:rPr>
          <w:rFonts w:ascii="Arial" w:hAnsi="Arial" w:cs="Arial"/>
          <w:sz w:val="24"/>
          <w:szCs w:val="24"/>
        </w:rPr>
        <w:t xml:space="preserve">ELPI Level 2L (ELPAC SA Low Level 2) </w:t>
      </w:r>
    </w:p>
    <w:p w14:paraId="3DE5A9DB" w14:textId="77777777" w:rsidR="0060321A" w:rsidRPr="00BA2DE8" w:rsidRDefault="0060321A" w:rsidP="0060321A">
      <w:pPr>
        <w:pStyle w:val="ListParagraph"/>
        <w:numPr>
          <w:ilvl w:val="0"/>
          <w:numId w:val="11"/>
        </w:numPr>
        <w:spacing w:after="240" w:line="240" w:lineRule="auto"/>
        <w:rPr>
          <w:rFonts w:ascii="Arial" w:hAnsi="Arial" w:cs="Arial"/>
          <w:sz w:val="24"/>
          <w:szCs w:val="24"/>
        </w:rPr>
      </w:pPr>
      <w:r w:rsidRPr="00BA2DE8">
        <w:rPr>
          <w:rFonts w:ascii="Arial" w:hAnsi="Arial" w:cs="Arial"/>
          <w:sz w:val="24"/>
          <w:szCs w:val="24"/>
        </w:rPr>
        <w:t>ELPI Level 2H (ELPAC SA High Level 2)</w:t>
      </w:r>
    </w:p>
    <w:p w14:paraId="2EB21CFD" w14:textId="77777777" w:rsidR="0060321A" w:rsidRPr="00BA2DE8" w:rsidRDefault="0060321A" w:rsidP="0060321A">
      <w:pPr>
        <w:pStyle w:val="ListParagraph"/>
        <w:numPr>
          <w:ilvl w:val="0"/>
          <w:numId w:val="11"/>
        </w:numPr>
        <w:spacing w:after="240" w:line="240" w:lineRule="auto"/>
        <w:rPr>
          <w:rFonts w:ascii="Arial" w:hAnsi="Arial" w:cs="Arial"/>
          <w:sz w:val="24"/>
          <w:szCs w:val="24"/>
        </w:rPr>
      </w:pPr>
      <w:r w:rsidRPr="00BA2DE8">
        <w:rPr>
          <w:rFonts w:ascii="Arial" w:hAnsi="Arial" w:cs="Arial"/>
          <w:sz w:val="24"/>
          <w:szCs w:val="24"/>
        </w:rPr>
        <w:t>ELPI Level 3L (ELPAC SA Low Level 3)</w:t>
      </w:r>
    </w:p>
    <w:p w14:paraId="020ED501" w14:textId="77777777" w:rsidR="0060321A" w:rsidRPr="00BA2DE8" w:rsidRDefault="0060321A" w:rsidP="0060321A">
      <w:pPr>
        <w:pStyle w:val="ListParagraph"/>
        <w:numPr>
          <w:ilvl w:val="0"/>
          <w:numId w:val="11"/>
        </w:numPr>
        <w:spacing w:after="240" w:line="240" w:lineRule="auto"/>
        <w:rPr>
          <w:rFonts w:ascii="Arial" w:hAnsi="Arial" w:cs="Arial"/>
          <w:sz w:val="24"/>
          <w:szCs w:val="24"/>
        </w:rPr>
      </w:pPr>
      <w:r w:rsidRPr="00BA2DE8">
        <w:rPr>
          <w:rFonts w:ascii="Arial" w:hAnsi="Arial" w:cs="Arial"/>
          <w:sz w:val="24"/>
          <w:szCs w:val="24"/>
        </w:rPr>
        <w:t>ELPI Level 3H (ELPAC SA High Level 3)</w:t>
      </w:r>
    </w:p>
    <w:p w14:paraId="0E0E3898" w14:textId="77777777" w:rsidR="0060321A" w:rsidRPr="00BA2DE8" w:rsidRDefault="0060321A" w:rsidP="0060321A">
      <w:pPr>
        <w:pStyle w:val="ListParagraph"/>
        <w:numPr>
          <w:ilvl w:val="0"/>
          <w:numId w:val="11"/>
        </w:numPr>
        <w:spacing w:after="240" w:line="240" w:lineRule="auto"/>
        <w:rPr>
          <w:rFonts w:ascii="Arial" w:hAnsi="Arial" w:cs="Arial"/>
          <w:sz w:val="24"/>
          <w:szCs w:val="24"/>
        </w:rPr>
      </w:pPr>
      <w:r w:rsidRPr="00BA2DE8">
        <w:rPr>
          <w:rFonts w:ascii="Arial" w:hAnsi="Arial" w:cs="Arial"/>
          <w:sz w:val="24"/>
          <w:szCs w:val="24"/>
        </w:rPr>
        <w:t>ELPI Level 4 (ELPAC SA Level 4)</w:t>
      </w:r>
    </w:p>
    <w:p w14:paraId="529DDFA9" w14:textId="77777777" w:rsidR="0060321A" w:rsidRPr="00BA2DE8" w:rsidRDefault="0060321A" w:rsidP="0060321A">
      <w:pPr>
        <w:spacing w:after="240"/>
      </w:pPr>
      <w:r w:rsidRPr="00BA2DE8">
        <w:t xml:space="preserve">Splitting the ELPAC performance levels 2 and 3 for accountability purposes would allow for EL progression towards ELPAC Level 4 over a period five to seven years. </w:t>
      </w:r>
    </w:p>
    <w:p w14:paraId="0D9A28F8" w14:textId="77777777" w:rsidR="0060321A" w:rsidRPr="00BA2DE8" w:rsidRDefault="0060321A" w:rsidP="0060321A">
      <w:pPr>
        <w:spacing w:after="240"/>
      </w:pPr>
      <w:r w:rsidRPr="00BA2DE8">
        <w:t xml:space="preserve">Prior research indicates EL student performance varies by grade, with students in the lower grades and lower ELP levels making more rapid gains in ELP than students in higher grades and higher ELP levels. (See Hakuta, Kenji, et al., 2000: “How Long Does It Take English Learners to Attain Proficiency?” and Halle, Tamara, et al., 2013: “Predictors and Outcomes of Early vs. Later English Language Proficiency Among English Language Learners.”) Analysis conducted by the CDE on the 2018 ELPAC SA results showed that as grade level increases, the percent of students in Level 1 on the ELPAC SA increases. This trend was particularly noticeable in grades 9–12. Therefore, the CDE is considering setting ELPI Status cut scores by grade span similar to the Academic Indicator for grades 1–8 and grades 9–12. The CDE is also conducting data simulations on different grade spans to determine the most appropriate methodology for setting ELPI Status cut scores. As previously noted, the CDE will continue to meet with the ELPI Workgroup and the TDG to discuss the results and obtain feedback on the data simulations. </w:t>
      </w:r>
    </w:p>
    <w:p w14:paraId="6E226C03" w14:textId="767D84FE" w:rsidR="0060321A" w:rsidRPr="00BA2DE8" w:rsidRDefault="0060321A" w:rsidP="0060321A">
      <w:pPr>
        <w:pStyle w:val="ListBullet"/>
        <w:numPr>
          <w:ilvl w:val="0"/>
          <w:numId w:val="0"/>
        </w:numPr>
        <w:tabs>
          <w:tab w:val="left" w:pos="450"/>
        </w:tabs>
        <w:spacing w:after="240"/>
      </w:pPr>
      <w:r w:rsidRPr="00BA2DE8">
        <w:t xml:space="preserve">Note: ELPI Status reports the rate of EL students’ progressing towards ELP and as a result requires two years of ELPAC SA results to measure progress. ELPI Change requires three years of data to show the rate at which LEAs and schools are improving upon their ability to move their EL students towards ELP. With the ELPAC SA results </w:t>
      </w:r>
      <w:r w:rsidR="00B5427B" w:rsidRPr="00BA2DE8">
        <w:t xml:space="preserve">currently </w:t>
      </w:r>
      <w:r w:rsidRPr="00BA2DE8">
        <w:t>limited to two years of data, the CDE will only report out on ELPI Status for the 2019 Dashboard. For the 2020 Dashboard, the CDE will report ELPI Status, Change, and overall performance color using three years of ELPAC SA results.</w:t>
      </w:r>
    </w:p>
    <w:p w14:paraId="39969897" w14:textId="77777777" w:rsidR="0060321A" w:rsidRPr="00BA2DE8" w:rsidRDefault="0060321A" w:rsidP="0060321A">
      <w:pPr>
        <w:pStyle w:val="Heading2"/>
      </w:pPr>
      <w:r w:rsidRPr="00BA2DE8">
        <w:t>ELPI Status for School and LEA Eligibility for Assistance Determinations</w:t>
      </w:r>
    </w:p>
    <w:p w14:paraId="6168A91A" w14:textId="5F4B220B" w:rsidR="0060321A" w:rsidRPr="00BA2DE8" w:rsidRDefault="0060321A" w:rsidP="0060321A">
      <w:pPr>
        <w:pStyle w:val="ListBullet"/>
        <w:numPr>
          <w:ilvl w:val="0"/>
          <w:numId w:val="0"/>
        </w:numPr>
        <w:tabs>
          <w:tab w:val="left" w:pos="450"/>
        </w:tabs>
        <w:spacing w:after="240"/>
        <w:contextualSpacing w:val="0"/>
      </w:pPr>
      <w:r w:rsidRPr="00BA2DE8">
        <w:t>In November, 2018, the SBE approved the use of the ELPI Status for 2019 LCFF differentiated assistance and ESSA school assistance determinations.</w:t>
      </w:r>
    </w:p>
    <w:p w14:paraId="072C38E5" w14:textId="4D48A20C" w:rsidR="0060321A" w:rsidRPr="00BA2DE8" w:rsidRDefault="0060321A" w:rsidP="0060321A">
      <w:pPr>
        <w:pStyle w:val="ListBullet"/>
        <w:numPr>
          <w:ilvl w:val="0"/>
          <w:numId w:val="0"/>
        </w:numPr>
        <w:tabs>
          <w:tab w:val="left" w:pos="450"/>
        </w:tabs>
        <w:spacing w:after="240"/>
        <w:contextualSpacing w:val="0"/>
        <w:rPr>
          <w:rFonts w:cs="Arial"/>
        </w:rPr>
      </w:pPr>
      <w:r w:rsidRPr="00BA2DE8">
        <w:rPr>
          <w:rFonts w:cs="Arial"/>
        </w:rPr>
        <w:t xml:space="preserve">In spring 2019, the CDE proposed to the ELPI Workgroup and the TDG to use </w:t>
      </w:r>
      <w:r w:rsidRPr="00BA2DE8">
        <w:t>only the ELPI Status of “Very Low” for LEA and school eligibility determinations. Both the ELPI Workgroup and the TDG s</w:t>
      </w:r>
      <w:r w:rsidRPr="00BA2DE8">
        <w:rPr>
          <w:rFonts w:cs="Arial"/>
        </w:rPr>
        <w:t xml:space="preserve">upported the CDE’s recommendation. The ELPI Workgroup </w:t>
      </w:r>
      <w:r w:rsidRPr="00BA2DE8">
        <w:rPr>
          <w:rFonts w:cs="Arial"/>
        </w:rPr>
        <w:lastRenderedPageBreak/>
        <w:t xml:space="preserve">and the TDG recommended that the CDE not assign a color to ELPI Status because it </w:t>
      </w:r>
      <w:r w:rsidR="00694C73" w:rsidRPr="00BA2DE8">
        <w:rPr>
          <w:rFonts w:cs="Arial"/>
        </w:rPr>
        <w:t xml:space="preserve">may </w:t>
      </w:r>
      <w:r w:rsidRPr="00BA2DE8">
        <w:rPr>
          <w:rFonts w:cs="Arial"/>
        </w:rPr>
        <w:t xml:space="preserve">cause confusion </w:t>
      </w:r>
      <w:r w:rsidR="00694C73" w:rsidRPr="00BA2DE8">
        <w:rPr>
          <w:rFonts w:cs="Arial"/>
        </w:rPr>
        <w:t>with educators</w:t>
      </w:r>
      <w:r w:rsidRPr="00BA2DE8">
        <w:rPr>
          <w:rFonts w:cs="Arial"/>
        </w:rPr>
        <w:t>.</w:t>
      </w:r>
      <w:r w:rsidR="00B5427B" w:rsidRPr="00BA2DE8">
        <w:rPr>
          <w:rFonts w:cs="Arial"/>
        </w:rPr>
        <w:t xml:space="preserve"> The very low determination will only be used this year. Next year, there will be a color.</w:t>
      </w:r>
    </w:p>
    <w:p w14:paraId="468F52A0" w14:textId="77777777" w:rsidR="0060321A" w:rsidRPr="00BA2DE8" w:rsidRDefault="0060321A" w:rsidP="0060321A">
      <w:pPr>
        <w:pStyle w:val="ListBullet"/>
        <w:numPr>
          <w:ilvl w:val="0"/>
          <w:numId w:val="0"/>
        </w:numPr>
        <w:tabs>
          <w:tab w:val="left" w:pos="450"/>
        </w:tabs>
        <w:spacing w:after="240"/>
        <w:contextualSpacing w:val="0"/>
        <w:rPr>
          <w:rStyle w:val="SubtleEmphasis"/>
        </w:rPr>
      </w:pPr>
      <w:r w:rsidRPr="00BA2DE8">
        <w:rPr>
          <w:rStyle w:val="SubtleEmphasis"/>
        </w:rPr>
        <w:t>LCFF Eligibility Criteria</w:t>
      </w:r>
    </w:p>
    <w:p w14:paraId="0361AF20" w14:textId="77777777" w:rsidR="0060321A" w:rsidRPr="00BA2DE8" w:rsidRDefault="0060321A" w:rsidP="0060321A">
      <w:pPr>
        <w:spacing w:after="240"/>
      </w:pPr>
      <w:r w:rsidRPr="00BA2DE8">
        <w:t>LEAs are eligible for LCFF differentiated assistance if they have at least one student group that meets the criteria in more than one priority area. Generally, a student group with a “Red” color on two state indicators meets the criteria. However, priority area 4 (Pupil Achievement) is an exception because this priority includes three state indicators, namely English Language Arts/Literacy (ELA), Mathematics (Math), and ELPI. LEAs may be identified for support based on:</w:t>
      </w:r>
    </w:p>
    <w:p w14:paraId="558820C9" w14:textId="77777777" w:rsidR="0060321A" w:rsidRPr="00BA2DE8" w:rsidRDefault="0060321A" w:rsidP="0060321A">
      <w:pPr>
        <w:pStyle w:val="ListBullet"/>
        <w:numPr>
          <w:ilvl w:val="0"/>
          <w:numId w:val="0"/>
        </w:numPr>
        <w:tabs>
          <w:tab w:val="left" w:pos="450"/>
        </w:tabs>
        <w:spacing w:after="240"/>
        <w:contextualSpacing w:val="0"/>
      </w:pPr>
      <w:r w:rsidRPr="00BA2DE8">
        <w:rPr>
          <w:b/>
        </w:rPr>
        <w:t>State Indicators Only</w:t>
      </w:r>
      <w:r w:rsidRPr="00BA2DE8">
        <w:t xml:space="preserve">: Requires that one or more student groups meet the criteria in at least two LCFF State Priority Areas. </w:t>
      </w:r>
    </w:p>
    <w:p w14:paraId="625EA7C4" w14:textId="77777777" w:rsidR="0060321A" w:rsidRPr="00BA2DE8" w:rsidRDefault="0060321A" w:rsidP="0060321A">
      <w:pPr>
        <w:pStyle w:val="ListBullet"/>
        <w:numPr>
          <w:ilvl w:val="0"/>
          <w:numId w:val="0"/>
        </w:numPr>
        <w:tabs>
          <w:tab w:val="left" w:pos="450"/>
        </w:tabs>
        <w:spacing w:after="240"/>
        <w:contextualSpacing w:val="0"/>
      </w:pPr>
      <w:r w:rsidRPr="00BA2DE8">
        <w:rPr>
          <w:b/>
        </w:rPr>
        <w:t>Local Indicators Only</w:t>
      </w:r>
      <w:r w:rsidRPr="00BA2DE8">
        <w:t xml:space="preserve">: Requires that at least two local indicators have a performance level of “Not Met </w:t>
      </w:r>
      <w:proofErr w:type="gramStart"/>
      <w:r w:rsidRPr="00BA2DE8">
        <w:t>For</w:t>
      </w:r>
      <w:proofErr w:type="gramEnd"/>
      <w:r w:rsidRPr="00BA2DE8">
        <w:t xml:space="preserve"> Two or More Years.” </w:t>
      </w:r>
    </w:p>
    <w:p w14:paraId="645707DB" w14:textId="77777777" w:rsidR="0060321A" w:rsidRPr="00BA2DE8" w:rsidRDefault="0060321A" w:rsidP="0060321A">
      <w:pPr>
        <w:pStyle w:val="ListBullet"/>
        <w:numPr>
          <w:ilvl w:val="0"/>
          <w:numId w:val="0"/>
        </w:numPr>
        <w:tabs>
          <w:tab w:val="left" w:pos="450"/>
        </w:tabs>
        <w:spacing w:after="240"/>
        <w:contextualSpacing w:val="0"/>
      </w:pPr>
      <w:r w:rsidRPr="00BA2DE8">
        <w:rPr>
          <w:b/>
        </w:rPr>
        <w:t>A Combination of Local and State Indicators</w:t>
      </w:r>
      <w:r w:rsidRPr="00BA2DE8">
        <w:t>: This is a combination of at least one student group meeting the criteria in one priority area and only one local indicator having a performance level of “Not Met For Two or More Years” in a different priority area.</w:t>
      </w:r>
    </w:p>
    <w:p w14:paraId="79D54DD9" w14:textId="3CE73DF2" w:rsidR="009B3E1F" w:rsidRPr="00BA2DE8" w:rsidRDefault="0060321A">
      <w:pPr>
        <w:pStyle w:val="ListBullet"/>
        <w:numPr>
          <w:ilvl w:val="0"/>
          <w:numId w:val="0"/>
        </w:numPr>
        <w:tabs>
          <w:tab w:val="left" w:pos="450"/>
        </w:tabs>
        <w:spacing w:after="240"/>
        <w:contextualSpacing w:val="0"/>
      </w:pPr>
      <w:r w:rsidRPr="00BA2DE8">
        <w:t xml:space="preserve">In the </w:t>
      </w:r>
      <w:r w:rsidR="009B3E1F" w:rsidRPr="00BA2DE8">
        <w:t xml:space="preserve">Table 1 </w:t>
      </w:r>
      <w:r w:rsidRPr="00BA2DE8">
        <w:t xml:space="preserve">example, the EL student group at Crystal Unified School District met the criteria for LCFF differentiated assistance based on state or local indicators. Note that the ELPI only reports on the EL student group. </w:t>
      </w:r>
      <w:r w:rsidR="009B3E1F" w:rsidRPr="00BA2DE8">
        <w:br w:type="page"/>
      </w:r>
    </w:p>
    <w:p w14:paraId="07187040" w14:textId="44A359F7" w:rsidR="0060321A" w:rsidRPr="00BA2DE8" w:rsidRDefault="0060321A" w:rsidP="00023C69">
      <w:pPr>
        <w:pStyle w:val="Heading3"/>
        <w:rPr>
          <w:rFonts w:ascii="Arial" w:hAnsi="Arial" w:cs="Arial"/>
          <w:b/>
          <w:color w:val="auto"/>
        </w:rPr>
      </w:pPr>
      <w:r w:rsidRPr="00BA2DE8">
        <w:rPr>
          <w:rFonts w:ascii="Arial" w:hAnsi="Arial" w:cs="Arial"/>
          <w:b/>
          <w:color w:val="auto"/>
        </w:rPr>
        <w:lastRenderedPageBreak/>
        <w:t>Table 1: Crystal Union School District</w:t>
      </w:r>
    </w:p>
    <w:tbl>
      <w:tblPr>
        <w:tblStyle w:val="TableGrid"/>
        <w:tblW w:w="0" w:type="auto"/>
        <w:tblLook w:val="04A0" w:firstRow="1" w:lastRow="0" w:firstColumn="1" w:lastColumn="0" w:noHBand="0" w:noVBand="1"/>
        <w:tblDescription w:val="Crystal Union School District organized by student group, state indicators, and priority area"/>
      </w:tblPr>
      <w:tblGrid>
        <w:gridCol w:w="2875"/>
        <w:gridCol w:w="4950"/>
        <w:gridCol w:w="1525"/>
      </w:tblGrid>
      <w:tr w:rsidR="00F33E20" w:rsidRPr="00BA2DE8" w14:paraId="0D812087" w14:textId="77777777" w:rsidTr="000D7857">
        <w:trPr>
          <w:tblHeader/>
        </w:trPr>
        <w:tc>
          <w:tcPr>
            <w:tcW w:w="2875" w:type="dxa"/>
            <w:shd w:val="clear" w:color="auto" w:fill="BFBFBF" w:themeFill="background1" w:themeFillShade="BF"/>
            <w:vAlign w:val="center"/>
          </w:tcPr>
          <w:p w14:paraId="7D4E3E2E" w14:textId="77777777" w:rsidR="00F33E20" w:rsidRPr="00BA2DE8" w:rsidRDefault="00F33E20" w:rsidP="00395EFE">
            <w:pPr>
              <w:pStyle w:val="ListBullet"/>
              <w:numPr>
                <w:ilvl w:val="0"/>
                <w:numId w:val="0"/>
              </w:numPr>
              <w:tabs>
                <w:tab w:val="left" w:pos="450"/>
              </w:tabs>
              <w:jc w:val="center"/>
              <w:rPr>
                <w:b/>
              </w:rPr>
            </w:pPr>
            <w:r w:rsidRPr="00BA2DE8">
              <w:rPr>
                <w:b/>
              </w:rPr>
              <w:t>Student Groups</w:t>
            </w:r>
          </w:p>
        </w:tc>
        <w:tc>
          <w:tcPr>
            <w:tcW w:w="4950" w:type="dxa"/>
            <w:shd w:val="clear" w:color="auto" w:fill="BFBFBF" w:themeFill="background1" w:themeFillShade="BF"/>
            <w:vAlign w:val="center"/>
          </w:tcPr>
          <w:p w14:paraId="3DB45A6E" w14:textId="77777777" w:rsidR="00F33E20" w:rsidRPr="00BA2DE8" w:rsidRDefault="00F33E20" w:rsidP="00395EFE">
            <w:pPr>
              <w:pStyle w:val="ListBullet"/>
              <w:numPr>
                <w:ilvl w:val="0"/>
                <w:numId w:val="0"/>
              </w:numPr>
              <w:tabs>
                <w:tab w:val="left" w:pos="450"/>
              </w:tabs>
              <w:jc w:val="center"/>
              <w:rPr>
                <w:b/>
              </w:rPr>
            </w:pPr>
            <w:r w:rsidRPr="00BA2DE8">
              <w:rPr>
                <w:b/>
              </w:rPr>
              <w:t>State Indicators</w:t>
            </w:r>
          </w:p>
        </w:tc>
        <w:tc>
          <w:tcPr>
            <w:tcW w:w="1525" w:type="dxa"/>
            <w:shd w:val="clear" w:color="auto" w:fill="BFBFBF" w:themeFill="background1" w:themeFillShade="BF"/>
            <w:vAlign w:val="center"/>
          </w:tcPr>
          <w:p w14:paraId="4AFE0135" w14:textId="77777777" w:rsidR="00F33E20" w:rsidRPr="00BA2DE8" w:rsidRDefault="00F33E20" w:rsidP="00395EFE">
            <w:pPr>
              <w:pStyle w:val="ListBullet"/>
              <w:numPr>
                <w:ilvl w:val="0"/>
                <w:numId w:val="0"/>
              </w:numPr>
              <w:tabs>
                <w:tab w:val="left" w:pos="450"/>
              </w:tabs>
              <w:jc w:val="center"/>
              <w:rPr>
                <w:b/>
              </w:rPr>
            </w:pPr>
            <w:r w:rsidRPr="00BA2DE8">
              <w:rPr>
                <w:b/>
              </w:rPr>
              <w:t>Priority Area</w:t>
            </w:r>
          </w:p>
        </w:tc>
      </w:tr>
      <w:tr w:rsidR="00F33E20" w:rsidRPr="00BA2DE8" w14:paraId="4F72BA06" w14:textId="77777777" w:rsidTr="00395EFE">
        <w:tc>
          <w:tcPr>
            <w:tcW w:w="2875" w:type="dxa"/>
          </w:tcPr>
          <w:p w14:paraId="2DC99F74" w14:textId="77777777" w:rsidR="00F33E20" w:rsidRPr="00BA2DE8" w:rsidRDefault="00F33E20" w:rsidP="00395EFE">
            <w:pPr>
              <w:pStyle w:val="ListBullet"/>
              <w:numPr>
                <w:ilvl w:val="0"/>
                <w:numId w:val="0"/>
              </w:numPr>
              <w:tabs>
                <w:tab w:val="left" w:pos="450"/>
              </w:tabs>
            </w:pPr>
            <w:r w:rsidRPr="00BA2DE8">
              <w:rPr>
                <w:rFonts w:cs="Arial"/>
                <w:bCs/>
                <w:kern w:val="24"/>
              </w:rPr>
              <w:t>African American</w:t>
            </w:r>
          </w:p>
        </w:tc>
        <w:tc>
          <w:tcPr>
            <w:tcW w:w="4950" w:type="dxa"/>
            <w:vAlign w:val="center"/>
          </w:tcPr>
          <w:p w14:paraId="2AF6F8C3"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vAlign w:val="center"/>
          </w:tcPr>
          <w:p w14:paraId="5FB21F96" w14:textId="77777777" w:rsidR="00F33E20" w:rsidRPr="00BA2DE8" w:rsidRDefault="00F33E20" w:rsidP="00395EFE">
            <w:pPr>
              <w:pStyle w:val="ListBullet"/>
              <w:numPr>
                <w:ilvl w:val="0"/>
                <w:numId w:val="0"/>
              </w:numPr>
              <w:tabs>
                <w:tab w:val="left" w:pos="450"/>
              </w:tabs>
            </w:pPr>
            <w:r w:rsidRPr="00BA2DE8">
              <w:rPr>
                <w:rFonts w:cs="Arial"/>
                <w:bCs/>
                <w:color w:val="000000" w:themeColor="text1"/>
                <w:kern w:val="24"/>
              </w:rPr>
              <w:t>N/A</w:t>
            </w:r>
          </w:p>
        </w:tc>
      </w:tr>
      <w:tr w:rsidR="00F33E20" w:rsidRPr="00BA2DE8" w14:paraId="21CA91F1" w14:textId="77777777" w:rsidTr="00395EFE">
        <w:tc>
          <w:tcPr>
            <w:tcW w:w="2875" w:type="dxa"/>
          </w:tcPr>
          <w:p w14:paraId="7F574DAB"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American Indian or Alaskan Native</w:t>
            </w:r>
          </w:p>
        </w:tc>
        <w:tc>
          <w:tcPr>
            <w:tcW w:w="4950" w:type="dxa"/>
            <w:vAlign w:val="center"/>
          </w:tcPr>
          <w:p w14:paraId="534BA2FD"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vAlign w:val="center"/>
          </w:tcPr>
          <w:p w14:paraId="17B8A625"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F33E20" w:rsidRPr="00BA2DE8" w14:paraId="0C5C455B" w14:textId="77777777" w:rsidTr="00395EFE">
        <w:tc>
          <w:tcPr>
            <w:tcW w:w="2875" w:type="dxa"/>
            <w:tcBorders>
              <w:bottom w:val="dashSmallGap" w:sz="18" w:space="0" w:color="auto"/>
            </w:tcBorders>
          </w:tcPr>
          <w:p w14:paraId="734D7C60"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Asian</w:t>
            </w:r>
          </w:p>
        </w:tc>
        <w:tc>
          <w:tcPr>
            <w:tcW w:w="4950" w:type="dxa"/>
            <w:tcBorders>
              <w:bottom w:val="dashSmallGap" w:sz="18" w:space="0" w:color="auto"/>
            </w:tcBorders>
            <w:vAlign w:val="center"/>
          </w:tcPr>
          <w:p w14:paraId="7EA9670E"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tcBorders>
              <w:bottom w:val="dashSmallGap" w:sz="18" w:space="0" w:color="auto"/>
            </w:tcBorders>
            <w:vAlign w:val="center"/>
          </w:tcPr>
          <w:p w14:paraId="43E391C7"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F33E20" w:rsidRPr="00BA2DE8" w14:paraId="6EF7A80A" w14:textId="77777777" w:rsidTr="00395EFE">
        <w:tc>
          <w:tcPr>
            <w:tcW w:w="2875" w:type="dxa"/>
            <w:tcBorders>
              <w:top w:val="dashSmallGap" w:sz="18" w:space="0" w:color="auto"/>
              <w:left w:val="dashSmallGap" w:sz="18" w:space="0" w:color="auto"/>
              <w:bottom w:val="dashSmallGap" w:sz="18" w:space="0" w:color="auto"/>
              <w:right w:val="single" w:sz="4" w:space="0" w:color="auto"/>
            </w:tcBorders>
          </w:tcPr>
          <w:p w14:paraId="4ADD612A"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English Learners</w:t>
            </w:r>
          </w:p>
        </w:tc>
        <w:tc>
          <w:tcPr>
            <w:tcW w:w="4950" w:type="dxa"/>
            <w:tcBorders>
              <w:top w:val="dashSmallGap" w:sz="18" w:space="0" w:color="auto"/>
              <w:left w:val="single" w:sz="4" w:space="0" w:color="auto"/>
              <w:bottom w:val="dashSmallGap" w:sz="18" w:space="0" w:color="auto"/>
              <w:right w:val="single" w:sz="4" w:space="0" w:color="auto"/>
            </w:tcBorders>
          </w:tcPr>
          <w:p w14:paraId="29E56F70" w14:textId="5800A096" w:rsidR="00F33E20" w:rsidRPr="00BA2DE8" w:rsidRDefault="00F33E20" w:rsidP="00395EFE">
            <w:r w:rsidRPr="00BA2DE8">
              <w:rPr>
                <w:rFonts w:eastAsia="+mn-ea" w:cs="Arial"/>
                <w:b/>
                <w:bCs/>
                <w:color w:val="007D00"/>
                <w:kern w:val="24"/>
              </w:rPr>
              <w:t>Suspension</w:t>
            </w:r>
            <w:r w:rsidR="004A4DB7" w:rsidRPr="00BA2DE8">
              <w:rPr>
                <w:rFonts w:eastAsia="+mn-ea" w:cs="Arial"/>
                <w:b/>
                <w:bCs/>
                <w:color w:val="007D00"/>
                <w:kern w:val="24"/>
              </w:rPr>
              <w:t xml:space="preserve"> </w:t>
            </w:r>
            <w:r w:rsidR="004A4DB7" w:rsidRPr="00BA2DE8">
              <w:rPr>
                <w:rFonts w:eastAsia="+mn-ea" w:cs="Arial"/>
                <w:bCs/>
                <w:color w:val="007D00"/>
                <w:kern w:val="24"/>
              </w:rPr>
              <w:t>(green)</w:t>
            </w:r>
            <w:r w:rsidRPr="00BA2DE8">
              <w:rPr>
                <w:rFonts w:cs="Arial"/>
                <w:b/>
                <w:bCs/>
                <w:color w:val="000000" w:themeColor="text1"/>
                <w:kern w:val="24"/>
              </w:rPr>
              <w:t xml:space="preserve">, </w:t>
            </w:r>
            <w:r w:rsidRPr="00BA2DE8">
              <w:rPr>
                <w:rFonts w:cs="Arial"/>
                <w:b/>
                <w:bCs/>
                <w:color w:val="B95C00"/>
                <w:kern w:val="24"/>
              </w:rPr>
              <w:t>Graduation</w:t>
            </w:r>
            <w:r w:rsidR="004A4DB7" w:rsidRPr="00BA2DE8">
              <w:rPr>
                <w:rFonts w:cs="Arial"/>
                <w:b/>
                <w:bCs/>
                <w:color w:val="B95C00"/>
                <w:kern w:val="24"/>
              </w:rPr>
              <w:t xml:space="preserve"> </w:t>
            </w:r>
            <w:r w:rsidR="004A4DB7" w:rsidRPr="00BA2DE8">
              <w:rPr>
                <w:rFonts w:cs="Arial"/>
                <w:bCs/>
                <w:color w:val="B95C00"/>
                <w:kern w:val="24"/>
              </w:rPr>
              <w:t>(orange)</w:t>
            </w:r>
            <w:r w:rsidRPr="00BA2DE8">
              <w:rPr>
                <w:rFonts w:cs="Arial"/>
                <w:b/>
                <w:bCs/>
                <w:color w:val="000000" w:themeColor="text1"/>
                <w:kern w:val="24"/>
              </w:rPr>
              <w:t>,</w:t>
            </w:r>
            <w:r w:rsidRPr="00BA2DE8">
              <w:rPr>
                <w:rFonts w:cs="Arial"/>
                <w:b/>
                <w:bCs/>
                <w:color w:val="ED7D31" w:themeColor="accent2"/>
                <w:kern w:val="24"/>
              </w:rPr>
              <w:t xml:space="preserve"> </w:t>
            </w:r>
            <w:r w:rsidRPr="00BA2DE8">
              <w:rPr>
                <w:rFonts w:cs="Arial"/>
                <w:b/>
                <w:bCs/>
                <w:color w:val="C00000"/>
                <w:kern w:val="24"/>
              </w:rPr>
              <w:t>CCI</w:t>
            </w:r>
            <w:r w:rsidR="004A4DB7" w:rsidRPr="00BA2DE8">
              <w:rPr>
                <w:rFonts w:cs="Arial"/>
                <w:b/>
                <w:bCs/>
                <w:color w:val="C00000"/>
                <w:kern w:val="24"/>
              </w:rPr>
              <w:t xml:space="preserve"> </w:t>
            </w:r>
            <w:r w:rsidR="004A4DB7" w:rsidRPr="00BA2DE8">
              <w:rPr>
                <w:rFonts w:cs="Arial"/>
                <w:bCs/>
                <w:color w:val="C00000"/>
                <w:kern w:val="24"/>
              </w:rPr>
              <w:t>(red)</w:t>
            </w:r>
            <w:r w:rsidRPr="00BA2DE8">
              <w:rPr>
                <w:rFonts w:eastAsiaTheme="minorEastAsia" w:cs="Arial"/>
                <w:b/>
                <w:bCs/>
                <w:color w:val="C00000"/>
                <w:kern w:val="24"/>
              </w:rPr>
              <w:t>, ELA</w:t>
            </w:r>
            <w:r w:rsidR="004A4DB7" w:rsidRPr="00BA2DE8">
              <w:rPr>
                <w:rFonts w:eastAsiaTheme="minorEastAsia" w:cs="Arial"/>
                <w:b/>
                <w:bCs/>
                <w:color w:val="C00000"/>
                <w:kern w:val="24"/>
              </w:rPr>
              <w:t xml:space="preserve"> </w:t>
            </w:r>
            <w:r w:rsidR="004A4DB7" w:rsidRPr="00BA2DE8">
              <w:rPr>
                <w:rFonts w:eastAsiaTheme="minorEastAsia" w:cs="Arial"/>
                <w:bCs/>
                <w:color w:val="C00000"/>
                <w:kern w:val="24"/>
              </w:rPr>
              <w:t>(red)</w:t>
            </w:r>
            <w:r w:rsidRPr="00BA2DE8">
              <w:rPr>
                <w:rFonts w:eastAsiaTheme="minorEastAsia" w:cs="Arial"/>
                <w:b/>
                <w:bCs/>
                <w:color w:val="C00000"/>
                <w:kern w:val="24"/>
              </w:rPr>
              <w:t>, Math</w:t>
            </w:r>
            <w:r w:rsidR="004A4DB7" w:rsidRPr="00BA2DE8">
              <w:rPr>
                <w:rFonts w:eastAsiaTheme="minorEastAsia" w:cs="Arial"/>
                <w:b/>
                <w:bCs/>
                <w:color w:val="C00000"/>
                <w:kern w:val="24"/>
              </w:rPr>
              <w:t xml:space="preserve"> </w:t>
            </w:r>
            <w:r w:rsidR="004A4DB7" w:rsidRPr="00BA2DE8">
              <w:rPr>
                <w:rFonts w:eastAsiaTheme="minorEastAsia" w:cs="Arial"/>
                <w:bCs/>
                <w:color w:val="C00000"/>
                <w:kern w:val="24"/>
              </w:rPr>
              <w:t>(red)</w:t>
            </w:r>
            <w:r w:rsidRPr="00BA2DE8">
              <w:rPr>
                <w:rFonts w:eastAsiaTheme="minorEastAsia" w:cs="Arial"/>
                <w:b/>
                <w:bCs/>
                <w:color w:val="C00000"/>
                <w:kern w:val="24"/>
              </w:rPr>
              <w:t xml:space="preserve">, </w:t>
            </w:r>
            <w:r w:rsidRPr="00BA2DE8">
              <w:rPr>
                <w:rFonts w:eastAsiaTheme="minorEastAsia" w:cs="Arial"/>
                <w:b/>
                <w:bCs/>
                <w:kern w:val="24"/>
              </w:rPr>
              <w:t>EPLI Status - Very Low</w:t>
            </w:r>
          </w:p>
        </w:tc>
        <w:tc>
          <w:tcPr>
            <w:tcW w:w="1525" w:type="dxa"/>
            <w:tcBorders>
              <w:top w:val="dashSmallGap" w:sz="18" w:space="0" w:color="auto"/>
              <w:left w:val="single" w:sz="4" w:space="0" w:color="auto"/>
              <w:bottom w:val="dashSmallGap" w:sz="18" w:space="0" w:color="auto"/>
              <w:right w:val="dashSmallGap" w:sz="18" w:space="0" w:color="auto"/>
            </w:tcBorders>
          </w:tcPr>
          <w:p w14:paraId="61F0D3BB" w14:textId="77777777" w:rsidR="00F33E20" w:rsidRPr="00BA2DE8" w:rsidRDefault="00F33E20" w:rsidP="00395EFE">
            <w:r w:rsidRPr="00BA2DE8">
              <w:rPr>
                <w:rFonts w:cs="Arial"/>
                <w:color w:val="000000" w:themeColor="text1"/>
                <w:kern w:val="24"/>
              </w:rPr>
              <w:t>4, 8</w:t>
            </w:r>
          </w:p>
        </w:tc>
      </w:tr>
      <w:tr w:rsidR="00F33E20" w:rsidRPr="00BA2DE8" w14:paraId="76E55BF5" w14:textId="77777777" w:rsidTr="00395EFE">
        <w:tc>
          <w:tcPr>
            <w:tcW w:w="2875" w:type="dxa"/>
            <w:tcBorders>
              <w:top w:val="dashSmallGap" w:sz="18" w:space="0" w:color="auto"/>
            </w:tcBorders>
          </w:tcPr>
          <w:p w14:paraId="2DF6722F"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Filipino</w:t>
            </w:r>
          </w:p>
        </w:tc>
        <w:tc>
          <w:tcPr>
            <w:tcW w:w="4950" w:type="dxa"/>
            <w:tcBorders>
              <w:top w:val="dashSmallGap" w:sz="18" w:space="0" w:color="auto"/>
            </w:tcBorders>
            <w:vAlign w:val="center"/>
          </w:tcPr>
          <w:p w14:paraId="628733F0"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tcBorders>
              <w:top w:val="dashSmallGap" w:sz="18" w:space="0" w:color="auto"/>
            </w:tcBorders>
            <w:vAlign w:val="center"/>
          </w:tcPr>
          <w:p w14:paraId="77E0673C"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F33E20" w:rsidRPr="00BA2DE8" w14:paraId="0F1E5F97" w14:textId="77777777" w:rsidTr="00395EFE">
        <w:tc>
          <w:tcPr>
            <w:tcW w:w="2875" w:type="dxa"/>
          </w:tcPr>
          <w:p w14:paraId="5805CD40"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Foster Youth</w:t>
            </w:r>
          </w:p>
        </w:tc>
        <w:tc>
          <w:tcPr>
            <w:tcW w:w="4950" w:type="dxa"/>
            <w:vAlign w:val="center"/>
          </w:tcPr>
          <w:p w14:paraId="719FE4D7"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vAlign w:val="center"/>
          </w:tcPr>
          <w:p w14:paraId="1E1B0F15"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F33E20" w:rsidRPr="00BA2DE8" w14:paraId="7CEA09AD" w14:textId="77777777" w:rsidTr="00395EFE">
        <w:tc>
          <w:tcPr>
            <w:tcW w:w="2875" w:type="dxa"/>
          </w:tcPr>
          <w:p w14:paraId="1B45D7DC"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Hispanic</w:t>
            </w:r>
          </w:p>
        </w:tc>
        <w:tc>
          <w:tcPr>
            <w:tcW w:w="4950" w:type="dxa"/>
            <w:vAlign w:val="center"/>
          </w:tcPr>
          <w:p w14:paraId="6176C8A5" w14:textId="5B343E10" w:rsidR="00F33E20" w:rsidRPr="00BA2DE8" w:rsidRDefault="00F33E20" w:rsidP="00395EFE">
            <w:pPr>
              <w:pStyle w:val="ListBullet"/>
              <w:numPr>
                <w:ilvl w:val="0"/>
                <w:numId w:val="0"/>
              </w:numPr>
              <w:tabs>
                <w:tab w:val="left" w:pos="450"/>
              </w:tabs>
            </w:pPr>
            <w:r w:rsidRPr="00BA2DE8">
              <w:rPr>
                <w:rFonts w:eastAsia="+mn-ea" w:cs="Arial"/>
                <w:b/>
                <w:bCs/>
                <w:color w:val="007D00"/>
                <w:kern w:val="24"/>
              </w:rPr>
              <w:t>Suspension</w:t>
            </w:r>
            <w:r w:rsidR="004A4DB7" w:rsidRPr="00BA2DE8">
              <w:rPr>
                <w:rFonts w:eastAsia="+mn-ea" w:cs="Arial"/>
                <w:b/>
                <w:bCs/>
                <w:color w:val="007D00"/>
                <w:kern w:val="24"/>
              </w:rPr>
              <w:t xml:space="preserve"> </w:t>
            </w:r>
            <w:r w:rsidR="004A4DB7" w:rsidRPr="00BA2DE8">
              <w:rPr>
                <w:rFonts w:eastAsia="+mn-ea" w:cs="Arial"/>
                <w:bCs/>
                <w:color w:val="007D00"/>
                <w:kern w:val="24"/>
              </w:rPr>
              <w:t>(green)</w:t>
            </w:r>
            <w:r w:rsidRPr="00BA2DE8">
              <w:rPr>
                <w:rFonts w:cs="Arial"/>
                <w:b/>
                <w:bCs/>
                <w:color w:val="000000" w:themeColor="text1"/>
                <w:kern w:val="24"/>
              </w:rPr>
              <w:t xml:space="preserve">, </w:t>
            </w:r>
            <w:r w:rsidRPr="00BA2DE8">
              <w:rPr>
                <w:rFonts w:cs="Arial"/>
                <w:b/>
                <w:bCs/>
                <w:color w:val="B95C00"/>
                <w:kern w:val="24"/>
              </w:rPr>
              <w:t>Graduation</w:t>
            </w:r>
            <w:r w:rsidR="004A4DB7" w:rsidRPr="00BA2DE8">
              <w:rPr>
                <w:rFonts w:cs="Arial"/>
                <w:b/>
                <w:bCs/>
                <w:color w:val="B95C00"/>
                <w:kern w:val="24"/>
              </w:rPr>
              <w:t xml:space="preserve"> </w:t>
            </w:r>
            <w:r w:rsidR="004A4DB7" w:rsidRPr="00BA2DE8">
              <w:rPr>
                <w:rFonts w:cs="Arial"/>
                <w:bCs/>
                <w:color w:val="B95C00"/>
                <w:kern w:val="24"/>
              </w:rPr>
              <w:t>(orange)</w:t>
            </w:r>
            <w:r w:rsidRPr="00BA2DE8">
              <w:rPr>
                <w:rFonts w:cs="Arial"/>
                <w:b/>
                <w:bCs/>
                <w:color w:val="000000" w:themeColor="text1"/>
                <w:kern w:val="24"/>
              </w:rPr>
              <w:t>,</w:t>
            </w:r>
            <w:r w:rsidRPr="00BA2DE8">
              <w:rPr>
                <w:rFonts w:cs="Arial"/>
                <w:b/>
                <w:bCs/>
                <w:color w:val="ED7D31" w:themeColor="accent2"/>
                <w:kern w:val="24"/>
              </w:rPr>
              <w:t xml:space="preserve"> </w:t>
            </w:r>
            <w:r w:rsidRPr="00BA2DE8">
              <w:rPr>
                <w:rFonts w:eastAsia="+mn-ea" w:cs="Arial"/>
                <w:b/>
                <w:bCs/>
                <w:color w:val="007D00"/>
                <w:kern w:val="24"/>
              </w:rPr>
              <w:t>CCI</w:t>
            </w:r>
            <w:r w:rsidR="004A4DB7" w:rsidRPr="00BA2DE8">
              <w:rPr>
                <w:rFonts w:eastAsia="+mn-ea" w:cs="Arial"/>
                <w:b/>
                <w:bCs/>
                <w:color w:val="007D00"/>
                <w:kern w:val="24"/>
              </w:rPr>
              <w:t xml:space="preserve"> </w:t>
            </w:r>
            <w:r w:rsidR="004A4DB7" w:rsidRPr="00BA2DE8">
              <w:rPr>
                <w:rFonts w:eastAsia="+mn-ea" w:cs="Arial"/>
                <w:bCs/>
                <w:color w:val="007D00"/>
                <w:kern w:val="24"/>
              </w:rPr>
              <w:t>(green)</w:t>
            </w:r>
            <w:r w:rsidRPr="00BA2DE8">
              <w:rPr>
                <w:rFonts w:cs="Arial"/>
                <w:b/>
                <w:bCs/>
                <w:color w:val="000000" w:themeColor="text1"/>
                <w:kern w:val="24"/>
              </w:rPr>
              <w:t>,</w:t>
            </w:r>
            <w:r w:rsidRPr="00BA2DE8">
              <w:rPr>
                <w:rFonts w:cs="Arial"/>
                <w:b/>
                <w:bCs/>
                <w:color w:val="ED7D31" w:themeColor="accent2"/>
                <w:kern w:val="24"/>
              </w:rPr>
              <w:t xml:space="preserve"> </w:t>
            </w:r>
            <w:r w:rsidRPr="00BA2DE8">
              <w:rPr>
                <w:rFonts w:cs="Arial"/>
                <w:b/>
                <w:bCs/>
                <w:color w:val="B95C00"/>
                <w:kern w:val="24"/>
              </w:rPr>
              <w:t>ELA</w:t>
            </w:r>
            <w:r w:rsidR="004A4DB7" w:rsidRPr="00BA2DE8">
              <w:rPr>
                <w:rFonts w:cs="Arial"/>
                <w:b/>
                <w:bCs/>
                <w:color w:val="B95C00"/>
                <w:kern w:val="24"/>
              </w:rPr>
              <w:t xml:space="preserve"> </w:t>
            </w:r>
            <w:r w:rsidR="004A4DB7" w:rsidRPr="00BA2DE8">
              <w:rPr>
                <w:rFonts w:cs="Arial"/>
                <w:bCs/>
                <w:color w:val="B95C00"/>
                <w:kern w:val="24"/>
              </w:rPr>
              <w:t>(orange)</w:t>
            </w:r>
            <w:r w:rsidRPr="00BA2DE8">
              <w:rPr>
                <w:rFonts w:cs="Arial"/>
                <w:b/>
                <w:bCs/>
                <w:color w:val="000000" w:themeColor="text1"/>
                <w:kern w:val="24"/>
              </w:rPr>
              <w:t>,</w:t>
            </w:r>
            <w:r w:rsidRPr="00BA2DE8">
              <w:rPr>
                <w:rFonts w:cs="Arial"/>
                <w:b/>
                <w:bCs/>
                <w:color w:val="ED7D31" w:themeColor="accent2"/>
                <w:kern w:val="24"/>
              </w:rPr>
              <w:t xml:space="preserve"> </w:t>
            </w:r>
            <w:r w:rsidRPr="00BA2DE8">
              <w:rPr>
                <w:rFonts w:cs="Arial"/>
                <w:b/>
                <w:bCs/>
                <w:color w:val="C00000"/>
                <w:kern w:val="24"/>
              </w:rPr>
              <w:t>Math</w:t>
            </w:r>
            <w:r w:rsidR="004A4DB7" w:rsidRPr="00BA2DE8">
              <w:rPr>
                <w:rFonts w:cs="Arial"/>
                <w:b/>
                <w:bCs/>
                <w:color w:val="C00000"/>
                <w:kern w:val="24"/>
              </w:rPr>
              <w:t xml:space="preserve"> </w:t>
            </w:r>
            <w:r w:rsidR="004A4DB7" w:rsidRPr="00BA2DE8">
              <w:rPr>
                <w:rFonts w:cs="Arial"/>
                <w:bCs/>
                <w:color w:val="C00000"/>
                <w:kern w:val="24"/>
              </w:rPr>
              <w:t>(red)</w:t>
            </w:r>
          </w:p>
        </w:tc>
        <w:tc>
          <w:tcPr>
            <w:tcW w:w="1525" w:type="dxa"/>
            <w:vAlign w:val="center"/>
          </w:tcPr>
          <w:p w14:paraId="24FC44D9"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4</w:t>
            </w:r>
          </w:p>
        </w:tc>
      </w:tr>
      <w:tr w:rsidR="00F33E20" w:rsidRPr="00BA2DE8" w14:paraId="5598A09F" w14:textId="77777777" w:rsidTr="00395EFE">
        <w:tc>
          <w:tcPr>
            <w:tcW w:w="2875" w:type="dxa"/>
          </w:tcPr>
          <w:p w14:paraId="398231AD" w14:textId="77777777" w:rsidR="00F33E20" w:rsidRPr="00BA2DE8" w:rsidRDefault="00F33E20" w:rsidP="00395EFE">
            <w:pPr>
              <w:pStyle w:val="ListBullet"/>
              <w:numPr>
                <w:ilvl w:val="0"/>
                <w:numId w:val="0"/>
              </w:numPr>
              <w:tabs>
                <w:tab w:val="left" w:pos="450"/>
              </w:tabs>
              <w:rPr>
                <w:bCs/>
              </w:rPr>
            </w:pPr>
            <w:r w:rsidRPr="00BA2DE8">
              <w:rPr>
                <w:rFonts w:cs="Arial"/>
                <w:color w:val="000000" w:themeColor="dark1"/>
                <w:kern w:val="24"/>
              </w:rPr>
              <w:t>Homeless</w:t>
            </w:r>
          </w:p>
        </w:tc>
        <w:tc>
          <w:tcPr>
            <w:tcW w:w="4950" w:type="dxa"/>
            <w:vAlign w:val="center"/>
          </w:tcPr>
          <w:p w14:paraId="52B88F31"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vAlign w:val="center"/>
          </w:tcPr>
          <w:p w14:paraId="0D5A205F"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F33E20" w:rsidRPr="00BA2DE8" w14:paraId="596B6B2A" w14:textId="77777777" w:rsidTr="00395EFE">
        <w:tc>
          <w:tcPr>
            <w:tcW w:w="2875" w:type="dxa"/>
          </w:tcPr>
          <w:p w14:paraId="5B56D1DF" w14:textId="77777777" w:rsidR="00F33E20" w:rsidRPr="00BA2DE8" w:rsidRDefault="00F33E20" w:rsidP="00395EFE">
            <w:pPr>
              <w:pStyle w:val="ListBullet"/>
              <w:numPr>
                <w:ilvl w:val="0"/>
                <w:numId w:val="0"/>
              </w:numPr>
              <w:tabs>
                <w:tab w:val="left" w:pos="450"/>
              </w:tabs>
              <w:rPr>
                <w:bCs/>
              </w:rPr>
            </w:pPr>
            <w:r w:rsidRPr="00BA2DE8">
              <w:rPr>
                <w:rFonts w:cs="Arial"/>
                <w:color w:val="000000" w:themeColor="dark1"/>
                <w:kern w:val="24"/>
              </w:rPr>
              <w:t>Pacific Islander</w:t>
            </w:r>
          </w:p>
        </w:tc>
        <w:tc>
          <w:tcPr>
            <w:tcW w:w="4950" w:type="dxa"/>
            <w:vAlign w:val="center"/>
          </w:tcPr>
          <w:p w14:paraId="2CBE373F"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vAlign w:val="center"/>
          </w:tcPr>
          <w:p w14:paraId="185A408F"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F33E20" w:rsidRPr="00BA2DE8" w14:paraId="4EFF11A8" w14:textId="77777777" w:rsidTr="00395EFE">
        <w:tc>
          <w:tcPr>
            <w:tcW w:w="2875" w:type="dxa"/>
          </w:tcPr>
          <w:p w14:paraId="08FB1376" w14:textId="77777777" w:rsidR="00F33E20" w:rsidRPr="00BA2DE8" w:rsidRDefault="00F33E20" w:rsidP="00395EFE">
            <w:pPr>
              <w:pStyle w:val="ListBullet"/>
              <w:numPr>
                <w:ilvl w:val="0"/>
                <w:numId w:val="0"/>
              </w:numPr>
              <w:tabs>
                <w:tab w:val="left" w:pos="450"/>
              </w:tabs>
              <w:rPr>
                <w:bCs/>
              </w:rPr>
            </w:pPr>
            <w:r w:rsidRPr="00BA2DE8">
              <w:rPr>
                <w:rFonts w:cs="Arial"/>
                <w:color w:val="000000" w:themeColor="dark1"/>
                <w:kern w:val="24"/>
              </w:rPr>
              <w:t>Socioeconomically Disadvantaged</w:t>
            </w:r>
          </w:p>
        </w:tc>
        <w:tc>
          <w:tcPr>
            <w:tcW w:w="4950" w:type="dxa"/>
            <w:vAlign w:val="center"/>
          </w:tcPr>
          <w:p w14:paraId="23264A3F" w14:textId="428E518D" w:rsidR="00F33E20" w:rsidRPr="00BA2DE8" w:rsidRDefault="00F33E20" w:rsidP="00395EFE">
            <w:pPr>
              <w:pStyle w:val="ListBullet"/>
              <w:numPr>
                <w:ilvl w:val="0"/>
                <w:numId w:val="0"/>
              </w:numPr>
              <w:tabs>
                <w:tab w:val="left" w:pos="450"/>
              </w:tabs>
            </w:pPr>
            <w:r w:rsidRPr="00BA2DE8">
              <w:rPr>
                <w:rFonts w:cs="Arial"/>
                <w:b/>
                <w:bCs/>
                <w:color w:val="C00000"/>
                <w:kern w:val="24"/>
              </w:rPr>
              <w:t>Chronic</w:t>
            </w:r>
            <w:r w:rsidR="004A4DB7" w:rsidRPr="00BA2DE8">
              <w:rPr>
                <w:rFonts w:cs="Arial"/>
                <w:b/>
                <w:bCs/>
                <w:color w:val="C00000"/>
                <w:kern w:val="24"/>
              </w:rPr>
              <w:t xml:space="preserve"> </w:t>
            </w:r>
            <w:r w:rsidR="004A4DB7" w:rsidRPr="00BA2DE8">
              <w:rPr>
                <w:rFonts w:cs="Arial"/>
                <w:bCs/>
                <w:color w:val="C00000"/>
                <w:kern w:val="24"/>
              </w:rPr>
              <w:t>(red)</w:t>
            </w:r>
            <w:r w:rsidRPr="00BA2DE8">
              <w:rPr>
                <w:rFonts w:cs="Arial"/>
                <w:b/>
                <w:bCs/>
                <w:color w:val="000000" w:themeColor="text1"/>
                <w:kern w:val="24"/>
              </w:rPr>
              <w:t>,</w:t>
            </w:r>
            <w:r w:rsidRPr="00BA2DE8">
              <w:rPr>
                <w:rFonts w:cs="Arial"/>
                <w:b/>
                <w:bCs/>
                <w:color w:val="C00000"/>
                <w:kern w:val="24"/>
              </w:rPr>
              <w:t xml:space="preserve"> </w:t>
            </w:r>
            <w:r w:rsidRPr="00BA2DE8">
              <w:rPr>
                <w:rFonts w:eastAsia="+mn-ea" w:cs="Arial"/>
                <w:b/>
                <w:bCs/>
                <w:color w:val="007D00"/>
                <w:kern w:val="24"/>
              </w:rPr>
              <w:t>Suspension</w:t>
            </w:r>
            <w:r w:rsidR="004A4DB7" w:rsidRPr="00BA2DE8">
              <w:rPr>
                <w:rFonts w:eastAsia="+mn-ea" w:cs="Arial"/>
                <w:b/>
                <w:bCs/>
                <w:color w:val="007D00"/>
                <w:kern w:val="24"/>
              </w:rPr>
              <w:t xml:space="preserve"> </w:t>
            </w:r>
            <w:r w:rsidR="004A4DB7" w:rsidRPr="00BA2DE8">
              <w:rPr>
                <w:rFonts w:eastAsia="+mn-ea" w:cs="Arial"/>
                <w:bCs/>
                <w:color w:val="007D00"/>
                <w:kern w:val="24"/>
              </w:rPr>
              <w:t>(green)</w:t>
            </w:r>
          </w:p>
        </w:tc>
        <w:tc>
          <w:tcPr>
            <w:tcW w:w="1525" w:type="dxa"/>
            <w:vAlign w:val="center"/>
          </w:tcPr>
          <w:p w14:paraId="0EFB0518"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5</w:t>
            </w:r>
          </w:p>
        </w:tc>
      </w:tr>
      <w:tr w:rsidR="00F33E20" w:rsidRPr="00BA2DE8" w14:paraId="35D8B3B2" w14:textId="77777777" w:rsidTr="00395EFE">
        <w:tc>
          <w:tcPr>
            <w:tcW w:w="2875" w:type="dxa"/>
          </w:tcPr>
          <w:p w14:paraId="2A552CC1" w14:textId="77777777" w:rsidR="00F33E20" w:rsidRPr="00BA2DE8" w:rsidRDefault="00F33E20" w:rsidP="00395EFE">
            <w:pPr>
              <w:pStyle w:val="ListBullet"/>
              <w:numPr>
                <w:ilvl w:val="0"/>
                <w:numId w:val="0"/>
              </w:numPr>
              <w:tabs>
                <w:tab w:val="left" w:pos="450"/>
              </w:tabs>
              <w:rPr>
                <w:bCs/>
              </w:rPr>
            </w:pPr>
            <w:r w:rsidRPr="00BA2DE8">
              <w:rPr>
                <w:rFonts w:cs="Arial"/>
                <w:color w:val="000000" w:themeColor="dark1"/>
                <w:kern w:val="24"/>
              </w:rPr>
              <w:t>Students with Disabilities</w:t>
            </w:r>
          </w:p>
        </w:tc>
        <w:tc>
          <w:tcPr>
            <w:tcW w:w="4950" w:type="dxa"/>
            <w:vAlign w:val="center"/>
          </w:tcPr>
          <w:p w14:paraId="20A2AFF9" w14:textId="0CD3AD29" w:rsidR="00F33E20" w:rsidRPr="00BA2DE8" w:rsidRDefault="00F33E20" w:rsidP="00395EFE">
            <w:pPr>
              <w:pStyle w:val="ListBullet"/>
              <w:numPr>
                <w:ilvl w:val="0"/>
                <w:numId w:val="0"/>
              </w:numPr>
              <w:tabs>
                <w:tab w:val="left" w:pos="450"/>
              </w:tabs>
            </w:pPr>
            <w:r w:rsidRPr="00BA2DE8">
              <w:rPr>
                <w:rFonts w:eastAsia="+mn-ea" w:cs="Arial"/>
                <w:b/>
                <w:bCs/>
                <w:color w:val="007D00"/>
                <w:kern w:val="24"/>
              </w:rPr>
              <w:t>Suspension</w:t>
            </w:r>
            <w:r w:rsidR="004A4DB7" w:rsidRPr="00BA2DE8">
              <w:rPr>
                <w:rFonts w:eastAsia="+mn-ea" w:cs="Arial"/>
                <w:b/>
                <w:bCs/>
                <w:color w:val="007D00"/>
                <w:kern w:val="24"/>
              </w:rPr>
              <w:t xml:space="preserve"> </w:t>
            </w:r>
            <w:r w:rsidR="004A4DB7" w:rsidRPr="00BA2DE8">
              <w:rPr>
                <w:rFonts w:eastAsia="+mn-ea" w:cs="Arial"/>
                <w:bCs/>
                <w:color w:val="007D00"/>
                <w:kern w:val="24"/>
              </w:rPr>
              <w:t>(green)</w:t>
            </w:r>
          </w:p>
        </w:tc>
        <w:tc>
          <w:tcPr>
            <w:tcW w:w="1525" w:type="dxa"/>
            <w:vAlign w:val="center"/>
          </w:tcPr>
          <w:p w14:paraId="1C459E5A"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F33E20" w:rsidRPr="00BA2DE8" w14:paraId="699E1400" w14:textId="77777777" w:rsidTr="00395EFE">
        <w:tc>
          <w:tcPr>
            <w:tcW w:w="2875" w:type="dxa"/>
          </w:tcPr>
          <w:p w14:paraId="557274B3" w14:textId="77777777" w:rsidR="00F33E20" w:rsidRPr="00BA2DE8" w:rsidRDefault="00F33E20" w:rsidP="00395EFE">
            <w:pPr>
              <w:pStyle w:val="ListBullet"/>
              <w:numPr>
                <w:ilvl w:val="0"/>
                <w:numId w:val="0"/>
              </w:numPr>
              <w:tabs>
                <w:tab w:val="left" w:pos="450"/>
              </w:tabs>
              <w:rPr>
                <w:bCs/>
              </w:rPr>
            </w:pPr>
            <w:r w:rsidRPr="00BA2DE8">
              <w:rPr>
                <w:rFonts w:cs="Arial"/>
                <w:color w:val="000000" w:themeColor="dark1"/>
                <w:kern w:val="24"/>
              </w:rPr>
              <w:t>Two or More Races</w:t>
            </w:r>
          </w:p>
        </w:tc>
        <w:tc>
          <w:tcPr>
            <w:tcW w:w="4950" w:type="dxa"/>
            <w:vAlign w:val="center"/>
          </w:tcPr>
          <w:p w14:paraId="22F3EA58" w14:textId="77777777" w:rsidR="00F33E20" w:rsidRPr="00BA2DE8" w:rsidRDefault="00F33E20" w:rsidP="00395EFE">
            <w:pPr>
              <w:pStyle w:val="ListBullet"/>
              <w:numPr>
                <w:ilvl w:val="0"/>
                <w:numId w:val="0"/>
              </w:numPr>
              <w:tabs>
                <w:tab w:val="left" w:pos="450"/>
              </w:tabs>
            </w:pPr>
            <w:r w:rsidRPr="00BA2DE8">
              <w:rPr>
                <w:rFonts w:cs="Arial"/>
                <w:color w:val="000000" w:themeColor="dark1"/>
                <w:kern w:val="24"/>
              </w:rPr>
              <w:t>(No Colors)</w:t>
            </w:r>
          </w:p>
        </w:tc>
        <w:tc>
          <w:tcPr>
            <w:tcW w:w="1525" w:type="dxa"/>
            <w:vAlign w:val="center"/>
          </w:tcPr>
          <w:p w14:paraId="0271FA5B" w14:textId="77777777" w:rsidR="00F33E20" w:rsidRPr="00BA2DE8" w:rsidRDefault="00F33E20" w:rsidP="00395EFE">
            <w:pPr>
              <w:pStyle w:val="ListBullet"/>
              <w:numPr>
                <w:ilvl w:val="0"/>
                <w:numId w:val="0"/>
              </w:numPr>
              <w:tabs>
                <w:tab w:val="left" w:pos="450"/>
              </w:tabs>
            </w:pPr>
            <w:r w:rsidRPr="00BA2DE8">
              <w:rPr>
                <w:rFonts w:cs="Arial"/>
                <w:color w:val="000000" w:themeColor="text1"/>
                <w:kern w:val="24"/>
              </w:rPr>
              <w:t>N/A</w:t>
            </w:r>
          </w:p>
        </w:tc>
      </w:tr>
      <w:tr w:rsidR="00B5427B" w:rsidRPr="00BA2DE8" w14:paraId="72A6190A" w14:textId="77777777" w:rsidTr="00395EFE">
        <w:tc>
          <w:tcPr>
            <w:tcW w:w="2875" w:type="dxa"/>
          </w:tcPr>
          <w:p w14:paraId="75244AE7" w14:textId="264CDF58" w:rsidR="00B5427B" w:rsidRPr="00BA2DE8" w:rsidRDefault="00B5427B" w:rsidP="00395EFE">
            <w:pPr>
              <w:pStyle w:val="ListBullet"/>
              <w:numPr>
                <w:ilvl w:val="0"/>
                <w:numId w:val="0"/>
              </w:numPr>
              <w:tabs>
                <w:tab w:val="left" w:pos="450"/>
              </w:tabs>
              <w:rPr>
                <w:rFonts w:cs="Arial"/>
                <w:color w:val="000000" w:themeColor="dark1"/>
                <w:kern w:val="24"/>
              </w:rPr>
            </w:pPr>
            <w:r w:rsidRPr="00BA2DE8">
              <w:rPr>
                <w:rFonts w:cs="Arial"/>
                <w:color w:val="000000" w:themeColor="dark1"/>
                <w:kern w:val="24"/>
              </w:rPr>
              <w:t>White</w:t>
            </w:r>
          </w:p>
        </w:tc>
        <w:tc>
          <w:tcPr>
            <w:tcW w:w="4950" w:type="dxa"/>
            <w:vAlign w:val="center"/>
          </w:tcPr>
          <w:p w14:paraId="0C5A66CC" w14:textId="5B42D9CA" w:rsidR="00B5427B" w:rsidRPr="00BA2DE8" w:rsidRDefault="00B5427B" w:rsidP="00395EFE">
            <w:pPr>
              <w:pStyle w:val="ListBullet"/>
              <w:numPr>
                <w:ilvl w:val="0"/>
                <w:numId w:val="0"/>
              </w:numPr>
              <w:tabs>
                <w:tab w:val="left" w:pos="450"/>
              </w:tabs>
              <w:rPr>
                <w:rFonts w:cs="Arial"/>
                <w:color w:val="000000" w:themeColor="dark1"/>
                <w:kern w:val="24"/>
              </w:rPr>
            </w:pPr>
            <w:r w:rsidRPr="003E11D4">
              <w:rPr>
                <w:rFonts w:eastAsia="+mn-ea" w:cs="Arial"/>
                <w:b/>
                <w:bCs/>
                <w:color w:val="007D00"/>
                <w:kern w:val="24"/>
              </w:rPr>
              <w:t>Suspension</w:t>
            </w:r>
            <w:r w:rsidR="004A4DB7" w:rsidRPr="00BA2DE8">
              <w:rPr>
                <w:rFonts w:eastAsia="+mn-ea" w:cs="Arial"/>
                <w:b/>
                <w:bCs/>
                <w:color w:val="00B050"/>
                <w:kern w:val="24"/>
              </w:rPr>
              <w:t xml:space="preserve"> </w:t>
            </w:r>
            <w:r w:rsidR="004A4DB7" w:rsidRPr="00BA2DE8">
              <w:rPr>
                <w:rFonts w:eastAsia="+mn-ea" w:cs="Arial"/>
                <w:bCs/>
                <w:color w:val="007D00"/>
                <w:kern w:val="24"/>
              </w:rPr>
              <w:t>(green</w:t>
            </w:r>
            <w:r w:rsidR="004A4DB7" w:rsidRPr="003E11D4">
              <w:rPr>
                <w:rFonts w:eastAsia="+mn-ea" w:cs="Arial"/>
                <w:bCs/>
                <w:color w:val="B95C00"/>
                <w:kern w:val="24"/>
              </w:rPr>
              <w:t>)</w:t>
            </w:r>
            <w:r w:rsidRPr="003E11D4">
              <w:rPr>
                <w:rFonts w:cs="Arial"/>
                <w:b/>
                <w:bCs/>
                <w:color w:val="B95C00"/>
                <w:kern w:val="24"/>
              </w:rPr>
              <w:t>,</w:t>
            </w:r>
            <w:r w:rsidRPr="003E11D4">
              <w:rPr>
                <w:rFonts w:cs="Arial"/>
                <w:b/>
                <w:bCs/>
                <w:color w:val="B95C00"/>
                <w:kern w:val="24"/>
                <w14:textOutline w14:w="9525" w14:cap="flat" w14:cmpd="sng" w14:algn="ctr">
                  <w14:solidFill>
                    <w14:schemeClr w14:val="tx1"/>
                  </w14:solidFill>
                  <w14:prstDash w14:val="solid"/>
                  <w14:round/>
                </w14:textOutline>
              </w:rPr>
              <w:t xml:space="preserve"> </w:t>
            </w:r>
            <w:r w:rsidRPr="003E11D4">
              <w:rPr>
                <w:rFonts w:cs="Arial"/>
                <w:b/>
                <w:bCs/>
                <w:color w:val="B95C00"/>
                <w:kern w:val="24"/>
              </w:rPr>
              <w:t>Graduation</w:t>
            </w:r>
            <w:r w:rsidR="004A4DB7" w:rsidRPr="003E11D4">
              <w:rPr>
                <w:rFonts w:cs="Arial"/>
                <w:b/>
                <w:bCs/>
                <w:color w:val="B95C00"/>
                <w:kern w:val="24"/>
              </w:rPr>
              <w:t xml:space="preserve"> </w:t>
            </w:r>
            <w:r w:rsidR="004A4DB7" w:rsidRPr="003E11D4">
              <w:rPr>
                <w:rFonts w:cs="Arial"/>
                <w:bCs/>
                <w:color w:val="B95C00"/>
                <w:kern w:val="24"/>
              </w:rPr>
              <w:t>(orange)</w:t>
            </w:r>
            <w:r w:rsidRPr="003E11D4">
              <w:rPr>
                <w:rFonts w:cs="Arial"/>
                <w:b/>
                <w:bCs/>
                <w:color w:val="B95C00"/>
                <w:kern w:val="24"/>
              </w:rPr>
              <w:t xml:space="preserve">, </w:t>
            </w:r>
            <w:r w:rsidRPr="003E11D4">
              <w:rPr>
                <w:rFonts w:eastAsiaTheme="minorEastAsia" w:cs="Arial"/>
                <w:b/>
                <w:bCs/>
                <w:color w:val="B95C00"/>
                <w:kern w:val="24"/>
              </w:rPr>
              <w:t>CCI</w:t>
            </w:r>
            <w:r w:rsidR="004A4DB7" w:rsidRPr="003E11D4">
              <w:rPr>
                <w:rFonts w:eastAsiaTheme="minorEastAsia" w:cs="Arial"/>
                <w:b/>
                <w:bCs/>
                <w:color w:val="B95C00"/>
                <w:kern w:val="24"/>
              </w:rPr>
              <w:t xml:space="preserve"> </w:t>
            </w:r>
            <w:r w:rsidR="004A4DB7" w:rsidRPr="003E11D4">
              <w:rPr>
                <w:rFonts w:cs="Arial"/>
                <w:bCs/>
                <w:color w:val="B95C00"/>
                <w:kern w:val="24"/>
              </w:rPr>
              <w:t>(orange)</w:t>
            </w:r>
            <w:r w:rsidRPr="00BA2DE8">
              <w:rPr>
                <w:rFonts w:eastAsiaTheme="minorEastAsia" w:cs="Arial"/>
                <w:b/>
                <w:bCs/>
                <w:kern w:val="24"/>
              </w:rPr>
              <w:t>,</w:t>
            </w:r>
            <w:r w:rsidRPr="00BA2DE8">
              <w:rPr>
                <w:rFonts w:eastAsiaTheme="minorEastAsia" w:cs="Arial"/>
                <w:b/>
                <w:bCs/>
                <w:color w:val="ED7D31" w:themeColor="accent2"/>
                <w:kern w:val="24"/>
              </w:rPr>
              <w:t xml:space="preserve"> </w:t>
            </w:r>
            <w:r w:rsidRPr="00031195">
              <w:rPr>
                <w:rFonts w:eastAsia="+mn-ea" w:cs="Arial"/>
                <w:b/>
                <w:bCs/>
                <w:color w:val="007D00"/>
                <w:kern w:val="24"/>
              </w:rPr>
              <w:t>ELA</w:t>
            </w:r>
            <w:r w:rsidR="004A4DB7" w:rsidRPr="00031195">
              <w:rPr>
                <w:rFonts w:eastAsia="+mn-ea" w:cs="Arial"/>
                <w:b/>
                <w:bCs/>
                <w:color w:val="007D00"/>
                <w:kern w:val="24"/>
              </w:rPr>
              <w:t xml:space="preserve"> </w:t>
            </w:r>
            <w:r w:rsidR="004A4DB7" w:rsidRPr="00031195">
              <w:rPr>
                <w:rFonts w:eastAsia="+mn-ea" w:cs="Arial"/>
                <w:bCs/>
                <w:color w:val="007D00"/>
                <w:kern w:val="24"/>
              </w:rPr>
              <w:t>(green)</w:t>
            </w:r>
            <w:r w:rsidRPr="00031195">
              <w:rPr>
                <w:rFonts w:eastAsia="+mn-ea" w:cs="Arial"/>
                <w:b/>
                <w:bCs/>
                <w:color w:val="007D00"/>
                <w:kern w:val="24"/>
              </w:rPr>
              <w:t>, Math</w:t>
            </w:r>
            <w:r w:rsidR="004A4DB7" w:rsidRPr="00031195">
              <w:rPr>
                <w:rFonts w:eastAsia="+mn-ea" w:cs="Arial"/>
                <w:b/>
                <w:bCs/>
                <w:color w:val="007D00"/>
                <w:kern w:val="24"/>
              </w:rPr>
              <w:t xml:space="preserve"> </w:t>
            </w:r>
            <w:r w:rsidR="004A4DB7" w:rsidRPr="00031195">
              <w:rPr>
                <w:rFonts w:eastAsia="+mn-ea" w:cs="Arial"/>
                <w:bCs/>
                <w:color w:val="007D00"/>
                <w:kern w:val="24"/>
              </w:rPr>
              <w:t>(green)</w:t>
            </w:r>
          </w:p>
        </w:tc>
        <w:tc>
          <w:tcPr>
            <w:tcW w:w="1525" w:type="dxa"/>
            <w:vAlign w:val="center"/>
          </w:tcPr>
          <w:p w14:paraId="032662BA" w14:textId="452C3A05" w:rsidR="00B5427B" w:rsidRPr="00BA2DE8" w:rsidRDefault="00B5427B" w:rsidP="00395EFE">
            <w:pPr>
              <w:pStyle w:val="ListBullet"/>
              <w:numPr>
                <w:ilvl w:val="0"/>
                <w:numId w:val="0"/>
              </w:numPr>
              <w:tabs>
                <w:tab w:val="left" w:pos="450"/>
              </w:tabs>
              <w:rPr>
                <w:rFonts w:cs="Arial"/>
                <w:color w:val="000000" w:themeColor="text1"/>
                <w:kern w:val="24"/>
              </w:rPr>
            </w:pPr>
            <w:r w:rsidRPr="00BA2DE8">
              <w:rPr>
                <w:rFonts w:cs="Arial"/>
                <w:color w:val="000000" w:themeColor="text1"/>
                <w:kern w:val="24"/>
              </w:rPr>
              <w:t>N/A</w:t>
            </w:r>
          </w:p>
        </w:tc>
      </w:tr>
    </w:tbl>
    <w:p w14:paraId="62483CE6" w14:textId="45372D6F" w:rsidR="0060321A" w:rsidRPr="00BA2DE8" w:rsidRDefault="00670B00" w:rsidP="003B0F9A">
      <w:pPr>
        <w:spacing w:before="240" w:after="240"/>
      </w:pPr>
      <w:r w:rsidRPr="00BA2DE8">
        <w:t>B</w:t>
      </w:r>
      <w:r w:rsidR="0060321A" w:rsidRPr="00BA2DE8">
        <w:t>ecause Crystal Unified School District’s EL student group received a “Very Low” ELPI Status and a “Red” on the ELA and Math indicators (Priority Area 4) and received a “Red” on the College/Career Indicator (Priority Area 8), this LEA is eligible for Differentiated Assistance under LCFF.</w:t>
      </w:r>
    </w:p>
    <w:p w14:paraId="08551CFC" w14:textId="77777777" w:rsidR="0060321A" w:rsidRPr="00BA2DE8" w:rsidRDefault="0060321A" w:rsidP="003B0F9A">
      <w:pPr>
        <w:pStyle w:val="ListBullet"/>
        <w:numPr>
          <w:ilvl w:val="0"/>
          <w:numId w:val="0"/>
        </w:numPr>
        <w:tabs>
          <w:tab w:val="left" w:pos="450"/>
        </w:tabs>
        <w:spacing w:after="240"/>
        <w:contextualSpacing w:val="0"/>
        <w:rPr>
          <w:rStyle w:val="SubtleEmphasis"/>
        </w:rPr>
      </w:pPr>
      <w:r w:rsidRPr="00BA2DE8">
        <w:rPr>
          <w:rStyle w:val="SubtleEmphasis"/>
        </w:rPr>
        <w:t>ESSA Eligibility Criteria</w:t>
      </w:r>
    </w:p>
    <w:p w14:paraId="4445AE0A" w14:textId="6BB3ADFF" w:rsidR="0060321A" w:rsidRPr="00BA2DE8" w:rsidRDefault="0060321A" w:rsidP="003B0F9A">
      <w:pPr>
        <w:spacing w:after="240"/>
        <w:rPr>
          <w:rFonts w:cs="Arial"/>
        </w:rPr>
      </w:pPr>
      <w:r w:rsidRPr="00BA2DE8">
        <w:t xml:space="preserve">For ESSA </w:t>
      </w:r>
      <w:r w:rsidRPr="00BA2DE8">
        <w:rPr>
          <w:rFonts w:cs="Arial"/>
        </w:rPr>
        <w:t xml:space="preserve">eligibility for assistance, schools can be eligible for </w:t>
      </w:r>
      <w:r w:rsidR="00694C73" w:rsidRPr="00BA2DE8">
        <w:rPr>
          <w:rFonts w:cs="Arial"/>
        </w:rPr>
        <w:t>s</w:t>
      </w:r>
      <w:r w:rsidRPr="00BA2DE8">
        <w:rPr>
          <w:rFonts w:cs="Arial"/>
        </w:rPr>
        <w:t xml:space="preserve">upport and </w:t>
      </w:r>
      <w:r w:rsidR="00694C73" w:rsidRPr="00BA2DE8">
        <w:rPr>
          <w:rFonts w:cs="Arial"/>
        </w:rPr>
        <w:t>i</w:t>
      </w:r>
      <w:r w:rsidRPr="00BA2DE8">
        <w:rPr>
          <w:rFonts w:cs="Arial"/>
        </w:rPr>
        <w:t xml:space="preserve">mprovement in the following categories, but only one category at a time: </w:t>
      </w:r>
    </w:p>
    <w:p w14:paraId="40327BD7" w14:textId="77777777" w:rsidR="0060321A" w:rsidRPr="00BA2DE8" w:rsidRDefault="0060321A" w:rsidP="003B0F9A">
      <w:pPr>
        <w:pStyle w:val="ListParagraph"/>
        <w:numPr>
          <w:ilvl w:val="0"/>
          <w:numId w:val="13"/>
        </w:numPr>
        <w:spacing w:after="240" w:line="240" w:lineRule="auto"/>
        <w:contextualSpacing w:val="0"/>
        <w:rPr>
          <w:rFonts w:ascii="Arial" w:eastAsia="Times New Roman" w:hAnsi="Arial" w:cs="Arial"/>
          <w:sz w:val="24"/>
          <w:szCs w:val="24"/>
        </w:rPr>
      </w:pPr>
      <w:r w:rsidRPr="00BA2DE8">
        <w:rPr>
          <w:rFonts w:ascii="Arial" w:eastAsia="Times New Roman" w:hAnsi="Arial" w:cs="Arial"/>
          <w:sz w:val="24"/>
          <w:szCs w:val="24"/>
        </w:rPr>
        <w:t>Comprehensive Support and Improvement (CSI) based on school level Dashboard data</w:t>
      </w:r>
    </w:p>
    <w:p w14:paraId="6BC5C883" w14:textId="77777777" w:rsidR="0060321A" w:rsidRPr="00BA2DE8" w:rsidRDefault="0060321A" w:rsidP="003B0F9A">
      <w:pPr>
        <w:pStyle w:val="ListParagraph"/>
        <w:numPr>
          <w:ilvl w:val="0"/>
          <w:numId w:val="13"/>
        </w:numPr>
        <w:spacing w:after="240" w:line="240" w:lineRule="auto"/>
        <w:contextualSpacing w:val="0"/>
        <w:rPr>
          <w:rFonts w:ascii="Arial" w:eastAsia="Times New Roman" w:hAnsi="Arial" w:cs="Arial"/>
          <w:sz w:val="24"/>
          <w:szCs w:val="24"/>
        </w:rPr>
      </w:pPr>
      <w:r w:rsidRPr="00BA2DE8">
        <w:rPr>
          <w:rFonts w:ascii="Arial" w:eastAsia="Times New Roman" w:hAnsi="Arial" w:cs="Arial"/>
          <w:sz w:val="24"/>
          <w:szCs w:val="24"/>
        </w:rPr>
        <w:t>Targeted Support and Improvement (TSI) based on two years of student group level Dashboard data, regardless of Title I status</w:t>
      </w:r>
    </w:p>
    <w:p w14:paraId="1DAA2887" w14:textId="77777777" w:rsidR="0060321A" w:rsidRPr="00BA2DE8" w:rsidRDefault="0060321A" w:rsidP="003B0F9A">
      <w:pPr>
        <w:pStyle w:val="ListParagraph"/>
        <w:numPr>
          <w:ilvl w:val="0"/>
          <w:numId w:val="13"/>
        </w:numPr>
        <w:spacing w:after="240" w:line="240" w:lineRule="auto"/>
        <w:contextualSpacing w:val="0"/>
        <w:rPr>
          <w:rFonts w:ascii="Arial" w:eastAsia="Times New Roman" w:hAnsi="Arial" w:cs="Arial"/>
          <w:sz w:val="24"/>
          <w:szCs w:val="24"/>
        </w:rPr>
      </w:pPr>
      <w:r w:rsidRPr="00BA2DE8">
        <w:rPr>
          <w:rFonts w:ascii="Arial" w:eastAsia="Times New Roman" w:hAnsi="Arial" w:cs="Arial"/>
          <w:sz w:val="24"/>
          <w:szCs w:val="24"/>
        </w:rPr>
        <w:t>Additional Targeted Support and Improvement (ATSI) based on two years of student group level Dashboard data, regardless of Title I status</w:t>
      </w:r>
    </w:p>
    <w:p w14:paraId="7DC527FE" w14:textId="77777777" w:rsidR="004B0341" w:rsidRPr="00BA2DE8" w:rsidRDefault="004B0341" w:rsidP="003B0F9A">
      <w:pPr>
        <w:spacing w:after="240"/>
        <w:rPr>
          <w:rFonts w:cs="Arial"/>
        </w:rPr>
      </w:pPr>
    </w:p>
    <w:p w14:paraId="23E17BEA" w14:textId="77777777" w:rsidR="0060321A" w:rsidRPr="00BA2DE8" w:rsidRDefault="0060321A" w:rsidP="003B0F9A">
      <w:pPr>
        <w:spacing w:after="240"/>
        <w:rPr>
          <w:rFonts w:cs="Arial"/>
        </w:rPr>
      </w:pPr>
      <w:r w:rsidRPr="00BA2DE8">
        <w:rPr>
          <w:rFonts w:cs="Arial"/>
        </w:rPr>
        <w:lastRenderedPageBreak/>
        <w:t>Two groups of schools are eligible for CSI. The hierarchy is:</w:t>
      </w:r>
    </w:p>
    <w:p w14:paraId="1C5B94AE" w14:textId="77777777" w:rsidR="0060321A" w:rsidRPr="00BA2DE8" w:rsidRDefault="0060321A" w:rsidP="003B0F9A">
      <w:pPr>
        <w:pStyle w:val="ListParagraph"/>
        <w:numPr>
          <w:ilvl w:val="0"/>
          <w:numId w:val="14"/>
        </w:numPr>
        <w:spacing w:after="240" w:line="240" w:lineRule="auto"/>
        <w:contextualSpacing w:val="0"/>
        <w:rPr>
          <w:rFonts w:ascii="Arial" w:eastAsia="Times New Roman" w:hAnsi="Arial" w:cs="Arial"/>
          <w:sz w:val="24"/>
          <w:szCs w:val="24"/>
        </w:rPr>
      </w:pPr>
      <w:r w:rsidRPr="00BA2DE8">
        <w:rPr>
          <w:rFonts w:ascii="Arial" w:eastAsia="Times New Roman" w:hAnsi="Arial" w:cs="Arial"/>
          <w:sz w:val="24"/>
          <w:szCs w:val="24"/>
        </w:rPr>
        <w:t>All high schools (regardless of Title I status) with average graduation rates below 67 percent</w:t>
      </w:r>
    </w:p>
    <w:p w14:paraId="0063946E" w14:textId="77777777" w:rsidR="0060321A" w:rsidRPr="00BA2DE8" w:rsidRDefault="0060321A" w:rsidP="003B0F9A">
      <w:pPr>
        <w:pStyle w:val="ListParagraph"/>
        <w:numPr>
          <w:ilvl w:val="0"/>
          <w:numId w:val="14"/>
        </w:numPr>
        <w:spacing w:after="240" w:line="240" w:lineRule="auto"/>
        <w:contextualSpacing w:val="0"/>
        <w:rPr>
          <w:rFonts w:ascii="Arial" w:eastAsia="Times New Roman" w:hAnsi="Arial" w:cs="Arial"/>
          <w:sz w:val="24"/>
          <w:szCs w:val="24"/>
        </w:rPr>
      </w:pPr>
      <w:r w:rsidRPr="00BA2DE8">
        <w:rPr>
          <w:rFonts w:ascii="Arial" w:eastAsia="Times New Roman" w:hAnsi="Arial" w:cs="Arial"/>
          <w:sz w:val="24"/>
          <w:szCs w:val="24"/>
        </w:rPr>
        <w:t>Lowest performing Title I schools</w:t>
      </w:r>
    </w:p>
    <w:p w14:paraId="074202CD" w14:textId="77777777" w:rsidR="0060321A" w:rsidRPr="00BA2DE8" w:rsidRDefault="0060321A" w:rsidP="003B0F9A">
      <w:pPr>
        <w:spacing w:after="240"/>
      </w:pPr>
      <w:r w:rsidRPr="00BA2DE8">
        <w:t>All Title I schools not eligible based on graduation rate can be eligible for CSI if one of the following criteria is met:</w:t>
      </w:r>
    </w:p>
    <w:p w14:paraId="0A7226DA" w14:textId="77777777" w:rsidR="0060321A" w:rsidRPr="00BA2DE8" w:rsidRDefault="0060321A" w:rsidP="003B0F9A">
      <w:pPr>
        <w:pStyle w:val="ListParagraph"/>
        <w:numPr>
          <w:ilvl w:val="0"/>
          <w:numId w:val="15"/>
        </w:numPr>
        <w:spacing w:after="240" w:line="240" w:lineRule="auto"/>
        <w:contextualSpacing w:val="0"/>
        <w:rPr>
          <w:rFonts w:ascii="Arial" w:hAnsi="Arial" w:cs="Arial"/>
          <w:sz w:val="24"/>
          <w:szCs w:val="24"/>
        </w:rPr>
      </w:pPr>
      <w:r w:rsidRPr="00BA2DE8">
        <w:rPr>
          <w:rFonts w:ascii="Arial" w:hAnsi="Arial" w:cs="Arial"/>
          <w:sz w:val="24"/>
          <w:szCs w:val="24"/>
        </w:rPr>
        <w:t xml:space="preserve">Schools with all </w:t>
      </w:r>
      <w:r w:rsidRPr="00BA2DE8">
        <w:rPr>
          <w:rFonts w:ascii="Arial" w:eastAsiaTheme="minorEastAsia" w:hAnsi="Arial" w:cs="Arial"/>
          <w:b/>
          <w:bCs/>
          <w:color w:val="A40000"/>
          <w:kern w:val="24"/>
          <w:sz w:val="24"/>
          <w:szCs w:val="24"/>
        </w:rPr>
        <w:t xml:space="preserve">Red </w:t>
      </w:r>
      <w:r w:rsidRPr="00BA2DE8">
        <w:rPr>
          <w:rFonts w:ascii="Arial" w:hAnsi="Arial" w:cs="Arial"/>
          <w:sz w:val="24"/>
          <w:szCs w:val="24"/>
        </w:rPr>
        <w:t xml:space="preserve">indicators (or ELPI Status of “Very Low”) </w:t>
      </w:r>
    </w:p>
    <w:p w14:paraId="584939C6" w14:textId="77777777" w:rsidR="0060321A" w:rsidRPr="00BA2DE8" w:rsidRDefault="0060321A" w:rsidP="003B0F9A">
      <w:pPr>
        <w:pStyle w:val="ListParagraph"/>
        <w:numPr>
          <w:ilvl w:val="0"/>
          <w:numId w:val="15"/>
        </w:numPr>
        <w:spacing w:after="240" w:line="240" w:lineRule="auto"/>
        <w:contextualSpacing w:val="0"/>
        <w:rPr>
          <w:rFonts w:ascii="Arial" w:hAnsi="Arial" w:cs="Arial"/>
          <w:sz w:val="24"/>
          <w:szCs w:val="24"/>
        </w:rPr>
      </w:pPr>
      <w:r w:rsidRPr="00BA2DE8">
        <w:rPr>
          <w:rFonts w:ascii="Arial" w:hAnsi="Arial" w:cs="Arial"/>
          <w:sz w:val="24"/>
          <w:szCs w:val="24"/>
        </w:rPr>
        <w:t xml:space="preserve">Schools with all </w:t>
      </w:r>
      <w:r w:rsidRPr="00BA2DE8">
        <w:rPr>
          <w:rFonts w:ascii="Arial" w:eastAsiaTheme="minorEastAsia" w:hAnsi="Arial" w:cs="Arial"/>
          <w:b/>
          <w:bCs/>
          <w:color w:val="A40000"/>
          <w:kern w:val="24"/>
          <w:sz w:val="24"/>
          <w:szCs w:val="24"/>
        </w:rPr>
        <w:t>Red</w:t>
      </w:r>
      <w:r w:rsidRPr="00BA2DE8">
        <w:rPr>
          <w:rFonts w:ascii="Arial" w:hAnsi="Arial" w:cs="Arial"/>
          <w:b/>
          <w:bCs/>
          <w:sz w:val="24"/>
          <w:szCs w:val="24"/>
        </w:rPr>
        <w:t xml:space="preserve"> </w:t>
      </w:r>
      <w:r w:rsidRPr="00BA2DE8">
        <w:rPr>
          <w:rFonts w:ascii="Arial" w:hAnsi="Arial" w:cs="Arial"/>
          <w:sz w:val="24"/>
          <w:szCs w:val="24"/>
        </w:rPr>
        <w:t xml:space="preserve">(or ELPI Status of “Very Low”) but one indicator of </w:t>
      </w:r>
      <w:r w:rsidRPr="00BA2DE8">
        <w:rPr>
          <w:rFonts w:ascii="Arial" w:hAnsi="Arial" w:cs="Arial"/>
          <w:b/>
          <w:bCs/>
          <w:sz w:val="24"/>
          <w:szCs w:val="24"/>
        </w:rPr>
        <w:t>any other color</w:t>
      </w:r>
    </w:p>
    <w:p w14:paraId="0C3A418B" w14:textId="77777777" w:rsidR="0060321A" w:rsidRPr="00BA2DE8" w:rsidRDefault="0060321A" w:rsidP="003B0F9A">
      <w:pPr>
        <w:pStyle w:val="ListParagraph"/>
        <w:numPr>
          <w:ilvl w:val="0"/>
          <w:numId w:val="15"/>
        </w:numPr>
        <w:spacing w:after="240" w:line="240" w:lineRule="auto"/>
        <w:contextualSpacing w:val="0"/>
        <w:rPr>
          <w:rFonts w:ascii="Arial" w:hAnsi="Arial" w:cs="Arial"/>
          <w:sz w:val="24"/>
          <w:szCs w:val="24"/>
        </w:rPr>
      </w:pPr>
      <w:r w:rsidRPr="00BA2DE8">
        <w:rPr>
          <w:rFonts w:ascii="Arial" w:hAnsi="Arial" w:cs="Arial"/>
          <w:sz w:val="24"/>
          <w:szCs w:val="24"/>
        </w:rPr>
        <w:t xml:space="preserve">Schools with five or more indicators where </w:t>
      </w:r>
      <w:r w:rsidRPr="00BA2DE8">
        <w:rPr>
          <w:rFonts w:ascii="Arial" w:hAnsi="Arial" w:cs="Arial"/>
          <w:b/>
          <w:bCs/>
          <w:sz w:val="24"/>
          <w:szCs w:val="24"/>
        </w:rPr>
        <w:t>majority</w:t>
      </w:r>
      <w:r w:rsidRPr="00BA2DE8">
        <w:rPr>
          <w:rFonts w:ascii="Arial" w:hAnsi="Arial" w:cs="Arial"/>
          <w:sz w:val="24"/>
          <w:szCs w:val="24"/>
        </w:rPr>
        <w:t xml:space="preserve"> are </w:t>
      </w:r>
      <w:r w:rsidRPr="00BA2DE8">
        <w:rPr>
          <w:rFonts w:ascii="Arial" w:eastAsiaTheme="minorEastAsia" w:hAnsi="Arial" w:cs="Arial"/>
          <w:b/>
          <w:bCs/>
          <w:color w:val="A40000"/>
          <w:kern w:val="24"/>
          <w:sz w:val="24"/>
          <w:szCs w:val="24"/>
        </w:rPr>
        <w:t xml:space="preserve">Red </w:t>
      </w:r>
      <w:r w:rsidRPr="00BA2DE8">
        <w:rPr>
          <w:rFonts w:ascii="Arial" w:hAnsi="Arial" w:cs="Arial"/>
          <w:sz w:val="24"/>
          <w:szCs w:val="24"/>
        </w:rPr>
        <w:t xml:space="preserve">(or ELPI Status of “Very Low”) </w:t>
      </w:r>
    </w:p>
    <w:p w14:paraId="31F13190" w14:textId="77777777" w:rsidR="0060321A" w:rsidRPr="00BA2DE8" w:rsidRDefault="0060321A" w:rsidP="003B0F9A">
      <w:pPr>
        <w:pStyle w:val="ListParagraph"/>
        <w:numPr>
          <w:ilvl w:val="0"/>
          <w:numId w:val="15"/>
        </w:numPr>
        <w:spacing w:after="240" w:line="240" w:lineRule="auto"/>
        <w:contextualSpacing w:val="0"/>
        <w:rPr>
          <w:rFonts w:ascii="Arial" w:hAnsi="Arial" w:cs="Arial"/>
          <w:sz w:val="24"/>
          <w:szCs w:val="24"/>
        </w:rPr>
      </w:pPr>
      <w:r w:rsidRPr="00BA2DE8">
        <w:rPr>
          <w:rFonts w:ascii="Arial" w:hAnsi="Arial" w:cs="Arial"/>
          <w:sz w:val="24"/>
          <w:szCs w:val="24"/>
        </w:rPr>
        <w:t xml:space="preserve">Schools with all </w:t>
      </w:r>
      <w:r w:rsidRPr="00BA2DE8">
        <w:rPr>
          <w:rFonts w:ascii="Arial" w:eastAsiaTheme="minorEastAsia" w:hAnsi="Arial" w:cs="Arial"/>
          <w:b/>
          <w:bCs/>
          <w:color w:val="A40000"/>
          <w:kern w:val="24"/>
          <w:sz w:val="24"/>
          <w:szCs w:val="24"/>
        </w:rPr>
        <w:t>Red</w:t>
      </w:r>
      <w:r w:rsidRPr="00BA2DE8">
        <w:rPr>
          <w:rFonts w:ascii="Arial" w:hAnsi="Arial" w:cs="Arial"/>
          <w:sz w:val="24"/>
          <w:szCs w:val="24"/>
        </w:rPr>
        <w:t xml:space="preserve"> (or ELPI Status of “Very Low”) and </w:t>
      </w:r>
      <w:r w:rsidRPr="00BA2DE8">
        <w:rPr>
          <w:rFonts w:ascii="Arial" w:eastAsiaTheme="minorEastAsia" w:hAnsi="Arial" w:cs="Arial"/>
          <w:b/>
          <w:bCs/>
          <w:color w:val="B95C00"/>
          <w:kern w:val="24"/>
          <w:sz w:val="24"/>
          <w:szCs w:val="24"/>
        </w:rPr>
        <w:t>Orange</w:t>
      </w:r>
      <w:r w:rsidRPr="00BA2DE8">
        <w:rPr>
          <w:rFonts w:ascii="Arial" w:hAnsi="Arial" w:cs="Arial"/>
          <w:sz w:val="24"/>
          <w:szCs w:val="24"/>
        </w:rPr>
        <w:t xml:space="preserve"> indicators</w:t>
      </w:r>
    </w:p>
    <w:p w14:paraId="0D072068" w14:textId="5D4D42D1" w:rsidR="0060321A" w:rsidRPr="00BA2DE8" w:rsidRDefault="0060321A" w:rsidP="0060321A">
      <w:pPr>
        <w:spacing w:after="240"/>
      </w:pPr>
      <w:r w:rsidRPr="00BA2DE8">
        <w:t>Note: The criteria for CSI eligibility shown above are based on current year school level indicator data and are applied in a hierarchy as the color combinations are not mutually exclusive.</w:t>
      </w:r>
    </w:p>
    <w:p w14:paraId="6572E702" w14:textId="753E3378" w:rsidR="0060321A" w:rsidRPr="00BA2DE8" w:rsidRDefault="0060321A" w:rsidP="0060321A">
      <w:pPr>
        <w:spacing w:after="240"/>
      </w:pPr>
      <w:r w:rsidRPr="00BA2DE8">
        <w:t>The example in Table 2 shows how another Title I high school would be eligible for CSI using ELPI Status.</w:t>
      </w:r>
    </w:p>
    <w:p w14:paraId="04151E88" w14:textId="77777777" w:rsidR="0060321A" w:rsidRPr="00BA2DE8" w:rsidRDefault="0060321A" w:rsidP="00023C69">
      <w:pPr>
        <w:pStyle w:val="Heading3"/>
        <w:rPr>
          <w:rFonts w:cs="Arial"/>
          <w:b/>
        </w:rPr>
      </w:pPr>
      <w:r w:rsidRPr="00BA2DE8">
        <w:rPr>
          <w:rFonts w:ascii="Arial" w:hAnsi="Arial" w:cs="Arial"/>
          <w:b/>
          <w:color w:val="auto"/>
        </w:rPr>
        <w:t>Table 2: Quartz High School (Title I School)</w:t>
      </w:r>
    </w:p>
    <w:tbl>
      <w:tblPr>
        <w:tblStyle w:val="TableGrid"/>
        <w:tblW w:w="0" w:type="auto"/>
        <w:tblLook w:val="04A0" w:firstRow="1" w:lastRow="0" w:firstColumn="1" w:lastColumn="0" w:noHBand="0" w:noVBand="1"/>
        <w:tblCaption w:val="Quartz High School (Title I School"/>
        <w:tblDescription w:val="Quartz High School is eligible for CSI because it met the &quot;Five or more indicators where the majority are Red&quot; criterion.  "/>
      </w:tblPr>
      <w:tblGrid>
        <w:gridCol w:w="1470"/>
        <w:gridCol w:w="5185"/>
        <w:gridCol w:w="2695"/>
      </w:tblGrid>
      <w:tr w:rsidR="0060321A" w:rsidRPr="00BA2DE8" w14:paraId="7CEA87E9" w14:textId="77777777" w:rsidTr="00A2005C">
        <w:trPr>
          <w:tblHeader/>
        </w:trPr>
        <w:tc>
          <w:tcPr>
            <w:tcW w:w="1470" w:type="dxa"/>
            <w:shd w:val="clear" w:color="auto" w:fill="BFBFBF" w:themeFill="background1" w:themeFillShade="BF"/>
            <w:vAlign w:val="center"/>
          </w:tcPr>
          <w:p w14:paraId="394102FA" w14:textId="77777777" w:rsidR="0060321A" w:rsidRPr="00BA2DE8" w:rsidRDefault="0060321A" w:rsidP="00A2005C">
            <w:pPr>
              <w:jc w:val="center"/>
            </w:pPr>
            <w:r w:rsidRPr="00BA2DE8">
              <w:rPr>
                <w:b/>
                <w:bCs/>
              </w:rPr>
              <w:t>Dashboard Year</w:t>
            </w:r>
          </w:p>
        </w:tc>
        <w:tc>
          <w:tcPr>
            <w:tcW w:w="5185" w:type="dxa"/>
            <w:shd w:val="clear" w:color="auto" w:fill="BFBFBF" w:themeFill="background1" w:themeFillShade="BF"/>
            <w:vAlign w:val="center"/>
          </w:tcPr>
          <w:p w14:paraId="0E1BF3CF" w14:textId="77777777" w:rsidR="0060321A" w:rsidRPr="00BA2DE8" w:rsidRDefault="0060321A" w:rsidP="00A2005C">
            <w:pPr>
              <w:jc w:val="center"/>
            </w:pPr>
            <w:r w:rsidRPr="00BA2DE8">
              <w:rPr>
                <w:b/>
                <w:bCs/>
              </w:rPr>
              <w:t>State Indicator</w:t>
            </w:r>
          </w:p>
        </w:tc>
        <w:tc>
          <w:tcPr>
            <w:tcW w:w="2695" w:type="dxa"/>
            <w:shd w:val="clear" w:color="auto" w:fill="BFBFBF" w:themeFill="background1" w:themeFillShade="BF"/>
          </w:tcPr>
          <w:p w14:paraId="61650E82" w14:textId="77777777" w:rsidR="0060321A" w:rsidRPr="00BA2DE8" w:rsidRDefault="0060321A" w:rsidP="00A2005C">
            <w:pPr>
              <w:jc w:val="center"/>
              <w:rPr>
                <w:b/>
                <w:bCs/>
              </w:rPr>
            </w:pPr>
            <w:r w:rsidRPr="00BA2DE8">
              <w:rPr>
                <w:b/>
                <w:bCs/>
              </w:rPr>
              <w:t xml:space="preserve">Performance Level </w:t>
            </w:r>
          </w:p>
        </w:tc>
      </w:tr>
      <w:tr w:rsidR="0060321A" w:rsidRPr="00BA2DE8" w14:paraId="5593DD88" w14:textId="77777777" w:rsidTr="00A2005C">
        <w:tc>
          <w:tcPr>
            <w:tcW w:w="1470" w:type="dxa"/>
          </w:tcPr>
          <w:p w14:paraId="4C6CEB0F" w14:textId="77777777" w:rsidR="0060321A" w:rsidRPr="00BA2DE8" w:rsidRDefault="0060321A" w:rsidP="00A2005C">
            <w:r w:rsidRPr="00BA2DE8">
              <w:rPr>
                <w:bCs/>
              </w:rPr>
              <w:t>2019</w:t>
            </w:r>
          </w:p>
        </w:tc>
        <w:tc>
          <w:tcPr>
            <w:tcW w:w="5185" w:type="dxa"/>
          </w:tcPr>
          <w:p w14:paraId="09826A35" w14:textId="77777777" w:rsidR="0060321A" w:rsidRPr="00BA2DE8" w:rsidRDefault="0060321A" w:rsidP="00A2005C">
            <w:r w:rsidRPr="00BA2DE8">
              <w:rPr>
                <w:bCs/>
              </w:rPr>
              <w:t>ELA</w:t>
            </w:r>
          </w:p>
        </w:tc>
        <w:tc>
          <w:tcPr>
            <w:tcW w:w="2695" w:type="dxa"/>
            <w:shd w:val="clear" w:color="auto" w:fill="FFA500"/>
          </w:tcPr>
          <w:p w14:paraId="6B3118DE" w14:textId="77777777" w:rsidR="0060321A" w:rsidRPr="00BA2DE8" w:rsidRDefault="0060321A" w:rsidP="00A2005C">
            <w:pPr>
              <w:jc w:val="center"/>
              <w:rPr>
                <w:bCs/>
              </w:rPr>
            </w:pPr>
            <w:r w:rsidRPr="00BA2DE8">
              <w:rPr>
                <w:bCs/>
              </w:rPr>
              <w:t>Orange</w:t>
            </w:r>
          </w:p>
        </w:tc>
      </w:tr>
      <w:tr w:rsidR="0060321A" w:rsidRPr="00BA2DE8" w14:paraId="31CE1AA3" w14:textId="77777777" w:rsidTr="00A2005C">
        <w:tc>
          <w:tcPr>
            <w:tcW w:w="1470" w:type="dxa"/>
          </w:tcPr>
          <w:p w14:paraId="24A67F01" w14:textId="77777777" w:rsidR="0060321A" w:rsidRPr="00BA2DE8" w:rsidRDefault="0060321A" w:rsidP="00A2005C">
            <w:r w:rsidRPr="00BA2DE8">
              <w:rPr>
                <w:bCs/>
              </w:rPr>
              <w:t>2019</w:t>
            </w:r>
          </w:p>
        </w:tc>
        <w:tc>
          <w:tcPr>
            <w:tcW w:w="5185" w:type="dxa"/>
          </w:tcPr>
          <w:p w14:paraId="2262FF9D" w14:textId="77777777" w:rsidR="0060321A" w:rsidRPr="00BA2DE8" w:rsidRDefault="0060321A" w:rsidP="00A2005C">
            <w:r w:rsidRPr="00BA2DE8">
              <w:rPr>
                <w:bCs/>
              </w:rPr>
              <w:t>Math</w:t>
            </w:r>
          </w:p>
        </w:tc>
        <w:tc>
          <w:tcPr>
            <w:tcW w:w="2695" w:type="dxa"/>
            <w:shd w:val="clear" w:color="auto" w:fill="A20000"/>
          </w:tcPr>
          <w:p w14:paraId="4AF4F0FE" w14:textId="77777777" w:rsidR="0060321A" w:rsidRPr="00BA2DE8" w:rsidRDefault="0060321A" w:rsidP="00A2005C">
            <w:pPr>
              <w:jc w:val="center"/>
              <w:rPr>
                <w:bCs/>
              </w:rPr>
            </w:pPr>
            <w:r w:rsidRPr="00BA2DE8">
              <w:rPr>
                <w:bCs/>
              </w:rPr>
              <w:t>Red</w:t>
            </w:r>
          </w:p>
        </w:tc>
      </w:tr>
      <w:tr w:rsidR="0060321A" w:rsidRPr="00BA2DE8" w14:paraId="6E9F2EF4" w14:textId="77777777" w:rsidTr="00A2005C">
        <w:tc>
          <w:tcPr>
            <w:tcW w:w="1470" w:type="dxa"/>
          </w:tcPr>
          <w:p w14:paraId="4AE0BB4D" w14:textId="77777777" w:rsidR="0060321A" w:rsidRPr="00BA2DE8" w:rsidRDefault="0060321A" w:rsidP="00A2005C">
            <w:r w:rsidRPr="00BA2DE8">
              <w:rPr>
                <w:bCs/>
              </w:rPr>
              <w:t>2019</w:t>
            </w:r>
          </w:p>
        </w:tc>
        <w:tc>
          <w:tcPr>
            <w:tcW w:w="5185" w:type="dxa"/>
          </w:tcPr>
          <w:p w14:paraId="2A7E5BE1" w14:textId="77777777" w:rsidR="0060321A" w:rsidRPr="00BA2DE8" w:rsidRDefault="0060321A" w:rsidP="00A2005C">
            <w:r w:rsidRPr="00BA2DE8">
              <w:rPr>
                <w:bCs/>
              </w:rPr>
              <w:t>ELPI Status</w:t>
            </w:r>
          </w:p>
        </w:tc>
        <w:tc>
          <w:tcPr>
            <w:tcW w:w="2695" w:type="dxa"/>
          </w:tcPr>
          <w:p w14:paraId="4C979796" w14:textId="77777777" w:rsidR="0060321A" w:rsidRPr="00BA2DE8" w:rsidRDefault="0060321A" w:rsidP="00A2005C">
            <w:pPr>
              <w:jc w:val="center"/>
              <w:rPr>
                <w:b/>
                <w:bCs/>
              </w:rPr>
            </w:pPr>
            <w:r w:rsidRPr="00BA2DE8">
              <w:rPr>
                <w:b/>
                <w:bCs/>
              </w:rPr>
              <w:t>Very Low</w:t>
            </w:r>
          </w:p>
        </w:tc>
      </w:tr>
      <w:tr w:rsidR="0060321A" w:rsidRPr="00BA2DE8" w14:paraId="569A3B02" w14:textId="77777777" w:rsidTr="00A2005C">
        <w:tc>
          <w:tcPr>
            <w:tcW w:w="1470" w:type="dxa"/>
          </w:tcPr>
          <w:p w14:paraId="6BD94232" w14:textId="77777777" w:rsidR="0060321A" w:rsidRPr="00BA2DE8" w:rsidRDefault="0060321A" w:rsidP="00A2005C">
            <w:r w:rsidRPr="00BA2DE8">
              <w:rPr>
                <w:bCs/>
              </w:rPr>
              <w:t>2019</w:t>
            </w:r>
          </w:p>
        </w:tc>
        <w:tc>
          <w:tcPr>
            <w:tcW w:w="5185" w:type="dxa"/>
          </w:tcPr>
          <w:p w14:paraId="08CD663D" w14:textId="77777777" w:rsidR="0060321A" w:rsidRPr="00BA2DE8" w:rsidRDefault="0060321A" w:rsidP="00A2005C">
            <w:r w:rsidRPr="00BA2DE8">
              <w:t>Suspension</w:t>
            </w:r>
          </w:p>
        </w:tc>
        <w:tc>
          <w:tcPr>
            <w:tcW w:w="2695" w:type="dxa"/>
            <w:shd w:val="clear" w:color="auto" w:fill="A20000"/>
          </w:tcPr>
          <w:p w14:paraId="4AD7DF31" w14:textId="77777777" w:rsidR="0060321A" w:rsidRPr="00BA2DE8" w:rsidRDefault="0060321A" w:rsidP="00A2005C">
            <w:pPr>
              <w:jc w:val="center"/>
            </w:pPr>
            <w:r w:rsidRPr="00BA2DE8">
              <w:t>Red</w:t>
            </w:r>
          </w:p>
        </w:tc>
      </w:tr>
      <w:tr w:rsidR="0060321A" w:rsidRPr="00BA2DE8" w14:paraId="595486B1" w14:textId="77777777" w:rsidTr="00A2005C">
        <w:tc>
          <w:tcPr>
            <w:tcW w:w="1470" w:type="dxa"/>
          </w:tcPr>
          <w:p w14:paraId="75D69E41" w14:textId="77777777" w:rsidR="0060321A" w:rsidRPr="00BA2DE8" w:rsidRDefault="0060321A" w:rsidP="00A2005C">
            <w:r w:rsidRPr="00BA2DE8">
              <w:rPr>
                <w:bCs/>
              </w:rPr>
              <w:t>2019</w:t>
            </w:r>
          </w:p>
        </w:tc>
        <w:tc>
          <w:tcPr>
            <w:tcW w:w="5185" w:type="dxa"/>
          </w:tcPr>
          <w:p w14:paraId="45821E59" w14:textId="77777777" w:rsidR="0060321A" w:rsidRPr="00BA2DE8" w:rsidRDefault="0060321A" w:rsidP="00A2005C">
            <w:r w:rsidRPr="00BA2DE8">
              <w:t>Graduation Rate</w:t>
            </w:r>
          </w:p>
        </w:tc>
        <w:tc>
          <w:tcPr>
            <w:tcW w:w="2695" w:type="dxa"/>
            <w:shd w:val="clear" w:color="auto" w:fill="006500"/>
          </w:tcPr>
          <w:p w14:paraId="2BD30431" w14:textId="77777777" w:rsidR="0060321A" w:rsidRPr="00BA2DE8" w:rsidRDefault="0060321A" w:rsidP="00A2005C">
            <w:pPr>
              <w:jc w:val="center"/>
            </w:pPr>
            <w:r w:rsidRPr="00BA2DE8">
              <w:rPr>
                <w:color w:val="FFFFFF" w:themeColor="background1"/>
              </w:rPr>
              <w:t>Green</w:t>
            </w:r>
          </w:p>
        </w:tc>
      </w:tr>
    </w:tbl>
    <w:p w14:paraId="5957D9CB" w14:textId="59C46A17" w:rsidR="0060321A" w:rsidRPr="00BA2DE8" w:rsidRDefault="0060321A" w:rsidP="003B0F9A">
      <w:pPr>
        <w:spacing w:before="240" w:after="240"/>
      </w:pPr>
      <w:r w:rsidRPr="00BA2DE8">
        <w:t>Quartz High School (Title I school) is eligible for CSI because it met the “Five or more indicators where the majority are Red</w:t>
      </w:r>
      <w:r w:rsidR="00670B00" w:rsidRPr="00BA2DE8">
        <w:t xml:space="preserve"> (or ELPI Status of “Very Low”)</w:t>
      </w:r>
      <w:r w:rsidRPr="00BA2DE8">
        <w:t>” criterion.</w:t>
      </w:r>
    </w:p>
    <w:p w14:paraId="52191231" w14:textId="77777777" w:rsidR="0060321A" w:rsidRPr="00BA2DE8" w:rsidRDefault="0060321A" w:rsidP="003B0F9A">
      <w:pPr>
        <w:spacing w:after="240"/>
      </w:pPr>
      <w:r w:rsidRPr="00BA2DE8">
        <w:t>The example in Table 3 below shows how a different school becomes eligible for ATSI for the EL student group. Note that the ELPI only reports on the EL student group and that color combinations are not required to be the same for both years.</w:t>
      </w:r>
    </w:p>
    <w:p w14:paraId="59667578" w14:textId="77777777" w:rsidR="0060321A" w:rsidRPr="00BA2DE8" w:rsidRDefault="0060321A" w:rsidP="00023C69">
      <w:pPr>
        <w:pStyle w:val="Heading3"/>
        <w:rPr>
          <w:rFonts w:cs="Arial"/>
          <w:b/>
        </w:rPr>
      </w:pPr>
      <w:r w:rsidRPr="00BA2DE8">
        <w:rPr>
          <w:rFonts w:ascii="Arial" w:hAnsi="Arial" w:cs="Arial"/>
          <w:b/>
          <w:color w:val="auto"/>
        </w:rPr>
        <w:lastRenderedPageBreak/>
        <w:t>Table 3: EL Student Group at Agate Middle School Eligible for ATSI Example</w:t>
      </w:r>
    </w:p>
    <w:tbl>
      <w:tblPr>
        <w:tblStyle w:val="TableGrid"/>
        <w:tblW w:w="0" w:type="auto"/>
        <w:tblLook w:val="04A0" w:firstRow="1" w:lastRow="0" w:firstColumn="1" w:lastColumn="0" w:noHBand="0" w:noVBand="1"/>
        <w:tblDescription w:val="Table 3: EL Student Group at Agate Middle School Eligible for ATSI Example"/>
      </w:tblPr>
      <w:tblGrid>
        <w:gridCol w:w="2605"/>
        <w:gridCol w:w="2160"/>
        <w:gridCol w:w="2160"/>
      </w:tblGrid>
      <w:tr w:rsidR="0060321A" w:rsidRPr="00BA2DE8" w14:paraId="193C4006" w14:textId="77777777" w:rsidTr="00A2005C">
        <w:trPr>
          <w:tblHeader/>
        </w:trPr>
        <w:tc>
          <w:tcPr>
            <w:tcW w:w="2605" w:type="dxa"/>
            <w:shd w:val="clear" w:color="auto" w:fill="BFBFBF" w:themeFill="background1" w:themeFillShade="BF"/>
            <w:vAlign w:val="center"/>
          </w:tcPr>
          <w:p w14:paraId="2C2E9610" w14:textId="77777777" w:rsidR="0060321A" w:rsidRPr="00BA2DE8" w:rsidRDefault="0060321A" w:rsidP="003B0F9A">
            <w:pPr>
              <w:spacing w:after="240"/>
              <w:jc w:val="center"/>
            </w:pPr>
            <w:r w:rsidRPr="00BA2DE8">
              <w:rPr>
                <w:b/>
                <w:bCs/>
              </w:rPr>
              <w:t>State Indicators</w:t>
            </w:r>
          </w:p>
        </w:tc>
        <w:tc>
          <w:tcPr>
            <w:tcW w:w="2160" w:type="dxa"/>
            <w:shd w:val="clear" w:color="auto" w:fill="BFBFBF" w:themeFill="background1" w:themeFillShade="BF"/>
            <w:vAlign w:val="center"/>
          </w:tcPr>
          <w:p w14:paraId="123FB56A" w14:textId="77777777" w:rsidR="0060321A" w:rsidRPr="00BA2DE8" w:rsidRDefault="0060321A" w:rsidP="003B0F9A">
            <w:pPr>
              <w:spacing w:after="240"/>
              <w:jc w:val="center"/>
            </w:pPr>
            <w:r w:rsidRPr="00BA2DE8">
              <w:rPr>
                <w:b/>
                <w:bCs/>
              </w:rPr>
              <w:t>2018 Dashboard</w:t>
            </w:r>
          </w:p>
        </w:tc>
        <w:tc>
          <w:tcPr>
            <w:tcW w:w="2160" w:type="dxa"/>
            <w:shd w:val="clear" w:color="auto" w:fill="BFBFBF" w:themeFill="background1" w:themeFillShade="BF"/>
            <w:vAlign w:val="center"/>
          </w:tcPr>
          <w:p w14:paraId="311F4F91" w14:textId="77777777" w:rsidR="0060321A" w:rsidRPr="00BA2DE8" w:rsidRDefault="0060321A" w:rsidP="003B0F9A">
            <w:pPr>
              <w:spacing w:after="240"/>
              <w:jc w:val="center"/>
            </w:pPr>
            <w:r w:rsidRPr="00BA2DE8">
              <w:rPr>
                <w:b/>
                <w:bCs/>
              </w:rPr>
              <w:t>2019 Dashboard</w:t>
            </w:r>
          </w:p>
        </w:tc>
      </w:tr>
      <w:tr w:rsidR="0060321A" w:rsidRPr="00BA2DE8" w14:paraId="76FCAC90" w14:textId="77777777" w:rsidTr="00A2005C">
        <w:tc>
          <w:tcPr>
            <w:tcW w:w="2605" w:type="dxa"/>
            <w:vAlign w:val="center"/>
          </w:tcPr>
          <w:p w14:paraId="3770F18F" w14:textId="77777777" w:rsidR="0060321A" w:rsidRPr="00BA2DE8" w:rsidRDefault="0060321A" w:rsidP="00A2005C">
            <w:r w:rsidRPr="00BA2DE8">
              <w:t>ELA</w:t>
            </w:r>
          </w:p>
        </w:tc>
        <w:tc>
          <w:tcPr>
            <w:tcW w:w="2160" w:type="dxa"/>
            <w:shd w:val="clear" w:color="auto" w:fill="A20000"/>
            <w:vAlign w:val="center"/>
          </w:tcPr>
          <w:p w14:paraId="02EFCA74" w14:textId="77777777" w:rsidR="0060321A" w:rsidRPr="00BA2DE8" w:rsidRDefault="0060321A" w:rsidP="00A2005C">
            <w:pPr>
              <w:jc w:val="center"/>
            </w:pPr>
            <w:r w:rsidRPr="00BA2DE8">
              <w:t>Red</w:t>
            </w:r>
          </w:p>
        </w:tc>
        <w:tc>
          <w:tcPr>
            <w:tcW w:w="2160" w:type="dxa"/>
            <w:shd w:val="clear" w:color="auto" w:fill="FFA500"/>
            <w:vAlign w:val="center"/>
          </w:tcPr>
          <w:p w14:paraId="44366CE7" w14:textId="77777777" w:rsidR="0060321A" w:rsidRPr="00BA2DE8" w:rsidRDefault="0060321A" w:rsidP="00A2005C">
            <w:pPr>
              <w:jc w:val="center"/>
              <w:rPr>
                <w:color w:val="ED7D31" w:themeColor="accent2"/>
              </w:rPr>
            </w:pPr>
            <w:r w:rsidRPr="00BA2DE8">
              <w:t>Orange</w:t>
            </w:r>
          </w:p>
        </w:tc>
      </w:tr>
      <w:tr w:rsidR="0060321A" w:rsidRPr="00BA2DE8" w14:paraId="60AFF2CC" w14:textId="77777777" w:rsidTr="00A2005C">
        <w:tc>
          <w:tcPr>
            <w:tcW w:w="2605" w:type="dxa"/>
            <w:vAlign w:val="center"/>
          </w:tcPr>
          <w:p w14:paraId="56750E91" w14:textId="77777777" w:rsidR="0060321A" w:rsidRPr="00BA2DE8" w:rsidRDefault="0060321A" w:rsidP="00A2005C">
            <w:r w:rsidRPr="00BA2DE8">
              <w:t>Mathematics</w:t>
            </w:r>
          </w:p>
        </w:tc>
        <w:tc>
          <w:tcPr>
            <w:tcW w:w="2160" w:type="dxa"/>
            <w:shd w:val="clear" w:color="auto" w:fill="A20000"/>
            <w:vAlign w:val="center"/>
          </w:tcPr>
          <w:p w14:paraId="63BCAD0F" w14:textId="77777777" w:rsidR="0060321A" w:rsidRPr="00BA2DE8" w:rsidRDefault="0060321A" w:rsidP="00A2005C">
            <w:pPr>
              <w:jc w:val="center"/>
            </w:pPr>
            <w:r w:rsidRPr="00BA2DE8">
              <w:t>Red</w:t>
            </w:r>
          </w:p>
        </w:tc>
        <w:tc>
          <w:tcPr>
            <w:tcW w:w="2160" w:type="dxa"/>
            <w:shd w:val="clear" w:color="auto" w:fill="A20000"/>
            <w:vAlign w:val="center"/>
          </w:tcPr>
          <w:p w14:paraId="5848173A" w14:textId="77777777" w:rsidR="0060321A" w:rsidRPr="00BA2DE8" w:rsidRDefault="0060321A" w:rsidP="00A2005C">
            <w:pPr>
              <w:jc w:val="center"/>
            </w:pPr>
            <w:r w:rsidRPr="00BA2DE8">
              <w:t>Red</w:t>
            </w:r>
          </w:p>
        </w:tc>
      </w:tr>
      <w:tr w:rsidR="0060321A" w:rsidRPr="00BA2DE8" w14:paraId="53207463" w14:textId="77777777" w:rsidTr="00A2005C">
        <w:tc>
          <w:tcPr>
            <w:tcW w:w="2605" w:type="dxa"/>
            <w:vAlign w:val="center"/>
          </w:tcPr>
          <w:p w14:paraId="59025712" w14:textId="77777777" w:rsidR="0060321A" w:rsidRPr="00BA2DE8" w:rsidRDefault="0060321A" w:rsidP="00A2005C">
            <w:r w:rsidRPr="00BA2DE8">
              <w:rPr>
                <w:b/>
                <w:bCs/>
              </w:rPr>
              <w:t>ELPI Status</w:t>
            </w:r>
          </w:p>
        </w:tc>
        <w:tc>
          <w:tcPr>
            <w:tcW w:w="2160" w:type="dxa"/>
            <w:vAlign w:val="center"/>
          </w:tcPr>
          <w:p w14:paraId="49D33B02" w14:textId="77777777" w:rsidR="0060321A" w:rsidRPr="00BA2DE8" w:rsidRDefault="0060321A" w:rsidP="00A2005C">
            <w:pPr>
              <w:jc w:val="center"/>
            </w:pPr>
            <w:r w:rsidRPr="00BA2DE8">
              <w:t>n/a</w:t>
            </w:r>
          </w:p>
        </w:tc>
        <w:tc>
          <w:tcPr>
            <w:tcW w:w="2160" w:type="dxa"/>
            <w:vAlign w:val="center"/>
          </w:tcPr>
          <w:p w14:paraId="478BA407" w14:textId="77777777" w:rsidR="0060321A" w:rsidRPr="00BA2DE8" w:rsidRDefault="0060321A" w:rsidP="00A2005C">
            <w:pPr>
              <w:jc w:val="center"/>
            </w:pPr>
            <w:r w:rsidRPr="00BA2DE8">
              <w:rPr>
                <w:b/>
                <w:bCs/>
              </w:rPr>
              <w:t>Very Low</w:t>
            </w:r>
          </w:p>
        </w:tc>
      </w:tr>
      <w:tr w:rsidR="0060321A" w:rsidRPr="00BA2DE8" w14:paraId="2A125930" w14:textId="77777777" w:rsidTr="00A2005C">
        <w:tc>
          <w:tcPr>
            <w:tcW w:w="2605" w:type="dxa"/>
            <w:vAlign w:val="center"/>
          </w:tcPr>
          <w:p w14:paraId="1F1DDD9F" w14:textId="77777777" w:rsidR="0060321A" w:rsidRPr="00BA2DE8" w:rsidRDefault="0060321A" w:rsidP="00A2005C">
            <w:r w:rsidRPr="00BA2DE8">
              <w:t>Chronic Absenteeism</w:t>
            </w:r>
          </w:p>
        </w:tc>
        <w:tc>
          <w:tcPr>
            <w:tcW w:w="2160" w:type="dxa"/>
            <w:shd w:val="clear" w:color="auto" w:fill="A20000"/>
            <w:vAlign w:val="center"/>
          </w:tcPr>
          <w:p w14:paraId="57CBE691" w14:textId="77777777" w:rsidR="0060321A" w:rsidRPr="00BA2DE8" w:rsidRDefault="0060321A" w:rsidP="00A2005C">
            <w:pPr>
              <w:jc w:val="center"/>
            </w:pPr>
            <w:r w:rsidRPr="00BA2DE8">
              <w:t>Red</w:t>
            </w:r>
          </w:p>
        </w:tc>
        <w:tc>
          <w:tcPr>
            <w:tcW w:w="2160" w:type="dxa"/>
            <w:shd w:val="clear" w:color="auto" w:fill="FFA500"/>
            <w:vAlign w:val="center"/>
          </w:tcPr>
          <w:p w14:paraId="44591F4B" w14:textId="77777777" w:rsidR="0060321A" w:rsidRPr="00BA2DE8" w:rsidRDefault="0060321A" w:rsidP="00A2005C">
            <w:pPr>
              <w:jc w:val="center"/>
            </w:pPr>
            <w:r w:rsidRPr="00BA2DE8">
              <w:t>Orange</w:t>
            </w:r>
          </w:p>
        </w:tc>
      </w:tr>
      <w:tr w:rsidR="0060321A" w:rsidRPr="00BA2DE8" w14:paraId="69C49C3B" w14:textId="77777777" w:rsidTr="00A2005C">
        <w:tc>
          <w:tcPr>
            <w:tcW w:w="2605" w:type="dxa"/>
            <w:vAlign w:val="center"/>
          </w:tcPr>
          <w:p w14:paraId="1CF45138" w14:textId="77777777" w:rsidR="0060321A" w:rsidRPr="00BA2DE8" w:rsidRDefault="0060321A" w:rsidP="00A2005C">
            <w:r w:rsidRPr="00BA2DE8">
              <w:t>Suspension Rate</w:t>
            </w:r>
          </w:p>
        </w:tc>
        <w:tc>
          <w:tcPr>
            <w:tcW w:w="2160" w:type="dxa"/>
            <w:shd w:val="clear" w:color="auto" w:fill="006500"/>
            <w:vAlign w:val="center"/>
          </w:tcPr>
          <w:p w14:paraId="63DC8F75" w14:textId="77777777" w:rsidR="0060321A" w:rsidRPr="00BA2DE8" w:rsidRDefault="0060321A" w:rsidP="00A2005C">
            <w:pPr>
              <w:jc w:val="center"/>
            </w:pPr>
            <w:r w:rsidRPr="00BA2DE8">
              <w:rPr>
                <w:color w:val="FFFFFF" w:themeColor="background1"/>
                <w:shd w:val="clear" w:color="auto" w:fill="006500"/>
              </w:rPr>
              <w:t>Gree</w:t>
            </w:r>
            <w:r w:rsidRPr="00BA2DE8">
              <w:rPr>
                <w:color w:val="FFFFFF" w:themeColor="background1"/>
              </w:rPr>
              <w:t>n</w:t>
            </w:r>
          </w:p>
        </w:tc>
        <w:tc>
          <w:tcPr>
            <w:tcW w:w="2160" w:type="dxa"/>
            <w:shd w:val="clear" w:color="auto" w:fill="FFA500"/>
            <w:vAlign w:val="center"/>
          </w:tcPr>
          <w:p w14:paraId="1F786B99" w14:textId="77777777" w:rsidR="0060321A" w:rsidRPr="00BA2DE8" w:rsidRDefault="0060321A" w:rsidP="00A2005C">
            <w:pPr>
              <w:jc w:val="center"/>
            </w:pPr>
            <w:r w:rsidRPr="00BA2DE8">
              <w:t>Orange</w:t>
            </w:r>
          </w:p>
        </w:tc>
      </w:tr>
    </w:tbl>
    <w:p w14:paraId="4144B28A" w14:textId="77777777" w:rsidR="0060321A" w:rsidRPr="00BA2DE8" w:rsidRDefault="0060321A" w:rsidP="003B0F9A">
      <w:pPr>
        <w:spacing w:before="240" w:after="240"/>
        <w:rPr>
          <w:rFonts w:cs="Arial"/>
        </w:rPr>
      </w:pPr>
      <w:r w:rsidRPr="00BA2DE8">
        <w:t xml:space="preserve">Agate </w:t>
      </w:r>
      <w:r w:rsidRPr="00BA2DE8">
        <w:rPr>
          <w:rFonts w:cs="Arial"/>
        </w:rPr>
        <w:t>Middle School is eligible for ATSI because the EL student group met:</w:t>
      </w:r>
    </w:p>
    <w:p w14:paraId="36E336B0" w14:textId="08820B16" w:rsidR="0060321A" w:rsidRPr="00BA2DE8" w:rsidRDefault="0060321A" w:rsidP="003B0F9A">
      <w:pPr>
        <w:pStyle w:val="ListParagraph"/>
        <w:numPr>
          <w:ilvl w:val="0"/>
          <w:numId w:val="16"/>
        </w:numPr>
        <w:spacing w:after="240" w:line="240" w:lineRule="auto"/>
        <w:contextualSpacing w:val="0"/>
        <w:rPr>
          <w:rFonts w:ascii="Arial" w:hAnsi="Arial" w:cs="Arial"/>
          <w:sz w:val="24"/>
          <w:szCs w:val="24"/>
        </w:rPr>
      </w:pPr>
      <w:r w:rsidRPr="00BA2DE8">
        <w:rPr>
          <w:rFonts w:ascii="Arial" w:hAnsi="Arial" w:cs="Arial"/>
          <w:sz w:val="24"/>
          <w:szCs w:val="24"/>
        </w:rPr>
        <w:t xml:space="preserve">All </w:t>
      </w:r>
      <w:r w:rsidR="00411837" w:rsidRPr="00BA2DE8">
        <w:rPr>
          <w:rFonts w:ascii="Arial" w:eastAsiaTheme="minorEastAsia" w:hAnsi="Arial" w:cs="Arial"/>
          <w:b/>
          <w:bCs/>
          <w:color w:val="A40000"/>
          <w:kern w:val="24"/>
          <w:sz w:val="24"/>
          <w:szCs w:val="24"/>
        </w:rPr>
        <w:t>Red</w:t>
      </w:r>
      <w:r w:rsidRPr="00BA2DE8">
        <w:rPr>
          <w:rFonts w:ascii="Arial" w:hAnsi="Arial" w:cs="Arial"/>
          <w:sz w:val="24"/>
          <w:szCs w:val="24"/>
        </w:rPr>
        <w:t xml:space="preserve"> but one indicator of any other color criterion on the 2018 Dashboard; and </w:t>
      </w:r>
    </w:p>
    <w:p w14:paraId="45B5CBB7" w14:textId="11FBA253" w:rsidR="0060321A" w:rsidRPr="00BA2DE8" w:rsidRDefault="00B5427B" w:rsidP="003B0F9A">
      <w:pPr>
        <w:pStyle w:val="ListParagraph"/>
        <w:numPr>
          <w:ilvl w:val="0"/>
          <w:numId w:val="16"/>
        </w:numPr>
        <w:spacing w:after="240" w:line="240" w:lineRule="auto"/>
        <w:contextualSpacing w:val="0"/>
        <w:rPr>
          <w:rFonts w:cs="Arial"/>
        </w:rPr>
      </w:pPr>
      <w:r w:rsidRPr="00BA2DE8">
        <w:rPr>
          <w:rFonts w:ascii="Arial" w:hAnsi="Arial" w:cs="Arial"/>
          <w:sz w:val="24"/>
          <w:szCs w:val="24"/>
        </w:rPr>
        <w:t xml:space="preserve">All </w:t>
      </w:r>
      <w:r w:rsidRPr="00BA2DE8">
        <w:rPr>
          <w:rFonts w:ascii="Arial" w:eastAsiaTheme="minorEastAsia" w:hAnsi="Arial" w:cs="Arial"/>
          <w:b/>
          <w:bCs/>
          <w:color w:val="A40000"/>
          <w:kern w:val="24"/>
          <w:sz w:val="24"/>
          <w:szCs w:val="24"/>
        </w:rPr>
        <w:t>Red</w:t>
      </w:r>
      <w:r w:rsidRPr="00BA2DE8">
        <w:rPr>
          <w:rFonts w:ascii="Arial" w:hAnsi="Arial" w:cs="Arial"/>
          <w:sz w:val="24"/>
          <w:szCs w:val="24"/>
        </w:rPr>
        <w:t xml:space="preserve"> (or ELPI Status of “Very Low”) and </w:t>
      </w:r>
      <w:r w:rsidRPr="00031195">
        <w:rPr>
          <w:rFonts w:ascii="Arial" w:eastAsiaTheme="minorEastAsia" w:hAnsi="Arial" w:cs="Arial"/>
          <w:b/>
          <w:bCs/>
          <w:color w:val="B95C00"/>
          <w:kern w:val="24"/>
          <w:sz w:val="24"/>
          <w:szCs w:val="24"/>
        </w:rPr>
        <w:t>Orange</w:t>
      </w:r>
      <w:r w:rsidRPr="00BA2DE8">
        <w:rPr>
          <w:rFonts w:ascii="Arial" w:hAnsi="Arial" w:cs="Arial"/>
          <w:sz w:val="24"/>
          <w:szCs w:val="24"/>
        </w:rPr>
        <w:t xml:space="preserve"> </w:t>
      </w:r>
      <w:r w:rsidR="0060321A" w:rsidRPr="00BA2DE8">
        <w:rPr>
          <w:rFonts w:ascii="Arial" w:hAnsi="Arial" w:cs="Arial"/>
          <w:sz w:val="24"/>
          <w:szCs w:val="24"/>
        </w:rPr>
        <w:t>indicators criterion on the 2019 Dashboard.</w:t>
      </w:r>
    </w:p>
    <w:p w14:paraId="4928EE12" w14:textId="56E0FC1E" w:rsidR="0052556E" w:rsidRDefault="00694C73" w:rsidP="003B0F9A">
      <w:pPr>
        <w:pStyle w:val="ListBullet"/>
        <w:numPr>
          <w:ilvl w:val="0"/>
          <w:numId w:val="0"/>
        </w:numPr>
        <w:tabs>
          <w:tab w:val="left" w:pos="450"/>
        </w:tabs>
        <w:spacing w:after="240"/>
        <w:contextualSpacing w:val="0"/>
      </w:pPr>
      <w:r w:rsidRPr="00BA2DE8">
        <w:t>At the September 2019 SBE meeting, the</w:t>
      </w:r>
      <w:r w:rsidR="0060321A" w:rsidRPr="00BA2DE8">
        <w:t xml:space="preserve"> CDE </w:t>
      </w:r>
      <w:r w:rsidRPr="00BA2DE8">
        <w:t xml:space="preserve">will provide the SBE </w:t>
      </w:r>
      <w:r w:rsidR="00D1647C" w:rsidRPr="00BA2DE8">
        <w:t xml:space="preserve">with </w:t>
      </w:r>
      <w:r w:rsidRPr="00BA2DE8">
        <w:t>an update on the status of the</w:t>
      </w:r>
      <w:r w:rsidR="0060321A" w:rsidRPr="00BA2DE8">
        <w:t xml:space="preserve"> data simulations using the first and second year of ELPAC SA results</w:t>
      </w:r>
      <w:r w:rsidRPr="00BA2DE8">
        <w:t>. The CDE will provide the</w:t>
      </w:r>
      <w:r w:rsidR="0060321A" w:rsidRPr="00BA2DE8">
        <w:t xml:space="preserve"> TDG and ELPI </w:t>
      </w:r>
      <w:r w:rsidRPr="00BA2DE8">
        <w:t>W</w:t>
      </w:r>
      <w:r w:rsidR="0060321A" w:rsidRPr="00BA2DE8">
        <w:t xml:space="preserve">orkgroup </w:t>
      </w:r>
      <w:r w:rsidR="00D1647C" w:rsidRPr="00BA2DE8">
        <w:t xml:space="preserve">with </w:t>
      </w:r>
      <w:r w:rsidRPr="00BA2DE8">
        <w:t>a</w:t>
      </w:r>
      <w:r w:rsidR="0060321A" w:rsidRPr="00BA2DE8">
        <w:t xml:space="preserve"> summar</w:t>
      </w:r>
      <w:r w:rsidRPr="00BA2DE8">
        <w:t>y</w:t>
      </w:r>
      <w:r w:rsidR="0060321A" w:rsidRPr="00BA2DE8">
        <w:t xml:space="preserve"> of those results in September and October of 2019, with final recommendations for the ELPI methodology to be approved at the November 2019 SBE meeting.</w:t>
      </w:r>
    </w:p>
    <w:sectPr w:rsidR="0052556E" w:rsidSect="0059345A">
      <w:headerReference w:type="default" r:id="rId18"/>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7078" w14:textId="77777777" w:rsidR="009B5950" w:rsidRDefault="009B5950">
      <w:r>
        <w:separator/>
      </w:r>
    </w:p>
  </w:endnote>
  <w:endnote w:type="continuationSeparator" w:id="0">
    <w:p w14:paraId="66B72583" w14:textId="77777777" w:rsidR="009B5950" w:rsidRDefault="009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5133D" w14:textId="77777777" w:rsidR="009B5950" w:rsidRDefault="009B5950">
      <w:r>
        <w:separator/>
      </w:r>
    </w:p>
  </w:footnote>
  <w:footnote w:type="continuationSeparator" w:id="0">
    <w:p w14:paraId="18BB2E21" w14:textId="77777777" w:rsidR="009B5950" w:rsidRDefault="009B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5D02" w14:textId="77777777" w:rsidR="003E11D4" w:rsidRPr="001D4BA4" w:rsidRDefault="003E11D4" w:rsidP="00DE237B">
    <w:pPr>
      <w:pStyle w:val="Header"/>
      <w:jc w:val="right"/>
      <w:rPr>
        <w:rFonts w:ascii="Arial" w:hAnsi="Arial" w:cs="Arial"/>
        <w:sz w:val="24"/>
        <w:szCs w:val="24"/>
      </w:rPr>
    </w:pPr>
    <w:r>
      <w:rPr>
        <w:rFonts w:ascii="Arial" w:hAnsi="Arial" w:cs="Arial"/>
        <w:sz w:val="24"/>
        <w:szCs w:val="24"/>
      </w:rPr>
      <w:t>memo-pptb-amard-aug19item02</w:t>
    </w:r>
  </w:p>
  <w:p w14:paraId="6282EFA4" w14:textId="77777777" w:rsidR="003E11D4" w:rsidRPr="00BB5923" w:rsidRDefault="003E11D4" w:rsidP="00DE237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2</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1C9C" w14:textId="77777777" w:rsidR="003E11D4" w:rsidRDefault="003E11D4" w:rsidP="00DE237B">
    <w:pPr>
      <w:pStyle w:val="Header"/>
      <w:jc w:val="right"/>
      <w:rPr>
        <w:rFonts w:ascii="Arial" w:hAnsi="Arial" w:cs="Arial"/>
        <w:sz w:val="24"/>
        <w:szCs w:val="24"/>
      </w:rPr>
    </w:pPr>
    <w:r>
      <w:rPr>
        <w:rFonts w:ascii="Arial" w:hAnsi="Arial" w:cs="Arial"/>
        <w:sz w:val="24"/>
        <w:szCs w:val="24"/>
      </w:rPr>
      <w:t>memo-pptb-amard-aug19item02</w:t>
    </w:r>
  </w:p>
  <w:p w14:paraId="51B481A2" w14:textId="77777777" w:rsidR="003E11D4" w:rsidRPr="001D4BA4" w:rsidRDefault="003E11D4" w:rsidP="00DE237B">
    <w:pPr>
      <w:pStyle w:val="Header"/>
      <w:jc w:val="right"/>
      <w:rPr>
        <w:rFonts w:ascii="Arial" w:hAnsi="Arial" w:cs="Arial"/>
        <w:sz w:val="24"/>
        <w:szCs w:val="24"/>
      </w:rPr>
    </w:pPr>
    <w:r>
      <w:rPr>
        <w:rFonts w:ascii="Arial" w:hAnsi="Arial" w:cs="Arial"/>
        <w:sz w:val="24"/>
        <w:szCs w:val="24"/>
      </w:rPr>
      <w:t>Attachment 1</w:t>
    </w:r>
  </w:p>
  <w:p w14:paraId="14DE1273" w14:textId="19DEA9F6" w:rsidR="003E11D4" w:rsidRPr="00BB5923" w:rsidRDefault="003E11D4" w:rsidP="00DE237B">
    <w:pPr>
      <w:pStyle w:val="Header"/>
      <w:spacing w:after="480"/>
      <w:jc w:val="right"/>
      <w:rPr>
        <w:rFonts w:ascii="Arial" w:hAnsi="Arial" w:cs="Arial"/>
        <w:sz w:val="24"/>
        <w:szCs w:val="24"/>
      </w:rPr>
    </w:pPr>
    <w:r w:rsidRPr="00BB5923">
      <w:rPr>
        <w:rFonts w:ascii="Arial" w:hAnsi="Arial" w:cs="Arial"/>
        <w:sz w:val="24"/>
        <w:szCs w:val="24"/>
      </w:rPr>
      <w:t xml:space="preserve">Page </w:t>
    </w:r>
    <w:r w:rsidRPr="006D54C4">
      <w:rPr>
        <w:rFonts w:ascii="Arial" w:hAnsi="Arial" w:cs="Arial"/>
        <w:sz w:val="24"/>
        <w:szCs w:val="24"/>
      </w:rPr>
      <w:fldChar w:fldCharType="begin"/>
    </w:r>
    <w:r w:rsidRPr="006D54C4">
      <w:rPr>
        <w:rFonts w:ascii="Arial" w:hAnsi="Arial" w:cs="Arial"/>
        <w:sz w:val="24"/>
        <w:szCs w:val="24"/>
      </w:rPr>
      <w:instrText xml:space="preserve"> PAGE   \* MERGEFORMAT </w:instrText>
    </w:r>
    <w:r w:rsidRPr="006D54C4">
      <w:rPr>
        <w:rFonts w:ascii="Arial" w:hAnsi="Arial" w:cs="Arial"/>
        <w:sz w:val="24"/>
        <w:szCs w:val="24"/>
      </w:rPr>
      <w:fldChar w:fldCharType="separate"/>
    </w:r>
    <w:r>
      <w:rPr>
        <w:rFonts w:ascii="Arial" w:hAnsi="Arial" w:cs="Arial"/>
        <w:noProof/>
        <w:sz w:val="24"/>
        <w:szCs w:val="24"/>
      </w:rPr>
      <w:t>6</w:t>
    </w:r>
    <w:r w:rsidRPr="006D54C4">
      <w:rPr>
        <w:rFonts w:ascii="Arial" w:hAnsi="Arial" w:cs="Arial"/>
        <w:noProof/>
        <w:sz w:val="24"/>
        <w:szCs w:val="24"/>
      </w:rPr>
      <w:fldChar w:fldCharType="end"/>
    </w:r>
    <w:r>
      <w:rPr>
        <w:rFonts w:ascii="Arial" w:hAnsi="Arial" w:cs="Arial"/>
        <w:sz w:val="24"/>
        <w:szCs w:val="24"/>
      </w:rPr>
      <w:t xml:space="preserve"> of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FD90" w14:textId="77777777" w:rsidR="003E11D4" w:rsidRDefault="003E11D4" w:rsidP="00DE237B">
    <w:pPr>
      <w:pStyle w:val="Header"/>
      <w:jc w:val="right"/>
      <w:rPr>
        <w:rFonts w:ascii="Arial" w:hAnsi="Arial" w:cs="Arial"/>
        <w:sz w:val="24"/>
        <w:szCs w:val="24"/>
      </w:rPr>
    </w:pPr>
    <w:r>
      <w:rPr>
        <w:rFonts w:ascii="Arial" w:hAnsi="Arial" w:cs="Arial"/>
        <w:sz w:val="24"/>
        <w:szCs w:val="24"/>
      </w:rPr>
      <w:t>memo-pptb-amard-aug19item02</w:t>
    </w:r>
  </w:p>
  <w:p w14:paraId="232B403A" w14:textId="77777777" w:rsidR="003E11D4" w:rsidRPr="001D4BA4" w:rsidRDefault="003E11D4" w:rsidP="00DE237B">
    <w:pPr>
      <w:pStyle w:val="Header"/>
      <w:jc w:val="right"/>
      <w:rPr>
        <w:rFonts w:ascii="Arial" w:hAnsi="Arial" w:cs="Arial"/>
        <w:sz w:val="24"/>
        <w:szCs w:val="24"/>
      </w:rPr>
    </w:pPr>
    <w:r>
      <w:rPr>
        <w:rFonts w:ascii="Arial" w:hAnsi="Arial" w:cs="Arial"/>
        <w:sz w:val="24"/>
        <w:szCs w:val="24"/>
      </w:rPr>
      <w:t>Attachment 2</w:t>
    </w:r>
  </w:p>
  <w:p w14:paraId="4D4BAC6A" w14:textId="77777777" w:rsidR="003E11D4" w:rsidRPr="00BB5923" w:rsidRDefault="003E11D4" w:rsidP="00DE237B">
    <w:pPr>
      <w:pStyle w:val="Header"/>
      <w:spacing w:after="480"/>
      <w:jc w:val="right"/>
      <w:rPr>
        <w:rFonts w:ascii="Arial" w:hAnsi="Arial" w:cs="Arial"/>
        <w:sz w:val="24"/>
        <w:szCs w:val="24"/>
      </w:rPr>
    </w:pPr>
    <w:r w:rsidRPr="00BB5923">
      <w:rPr>
        <w:rFonts w:ascii="Arial" w:hAnsi="Arial" w:cs="Arial"/>
        <w:sz w:val="24"/>
        <w:szCs w:val="24"/>
      </w:rPr>
      <w:t xml:space="preserve">Page </w:t>
    </w:r>
    <w:r w:rsidRPr="0059345A">
      <w:rPr>
        <w:rFonts w:ascii="Arial" w:hAnsi="Arial" w:cs="Arial"/>
        <w:sz w:val="24"/>
        <w:szCs w:val="24"/>
      </w:rPr>
      <w:fldChar w:fldCharType="begin"/>
    </w:r>
    <w:r w:rsidRPr="0059345A">
      <w:rPr>
        <w:rFonts w:ascii="Arial" w:hAnsi="Arial" w:cs="Arial"/>
        <w:sz w:val="24"/>
        <w:szCs w:val="24"/>
      </w:rPr>
      <w:instrText xml:space="preserve"> PAGE   \* MERGEFORMAT </w:instrText>
    </w:r>
    <w:r w:rsidRPr="0059345A">
      <w:rPr>
        <w:rFonts w:ascii="Arial" w:hAnsi="Arial" w:cs="Arial"/>
        <w:sz w:val="24"/>
        <w:szCs w:val="24"/>
      </w:rPr>
      <w:fldChar w:fldCharType="separate"/>
    </w:r>
    <w:r>
      <w:rPr>
        <w:rFonts w:ascii="Arial" w:hAnsi="Arial" w:cs="Arial"/>
        <w:noProof/>
        <w:sz w:val="24"/>
        <w:szCs w:val="24"/>
      </w:rPr>
      <w:t>1</w:t>
    </w:r>
    <w:r w:rsidRPr="0059345A">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8951" w14:textId="77777777" w:rsidR="003E11D4" w:rsidRPr="003E11D4" w:rsidRDefault="003E11D4" w:rsidP="00DE237B">
    <w:pPr>
      <w:pStyle w:val="Header"/>
      <w:jc w:val="right"/>
      <w:rPr>
        <w:rFonts w:ascii="Arial" w:hAnsi="Arial" w:cs="Arial"/>
        <w:sz w:val="24"/>
        <w:szCs w:val="24"/>
      </w:rPr>
    </w:pPr>
    <w:r w:rsidRPr="003E11D4">
      <w:rPr>
        <w:rFonts w:ascii="Arial" w:hAnsi="Arial" w:cs="Arial"/>
        <w:sz w:val="24"/>
        <w:szCs w:val="24"/>
      </w:rPr>
      <w:t>memo-pptb-amard-aug19item02</w:t>
    </w:r>
  </w:p>
  <w:p w14:paraId="7AE5B7C6" w14:textId="77777777" w:rsidR="003E11D4" w:rsidRPr="003E11D4" w:rsidRDefault="003E11D4" w:rsidP="00DE237B">
    <w:pPr>
      <w:pStyle w:val="Header"/>
      <w:jc w:val="right"/>
      <w:rPr>
        <w:rFonts w:ascii="Arial" w:hAnsi="Arial" w:cs="Arial"/>
        <w:sz w:val="24"/>
        <w:szCs w:val="24"/>
      </w:rPr>
    </w:pPr>
    <w:r w:rsidRPr="003E11D4">
      <w:rPr>
        <w:rFonts w:ascii="Arial" w:hAnsi="Arial" w:cs="Arial"/>
        <w:sz w:val="24"/>
        <w:szCs w:val="24"/>
      </w:rPr>
      <w:t>Attachment 3</w:t>
    </w:r>
  </w:p>
  <w:p w14:paraId="59C80E7B" w14:textId="40BDB6CD" w:rsidR="003E11D4" w:rsidRPr="00BB5923" w:rsidRDefault="003E11D4" w:rsidP="00DE237B">
    <w:pPr>
      <w:pStyle w:val="Header"/>
      <w:spacing w:after="480"/>
      <w:jc w:val="right"/>
      <w:rPr>
        <w:rFonts w:ascii="Arial" w:hAnsi="Arial" w:cs="Arial"/>
        <w:sz w:val="24"/>
        <w:szCs w:val="24"/>
      </w:rPr>
    </w:pPr>
    <w:r w:rsidRPr="003E11D4">
      <w:rPr>
        <w:rFonts w:ascii="Arial" w:hAnsi="Arial" w:cs="Arial"/>
        <w:sz w:val="24"/>
        <w:szCs w:val="24"/>
      </w:rPr>
      <w:t xml:space="preserve">Page </w:t>
    </w:r>
    <w:r w:rsidRPr="003E11D4">
      <w:rPr>
        <w:rFonts w:ascii="Arial" w:hAnsi="Arial" w:cs="Arial"/>
        <w:sz w:val="24"/>
        <w:szCs w:val="24"/>
      </w:rPr>
      <w:fldChar w:fldCharType="begin"/>
    </w:r>
    <w:r w:rsidRPr="003E11D4">
      <w:rPr>
        <w:rFonts w:ascii="Arial" w:hAnsi="Arial" w:cs="Arial"/>
        <w:sz w:val="24"/>
        <w:szCs w:val="24"/>
      </w:rPr>
      <w:instrText xml:space="preserve"> PAGE   \* MERGEFORMAT </w:instrText>
    </w:r>
    <w:r w:rsidRPr="003E11D4">
      <w:rPr>
        <w:rFonts w:ascii="Arial" w:hAnsi="Arial" w:cs="Arial"/>
        <w:sz w:val="24"/>
        <w:szCs w:val="24"/>
      </w:rPr>
      <w:fldChar w:fldCharType="separate"/>
    </w:r>
    <w:r w:rsidRPr="003E11D4">
      <w:rPr>
        <w:rFonts w:ascii="Arial" w:hAnsi="Arial" w:cs="Arial"/>
        <w:noProof/>
        <w:sz w:val="24"/>
        <w:szCs w:val="24"/>
      </w:rPr>
      <w:t>8</w:t>
    </w:r>
    <w:r w:rsidRPr="003E11D4">
      <w:rPr>
        <w:rFonts w:ascii="Arial" w:hAnsi="Arial" w:cs="Arial"/>
        <w:noProof/>
        <w:sz w:val="24"/>
        <w:szCs w:val="24"/>
      </w:rPr>
      <w:fldChar w:fldCharType="end"/>
    </w:r>
    <w:r w:rsidRPr="003E11D4">
      <w:rPr>
        <w:rFonts w:ascii="Arial" w:hAnsi="Arial" w:cs="Arial"/>
        <w:noProof/>
        <w:sz w:val="24"/>
        <w:szCs w:val="24"/>
      </w:rPr>
      <w:t xml:space="preserve"> </w:t>
    </w:r>
    <w:r w:rsidRPr="003E11D4">
      <w:rPr>
        <w:rFonts w:ascii="Arial" w:hAnsi="Arial" w:cs="Arial"/>
        <w:sz w:val="24"/>
        <w:szCs w:val="24"/>
      </w:rPr>
      <w:t>of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668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FA8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329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BCBA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8445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8CC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23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B27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A436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14F7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925"/>
    <w:multiLevelType w:val="hybridMultilevel"/>
    <w:tmpl w:val="20D2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E4AA7"/>
    <w:multiLevelType w:val="hybridMultilevel"/>
    <w:tmpl w:val="84763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E4F9B"/>
    <w:multiLevelType w:val="hybridMultilevel"/>
    <w:tmpl w:val="7DD49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712C0"/>
    <w:multiLevelType w:val="hybridMultilevel"/>
    <w:tmpl w:val="B59E2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C41C2"/>
    <w:multiLevelType w:val="hybridMultilevel"/>
    <w:tmpl w:val="05E0D6CE"/>
    <w:lvl w:ilvl="0" w:tplc="5838AF22">
      <w:start w:val="1"/>
      <w:numFmt w:val="bullet"/>
      <w:lvlText w:val="•"/>
      <w:lvlJc w:val="left"/>
      <w:pPr>
        <w:tabs>
          <w:tab w:val="num" w:pos="720"/>
        </w:tabs>
        <w:ind w:left="720" w:hanging="360"/>
      </w:pPr>
      <w:rPr>
        <w:rFonts w:ascii="Arial" w:hAnsi="Arial" w:hint="default"/>
      </w:rPr>
    </w:lvl>
    <w:lvl w:ilvl="1" w:tplc="2A86E242" w:tentative="1">
      <w:start w:val="1"/>
      <w:numFmt w:val="bullet"/>
      <w:lvlText w:val="•"/>
      <w:lvlJc w:val="left"/>
      <w:pPr>
        <w:tabs>
          <w:tab w:val="num" w:pos="1440"/>
        </w:tabs>
        <w:ind w:left="1440" w:hanging="360"/>
      </w:pPr>
      <w:rPr>
        <w:rFonts w:ascii="Arial" w:hAnsi="Arial" w:hint="default"/>
      </w:rPr>
    </w:lvl>
    <w:lvl w:ilvl="2" w:tplc="86FC11C0" w:tentative="1">
      <w:start w:val="1"/>
      <w:numFmt w:val="bullet"/>
      <w:lvlText w:val="•"/>
      <w:lvlJc w:val="left"/>
      <w:pPr>
        <w:tabs>
          <w:tab w:val="num" w:pos="2160"/>
        </w:tabs>
        <w:ind w:left="2160" w:hanging="360"/>
      </w:pPr>
      <w:rPr>
        <w:rFonts w:ascii="Arial" w:hAnsi="Arial" w:hint="default"/>
      </w:rPr>
    </w:lvl>
    <w:lvl w:ilvl="3" w:tplc="42D67E22" w:tentative="1">
      <w:start w:val="1"/>
      <w:numFmt w:val="bullet"/>
      <w:lvlText w:val="•"/>
      <w:lvlJc w:val="left"/>
      <w:pPr>
        <w:tabs>
          <w:tab w:val="num" w:pos="2880"/>
        </w:tabs>
        <w:ind w:left="2880" w:hanging="360"/>
      </w:pPr>
      <w:rPr>
        <w:rFonts w:ascii="Arial" w:hAnsi="Arial" w:hint="default"/>
      </w:rPr>
    </w:lvl>
    <w:lvl w:ilvl="4" w:tplc="4BC67660" w:tentative="1">
      <w:start w:val="1"/>
      <w:numFmt w:val="bullet"/>
      <w:lvlText w:val="•"/>
      <w:lvlJc w:val="left"/>
      <w:pPr>
        <w:tabs>
          <w:tab w:val="num" w:pos="3600"/>
        </w:tabs>
        <w:ind w:left="3600" w:hanging="360"/>
      </w:pPr>
      <w:rPr>
        <w:rFonts w:ascii="Arial" w:hAnsi="Arial" w:hint="default"/>
      </w:rPr>
    </w:lvl>
    <w:lvl w:ilvl="5" w:tplc="B3F8D7CE" w:tentative="1">
      <w:start w:val="1"/>
      <w:numFmt w:val="bullet"/>
      <w:lvlText w:val="•"/>
      <w:lvlJc w:val="left"/>
      <w:pPr>
        <w:tabs>
          <w:tab w:val="num" w:pos="4320"/>
        </w:tabs>
        <w:ind w:left="4320" w:hanging="360"/>
      </w:pPr>
      <w:rPr>
        <w:rFonts w:ascii="Arial" w:hAnsi="Arial" w:hint="default"/>
      </w:rPr>
    </w:lvl>
    <w:lvl w:ilvl="6" w:tplc="71D80BBA" w:tentative="1">
      <w:start w:val="1"/>
      <w:numFmt w:val="bullet"/>
      <w:lvlText w:val="•"/>
      <w:lvlJc w:val="left"/>
      <w:pPr>
        <w:tabs>
          <w:tab w:val="num" w:pos="5040"/>
        </w:tabs>
        <w:ind w:left="5040" w:hanging="360"/>
      </w:pPr>
      <w:rPr>
        <w:rFonts w:ascii="Arial" w:hAnsi="Arial" w:hint="default"/>
      </w:rPr>
    </w:lvl>
    <w:lvl w:ilvl="7" w:tplc="1C987E7E" w:tentative="1">
      <w:start w:val="1"/>
      <w:numFmt w:val="bullet"/>
      <w:lvlText w:val="•"/>
      <w:lvlJc w:val="left"/>
      <w:pPr>
        <w:tabs>
          <w:tab w:val="num" w:pos="5760"/>
        </w:tabs>
        <w:ind w:left="5760" w:hanging="360"/>
      </w:pPr>
      <w:rPr>
        <w:rFonts w:ascii="Arial" w:hAnsi="Arial" w:hint="default"/>
      </w:rPr>
    </w:lvl>
    <w:lvl w:ilvl="8" w:tplc="10B445F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33123F"/>
    <w:multiLevelType w:val="hybridMultilevel"/>
    <w:tmpl w:val="5C12A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CC019A"/>
    <w:multiLevelType w:val="hybridMultilevel"/>
    <w:tmpl w:val="2E52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70CEC"/>
    <w:multiLevelType w:val="hybridMultilevel"/>
    <w:tmpl w:val="F7F2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509A5"/>
    <w:multiLevelType w:val="hybridMultilevel"/>
    <w:tmpl w:val="649290E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50412077"/>
    <w:multiLevelType w:val="hybridMultilevel"/>
    <w:tmpl w:val="72E0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0696A"/>
    <w:multiLevelType w:val="hybridMultilevel"/>
    <w:tmpl w:val="B52026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E59593D"/>
    <w:multiLevelType w:val="hybridMultilevel"/>
    <w:tmpl w:val="67F4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119FE"/>
    <w:multiLevelType w:val="hybridMultilevel"/>
    <w:tmpl w:val="DAF0EBB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15:restartNumberingAfterBreak="0">
    <w:nsid w:val="791C7E2D"/>
    <w:multiLevelType w:val="hybridMultilevel"/>
    <w:tmpl w:val="904C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D61E3"/>
    <w:multiLevelType w:val="hybridMultilevel"/>
    <w:tmpl w:val="B8DC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70F1A"/>
    <w:multiLevelType w:val="hybridMultilevel"/>
    <w:tmpl w:val="7DD49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11"/>
  </w:num>
  <w:num w:numId="4">
    <w:abstractNumId w:val="24"/>
  </w:num>
  <w:num w:numId="5">
    <w:abstractNumId w:val="9"/>
  </w:num>
  <w:num w:numId="6">
    <w:abstractNumId w:val="12"/>
  </w:num>
  <w:num w:numId="7">
    <w:abstractNumId w:val="25"/>
  </w:num>
  <w:num w:numId="8">
    <w:abstractNumId w:val="16"/>
  </w:num>
  <w:num w:numId="9">
    <w:abstractNumId w:val="17"/>
  </w:num>
  <w:num w:numId="10">
    <w:abstractNumId w:val="20"/>
  </w:num>
  <w:num w:numId="11">
    <w:abstractNumId w:val="13"/>
  </w:num>
  <w:num w:numId="12">
    <w:abstractNumId w:val="14"/>
  </w:num>
  <w:num w:numId="13">
    <w:abstractNumId w:val="10"/>
  </w:num>
  <w:num w:numId="14">
    <w:abstractNumId w:val="19"/>
  </w:num>
  <w:num w:numId="15">
    <w:abstractNumId w:val="23"/>
  </w:num>
  <w:num w:numId="16">
    <w:abstractNumId w:val="21"/>
  </w:num>
  <w:num w:numId="17">
    <w:abstractNumId w:val="18"/>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4B0A"/>
    <w:rsid w:val="00015886"/>
    <w:rsid w:val="00023C69"/>
    <w:rsid w:val="00026C44"/>
    <w:rsid w:val="0002742F"/>
    <w:rsid w:val="00031195"/>
    <w:rsid w:val="0004272E"/>
    <w:rsid w:val="00046A26"/>
    <w:rsid w:val="00047359"/>
    <w:rsid w:val="00053B2A"/>
    <w:rsid w:val="00054343"/>
    <w:rsid w:val="00057A96"/>
    <w:rsid w:val="00077927"/>
    <w:rsid w:val="0009036D"/>
    <w:rsid w:val="000B2C42"/>
    <w:rsid w:val="000B574A"/>
    <w:rsid w:val="000C139F"/>
    <w:rsid w:val="000C218D"/>
    <w:rsid w:val="000D41E2"/>
    <w:rsid w:val="000D7857"/>
    <w:rsid w:val="00107EB6"/>
    <w:rsid w:val="001229C7"/>
    <w:rsid w:val="00123FE3"/>
    <w:rsid w:val="0012701F"/>
    <w:rsid w:val="00127B24"/>
    <w:rsid w:val="00143625"/>
    <w:rsid w:val="00144819"/>
    <w:rsid w:val="0015074E"/>
    <w:rsid w:val="001527B2"/>
    <w:rsid w:val="00160FE2"/>
    <w:rsid w:val="0016173B"/>
    <w:rsid w:val="001648E9"/>
    <w:rsid w:val="00174DA5"/>
    <w:rsid w:val="00184DEF"/>
    <w:rsid w:val="001A3533"/>
    <w:rsid w:val="001A5575"/>
    <w:rsid w:val="001B194C"/>
    <w:rsid w:val="001D14D1"/>
    <w:rsid w:val="001D4A5B"/>
    <w:rsid w:val="001F646A"/>
    <w:rsid w:val="002134F3"/>
    <w:rsid w:val="00230498"/>
    <w:rsid w:val="00231496"/>
    <w:rsid w:val="002408E4"/>
    <w:rsid w:val="00240F4D"/>
    <w:rsid w:val="00243EFC"/>
    <w:rsid w:val="002524FC"/>
    <w:rsid w:val="00271931"/>
    <w:rsid w:val="00275815"/>
    <w:rsid w:val="0027686F"/>
    <w:rsid w:val="0029286A"/>
    <w:rsid w:val="002B53E1"/>
    <w:rsid w:val="002C3B1B"/>
    <w:rsid w:val="002D76E9"/>
    <w:rsid w:val="002E4135"/>
    <w:rsid w:val="002E5C3B"/>
    <w:rsid w:val="002F00AA"/>
    <w:rsid w:val="00312DE4"/>
    <w:rsid w:val="00316CF5"/>
    <w:rsid w:val="00321D49"/>
    <w:rsid w:val="00322C00"/>
    <w:rsid w:val="00325EAA"/>
    <w:rsid w:val="00327787"/>
    <w:rsid w:val="00335EED"/>
    <w:rsid w:val="0033616F"/>
    <w:rsid w:val="00363DAE"/>
    <w:rsid w:val="00364C1F"/>
    <w:rsid w:val="003670B3"/>
    <w:rsid w:val="00384A43"/>
    <w:rsid w:val="00395EFE"/>
    <w:rsid w:val="003B0F9A"/>
    <w:rsid w:val="003B6DF0"/>
    <w:rsid w:val="003D18A0"/>
    <w:rsid w:val="003D2F47"/>
    <w:rsid w:val="003E11D4"/>
    <w:rsid w:val="003E3B94"/>
    <w:rsid w:val="003F0BE0"/>
    <w:rsid w:val="00411837"/>
    <w:rsid w:val="00430292"/>
    <w:rsid w:val="00431F3D"/>
    <w:rsid w:val="00454485"/>
    <w:rsid w:val="004560E7"/>
    <w:rsid w:val="00474A2F"/>
    <w:rsid w:val="00474EE7"/>
    <w:rsid w:val="00482F35"/>
    <w:rsid w:val="00492EA2"/>
    <w:rsid w:val="004A4DB7"/>
    <w:rsid w:val="004B0341"/>
    <w:rsid w:val="004B732A"/>
    <w:rsid w:val="004C3350"/>
    <w:rsid w:val="004C3423"/>
    <w:rsid w:val="004E121C"/>
    <w:rsid w:val="004F6FBB"/>
    <w:rsid w:val="0050034F"/>
    <w:rsid w:val="00505C3C"/>
    <w:rsid w:val="0051479B"/>
    <w:rsid w:val="0052365F"/>
    <w:rsid w:val="0052556E"/>
    <w:rsid w:val="005324F5"/>
    <w:rsid w:val="00536809"/>
    <w:rsid w:val="0054268C"/>
    <w:rsid w:val="0054334A"/>
    <w:rsid w:val="00592C2C"/>
    <w:rsid w:val="0059345A"/>
    <w:rsid w:val="00596854"/>
    <w:rsid w:val="00597CBE"/>
    <w:rsid w:val="005A37A4"/>
    <w:rsid w:val="005B1325"/>
    <w:rsid w:val="005B51C3"/>
    <w:rsid w:val="005D4731"/>
    <w:rsid w:val="005D600A"/>
    <w:rsid w:val="005D6077"/>
    <w:rsid w:val="0060321A"/>
    <w:rsid w:val="006113AE"/>
    <w:rsid w:val="00620E21"/>
    <w:rsid w:val="006332BB"/>
    <w:rsid w:val="00633CAA"/>
    <w:rsid w:val="0064728B"/>
    <w:rsid w:val="0065003D"/>
    <w:rsid w:val="006615AC"/>
    <w:rsid w:val="00670B00"/>
    <w:rsid w:val="00675C1D"/>
    <w:rsid w:val="00677D69"/>
    <w:rsid w:val="00681207"/>
    <w:rsid w:val="00690E7D"/>
    <w:rsid w:val="00694C73"/>
    <w:rsid w:val="006B1C06"/>
    <w:rsid w:val="006B2422"/>
    <w:rsid w:val="006D25A2"/>
    <w:rsid w:val="006D54C4"/>
    <w:rsid w:val="0070235E"/>
    <w:rsid w:val="007273E0"/>
    <w:rsid w:val="00731598"/>
    <w:rsid w:val="0073385D"/>
    <w:rsid w:val="00784ADA"/>
    <w:rsid w:val="0078616F"/>
    <w:rsid w:val="0078760F"/>
    <w:rsid w:val="007A07EE"/>
    <w:rsid w:val="007A2653"/>
    <w:rsid w:val="007A38ED"/>
    <w:rsid w:val="007B10FE"/>
    <w:rsid w:val="007E50D9"/>
    <w:rsid w:val="008004CA"/>
    <w:rsid w:val="00806464"/>
    <w:rsid w:val="008213F2"/>
    <w:rsid w:val="00824A86"/>
    <w:rsid w:val="00837F87"/>
    <w:rsid w:val="008B0B20"/>
    <w:rsid w:val="008B1135"/>
    <w:rsid w:val="008D2B05"/>
    <w:rsid w:val="008F6CA0"/>
    <w:rsid w:val="00934C66"/>
    <w:rsid w:val="0093505D"/>
    <w:rsid w:val="00946ECF"/>
    <w:rsid w:val="00950F0A"/>
    <w:rsid w:val="00963290"/>
    <w:rsid w:val="00971614"/>
    <w:rsid w:val="00976427"/>
    <w:rsid w:val="009770C8"/>
    <w:rsid w:val="00982A10"/>
    <w:rsid w:val="009A254B"/>
    <w:rsid w:val="009B3E1F"/>
    <w:rsid w:val="009B5950"/>
    <w:rsid w:val="009C52D2"/>
    <w:rsid w:val="009C5A91"/>
    <w:rsid w:val="009D09CF"/>
    <w:rsid w:val="009E0F6D"/>
    <w:rsid w:val="009F090F"/>
    <w:rsid w:val="009F53E5"/>
    <w:rsid w:val="009F5603"/>
    <w:rsid w:val="00A02197"/>
    <w:rsid w:val="00A03EED"/>
    <w:rsid w:val="00A11875"/>
    <w:rsid w:val="00A13D14"/>
    <w:rsid w:val="00A2005C"/>
    <w:rsid w:val="00A34585"/>
    <w:rsid w:val="00A35C73"/>
    <w:rsid w:val="00A37AEA"/>
    <w:rsid w:val="00A4017A"/>
    <w:rsid w:val="00A469A5"/>
    <w:rsid w:val="00A60D2E"/>
    <w:rsid w:val="00A73BF1"/>
    <w:rsid w:val="00AA5686"/>
    <w:rsid w:val="00AB4C92"/>
    <w:rsid w:val="00B15513"/>
    <w:rsid w:val="00B439D6"/>
    <w:rsid w:val="00B5427B"/>
    <w:rsid w:val="00B640AF"/>
    <w:rsid w:val="00B65924"/>
    <w:rsid w:val="00B91B43"/>
    <w:rsid w:val="00BA2DE8"/>
    <w:rsid w:val="00BA4936"/>
    <w:rsid w:val="00BB0E0C"/>
    <w:rsid w:val="00BC3667"/>
    <w:rsid w:val="00BC376B"/>
    <w:rsid w:val="00BC4108"/>
    <w:rsid w:val="00BC467C"/>
    <w:rsid w:val="00BD1C71"/>
    <w:rsid w:val="00BD4CF1"/>
    <w:rsid w:val="00BF0405"/>
    <w:rsid w:val="00BF7F32"/>
    <w:rsid w:val="00C17CBF"/>
    <w:rsid w:val="00C260FE"/>
    <w:rsid w:val="00C36AD0"/>
    <w:rsid w:val="00C420BB"/>
    <w:rsid w:val="00C55E64"/>
    <w:rsid w:val="00C60D86"/>
    <w:rsid w:val="00C610C7"/>
    <w:rsid w:val="00C61F78"/>
    <w:rsid w:val="00C82447"/>
    <w:rsid w:val="00CB6440"/>
    <w:rsid w:val="00CC5474"/>
    <w:rsid w:val="00D1647C"/>
    <w:rsid w:val="00D554CF"/>
    <w:rsid w:val="00D569B3"/>
    <w:rsid w:val="00D62F64"/>
    <w:rsid w:val="00D67553"/>
    <w:rsid w:val="00D81E7D"/>
    <w:rsid w:val="00D94F8B"/>
    <w:rsid w:val="00DA2510"/>
    <w:rsid w:val="00DA4601"/>
    <w:rsid w:val="00DC5FAA"/>
    <w:rsid w:val="00DD4F9D"/>
    <w:rsid w:val="00DE237B"/>
    <w:rsid w:val="00DF2217"/>
    <w:rsid w:val="00DF7EE8"/>
    <w:rsid w:val="00E07627"/>
    <w:rsid w:val="00E32FDC"/>
    <w:rsid w:val="00E47CF9"/>
    <w:rsid w:val="00E502E8"/>
    <w:rsid w:val="00EA65C7"/>
    <w:rsid w:val="00EC34AF"/>
    <w:rsid w:val="00EC3FF1"/>
    <w:rsid w:val="00F009F6"/>
    <w:rsid w:val="00F06887"/>
    <w:rsid w:val="00F17F1C"/>
    <w:rsid w:val="00F3113A"/>
    <w:rsid w:val="00F33E20"/>
    <w:rsid w:val="00F377E2"/>
    <w:rsid w:val="00F37CA7"/>
    <w:rsid w:val="00F4781C"/>
    <w:rsid w:val="00F77B12"/>
    <w:rsid w:val="00F85980"/>
    <w:rsid w:val="00FA5931"/>
    <w:rsid w:val="00FA7E2C"/>
    <w:rsid w:val="00FD7B0D"/>
    <w:rsid w:val="00FE5653"/>
    <w:rsid w:val="00FE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48735"/>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1E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94C7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76427"/>
    <w:rPr>
      <w:strike w:val="0"/>
      <w:dstrike w:val="0"/>
      <w:color w:val="0000FF"/>
      <w:u w:val="single"/>
      <w:effect w:val="none"/>
      <w:shd w:val="clear" w:color="auto" w:fill="auto"/>
    </w:rPr>
  </w:style>
  <w:style w:type="character" w:styleId="CommentReference">
    <w:name w:val="annotation reference"/>
    <w:basedOn w:val="DefaultParagraphFont"/>
    <w:uiPriority w:val="99"/>
    <w:semiHidden/>
    <w:unhideWhenUsed/>
    <w:rsid w:val="00976427"/>
    <w:rPr>
      <w:sz w:val="16"/>
      <w:szCs w:val="16"/>
    </w:rPr>
  </w:style>
  <w:style w:type="paragraph" w:styleId="CommentText">
    <w:name w:val="annotation text"/>
    <w:basedOn w:val="Normal"/>
    <w:link w:val="CommentTextChar"/>
    <w:uiPriority w:val="99"/>
    <w:semiHidden/>
    <w:unhideWhenUsed/>
    <w:rsid w:val="00976427"/>
    <w:rPr>
      <w:sz w:val="20"/>
      <w:szCs w:val="20"/>
    </w:rPr>
  </w:style>
  <w:style w:type="character" w:customStyle="1" w:styleId="CommentTextChar">
    <w:name w:val="Comment Text Char"/>
    <w:basedOn w:val="DefaultParagraphFont"/>
    <w:link w:val="CommentText"/>
    <w:uiPriority w:val="99"/>
    <w:semiHidden/>
    <w:rsid w:val="00976427"/>
    <w:rPr>
      <w:rFonts w:ascii="Arial" w:eastAsia="Times New Roman" w:hAnsi="Arial" w:cs="Times New Roman"/>
      <w:sz w:val="20"/>
      <w:szCs w:val="20"/>
    </w:rPr>
  </w:style>
  <w:style w:type="paragraph" w:styleId="ListParagraph">
    <w:name w:val="List Paragraph"/>
    <w:aliases w:val="list"/>
    <w:basedOn w:val="Normal"/>
    <w:link w:val="ListParagraphChar"/>
    <w:uiPriority w:val="34"/>
    <w:qFormat/>
    <w:rsid w:val="00976427"/>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Char"/>
    <w:basedOn w:val="DefaultParagraphFont"/>
    <w:link w:val="ListParagraph"/>
    <w:uiPriority w:val="34"/>
    <w:locked/>
    <w:rsid w:val="00976427"/>
  </w:style>
  <w:style w:type="table" w:styleId="TableGrid">
    <w:name w:val="Table Grid"/>
    <w:basedOn w:val="TableNormal"/>
    <w:uiPriority w:val="39"/>
    <w:rsid w:val="0097642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42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76427"/>
  </w:style>
  <w:style w:type="paragraph" w:styleId="CommentSubject">
    <w:name w:val="annotation subject"/>
    <w:basedOn w:val="CommentText"/>
    <w:next w:val="CommentText"/>
    <w:link w:val="CommentSubjectChar"/>
    <w:uiPriority w:val="99"/>
    <w:semiHidden/>
    <w:unhideWhenUsed/>
    <w:rsid w:val="009A254B"/>
    <w:rPr>
      <w:b/>
      <w:bCs/>
    </w:rPr>
  </w:style>
  <w:style w:type="character" w:customStyle="1" w:styleId="CommentSubjectChar">
    <w:name w:val="Comment Subject Char"/>
    <w:basedOn w:val="CommentTextChar"/>
    <w:link w:val="CommentSubject"/>
    <w:uiPriority w:val="99"/>
    <w:semiHidden/>
    <w:rsid w:val="009A254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7B10FE"/>
    <w:rPr>
      <w:color w:val="954F72" w:themeColor="followedHyperlink"/>
      <w:u w:val="single"/>
    </w:rPr>
  </w:style>
  <w:style w:type="paragraph" w:styleId="ListBullet">
    <w:name w:val="List Bullet"/>
    <w:basedOn w:val="Normal"/>
    <w:uiPriority w:val="99"/>
    <w:unhideWhenUsed/>
    <w:rsid w:val="002E5C3B"/>
    <w:pPr>
      <w:numPr>
        <w:numId w:val="5"/>
      </w:numPr>
      <w:contextualSpacing/>
    </w:pPr>
  </w:style>
  <w:style w:type="paragraph" w:styleId="Footer">
    <w:name w:val="footer"/>
    <w:basedOn w:val="Normal"/>
    <w:link w:val="FooterChar"/>
    <w:uiPriority w:val="99"/>
    <w:unhideWhenUsed/>
    <w:rsid w:val="005324F5"/>
    <w:pPr>
      <w:tabs>
        <w:tab w:val="center" w:pos="4680"/>
        <w:tab w:val="right" w:pos="9360"/>
      </w:tabs>
    </w:pPr>
  </w:style>
  <w:style w:type="character" w:customStyle="1" w:styleId="FooterChar">
    <w:name w:val="Footer Char"/>
    <w:basedOn w:val="DefaultParagraphFont"/>
    <w:link w:val="Footer"/>
    <w:uiPriority w:val="99"/>
    <w:rsid w:val="005324F5"/>
    <w:rPr>
      <w:rFonts w:ascii="Arial" w:eastAsia="Times New Roman" w:hAnsi="Arial" w:cs="Times New Roman"/>
      <w:sz w:val="24"/>
      <w:szCs w:val="24"/>
    </w:rPr>
  </w:style>
  <w:style w:type="character" w:styleId="Strong">
    <w:name w:val="Strong"/>
    <w:basedOn w:val="DefaultParagraphFont"/>
    <w:uiPriority w:val="22"/>
    <w:qFormat/>
    <w:rsid w:val="00A60D2E"/>
    <w:rPr>
      <w:b/>
      <w:bCs/>
    </w:rPr>
  </w:style>
  <w:style w:type="paragraph" w:styleId="Revision">
    <w:name w:val="Revision"/>
    <w:hidden/>
    <w:uiPriority w:val="99"/>
    <w:semiHidden/>
    <w:rsid w:val="00335EED"/>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E7B34"/>
    <w:rPr>
      <w:i/>
      <w:iCs/>
      <w:color w:val="404040" w:themeColor="text1" w:themeTint="BF"/>
    </w:rPr>
  </w:style>
  <w:style w:type="paragraph" w:customStyle="1" w:styleId="Default">
    <w:name w:val="Default"/>
    <w:rsid w:val="00806464"/>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694C7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09036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11D4"/>
    <w:rPr>
      <w:color w:val="605E5C"/>
      <w:shd w:val="clear" w:color="auto" w:fill="E1DFDD"/>
    </w:rPr>
  </w:style>
  <w:style w:type="paragraph" w:styleId="MessageHeader">
    <w:name w:val="Message Header"/>
    <w:basedOn w:val="Normal"/>
    <w:link w:val="MessageHeaderChar"/>
    <w:uiPriority w:val="99"/>
    <w:unhideWhenUsed/>
    <w:rsid w:val="000D41E2"/>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0D41E2"/>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085506">
      <w:bodyDiv w:val="1"/>
      <w:marLeft w:val="0"/>
      <w:marRight w:val="0"/>
      <w:marTop w:val="0"/>
      <w:marBottom w:val="0"/>
      <w:divBdr>
        <w:top w:val="none" w:sz="0" w:space="0" w:color="auto"/>
        <w:left w:val="none" w:sz="0" w:space="0" w:color="auto"/>
        <w:bottom w:val="none" w:sz="0" w:space="0" w:color="auto"/>
        <w:right w:val="none" w:sz="0" w:space="0" w:color="auto"/>
      </w:divBdr>
    </w:div>
    <w:div w:id="1414624583">
      <w:bodyDiv w:val="1"/>
      <w:marLeft w:val="0"/>
      <w:marRight w:val="0"/>
      <w:marTop w:val="0"/>
      <w:marBottom w:val="0"/>
      <w:divBdr>
        <w:top w:val="none" w:sz="0" w:space="0" w:color="auto"/>
        <w:left w:val="none" w:sz="0" w:space="0" w:color="auto"/>
        <w:bottom w:val="none" w:sz="0" w:space="0" w:color="auto"/>
        <w:right w:val="none" w:sz="0" w:space="0" w:color="auto"/>
      </w:divBdr>
      <w:divsChild>
        <w:div w:id="796721554">
          <w:marLeft w:val="360"/>
          <w:marRight w:val="0"/>
          <w:marTop w:val="240"/>
          <w:marBottom w:val="240"/>
          <w:divBdr>
            <w:top w:val="none" w:sz="0" w:space="0" w:color="auto"/>
            <w:left w:val="none" w:sz="0" w:space="0" w:color="auto"/>
            <w:bottom w:val="none" w:sz="0" w:space="0" w:color="auto"/>
            <w:right w:val="none" w:sz="0" w:space="0" w:color="auto"/>
          </w:divBdr>
        </w:div>
      </w:divsChild>
    </w:div>
    <w:div w:id="1417478596">
      <w:bodyDiv w:val="1"/>
      <w:marLeft w:val="0"/>
      <w:marRight w:val="0"/>
      <w:marTop w:val="0"/>
      <w:marBottom w:val="0"/>
      <w:divBdr>
        <w:top w:val="none" w:sz="0" w:space="0" w:color="auto"/>
        <w:left w:val="none" w:sz="0" w:space="0" w:color="auto"/>
        <w:bottom w:val="none" w:sz="0" w:space="0" w:color="auto"/>
        <w:right w:val="none" w:sz="0" w:space="0" w:color="auto"/>
      </w:divBdr>
      <w:divsChild>
        <w:div w:id="315693233">
          <w:marLeft w:val="0"/>
          <w:marRight w:val="0"/>
          <w:marTop w:val="0"/>
          <w:marBottom w:val="0"/>
          <w:divBdr>
            <w:top w:val="none" w:sz="0" w:space="0" w:color="auto"/>
            <w:left w:val="none" w:sz="0" w:space="0" w:color="auto"/>
            <w:bottom w:val="none" w:sz="0" w:space="0" w:color="auto"/>
            <w:right w:val="none" w:sz="0" w:space="0" w:color="auto"/>
          </w:divBdr>
        </w:div>
        <w:div w:id="1284076421">
          <w:marLeft w:val="0"/>
          <w:marRight w:val="0"/>
          <w:marTop w:val="0"/>
          <w:marBottom w:val="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be/ag/ag/yr17/documents/jan17item02a1addendum.doc"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e.ca.gov/be/ag/ag/yr17/documents/jan17item02.doc" TargetMode="External"/><Relationship Id="rId17" Type="http://schemas.openxmlformats.org/officeDocument/2006/relationships/hyperlink" Target="https://www.cde.ca.gov/be/ag/ag/yr18/documents/jul18item01.doc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ta/ac/cm/documents/englishlearnergroup.pdf" TargetMode="External"/><Relationship Id="rId5" Type="http://schemas.openxmlformats.org/officeDocument/2006/relationships/styles" Target="styles.xml"/><Relationship Id="rId15" Type="http://schemas.openxmlformats.org/officeDocument/2006/relationships/hyperlink" Target="https://www.cde.ca.gov/ds/sd/sd/filesltel.asp"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89E5F-FA03-4C59-B13D-4A7BCCDE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95922B-0692-4DFA-AAE8-79E72F30D4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80B4B-6633-4C83-8DE1-9CE892CBF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16</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August 2019 Memo PPTB AMARD Item 02 - Information Memorandum (CA State Board of Education)</vt:lpstr>
    </vt:vector>
  </TitlesOfParts>
  <Company>California State Board of Education</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2019 Memo PPTB AMARD Item 02 - Information Memorandum (CA State Board of Education)</dc:title>
  <dc:subject>Update on the Inclusion of English Learner Students in the Academic Indicator, Availability of At-Risk and Long-Term English Learner Reports in DataQuest.</dc:subject>
  <dc:creator/>
  <cp:keywords/>
  <dc:description/>
  <cp:lastPrinted>2019-07-26T18:37:00Z</cp:lastPrinted>
  <dcterms:created xsi:type="dcterms:W3CDTF">2019-08-13T19:00:00Z</dcterms:created>
  <dcterms:modified xsi:type="dcterms:W3CDTF">2019-08-20T00:35:00Z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