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001E6" w14:textId="77777777" w:rsidR="00057A96" w:rsidRPr="00AC5E4E" w:rsidRDefault="00057A96" w:rsidP="00057A96">
      <w:r w:rsidRPr="00AC5E4E">
        <w:t>California Department of Education</w:t>
      </w:r>
    </w:p>
    <w:p w14:paraId="169596B8" w14:textId="77777777" w:rsidR="00057A96" w:rsidRPr="00AC5E4E" w:rsidRDefault="00057A96" w:rsidP="00057A96">
      <w:r w:rsidRPr="00AC5E4E">
        <w:t>Executive Office</w:t>
      </w:r>
    </w:p>
    <w:p w14:paraId="03C3D33C" w14:textId="77777777" w:rsidR="00982A10" w:rsidRPr="00AC5E4E" w:rsidRDefault="00057A96" w:rsidP="00982A10">
      <w:r w:rsidRPr="00AC5E4E">
        <w:t>SBE-00</w:t>
      </w:r>
      <w:r w:rsidR="00BC376B" w:rsidRPr="00AC5E4E">
        <w:t>2</w:t>
      </w:r>
      <w:r w:rsidRPr="00AC5E4E">
        <w:t xml:space="preserve"> (REV. 1</w:t>
      </w:r>
      <w:r w:rsidR="000C139F" w:rsidRPr="00AC5E4E">
        <w:t>1</w:t>
      </w:r>
      <w:r w:rsidRPr="00AC5E4E">
        <w:t>/2017)</w:t>
      </w:r>
    </w:p>
    <w:p w14:paraId="0A8B55BB" w14:textId="77777777" w:rsidR="00982A10" w:rsidRPr="00AC5E4E" w:rsidRDefault="00982A10" w:rsidP="00982A10">
      <w:r w:rsidRPr="00AC5E4E">
        <w:br w:type="column"/>
      </w:r>
      <w:proofErr w:type="gramStart"/>
      <w:r w:rsidR="00267259" w:rsidRPr="00AC5E4E">
        <w:rPr>
          <w:rFonts w:cs="Arial"/>
          <w:color w:val="000000"/>
        </w:rPr>
        <w:t>memo-pptb-amard-feb18</w:t>
      </w:r>
      <w:r w:rsidR="000C0DD8" w:rsidRPr="00AC5E4E">
        <w:rPr>
          <w:rFonts w:cs="Arial"/>
          <w:color w:val="000000"/>
        </w:rPr>
        <w:t>item02</w:t>
      </w:r>
      <w:proofErr w:type="gramEnd"/>
    </w:p>
    <w:p w14:paraId="1E648B80" w14:textId="77777777" w:rsidR="00982A10" w:rsidRPr="00AC5E4E" w:rsidRDefault="00982A10" w:rsidP="0033616F">
      <w:pPr>
        <w:pStyle w:val="Heading1"/>
        <w:spacing w:line="360" w:lineRule="auto"/>
        <w:rPr>
          <w:rFonts w:ascii="Arial" w:hAnsi="Arial" w:cs="Arial"/>
          <w:b/>
          <w:color w:val="auto"/>
          <w:sz w:val="40"/>
          <w:szCs w:val="52"/>
        </w:rPr>
        <w:sectPr w:rsidR="00982A10" w:rsidRPr="00AC5E4E" w:rsidSect="00A26FD8">
          <w:headerReference w:type="default" r:id="rId8"/>
          <w:type w:val="continuous"/>
          <w:pgSz w:w="12240" w:h="15840"/>
          <w:pgMar w:top="720" w:right="1440" w:bottom="1440" w:left="1440" w:header="720" w:footer="720" w:gutter="0"/>
          <w:cols w:num="2" w:space="144" w:equalWidth="0">
            <w:col w:w="5760" w:space="144"/>
            <w:col w:w="3456"/>
          </w:cols>
          <w:titlePg/>
          <w:docGrid w:linePitch="326"/>
        </w:sectPr>
      </w:pPr>
    </w:p>
    <w:p w14:paraId="1248798E" w14:textId="77777777" w:rsidR="00057A96" w:rsidRPr="00AC5E4E" w:rsidRDefault="00BC376B" w:rsidP="0033616F">
      <w:pPr>
        <w:pStyle w:val="Heading1"/>
        <w:spacing w:line="360" w:lineRule="auto"/>
        <w:rPr>
          <w:rFonts w:ascii="Arial" w:hAnsi="Arial" w:cs="Arial"/>
          <w:b/>
          <w:color w:val="auto"/>
          <w:sz w:val="40"/>
          <w:szCs w:val="52"/>
        </w:rPr>
      </w:pPr>
      <w:r w:rsidRPr="00AC5E4E">
        <w:rPr>
          <w:rFonts w:ascii="Arial" w:hAnsi="Arial" w:cs="Arial"/>
          <w:b/>
          <w:color w:val="auto"/>
          <w:sz w:val="40"/>
          <w:szCs w:val="52"/>
        </w:rPr>
        <w:t>MEMORANDUM</w:t>
      </w:r>
    </w:p>
    <w:p w14:paraId="016BFE14" w14:textId="065C0FE7" w:rsidR="00057A96" w:rsidRPr="00AC5E4E" w:rsidRDefault="008F6CA0" w:rsidP="008B1135">
      <w:pPr>
        <w:spacing w:after="360"/>
      </w:pPr>
      <w:r w:rsidRPr="00AC5E4E">
        <w:rPr>
          <w:b/>
        </w:rPr>
        <w:t>DATE:</w:t>
      </w:r>
      <w:r w:rsidRPr="00AC5E4E">
        <w:tab/>
      </w:r>
      <w:r w:rsidR="00AC5F22" w:rsidRPr="00AC5E4E">
        <w:t>Febru</w:t>
      </w:r>
      <w:r w:rsidR="000C0DD8" w:rsidRPr="00AC5E4E">
        <w:t xml:space="preserve">ary </w:t>
      </w:r>
      <w:r w:rsidR="00F01BD1">
        <w:t>23</w:t>
      </w:r>
      <w:r w:rsidR="000C0DD8" w:rsidRPr="00AC5E4E">
        <w:t>, 2018</w:t>
      </w:r>
      <w:r w:rsidR="00057A96" w:rsidRPr="00AC5E4E">
        <w:t xml:space="preserve"> </w:t>
      </w:r>
    </w:p>
    <w:p w14:paraId="26FEEF4D" w14:textId="77777777" w:rsidR="00057A96" w:rsidRPr="00AC5E4E" w:rsidRDefault="00057A96" w:rsidP="00C61F78">
      <w:pPr>
        <w:spacing w:after="360"/>
        <w:ind w:left="1440" w:hanging="1440"/>
      </w:pPr>
      <w:r w:rsidRPr="00AC5E4E">
        <w:rPr>
          <w:b/>
        </w:rPr>
        <w:t>TO:</w:t>
      </w:r>
      <w:r w:rsidRPr="00AC5E4E">
        <w:rPr>
          <w:b/>
        </w:rPr>
        <w:tab/>
      </w:r>
      <w:r w:rsidRPr="00AC5E4E">
        <w:t>MEMBERS, State Board of Education</w:t>
      </w:r>
      <w:r w:rsidRPr="00AC5E4E">
        <w:tab/>
      </w:r>
    </w:p>
    <w:p w14:paraId="1D2F32FE" w14:textId="77777777" w:rsidR="00057A96" w:rsidRPr="00AC5E4E" w:rsidRDefault="00057A96" w:rsidP="00C61F78">
      <w:pPr>
        <w:spacing w:after="360"/>
        <w:ind w:left="1440" w:hanging="1440"/>
      </w:pPr>
      <w:r w:rsidRPr="00AC5E4E">
        <w:rPr>
          <w:b/>
        </w:rPr>
        <w:t>FROM:</w:t>
      </w:r>
      <w:r w:rsidR="00C61F78" w:rsidRPr="00AC5E4E">
        <w:tab/>
        <w:t xml:space="preserve">TOM TORLAKSON, </w:t>
      </w:r>
      <w:r w:rsidRPr="00AC5E4E">
        <w:t>State Superintendent of Public Instruction</w:t>
      </w:r>
    </w:p>
    <w:p w14:paraId="36C40D55" w14:textId="0D1F4146" w:rsidR="00057A96" w:rsidRPr="00AC5E4E" w:rsidRDefault="00057A96" w:rsidP="00C61F78">
      <w:pPr>
        <w:spacing w:after="360"/>
        <w:ind w:left="1440" w:hanging="1440"/>
      </w:pPr>
      <w:r w:rsidRPr="00AC5E4E">
        <w:rPr>
          <w:b/>
        </w:rPr>
        <w:t>SUBJECT:</w:t>
      </w:r>
      <w:r w:rsidRPr="00AC5E4E">
        <w:rPr>
          <w:b/>
        </w:rPr>
        <w:tab/>
      </w:r>
      <w:r w:rsidR="000C0DD8" w:rsidRPr="00AC5E4E">
        <w:rPr>
          <w:color w:val="000000"/>
        </w:rPr>
        <w:t xml:space="preserve">Developing a New State Accountability System: </w:t>
      </w:r>
      <w:r w:rsidR="00AC5F22" w:rsidRPr="00AC5E4E">
        <w:rPr>
          <w:color w:val="000000"/>
        </w:rPr>
        <w:t>Update on the Implementation of the College/Career Indicator</w:t>
      </w:r>
      <w:r w:rsidR="00E879A6" w:rsidRPr="00AC5E4E">
        <w:rPr>
          <w:color w:val="000000"/>
        </w:rPr>
        <w:t>;</w:t>
      </w:r>
      <w:r w:rsidR="00AC5F22" w:rsidRPr="00AC5E4E">
        <w:rPr>
          <w:color w:val="000000"/>
        </w:rPr>
        <w:t xml:space="preserve"> Including the </w:t>
      </w:r>
      <w:r w:rsidR="000C0DD8" w:rsidRPr="00AC5E4E">
        <w:rPr>
          <w:color w:val="000000"/>
        </w:rPr>
        <w:t>Expan</w:t>
      </w:r>
      <w:r w:rsidR="00AC5F22" w:rsidRPr="00AC5E4E">
        <w:rPr>
          <w:color w:val="000000"/>
        </w:rPr>
        <w:t xml:space="preserve">sion of </w:t>
      </w:r>
      <w:r w:rsidR="000C0DD8" w:rsidRPr="00AC5E4E">
        <w:rPr>
          <w:color w:val="000000"/>
        </w:rPr>
        <w:t>Career Measures</w:t>
      </w:r>
      <w:r w:rsidR="00AC5F22" w:rsidRPr="00AC5E4E">
        <w:rPr>
          <w:color w:val="000000"/>
        </w:rPr>
        <w:t xml:space="preserve"> and Performance Comparisons for Academic Measures</w:t>
      </w:r>
      <w:r w:rsidR="00C863BE" w:rsidRPr="00AC5E4E">
        <w:rPr>
          <w:color w:val="000000"/>
        </w:rPr>
        <w:t>.</w:t>
      </w:r>
    </w:p>
    <w:p w14:paraId="1A4049EA" w14:textId="77777777" w:rsidR="00057A96" w:rsidRPr="00AC5E4E" w:rsidRDefault="00474A2F" w:rsidP="008166D6">
      <w:pPr>
        <w:pStyle w:val="Heading2"/>
        <w:spacing w:before="240" w:after="240"/>
        <w:rPr>
          <w:sz w:val="36"/>
        </w:rPr>
      </w:pPr>
      <w:r w:rsidRPr="00AC5E4E">
        <w:rPr>
          <w:sz w:val="36"/>
        </w:rPr>
        <w:t>Summary o</w:t>
      </w:r>
      <w:r w:rsidR="00057A96" w:rsidRPr="00AC5E4E">
        <w:rPr>
          <w:sz w:val="36"/>
        </w:rPr>
        <w:t>f Key Issues</w:t>
      </w:r>
    </w:p>
    <w:p w14:paraId="1D237DE2" w14:textId="2C0C8FF1" w:rsidR="00F5585F" w:rsidRPr="00AC5E4E" w:rsidRDefault="0007407C" w:rsidP="004340FE">
      <w:pPr>
        <w:spacing w:after="240"/>
        <w:rPr>
          <w:rFonts w:cs="Arial"/>
        </w:rPr>
      </w:pPr>
      <w:r w:rsidRPr="00AC5E4E">
        <w:rPr>
          <w:rFonts w:cs="Arial"/>
        </w:rPr>
        <w:t>This Information Memorandum provides</w:t>
      </w:r>
      <w:r w:rsidR="00F5585F" w:rsidRPr="00AC5E4E">
        <w:rPr>
          <w:rFonts w:cs="Arial"/>
        </w:rPr>
        <w:t>:</w:t>
      </w:r>
    </w:p>
    <w:p w14:paraId="3E9110B8" w14:textId="077C1843" w:rsidR="00987995" w:rsidRPr="004340FE" w:rsidRDefault="00FC336A" w:rsidP="004340FE">
      <w:pPr>
        <w:pStyle w:val="ListParagraph"/>
        <w:numPr>
          <w:ilvl w:val="0"/>
          <w:numId w:val="30"/>
        </w:numPr>
        <w:spacing w:after="240"/>
        <w:ind w:left="720"/>
        <w:contextualSpacing w:val="0"/>
        <w:rPr>
          <w:rFonts w:cs="Arial"/>
        </w:rPr>
      </w:pPr>
      <w:r w:rsidRPr="004340FE">
        <w:rPr>
          <w:rFonts w:cs="Arial"/>
        </w:rPr>
        <w:t>A</w:t>
      </w:r>
      <w:r w:rsidR="0007407C" w:rsidRPr="004340FE">
        <w:rPr>
          <w:rFonts w:cs="Arial"/>
        </w:rPr>
        <w:t xml:space="preserve">n update on </w:t>
      </w:r>
      <w:r w:rsidR="00B62752" w:rsidRPr="004340FE">
        <w:rPr>
          <w:rFonts w:cs="Arial"/>
        </w:rPr>
        <w:t>the California Department of Education</w:t>
      </w:r>
      <w:r w:rsidR="009A1635" w:rsidRPr="004340FE">
        <w:rPr>
          <w:rFonts w:cs="Arial"/>
        </w:rPr>
        <w:t>’s</w:t>
      </w:r>
      <w:r w:rsidR="00B62752" w:rsidRPr="004340FE">
        <w:rPr>
          <w:rFonts w:cs="Arial"/>
        </w:rPr>
        <w:t xml:space="preserve"> (CDE</w:t>
      </w:r>
      <w:r w:rsidR="009A1635" w:rsidRPr="004340FE">
        <w:rPr>
          <w:rFonts w:cs="Arial"/>
        </w:rPr>
        <w:t>’s</w:t>
      </w:r>
      <w:r w:rsidR="00B62752" w:rsidRPr="004340FE">
        <w:rPr>
          <w:rFonts w:cs="Arial"/>
        </w:rPr>
        <w:t>)</w:t>
      </w:r>
      <w:r w:rsidR="009A1635" w:rsidRPr="004340FE">
        <w:rPr>
          <w:rFonts w:cs="Arial"/>
        </w:rPr>
        <w:t xml:space="preserve"> progress </w:t>
      </w:r>
      <w:r w:rsidR="002D59DD" w:rsidRPr="004340FE">
        <w:rPr>
          <w:rFonts w:cs="Arial"/>
        </w:rPr>
        <w:t>o</w:t>
      </w:r>
      <w:r w:rsidR="00DD0838" w:rsidRPr="004340FE">
        <w:rPr>
          <w:rFonts w:cs="Arial"/>
        </w:rPr>
        <w:t>f</w:t>
      </w:r>
      <w:r w:rsidR="009A1635" w:rsidRPr="004340FE">
        <w:rPr>
          <w:rFonts w:cs="Arial"/>
        </w:rPr>
        <w:t xml:space="preserve"> </w:t>
      </w:r>
      <w:r w:rsidR="005C127C" w:rsidRPr="004340FE">
        <w:rPr>
          <w:rFonts w:cs="Arial"/>
        </w:rPr>
        <w:t xml:space="preserve">reporting the </w:t>
      </w:r>
      <w:r w:rsidR="00B62752" w:rsidRPr="004340FE">
        <w:rPr>
          <w:rFonts w:cs="Arial"/>
        </w:rPr>
        <w:t xml:space="preserve">College/Career Indicator </w:t>
      </w:r>
      <w:r w:rsidR="00EE31E9" w:rsidRPr="004340FE">
        <w:rPr>
          <w:rFonts w:cs="Arial"/>
        </w:rPr>
        <w:t>(CCI)</w:t>
      </w:r>
      <w:r w:rsidR="005C127C" w:rsidRPr="004340FE">
        <w:rPr>
          <w:rFonts w:cs="Arial"/>
        </w:rPr>
        <w:t xml:space="preserve"> as one of the state indicators</w:t>
      </w:r>
      <w:r w:rsidR="00EE31E9" w:rsidRPr="004340FE">
        <w:rPr>
          <w:rFonts w:cs="Arial"/>
        </w:rPr>
        <w:t xml:space="preserve"> </w:t>
      </w:r>
      <w:r w:rsidR="005C127C" w:rsidRPr="004340FE">
        <w:rPr>
          <w:rFonts w:cs="Arial"/>
        </w:rPr>
        <w:t>for the 2018 California School Dashboard (Dashboard).</w:t>
      </w:r>
    </w:p>
    <w:p w14:paraId="207FE3AA" w14:textId="6C052E6A" w:rsidR="00987995" w:rsidRPr="004340FE" w:rsidRDefault="00F5585F" w:rsidP="004340FE">
      <w:pPr>
        <w:pStyle w:val="ListParagraph"/>
        <w:numPr>
          <w:ilvl w:val="0"/>
          <w:numId w:val="30"/>
        </w:numPr>
        <w:spacing w:after="240"/>
        <w:ind w:left="720"/>
        <w:contextualSpacing w:val="0"/>
        <w:rPr>
          <w:rFonts w:cs="Arial"/>
        </w:rPr>
      </w:pPr>
      <w:r w:rsidRPr="004340FE">
        <w:rPr>
          <w:rFonts w:cs="Arial"/>
        </w:rPr>
        <w:t>The s</w:t>
      </w:r>
      <w:r w:rsidR="002D59DD" w:rsidRPr="004340FE">
        <w:rPr>
          <w:rFonts w:cs="Arial"/>
        </w:rPr>
        <w:t>tatus of the</w:t>
      </w:r>
      <w:r w:rsidR="00081BA5" w:rsidRPr="004340FE">
        <w:rPr>
          <w:rFonts w:cs="Arial"/>
        </w:rPr>
        <w:t xml:space="preserve"> three-year CCI timeline, </w:t>
      </w:r>
      <w:r w:rsidR="00C863BE" w:rsidRPr="004340FE">
        <w:rPr>
          <w:rFonts w:cs="Arial"/>
        </w:rPr>
        <w:t xml:space="preserve">which was presented </w:t>
      </w:r>
      <w:r w:rsidRPr="004340FE">
        <w:rPr>
          <w:rFonts w:cs="Arial"/>
        </w:rPr>
        <w:t>to the</w:t>
      </w:r>
      <w:r w:rsidR="00C863BE" w:rsidRPr="004340FE">
        <w:rPr>
          <w:rFonts w:cs="Arial"/>
        </w:rPr>
        <w:t xml:space="preserve"> State Board of Education (</w:t>
      </w:r>
      <w:r w:rsidRPr="004340FE">
        <w:rPr>
          <w:rFonts w:cs="Arial"/>
        </w:rPr>
        <w:t>SBE</w:t>
      </w:r>
      <w:r w:rsidR="00C863BE" w:rsidRPr="004340FE">
        <w:rPr>
          <w:rFonts w:cs="Arial"/>
        </w:rPr>
        <w:t>)</w:t>
      </w:r>
      <w:r w:rsidRPr="004340FE">
        <w:rPr>
          <w:rFonts w:cs="Arial"/>
        </w:rPr>
        <w:t xml:space="preserve"> in September 2017. The CDE is on sched</w:t>
      </w:r>
      <w:r w:rsidR="00FC336A" w:rsidRPr="004340FE">
        <w:rPr>
          <w:rFonts w:cs="Arial"/>
        </w:rPr>
        <w:t>ule to meet the majority of the established timelines in the three-year plan.</w:t>
      </w:r>
      <w:r w:rsidR="005464C1" w:rsidRPr="004340FE">
        <w:rPr>
          <w:rFonts w:cs="Arial"/>
        </w:rPr>
        <w:t xml:space="preserve"> (Attachment 1)</w:t>
      </w:r>
    </w:p>
    <w:p w14:paraId="705D0F8D" w14:textId="1C793B01" w:rsidR="00987995" w:rsidRPr="004340FE" w:rsidRDefault="0068105F" w:rsidP="004340FE">
      <w:pPr>
        <w:pStyle w:val="ListParagraph"/>
        <w:numPr>
          <w:ilvl w:val="0"/>
          <w:numId w:val="30"/>
        </w:numPr>
        <w:spacing w:after="240"/>
        <w:ind w:left="720"/>
        <w:contextualSpacing w:val="0"/>
        <w:rPr>
          <w:rFonts w:cs="Arial"/>
        </w:rPr>
      </w:pPr>
      <w:r w:rsidRPr="004340FE">
        <w:rPr>
          <w:rFonts w:cs="Arial"/>
        </w:rPr>
        <w:t>I</w:t>
      </w:r>
      <w:r w:rsidR="002D59DD" w:rsidRPr="004340FE">
        <w:rPr>
          <w:rFonts w:cs="Arial"/>
        </w:rPr>
        <w:t xml:space="preserve">nformation on </w:t>
      </w:r>
      <w:r w:rsidR="00081BA5" w:rsidRPr="004340FE">
        <w:rPr>
          <w:rFonts w:cs="Arial"/>
        </w:rPr>
        <w:t xml:space="preserve">the collection of </w:t>
      </w:r>
      <w:r w:rsidR="002D59DD" w:rsidRPr="004340FE">
        <w:rPr>
          <w:rFonts w:cs="Arial"/>
        </w:rPr>
        <w:t>new career measures that are being developed to include in future Dashboards</w:t>
      </w:r>
      <w:r w:rsidR="005464C1" w:rsidRPr="004340FE">
        <w:rPr>
          <w:rFonts w:cs="Arial"/>
        </w:rPr>
        <w:t>. (Attachment 2)</w:t>
      </w:r>
    </w:p>
    <w:p w14:paraId="3D2A7F25" w14:textId="77777777" w:rsidR="005C127C" w:rsidRPr="00AC5E4E" w:rsidRDefault="00FC336A" w:rsidP="004340FE">
      <w:pPr>
        <w:pStyle w:val="ListParagraph"/>
        <w:numPr>
          <w:ilvl w:val="0"/>
          <w:numId w:val="30"/>
        </w:numPr>
        <w:spacing w:after="240"/>
        <w:ind w:left="720"/>
        <w:contextualSpacing w:val="0"/>
        <w:rPr>
          <w:rFonts w:cs="Arial"/>
        </w:rPr>
      </w:pPr>
      <w:r w:rsidRPr="00AC5E4E">
        <w:rPr>
          <w:rFonts w:cs="Arial"/>
        </w:rPr>
        <w:t>D</w:t>
      </w:r>
      <w:r w:rsidR="00081BA5" w:rsidRPr="00AC5E4E">
        <w:rPr>
          <w:rFonts w:cs="Arial"/>
        </w:rPr>
        <w:t xml:space="preserve">ata </w:t>
      </w:r>
      <w:r w:rsidRPr="00AC5E4E">
        <w:rPr>
          <w:rFonts w:cs="Arial"/>
        </w:rPr>
        <w:t xml:space="preserve">requested by SBE members </w:t>
      </w:r>
      <w:r w:rsidR="00081BA5" w:rsidRPr="00AC5E4E">
        <w:rPr>
          <w:rFonts w:cs="Arial"/>
        </w:rPr>
        <w:t xml:space="preserve">regarding the </w:t>
      </w:r>
      <w:r w:rsidR="00AC5F22" w:rsidRPr="00AC5E4E">
        <w:rPr>
          <w:rFonts w:cs="Arial"/>
        </w:rPr>
        <w:t xml:space="preserve">academic </w:t>
      </w:r>
      <w:r w:rsidR="00081BA5" w:rsidRPr="00AC5E4E">
        <w:rPr>
          <w:rFonts w:cs="Arial"/>
        </w:rPr>
        <w:t>measures currently in the CCI</w:t>
      </w:r>
      <w:r w:rsidR="002D59DD" w:rsidRPr="00AC5E4E">
        <w:rPr>
          <w:rFonts w:cs="Arial"/>
        </w:rPr>
        <w:t xml:space="preserve">. </w:t>
      </w:r>
      <w:r w:rsidR="005464C1" w:rsidRPr="00AC5E4E">
        <w:rPr>
          <w:rFonts w:cs="Arial"/>
        </w:rPr>
        <w:t>(Attachment 3)</w:t>
      </w:r>
    </w:p>
    <w:p w14:paraId="540FF661" w14:textId="77777777" w:rsidR="005C127C" w:rsidRPr="00AC5E4E" w:rsidRDefault="00DD0838" w:rsidP="00DD0838">
      <w:pPr>
        <w:pStyle w:val="Heading3"/>
        <w:spacing w:before="240" w:after="240"/>
        <w:rPr>
          <w:rFonts w:cs="Arial"/>
          <w:b w:val="0"/>
        </w:rPr>
      </w:pPr>
      <w:r w:rsidRPr="00AC5E4E">
        <w:rPr>
          <w:rFonts w:cs="Arial"/>
        </w:rPr>
        <w:t>Purpose of the College/Career Indicator</w:t>
      </w:r>
    </w:p>
    <w:p w14:paraId="67782D6B" w14:textId="4FF596F6" w:rsidR="00E13C54" w:rsidRPr="00AC5E4E" w:rsidRDefault="00DD0838" w:rsidP="004340FE">
      <w:pPr>
        <w:rPr>
          <w:rFonts w:cs="Arial"/>
          <w:b/>
          <w:sz w:val="28"/>
        </w:rPr>
      </w:pPr>
      <w:r w:rsidRPr="00AC5E4E">
        <w:rPr>
          <w:rFonts w:cs="Arial"/>
        </w:rPr>
        <w:t>The CCI</w:t>
      </w:r>
      <w:r w:rsidR="00B912B8" w:rsidRPr="00AC5E4E">
        <w:rPr>
          <w:rFonts w:cs="Arial"/>
        </w:rPr>
        <w:t xml:space="preserve"> </w:t>
      </w:r>
      <w:r w:rsidRPr="00AC5E4E">
        <w:rPr>
          <w:rFonts w:cs="Arial"/>
        </w:rPr>
        <w:t xml:space="preserve">was developed to emphasize that a high school diploma represents the completion of a broad and rigorous course of study that prepares students for success after high school. </w:t>
      </w:r>
      <w:r w:rsidR="00B912B8" w:rsidRPr="00AC5E4E">
        <w:rPr>
          <w:rFonts w:cs="Arial"/>
        </w:rPr>
        <w:t>It</w:t>
      </w:r>
      <w:r w:rsidRPr="00AC5E4E">
        <w:rPr>
          <w:rFonts w:cs="Arial"/>
          <w:color w:val="000000"/>
          <w:lang w:val="en"/>
        </w:rPr>
        <w:t xml:space="preserve"> is based on students in each four-year graduation cohort and uses </w:t>
      </w:r>
      <w:r w:rsidR="00D11F3A" w:rsidRPr="00AC5E4E">
        <w:rPr>
          <w:rFonts w:cs="Arial"/>
          <w:color w:val="000000"/>
          <w:lang w:val="en"/>
        </w:rPr>
        <w:t xml:space="preserve">specific criteria that are reliant on </w:t>
      </w:r>
      <w:r w:rsidR="00D11F3A" w:rsidRPr="00AC5E4E">
        <w:rPr>
          <w:rFonts w:cs="Arial"/>
        </w:rPr>
        <w:t>both test and course completion results to determine if students are “Prepar</w:t>
      </w:r>
      <w:r w:rsidR="00F55C9E" w:rsidRPr="00AC5E4E">
        <w:rPr>
          <w:rFonts w:cs="Arial"/>
        </w:rPr>
        <w:t>ed,” “Approaching Prepared,” or</w:t>
      </w:r>
      <w:r w:rsidR="00D11F3A" w:rsidRPr="00AC5E4E">
        <w:rPr>
          <w:rFonts w:cs="Arial"/>
        </w:rPr>
        <w:t xml:space="preserve"> “Not Prepared” for college and/or career. These results, in turn, help inform </w:t>
      </w:r>
      <w:r w:rsidRPr="00AC5E4E">
        <w:rPr>
          <w:rFonts w:cs="Arial"/>
          <w:color w:val="000000"/>
          <w:lang w:val="en"/>
        </w:rPr>
        <w:t xml:space="preserve">how well </w:t>
      </w:r>
      <w:r w:rsidR="0068105F" w:rsidRPr="00AC5E4E">
        <w:rPr>
          <w:rFonts w:cs="Arial"/>
          <w:color w:val="000000"/>
          <w:lang w:val="en"/>
        </w:rPr>
        <w:t>local educational agencies (</w:t>
      </w:r>
      <w:r w:rsidRPr="00AC5E4E">
        <w:t>LEAs</w:t>
      </w:r>
      <w:r w:rsidR="0068105F" w:rsidRPr="00AC5E4E">
        <w:t>)</w:t>
      </w:r>
      <w:r w:rsidRPr="00AC5E4E">
        <w:t xml:space="preserve"> </w:t>
      </w:r>
      <w:r w:rsidRPr="00AC5E4E">
        <w:rPr>
          <w:rFonts w:cs="Arial"/>
          <w:color w:val="000000"/>
          <w:lang w:val="en"/>
        </w:rPr>
        <w:t>and schools are preparing students for success after high school.</w:t>
      </w:r>
      <w:r w:rsidR="00E13C54" w:rsidRPr="00AC5E4E">
        <w:rPr>
          <w:rFonts w:cs="Arial"/>
          <w:b/>
          <w:sz w:val="28"/>
        </w:rPr>
        <w:br w:type="page"/>
      </w:r>
    </w:p>
    <w:p w14:paraId="56CCBA18" w14:textId="2440DD58" w:rsidR="00C77AFD" w:rsidRPr="00EF4C29" w:rsidRDefault="00C77AFD" w:rsidP="0007463C">
      <w:pPr>
        <w:pStyle w:val="Heading3"/>
        <w:spacing w:after="240"/>
        <w:rPr>
          <w:color w:val="000000"/>
          <w:sz w:val="32"/>
          <w:szCs w:val="32"/>
          <w:lang w:val="en"/>
        </w:rPr>
      </w:pPr>
      <w:r w:rsidRPr="00EF4C29">
        <w:rPr>
          <w:sz w:val="32"/>
          <w:szCs w:val="32"/>
        </w:rPr>
        <w:lastRenderedPageBreak/>
        <w:t>The College/Career Indicator Model and Calculations</w:t>
      </w:r>
    </w:p>
    <w:p w14:paraId="070C07DC" w14:textId="6E9AAD4D" w:rsidR="009C7F50" w:rsidRPr="00AC5E4E" w:rsidRDefault="00DD0838" w:rsidP="002A552B">
      <w:pPr>
        <w:spacing w:after="360"/>
        <w:rPr>
          <w:rFonts w:cs="Arial"/>
        </w:rPr>
      </w:pPr>
      <w:r w:rsidRPr="00AC5E4E">
        <w:rPr>
          <w:rFonts w:cs="Arial"/>
        </w:rPr>
        <w:t xml:space="preserve">The </w:t>
      </w:r>
      <w:r w:rsidR="005464C1" w:rsidRPr="00AC5E4E">
        <w:rPr>
          <w:rFonts w:cs="Arial"/>
        </w:rPr>
        <w:t>CCI is the most complex state indicator</w:t>
      </w:r>
      <w:r w:rsidR="001C108F" w:rsidRPr="00AC5E4E">
        <w:rPr>
          <w:rFonts w:cs="Arial"/>
        </w:rPr>
        <w:t xml:space="preserve"> to calculate since it </w:t>
      </w:r>
      <w:r w:rsidR="00BC16D0" w:rsidRPr="00AC5E4E">
        <w:rPr>
          <w:rFonts w:cs="Arial"/>
        </w:rPr>
        <w:t>reflect</w:t>
      </w:r>
      <w:r w:rsidR="001C108F" w:rsidRPr="00AC5E4E">
        <w:rPr>
          <w:rFonts w:cs="Arial"/>
        </w:rPr>
        <w:t>s</w:t>
      </w:r>
      <w:r w:rsidR="00BC16D0" w:rsidRPr="00AC5E4E">
        <w:rPr>
          <w:rFonts w:cs="Arial"/>
        </w:rPr>
        <w:t xml:space="preserve"> the</w:t>
      </w:r>
      <w:r w:rsidR="005464C1" w:rsidRPr="00AC5E4E">
        <w:rPr>
          <w:rFonts w:cs="Arial"/>
        </w:rPr>
        <w:t xml:space="preserve"> multiple data points </w:t>
      </w:r>
      <w:r w:rsidR="00BC16D0" w:rsidRPr="00AC5E4E">
        <w:rPr>
          <w:rFonts w:cs="Arial"/>
        </w:rPr>
        <w:t>in which</w:t>
      </w:r>
      <w:r w:rsidR="005464C1" w:rsidRPr="00AC5E4E">
        <w:rPr>
          <w:rFonts w:cs="Arial"/>
        </w:rPr>
        <w:t xml:space="preserve"> a student </w:t>
      </w:r>
      <w:r w:rsidR="00BC16D0" w:rsidRPr="00AC5E4E">
        <w:rPr>
          <w:rFonts w:cs="Arial"/>
        </w:rPr>
        <w:t>can</w:t>
      </w:r>
      <w:r w:rsidR="005464C1" w:rsidRPr="00AC5E4E">
        <w:rPr>
          <w:rFonts w:cs="Arial"/>
        </w:rPr>
        <w:t xml:space="preserve"> demonstrate success during their four-year high school career. To support LEAs </w:t>
      </w:r>
      <w:r w:rsidR="001C108F" w:rsidRPr="00AC5E4E">
        <w:rPr>
          <w:rFonts w:cs="Arial"/>
        </w:rPr>
        <w:t xml:space="preserve">with explaining the </w:t>
      </w:r>
      <w:r w:rsidR="00BC16D0" w:rsidRPr="00AC5E4E">
        <w:rPr>
          <w:rFonts w:cs="Arial"/>
        </w:rPr>
        <w:t>CCI</w:t>
      </w:r>
      <w:r w:rsidR="001C108F" w:rsidRPr="00AC5E4E">
        <w:rPr>
          <w:rFonts w:cs="Arial"/>
        </w:rPr>
        <w:t xml:space="preserve"> to parents and educators</w:t>
      </w:r>
      <w:r w:rsidR="005464C1" w:rsidRPr="00AC5E4E">
        <w:rPr>
          <w:rFonts w:cs="Arial"/>
        </w:rPr>
        <w:t xml:space="preserve">, </w:t>
      </w:r>
      <w:r w:rsidR="00BC16D0" w:rsidRPr="00AC5E4E">
        <w:rPr>
          <w:rFonts w:cs="Arial"/>
        </w:rPr>
        <w:t>the following o</w:t>
      </w:r>
      <w:r w:rsidR="005464C1" w:rsidRPr="00AC5E4E">
        <w:rPr>
          <w:rFonts w:cs="Arial"/>
        </w:rPr>
        <w:t xml:space="preserve">ne-page flyer </w:t>
      </w:r>
      <w:r w:rsidR="001C108F" w:rsidRPr="00AC5E4E">
        <w:rPr>
          <w:rFonts w:cs="Arial"/>
        </w:rPr>
        <w:t>was developed and i</w:t>
      </w:r>
      <w:r w:rsidR="00BC16D0" w:rsidRPr="00AC5E4E">
        <w:rPr>
          <w:rFonts w:cs="Arial"/>
        </w:rPr>
        <w:t xml:space="preserve">s available on the </w:t>
      </w:r>
      <w:r w:rsidR="00232192">
        <w:rPr>
          <w:rFonts w:cs="Arial"/>
        </w:rPr>
        <w:t xml:space="preserve">CDE </w:t>
      </w:r>
      <w:r w:rsidR="00BC16D0" w:rsidRPr="00AC5E4E">
        <w:rPr>
          <w:rFonts w:cs="Arial"/>
        </w:rPr>
        <w:t xml:space="preserve">California Accountability Model &amp; School Dashboard Web page at </w:t>
      </w:r>
      <w:hyperlink r:id="rId9" w:tooltip="CCI Dashboard flyer" w:history="1">
        <w:r w:rsidR="00BC16D0" w:rsidRPr="00AC5E4E">
          <w:rPr>
            <w:rStyle w:val="Hyperlink"/>
            <w:rFonts w:cs="Arial"/>
          </w:rPr>
          <w:t>https://www.cde.ca.gov/ta/ac/cm/documents/ccidashboardflyer.pdf</w:t>
        </w:r>
      </w:hyperlink>
      <w:r w:rsidR="00BC16D0" w:rsidRPr="00AC5E4E">
        <w:rPr>
          <w:rFonts w:cs="Arial"/>
        </w:rPr>
        <w:t xml:space="preserve">. </w:t>
      </w:r>
      <w:r w:rsidR="009C7F50" w:rsidRPr="00AC5E4E">
        <w:rPr>
          <w:rFonts w:cs="Arial"/>
        </w:rPr>
        <w:t xml:space="preserve">This flyer </w:t>
      </w:r>
      <w:r w:rsidR="00BC16D0" w:rsidRPr="00AC5E4E">
        <w:rPr>
          <w:rFonts w:cs="Arial"/>
        </w:rPr>
        <w:t>provide</w:t>
      </w:r>
      <w:r w:rsidR="009C7F50" w:rsidRPr="00AC5E4E">
        <w:rPr>
          <w:rFonts w:cs="Arial"/>
        </w:rPr>
        <w:t>s</w:t>
      </w:r>
      <w:r w:rsidR="00BC16D0" w:rsidRPr="00AC5E4E">
        <w:rPr>
          <w:rFonts w:cs="Arial"/>
        </w:rPr>
        <w:t xml:space="preserve"> a high level overview </w:t>
      </w:r>
      <w:r w:rsidR="001C108F" w:rsidRPr="00AC5E4E">
        <w:rPr>
          <w:rFonts w:cs="Arial"/>
        </w:rPr>
        <w:t>of</w:t>
      </w:r>
      <w:r w:rsidR="009C7F50" w:rsidRPr="00AC5E4E">
        <w:rPr>
          <w:rFonts w:cs="Arial"/>
        </w:rPr>
        <w:t xml:space="preserve"> the </w:t>
      </w:r>
      <w:r w:rsidR="00FC5BC0">
        <w:rPr>
          <w:rFonts w:cs="Arial"/>
        </w:rPr>
        <w:t>three levels:</w:t>
      </w:r>
      <w:r w:rsidR="001C108F" w:rsidRPr="00AC5E4E">
        <w:rPr>
          <w:rFonts w:cs="Arial"/>
        </w:rPr>
        <w:t xml:space="preserve"> </w:t>
      </w:r>
      <w:r w:rsidR="00232192" w:rsidRPr="00AC5E4E">
        <w:rPr>
          <w:rFonts w:cs="Arial"/>
        </w:rPr>
        <w:t>“Prepared”</w:t>
      </w:r>
      <w:r w:rsidR="00232192">
        <w:rPr>
          <w:rFonts w:cs="Arial"/>
        </w:rPr>
        <w:t xml:space="preserve">, </w:t>
      </w:r>
      <w:r w:rsidR="00232192" w:rsidRPr="00AC5E4E">
        <w:rPr>
          <w:rFonts w:cs="Arial"/>
        </w:rPr>
        <w:t xml:space="preserve">“Approaching Prepared”, </w:t>
      </w:r>
      <w:r w:rsidR="00232192">
        <w:rPr>
          <w:rFonts w:cs="Arial"/>
        </w:rPr>
        <w:t xml:space="preserve">and </w:t>
      </w:r>
      <w:r w:rsidR="001C108F" w:rsidRPr="00AC5E4E">
        <w:rPr>
          <w:rFonts w:cs="Arial"/>
        </w:rPr>
        <w:t>“N</w:t>
      </w:r>
      <w:r w:rsidR="009C7F50" w:rsidRPr="00AC5E4E">
        <w:rPr>
          <w:rFonts w:cs="Arial"/>
        </w:rPr>
        <w:t xml:space="preserve">ot </w:t>
      </w:r>
      <w:r w:rsidR="001C108F" w:rsidRPr="00AC5E4E">
        <w:rPr>
          <w:rFonts w:cs="Arial"/>
        </w:rPr>
        <w:t>P</w:t>
      </w:r>
      <w:r w:rsidR="009C7F50" w:rsidRPr="00AC5E4E">
        <w:rPr>
          <w:rFonts w:cs="Arial"/>
        </w:rPr>
        <w:t>repared.</w:t>
      </w:r>
      <w:r w:rsidR="00D05E83">
        <w:rPr>
          <w:rFonts w:cs="Arial"/>
        </w:rPr>
        <w:t>”</w:t>
      </w:r>
      <w:r w:rsidR="009C7F50" w:rsidRPr="00AC5E4E">
        <w:rPr>
          <w:rFonts w:cs="Arial"/>
        </w:rPr>
        <w:t xml:space="preserve"> </w:t>
      </w:r>
      <w:r w:rsidR="001C108F" w:rsidRPr="00AC5E4E">
        <w:rPr>
          <w:rFonts w:cs="Arial"/>
        </w:rPr>
        <w:t>There are</w:t>
      </w:r>
      <w:r w:rsidR="001C108F" w:rsidRPr="00AC5E4E">
        <w:rPr>
          <w:rFonts w:ascii="Helvetica" w:hAnsi="Helvetica" w:cs="Arial"/>
          <w:color w:val="000000"/>
          <w:lang w:val="en"/>
        </w:rPr>
        <w:t xml:space="preserve"> six measures in the CCI “Prepared” level and four measures in the “Approaching Prepared” level. Students can meet more than one measure in each CCI level.</w:t>
      </w:r>
    </w:p>
    <w:p w14:paraId="63F3D363" w14:textId="4B45B310" w:rsidR="00DD0838" w:rsidRPr="00AC5E4E" w:rsidRDefault="00163B5E" w:rsidP="006F21EF">
      <w:pPr>
        <w:spacing w:after="240"/>
        <w:rPr>
          <w:rFonts w:cs="Arial"/>
        </w:rPr>
      </w:pPr>
      <w:r w:rsidRPr="00AC5E4E">
        <w:rPr>
          <w:noProof/>
        </w:rPr>
        <w:drawing>
          <wp:inline distT="0" distB="0" distL="0" distR="0" wp14:anchorId="4BF35A0F" wp14:editId="0878129C">
            <wp:extent cx="5943600" cy="4592955"/>
            <wp:effectExtent l="0" t="0" r="0" b="0"/>
            <wp:docPr id="1" name="Picture 1" descr="Image of College/Career Indicator web page from the California School Dash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943600" cy="4592955"/>
                    </a:xfrm>
                    <a:prstGeom prst="rect">
                      <a:avLst/>
                    </a:prstGeom>
                  </pic:spPr>
                </pic:pic>
              </a:graphicData>
            </a:graphic>
          </wp:inline>
        </w:drawing>
      </w:r>
    </w:p>
    <w:p w14:paraId="349B2B70" w14:textId="3EF74DBF" w:rsidR="00432E3C" w:rsidRDefault="00432E3C" w:rsidP="004340FE">
      <w:pPr>
        <w:spacing w:after="240"/>
        <w:rPr>
          <w:rFonts w:cs="Arial"/>
        </w:rPr>
      </w:pPr>
      <w:r>
        <w:rPr>
          <w:rFonts w:cs="Arial"/>
        </w:rPr>
        <w:t xml:space="preserve">For </w:t>
      </w:r>
      <w:r w:rsidR="00D05E83">
        <w:rPr>
          <w:rFonts w:cs="Arial"/>
        </w:rPr>
        <w:t xml:space="preserve">a </w:t>
      </w:r>
      <w:r>
        <w:rPr>
          <w:rFonts w:cs="Arial"/>
        </w:rPr>
        <w:t xml:space="preserve">detailed description of the CCI flyer, please see Appendix A of this Information Memorandum. </w:t>
      </w:r>
    </w:p>
    <w:p w14:paraId="7EE11B29" w14:textId="6F60FAA1" w:rsidR="00934086" w:rsidRPr="00AC5E4E" w:rsidRDefault="007B33B5" w:rsidP="004340FE">
      <w:pPr>
        <w:spacing w:after="240"/>
        <w:rPr>
          <w:rFonts w:cs="Arial"/>
        </w:rPr>
      </w:pPr>
      <w:r w:rsidRPr="00AC5E4E">
        <w:rPr>
          <w:rFonts w:cs="Arial"/>
        </w:rPr>
        <w:t>T</w:t>
      </w:r>
      <w:r w:rsidR="002D6195" w:rsidRPr="00AC5E4E">
        <w:rPr>
          <w:rFonts w:cs="Arial"/>
        </w:rPr>
        <w:t xml:space="preserve">he CCI </w:t>
      </w:r>
      <w:r w:rsidR="00B912B8" w:rsidRPr="00AC5E4E">
        <w:rPr>
          <w:rFonts w:cs="Arial"/>
        </w:rPr>
        <w:t>uses the</w:t>
      </w:r>
      <w:r w:rsidR="002D6195" w:rsidRPr="00AC5E4E">
        <w:rPr>
          <w:rFonts w:cs="Arial"/>
        </w:rPr>
        <w:t xml:space="preserve"> four-year graduation cohort</w:t>
      </w:r>
      <w:r w:rsidR="00B912B8" w:rsidRPr="00AC5E4E">
        <w:rPr>
          <w:rFonts w:cs="Arial"/>
        </w:rPr>
        <w:t xml:space="preserve"> as its base </w:t>
      </w:r>
      <w:r w:rsidR="001C108F" w:rsidRPr="00AC5E4E">
        <w:rPr>
          <w:rFonts w:cs="Arial"/>
        </w:rPr>
        <w:t xml:space="preserve">to </w:t>
      </w:r>
      <w:r w:rsidRPr="00AC5E4E">
        <w:rPr>
          <w:rFonts w:cs="Arial"/>
        </w:rPr>
        <w:t>calculat</w:t>
      </w:r>
      <w:r w:rsidR="001C108F" w:rsidRPr="00AC5E4E">
        <w:rPr>
          <w:rFonts w:cs="Arial"/>
        </w:rPr>
        <w:t>e</w:t>
      </w:r>
      <w:r w:rsidRPr="00AC5E4E">
        <w:rPr>
          <w:rFonts w:cs="Arial"/>
        </w:rPr>
        <w:t xml:space="preserve"> the CCI.</w:t>
      </w:r>
      <w:r w:rsidR="00B912B8" w:rsidRPr="00AC5E4E">
        <w:rPr>
          <w:rFonts w:cs="Arial"/>
        </w:rPr>
        <w:t xml:space="preserve"> </w:t>
      </w:r>
      <w:r w:rsidRPr="00AC5E4E">
        <w:rPr>
          <w:rFonts w:cs="Arial"/>
        </w:rPr>
        <w:t>E</w:t>
      </w:r>
      <w:r w:rsidR="00841035" w:rsidRPr="00AC5E4E">
        <w:rPr>
          <w:rFonts w:cs="Arial"/>
        </w:rPr>
        <w:t xml:space="preserve">ach student’s </w:t>
      </w:r>
      <w:r w:rsidR="00841035" w:rsidRPr="00AC5E4E">
        <w:rPr>
          <w:rFonts w:cs="Arial"/>
          <w:b/>
        </w:rPr>
        <w:t>cumulative achievement over their four years in high school</w:t>
      </w:r>
      <w:r w:rsidR="00841035" w:rsidRPr="00AC5E4E">
        <w:rPr>
          <w:rFonts w:cs="Arial"/>
        </w:rPr>
        <w:t xml:space="preserve"> are used to </w:t>
      </w:r>
      <w:r w:rsidR="00841035" w:rsidRPr="00AC5E4E">
        <w:rPr>
          <w:rFonts w:cs="Arial"/>
        </w:rPr>
        <w:lastRenderedPageBreak/>
        <w:t>place student</w:t>
      </w:r>
      <w:r w:rsidR="00C863BE" w:rsidRPr="00AC5E4E">
        <w:rPr>
          <w:rFonts w:cs="Arial"/>
        </w:rPr>
        <w:t>s</w:t>
      </w:r>
      <w:r w:rsidR="00841035" w:rsidRPr="00AC5E4E">
        <w:rPr>
          <w:rFonts w:cs="Arial"/>
        </w:rPr>
        <w:t xml:space="preserve"> across the three CCI performance levels. </w:t>
      </w:r>
      <w:r w:rsidR="001C108F" w:rsidRPr="00AC5E4E">
        <w:rPr>
          <w:rFonts w:cs="Arial"/>
        </w:rPr>
        <w:t xml:space="preserve">While the Smarter Balanced </w:t>
      </w:r>
      <w:r w:rsidR="00232192">
        <w:rPr>
          <w:rFonts w:cs="Arial"/>
        </w:rPr>
        <w:t>grade eleven</w:t>
      </w:r>
      <w:r w:rsidR="001C108F" w:rsidRPr="00AC5E4E">
        <w:rPr>
          <w:rFonts w:cs="Arial"/>
        </w:rPr>
        <w:t xml:space="preserve"> assessments are often </w:t>
      </w:r>
      <w:r w:rsidRPr="00AC5E4E">
        <w:rPr>
          <w:rFonts w:cs="Arial"/>
        </w:rPr>
        <w:t xml:space="preserve">a one-day snapshot taken </w:t>
      </w:r>
      <w:r w:rsidR="00106EBA">
        <w:rPr>
          <w:rFonts w:cs="Arial"/>
        </w:rPr>
        <w:t xml:space="preserve">when </w:t>
      </w:r>
      <w:r w:rsidR="007773D6">
        <w:rPr>
          <w:rFonts w:cs="Arial"/>
        </w:rPr>
        <w:t>a student</w:t>
      </w:r>
      <w:r w:rsidR="00106EBA">
        <w:rPr>
          <w:rFonts w:cs="Arial"/>
        </w:rPr>
        <w:t xml:space="preserve"> is in </w:t>
      </w:r>
      <w:r w:rsidRPr="00AC5E4E">
        <w:rPr>
          <w:rFonts w:cs="Arial"/>
        </w:rPr>
        <w:t xml:space="preserve"> </w:t>
      </w:r>
      <w:r w:rsidR="00106EBA">
        <w:rPr>
          <w:rFonts w:cs="Arial"/>
        </w:rPr>
        <w:t>grade eleven</w:t>
      </w:r>
      <w:r w:rsidR="00841035" w:rsidRPr="00AC5E4E">
        <w:rPr>
          <w:rFonts w:cs="Arial"/>
        </w:rPr>
        <w:t>, the CCI is a reflection of what students have</w:t>
      </w:r>
      <w:r w:rsidRPr="00AC5E4E">
        <w:rPr>
          <w:rFonts w:cs="Arial"/>
        </w:rPr>
        <w:t xml:space="preserve"> accomplished from grade nine through</w:t>
      </w:r>
      <w:r w:rsidR="00841035" w:rsidRPr="00AC5E4E">
        <w:rPr>
          <w:rFonts w:cs="Arial"/>
        </w:rPr>
        <w:t xml:space="preserve"> grade twelve. Moreover, f</w:t>
      </w:r>
      <w:r w:rsidR="002D6195" w:rsidRPr="00AC5E4E">
        <w:rPr>
          <w:rFonts w:cs="Arial"/>
        </w:rPr>
        <w:t>or students to be placed in the “Prepared” or “Approaching Prepared” levels, they must receive a high school diploma. Students who do not receive a high school diploma are automatically assigned to the “Not Prepared” level.</w:t>
      </w:r>
    </w:p>
    <w:p w14:paraId="3F273E46" w14:textId="0C41FA5A" w:rsidR="00C77AFD" w:rsidRPr="00AC5E4E" w:rsidRDefault="00841035" w:rsidP="004340FE">
      <w:pPr>
        <w:spacing w:after="240"/>
      </w:pPr>
      <w:r w:rsidRPr="00AC5E4E">
        <w:rPr>
          <w:rFonts w:cs="Arial"/>
        </w:rPr>
        <w:t>S</w:t>
      </w:r>
      <w:r w:rsidR="00C77AFD" w:rsidRPr="00AC5E4E">
        <w:rPr>
          <w:rFonts w:cs="Arial"/>
        </w:rPr>
        <w:t>tudent</w:t>
      </w:r>
      <w:r w:rsidRPr="00AC5E4E">
        <w:rPr>
          <w:rFonts w:cs="Arial"/>
        </w:rPr>
        <w:t xml:space="preserve">s who meet </w:t>
      </w:r>
      <w:r w:rsidR="00C77AFD" w:rsidRPr="00AC5E4E">
        <w:rPr>
          <w:rFonts w:cs="Arial"/>
        </w:rPr>
        <w:t>any of the criteria in the “Prepared” level</w:t>
      </w:r>
      <w:r w:rsidRPr="00AC5E4E">
        <w:rPr>
          <w:rFonts w:cs="Arial"/>
        </w:rPr>
        <w:t xml:space="preserve"> are </w:t>
      </w:r>
      <w:r w:rsidR="00C77AFD" w:rsidRPr="00AC5E4E">
        <w:rPr>
          <w:rFonts w:cs="Arial"/>
        </w:rPr>
        <w:t xml:space="preserve">placed in that level. If a </w:t>
      </w:r>
      <w:r w:rsidR="00C77AFD" w:rsidRPr="00AC5E4E">
        <w:t xml:space="preserve">student does not meet any of the prepared criteria, then the criteria in the “Approaching Prepared” level are reviewed. If a student does not meet any of the approaching criteria (or did not graduate), he or she is counted in the “Not Prepared” level. Because the CCI is criterion based, students are considered </w:t>
      </w:r>
      <w:r w:rsidR="00FC5BC0">
        <w:t>“</w:t>
      </w:r>
      <w:r w:rsidR="00C77AFD" w:rsidRPr="00AC5E4E">
        <w:t>Prepared</w:t>
      </w:r>
      <w:r w:rsidR="00FC5BC0">
        <w:t>”</w:t>
      </w:r>
      <w:r w:rsidR="00C77AFD" w:rsidRPr="00AC5E4E">
        <w:t xml:space="preserve"> even if they only meet one of the established criterion. Once all students are assigned a performance level, the school’s performance level is based on the percent of students that met the prepared level.</w:t>
      </w:r>
    </w:p>
    <w:p w14:paraId="377F2F5B" w14:textId="29D46E85" w:rsidR="00C77AFD" w:rsidRPr="00AC5E4E" w:rsidRDefault="00C77AFD" w:rsidP="004340FE">
      <w:pPr>
        <w:spacing w:after="240"/>
      </w:pPr>
      <w:r w:rsidRPr="00AC5E4E">
        <w:t xml:space="preserve">To illustrate how the CCI is calculated for schools and LEAs, the following is a </w:t>
      </w:r>
      <w:r w:rsidR="00987995" w:rsidRPr="00AC5E4E">
        <w:rPr>
          <w:b/>
        </w:rPr>
        <w:t>s</w:t>
      </w:r>
      <w:r w:rsidRPr="00AC5E4E">
        <w:rPr>
          <w:b/>
        </w:rPr>
        <w:t xml:space="preserve">ample </w:t>
      </w:r>
      <w:r w:rsidRPr="00AC5E4E">
        <w:t xml:space="preserve">scenario for a </w:t>
      </w:r>
      <w:r w:rsidR="00841035" w:rsidRPr="00AC5E4E">
        <w:t xml:space="preserve">student in a fictional </w:t>
      </w:r>
      <w:r w:rsidRPr="00AC5E4E">
        <w:t>high school: Olympic High</w:t>
      </w:r>
      <w:r w:rsidR="007024D8">
        <w:t xml:space="preserve"> School</w:t>
      </w:r>
      <w:r w:rsidRPr="00AC5E4E">
        <w:t>.</w:t>
      </w:r>
    </w:p>
    <w:p w14:paraId="6966B783" w14:textId="55A0B46A" w:rsidR="00841035" w:rsidRPr="00AC5E4E" w:rsidRDefault="00841035" w:rsidP="004340FE">
      <w:pPr>
        <w:pStyle w:val="ListParagraph"/>
        <w:numPr>
          <w:ilvl w:val="0"/>
          <w:numId w:val="26"/>
        </w:numPr>
        <w:spacing w:after="240"/>
      </w:pPr>
      <w:r w:rsidRPr="00AC5E4E">
        <w:t xml:space="preserve">When </w:t>
      </w:r>
      <w:r w:rsidR="00E94269" w:rsidRPr="00AC5E4E">
        <w:t>Minnie Disney</w:t>
      </w:r>
      <w:r w:rsidRPr="00AC5E4E">
        <w:t xml:space="preserve"> received her high school diploma </w:t>
      </w:r>
      <w:r w:rsidR="00D85DFE" w:rsidRPr="00AC5E4E">
        <w:t>upon graduating</w:t>
      </w:r>
      <w:r w:rsidRPr="00AC5E4E">
        <w:t xml:space="preserve"> </w:t>
      </w:r>
      <w:r w:rsidR="00D85DFE" w:rsidRPr="00AC5E4E">
        <w:t>in</w:t>
      </w:r>
      <w:r w:rsidRPr="00AC5E4E">
        <w:t xml:space="preserve"> the Class of 2016 at Olympic High</w:t>
      </w:r>
      <w:r w:rsidR="007024D8">
        <w:t xml:space="preserve"> School</w:t>
      </w:r>
      <w:r w:rsidRPr="00AC5E4E">
        <w:t>, she had:</w:t>
      </w:r>
    </w:p>
    <w:p w14:paraId="249B0F88" w14:textId="77777777" w:rsidR="00C23D6E" w:rsidRPr="00AC5E4E" w:rsidRDefault="00B94FC8" w:rsidP="007024D8">
      <w:pPr>
        <w:numPr>
          <w:ilvl w:val="1"/>
          <w:numId w:val="28"/>
        </w:numPr>
        <w:ind w:left="1260"/>
      </w:pPr>
      <w:r w:rsidRPr="00AC5E4E">
        <w:t xml:space="preserve">Completed </w:t>
      </w:r>
      <w:r w:rsidRPr="00AC5E4E">
        <w:rPr>
          <w:b/>
          <w:bCs/>
        </w:rPr>
        <w:t>a-g</w:t>
      </w:r>
      <w:r w:rsidRPr="00AC5E4E">
        <w:t xml:space="preserve"> course requirements</w:t>
      </w:r>
    </w:p>
    <w:p w14:paraId="6BAFA04E" w14:textId="6EB58B8D" w:rsidR="00C23D6E" w:rsidRPr="00AC5E4E" w:rsidRDefault="00B94FC8" w:rsidP="007024D8">
      <w:pPr>
        <w:numPr>
          <w:ilvl w:val="1"/>
          <w:numId w:val="28"/>
        </w:numPr>
        <w:ind w:left="1260"/>
      </w:pPr>
      <w:r w:rsidRPr="00AC5E4E">
        <w:t xml:space="preserve">Completed </w:t>
      </w:r>
      <w:r w:rsidRPr="00AC5E4E">
        <w:rPr>
          <w:b/>
          <w:bCs/>
        </w:rPr>
        <w:t>one C</w:t>
      </w:r>
      <w:r w:rsidR="007024D8">
        <w:rPr>
          <w:b/>
          <w:bCs/>
        </w:rPr>
        <w:t>areer Technical Education (C</w:t>
      </w:r>
      <w:r w:rsidRPr="00AC5E4E">
        <w:rPr>
          <w:b/>
          <w:bCs/>
        </w:rPr>
        <w:t>TE</w:t>
      </w:r>
      <w:r w:rsidR="007024D8">
        <w:rPr>
          <w:b/>
          <w:bCs/>
        </w:rPr>
        <w:t>)</w:t>
      </w:r>
      <w:r w:rsidRPr="00AC5E4E">
        <w:rPr>
          <w:b/>
          <w:bCs/>
        </w:rPr>
        <w:t xml:space="preserve"> Pathway</w:t>
      </w:r>
    </w:p>
    <w:p w14:paraId="4BA5D09D" w14:textId="2DA6E8F8" w:rsidR="00C23D6E" w:rsidRPr="00AC5E4E" w:rsidRDefault="00B94FC8" w:rsidP="007024D8">
      <w:pPr>
        <w:numPr>
          <w:ilvl w:val="1"/>
          <w:numId w:val="28"/>
        </w:numPr>
        <w:ind w:left="1260"/>
      </w:pPr>
      <w:r w:rsidRPr="00AC5E4E">
        <w:t xml:space="preserve">Scored </w:t>
      </w:r>
      <w:r w:rsidRPr="00AC5E4E">
        <w:rPr>
          <w:b/>
          <w:bCs/>
        </w:rPr>
        <w:t xml:space="preserve">Standard Met </w:t>
      </w:r>
      <w:r w:rsidRPr="00AC5E4E">
        <w:t xml:space="preserve">in </w:t>
      </w:r>
      <w:r w:rsidRPr="00AC5E4E">
        <w:rPr>
          <w:b/>
          <w:bCs/>
        </w:rPr>
        <w:t>E</w:t>
      </w:r>
      <w:r w:rsidR="007024D8">
        <w:rPr>
          <w:b/>
          <w:bCs/>
        </w:rPr>
        <w:t>nglish language arts (E</w:t>
      </w:r>
      <w:r w:rsidRPr="00AC5E4E">
        <w:rPr>
          <w:b/>
          <w:bCs/>
        </w:rPr>
        <w:t>LA</w:t>
      </w:r>
      <w:r w:rsidR="007024D8">
        <w:rPr>
          <w:b/>
          <w:bCs/>
        </w:rPr>
        <w:t>)</w:t>
      </w:r>
    </w:p>
    <w:p w14:paraId="3FC3DA1A" w14:textId="77777777" w:rsidR="00FC5BC0" w:rsidRPr="00FC5BC0" w:rsidRDefault="00B94FC8" w:rsidP="007024D8">
      <w:pPr>
        <w:numPr>
          <w:ilvl w:val="1"/>
          <w:numId w:val="28"/>
        </w:numPr>
        <w:spacing w:after="240"/>
        <w:ind w:left="1260"/>
      </w:pPr>
      <w:r w:rsidRPr="00AC5E4E">
        <w:t xml:space="preserve">Scored </w:t>
      </w:r>
      <w:r w:rsidRPr="00AC5E4E">
        <w:rPr>
          <w:b/>
          <w:bCs/>
        </w:rPr>
        <w:t xml:space="preserve">Standard Nearly Met </w:t>
      </w:r>
      <w:r w:rsidRPr="00AC5E4E">
        <w:t xml:space="preserve">in </w:t>
      </w:r>
      <w:r w:rsidRPr="00AC5E4E">
        <w:rPr>
          <w:b/>
          <w:bCs/>
        </w:rPr>
        <w:t>mathematics</w:t>
      </w:r>
    </w:p>
    <w:p w14:paraId="667BECBB" w14:textId="7C2E9E1C" w:rsidR="00A97E13" w:rsidRPr="00AC5E4E" w:rsidRDefault="00841035" w:rsidP="004340FE">
      <w:pPr>
        <w:spacing w:after="240"/>
      </w:pPr>
      <w:r w:rsidRPr="00F01BD1">
        <w:t xml:space="preserve">Based on the </w:t>
      </w:r>
      <w:r w:rsidR="00A97E13" w:rsidRPr="00F01BD1">
        <w:t xml:space="preserve">CCI model, Minnie met </w:t>
      </w:r>
      <w:r w:rsidR="007773D6" w:rsidRPr="00F01BD1">
        <w:t>multiple</w:t>
      </w:r>
      <w:r w:rsidR="00A97E13" w:rsidRPr="00F01BD1">
        <w:t xml:space="preserve"> criteria </w:t>
      </w:r>
      <w:r w:rsidR="007773D6" w:rsidRPr="00F01BD1">
        <w:t xml:space="preserve">in </w:t>
      </w:r>
      <w:r w:rsidR="00961C20" w:rsidRPr="00F01BD1">
        <w:t xml:space="preserve">the </w:t>
      </w:r>
      <w:r w:rsidR="00E879A6" w:rsidRPr="00F01BD1">
        <w:t>“</w:t>
      </w:r>
      <w:r w:rsidR="00A97E13" w:rsidRPr="00F01BD1">
        <w:t>Prepared</w:t>
      </w:r>
      <w:r w:rsidR="00E879A6" w:rsidRPr="00F01BD1">
        <w:t>”</w:t>
      </w:r>
      <w:r w:rsidR="00A97E13" w:rsidRPr="00F01BD1">
        <w:t xml:space="preserve"> level</w:t>
      </w:r>
      <w:r w:rsidR="00961C20" w:rsidRPr="00F01BD1">
        <w:t xml:space="preserve"> (</w:t>
      </w:r>
      <w:r w:rsidR="007773D6" w:rsidRPr="00F01BD1">
        <w:t>i</w:t>
      </w:r>
      <w:r w:rsidR="00961C20" w:rsidRPr="00F01BD1">
        <w:t>.</w:t>
      </w:r>
      <w:r w:rsidR="007773D6" w:rsidRPr="00F01BD1">
        <w:t>e.</w:t>
      </w:r>
      <w:r w:rsidR="00961C20" w:rsidRPr="00F01BD1">
        <w:t xml:space="preserve">, </w:t>
      </w:r>
      <w:r w:rsidR="00F651C1" w:rsidRPr="00F01BD1">
        <w:t xml:space="preserve">a-g course </w:t>
      </w:r>
      <w:r w:rsidR="007773D6" w:rsidRPr="00F01BD1">
        <w:t>completion plus</w:t>
      </w:r>
      <w:r w:rsidR="00F651C1" w:rsidRPr="00F01BD1">
        <w:t xml:space="preserve"> CTE Pathway completion</w:t>
      </w:r>
      <w:r w:rsidR="007773D6" w:rsidRPr="00F01BD1">
        <w:t xml:space="preserve">, a-g completion plus Smarter Balanced criteria, and CTE </w:t>
      </w:r>
      <w:r w:rsidR="00F01BD1" w:rsidRPr="00F01BD1">
        <w:t xml:space="preserve">Pathway completion </w:t>
      </w:r>
      <w:r w:rsidR="007773D6" w:rsidRPr="00F01BD1">
        <w:t>plus Smarter Balanced criteria</w:t>
      </w:r>
      <w:r w:rsidR="00F651C1" w:rsidRPr="00F01BD1">
        <w:t>)</w:t>
      </w:r>
      <w:r w:rsidR="00A97E13" w:rsidRPr="00F01BD1">
        <w:t xml:space="preserve">. </w:t>
      </w:r>
      <w:r w:rsidR="00F01BD1" w:rsidRPr="00F01BD1">
        <w:t xml:space="preserve">Although Minnie met criteria in the </w:t>
      </w:r>
      <w:r w:rsidR="00D05E83">
        <w:t>“</w:t>
      </w:r>
      <w:r w:rsidR="00F01BD1" w:rsidRPr="00F01BD1">
        <w:t>Approaching Prepared</w:t>
      </w:r>
      <w:r w:rsidR="00D05E83">
        <w:t>”</w:t>
      </w:r>
      <w:r w:rsidR="00F01BD1" w:rsidRPr="00F01BD1">
        <w:t xml:space="preserve"> level, she is only placed in the higher performance level (Prepared)</w:t>
      </w:r>
      <w:r w:rsidR="00A97E13" w:rsidRPr="00F01BD1">
        <w:t>.</w:t>
      </w:r>
    </w:p>
    <w:p w14:paraId="155BA2F0" w14:textId="77444FC0" w:rsidR="004340FE" w:rsidRDefault="00934086" w:rsidP="004340FE">
      <w:pPr>
        <w:spacing w:after="240" w:line="259" w:lineRule="auto"/>
      </w:pPr>
      <w:r w:rsidRPr="00AC5E4E">
        <w:t xml:space="preserve">Table 1 identifies the results once </w:t>
      </w:r>
      <w:r w:rsidR="00A97E13" w:rsidRPr="00AC5E4E">
        <w:t xml:space="preserve">all of the 210 students in the Class of 2016 at Olympic High </w:t>
      </w:r>
      <w:r w:rsidR="007024D8">
        <w:t xml:space="preserve">School </w:t>
      </w:r>
      <w:r w:rsidR="00A97E13" w:rsidRPr="00AC5E4E">
        <w:t>are assigned to one of the three CCI levels</w:t>
      </w:r>
      <w:r w:rsidR="00E879A6" w:rsidRPr="00AC5E4E">
        <w:t>:</w:t>
      </w:r>
    </w:p>
    <w:p w14:paraId="133B45E1" w14:textId="7ECA3D5B" w:rsidR="00C77AFD" w:rsidRPr="00AC5E4E" w:rsidRDefault="004340FE" w:rsidP="004340FE">
      <w:pPr>
        <w:spacing w:after="240" w:line="259" w:lineRule="auto"/>
      </w:pPr>
      <w:r w:rsidRPr="00AC5E4E">
        <w:rPr>
          <w:b/>
        </w:rPr>
        <w:t>Table 1: CCI Results for the 210 Students in the Graduation Cohort for Olympic High School</w:t>
      </w:r>
    </w:p>
    <w:tbl>
      <w:tblPr>
        <w:tblStyle w:val="TableGrid"/>
        <w:tblW w:w="7290" w:type="dxa"/>
        <w:jc w:val="center"/>
        <w:tblLook w:val="04A0" w:firstRow="1" w:lastRow="0" w:firstColumn="1" w:lastColumn="0" w:noHBand="0" w:noVBand="1"/>
        <w:tblDescription w:val="Table with the CCI Results for 2010 Students in the Graduation Cohort for Olympic High School."/>
      </w:tblPr>
      <w:tblGrid>
        <w:gridCol w:w="3325"/>
        <w:gridCol w:w="3965"/>
      </w:tblGrid>
      <w:tr w:rsidR="002422DB" w:rsidRPr="00AC5E4E" w14:paraId="67BC2A71" w14:textId="77777777" w:rsidTr="004340FE">
        <w:trPr>
          <w:trHeight w:val="413"/>
          <w:tblHeader/>
          <w:jc w:val="center"/>
        </w:trPr>
        <w:tc>
          <w:tcPr>
            <w:tcW w:w="3325" w:type="dxa"/>
            <w:shd w:val="clear" w:color="auto" w:fill="D9D9D9" w:themeFill="background1" w:themeFillShade="D9"/>
            <w:vAlign w:val="center"/>
          </w:tcPr>
          <w:p w14:paraId="63F48BA6" w14:textId="77777777" w:rsidR="002422DB" w:rsidRPr="00AC5E4E" w:rsidRDefault="002422DB" w:rsidP="004340FE">
            <w:pPr>
              <w:jc w:val="center"/>
              <w:rPr>
                <w:b/>
              </w:rPr>
            </w:pPr>
            <w:r w:rsidRPr="00AC5E4E">
              <w:rPr>
                <w:b/>
              </w:rPr>
              <w:t>Level of Preparedness</w:t>
            </w:r>
          </w:p>
        </w:tc>
        <w:tc>
          <w:tcPr>
            <w:tcW w:w="3965" w:type="dxa"/>
            <w:shd w:val="clear" w:color="auto" w:fill="D9D9D9" w:themeFill="background1" w:themeFillShade="D9"/>
            <w:vAlign w:val="center"/>
          </w:tcPr>
          <w:p w14:paraId="379E4103" w14:textId="4009E0A1" w:rsidR="002422DB" w:rsidRPr="00AC5E4E" w:rsidRDefault="002422DB" w:rsidP="004340FE">
            <w:pPr>
              <w:jc w:val="center"/>
              <w:rPr>
                <w:b/>
              </w:rPr>
            </w:pPr>
            <w:r w:rsidRPr="00AC5E4E">
              <w:rPr>
                <w:b/>
              </w:rPr>
              <w:t>Number of Students at Each</w:t>
            </w:r>
          </w:p>
          <w:p w14:paraId="4D30E489" w14:textId="77777777" w:rsidR="002422DB" w:rsidRPr="00AC5E4E" w:rsidRDefault="002422DB" w:rsidP="004340FE">
            <w:pPr>
              <w:jc w:val="center"/>
              <w:rPr>
                <w:b/>
              </w:rPr>
            </w:pPr>
            <w:r w:rsidRPr="00AC5E4E">
              <w:rPr>
                <w:b/>
              </w:rPr>
              <w:t>Level of Preparedness</w:t>
            </w:r>
          </w:p>
        </w:tc>
      </w:tr>
      <w:tr w:rsidR="002422DB" w:rsidRPr="00AC5E4E" w14:paraId="7AE5796E" w14:textId="77777777" w:rsidTr="004340FE">
        <w:trPr>
          <w:jc w:val="center"/>
        </w:trPr>
        <w:tc>
          <w:tcPr>
            <w:tcW w:w="3325" w:type="dxa"/>
          </w:tcPr>
          <w:p w14:paraId="38B5269D" w14:textId="77777777" w:rsidR="002422DB" w:rsidRPr="00AC5E4E" w:rsidRDefault="002422DB" w:rsidP="004340FE">
            <w:r w:rsidRPr="00AC5E4E">
              <w:t xml:space="preserve">Prepared </w:t>
            </w:r>
          </w:p>
        </w:tc>
        <w:tc>
          <w:tcPr>
            <w:tcW w:w="3965" w:type="dxa"/>
          </w:tcPr>
          <w:p w14:paraId="18972EA7" w14:textId="77777777" w:rsidR="002422DB" w:rsidRPr="00AC5E4E" w:rsidRDefault="002422DB" w:rsidP="004340FE">
            <w:pPr>
              <w:jc w:val="center"/>
            </w:pPr>
            <w:r w:rsidRPr="00AC5E4E">
              <w:t xml:space="preserve">75 </w:t>
            </w:r>
          </w:p>
        </w:tc>
      </w:tr>
      <w:tr w:rsidR="002422DB" w:rsidRPr="00AC5E4E" w14:paraId="3FC0ED35" w14:textId="77777777" w:rsidTr="004340FE">
        <w:trPr>
          <w:jc w:val="center"/>
        </w:trPr>
        <w:tc>
          <w:tcPr>
            <w:tcW w:w="3325" w:type="dxa"/>
          </w:tcPr>
          <w:p w14:paraId="50707D14" w14:textId="77777777" w:rsidR="002422DB" w:rsidRPr="00AC5E4E" w:rsidRDefault="002422DB" w:rsidP="004340FE">
            <w:r w:rsidRPr="00AC5E4E">
              <w:t>Approaching Prepared</w:t>
            </w:r>
          </w:p>
        </w:tc>
        <w:tc>
          <w:tcPr>
            <w:tcW w:w="3965" w:type="dxa"/>
          </w:tcPr>
          <w:p w14:paraId="067B3585" w14:textId="77777777" w:rsidR="002422DB" w:rsidRPr="00AC5E4E" w:rsidRDefault="002422DB" w:rsidP="004340FE">
            <w:pPr>
              <w:jc w:val="center"/>
            </w:pPr>
            <w:r w:rsidRPr="00AC5E4E">
              <w:t xml:space="preserve">100 </w:t>
            </w:r>
          </w:p>
        </w:tc>
      </w:tr>
      <w:tr w:rsidR="002422DB" w:rsidRPr="00AC5E4E" w14:paraId="01E0CDC1" w14:textId="77777777" w:rsidTr="004340FE">
        <w:trPr>
          <w:jc w:val="center"/>
        </w:trPr>
        <w:tc>
          <w:tcPr>
            <w:tcW w:w="3325" w:type="dxa"/>
          </w:tcPr>
          <w:p w14:paraId="6758E571" w14:textId="77777777" w:rsidR="002422DB" w:rsidRPr="00AC5E4E" w:rsidRDefault="002422DB" w:rsidP="004340FE">
            <w:r w:rsidRPr="00AC5E4E">
              <w:t>Not Prepared</w:t>
            </w:r>
          </w:p>
        </w:tc>
        <w:tc>
          <w:tcPr>
            <w:tcW w:w="3965" w:type="dxa"/>
          </w:tcPr>
          <w:p w14:paraId="5866FC10" w14:textId="77777777" w:rsidR="002422DB" w:rsidRPr="00AC5E4E" w:rsidRDefault="002422DB" w:rsidP="004340FE">
            <w:pPr>
              <w:jc w:val="center"/>
            </w:pPr>
            <w:r w:rsidRPr="00AC5E4E">
              <w:t xml:space="preserve">35 </w:t>
            </w:r>
          </w:p>
        </w:tc>
      </w:tr>
    </w:tbl>
    <w:p w14:paraId="4B1A1F11" w14:textId="3613DE5E" w:rsidR="00A97E13" w:rsidRPr="00AC5E4E" w:rsidRDefault="00EF4C29" w:rsidP="00EF4C29">
      <w:pPr>
        <w:spacing w:after="240" w:line="259" w:lineRule="auto"/>
      </w:pPr>
      <w:r>
        <w:br w:type="page"/>
      </w:r>
      <w:r w:rsidR="00A97E13" w:rsidRPr="00AC5E4E">
        <w:lastRenderedPageBreak/>
        <w:t xml:space="preserve">The CCI Status for Olympic High School is determined by calculating the percent of students at the </w:t>
      </w:r>
      <w:r w:rsidR="00210C87">
        <w:t>“</w:t>
      </w:r>
      <w:r w:rsidR="00A97E13" w:rsidRPr="00AC5E4E">
        <w:t>Prepared</w:t>
      </w:r>
      <w:r w:rsidR="00210C87">
        <w:t>”</w:t>
      </w:r>
      <w:r w:rsidR="00A97E13" w:rsidRPr="00AC5E4E">
        <w:t xml:space="preserve"> Level, which is 35.7</w:t>
      </w:r>
      <w:r w:rsidR="001C108F" w:rsidRPr="00AC5E4E">
        <w:t xml:space="preserve"> percent</w:t>
      </w:r>
      <w:r w:rsidR="00A97E13" w:rsidRPr="00AC5E4E">
        <w:t xml:space="preserve"> (75 divided by 210). Based on the SBE-adopted Status cut scores, 35.7</w:t>
      </w:r>
      <w:r w:rsidR="001C108F" w:rsidRPr="00AC5E4E">
        <w:t xml:space="preserve"> percent</w:t>
      </w:r>
      <w:r w:rsidR="00A97E13" w:rsidRPr="00AC5E4E">
        <w:t xml:space="preserve"> falls within the Status range for “Medium.” </w:t>
      </w:r>
      <w:r w:rsidR="002422DB" w:rsidRPr="00AC5E4E">
        <w:t xml:space="preserve">(See Attachment </w:t>
      </w:r>
      <w:r w:rsidR="00D85DFE" w:rsidRPr="00AC5E4E">
        <w:t>1</w:t>
      </w:r>
      <w:r w:rsidR="002422DB" w:rsidRPr="00AC5E4E">
        <w:t xml:space="preserve"> for the Status cut scores approved by the SBE.)</w:t>
      </w:r>
    </w:p>
    <w:p w14:paraId="1CB872E6" w14:textId="77777777" w:rsidR="00C77AFD" w:rsidRPr="00EF4C29" w:rsidRDefault="001F1BB0" w:rsidP="00EF4C29">
      <w:pPr>
        <w:pStyle w:val="Heading3"/>
        <w:spacing w:after="240"/>
        <w:rPr>
          <w:sz w:val="32"/>
          <w:szCs w:val="32"/>
        </w:rPr>
      </w:pPr>
      <w:r w:rsidRPr="00EF4C29">
        <w:rPr>
          <w:sz w:val="32"/>
          <w:szCs w:val="32"/>
        </w:rPr>
        <w:t xml:space="preserve">College/Career Cut Scores and the </w:t>
      </w:r>
      <w:proofErr w:type="gramStart"/>
      <w:r w:rsidRPr="00EF4C29">
        <w:rPr>
          <w:sz w:val="32"/>
          <w:szCs w:val="32"/>
        </w:rPr>
        <w:t>Fall</w:t>
      </w:r>
      <w:proofErr w:type="gramEnd"/>
      <w:r w:rsidRPr="00EF4C29">
        <w:rPr>
          <w:sz w:val="32"/>
          <w:szCs w:val="32"/>
        </w:rPr>
        <w:t xml:space="preserve"> 2017 Dashboard</w:t>
      </w:r>
    </w:p>
    <w:p w14:paraId="46A47681" w14:textId="04CC013A" w:rsidR="0068105F" w:rsidRPr="00AC5E4E" w:rsidRDefault="0068105F" w:rsidP="00983414">
      <w:pPr>
        <w:spacing w:after="240"/>
        <w:rPr>
          <w:rFonts w:cs="Arial"/>
        </w:rPr>
      </w:pPr>
      <w:r w:rsidRPr="00AC5E4E">
        <w:rPr>
          <w:rFonts w:cs="Arial"/>
        </w:rPr>
        <w:t xml:space="preserve">At the September 2017 SBE meeting, the SBE approved Status cut scores for the CCI, which were used to report Status results for the first time in the Fall 2017 Dashboard. </w:t>
      </w:r>
      <w:r w:rsidR="00DE1739" w:rsidRPr="00AC5E4E">
        <w:rPr>
          <w:rFonts w:cs="Arial"/>
        </w:rPr>
        <w:t xml:space="preserve">In response to stakeholder feedback from the </w:t>
      </w:r>
      <w:proofErr w:type="gramStart"/>
      <w:r w:rsidR="00DE1739" w:rsidRPr="00AC5E4E">
        <w:rPr>
          <w:rFonts w:cs="Arial"/>
        </w:rPr>
        <w:t>Spring</w:t>
      </w:r>
      <w:proofErr w:type="gramEnd"/>
      <w:r w:rsidR="00DE1739" w:rsidRPr="00AC5E4E">
        <w:rPr>
          <w:rFonts w:cs="Arial"/>
        </w:rPr>
        <w:t xml:space="preserve"> 2017 Dashboard, the CDE developed </w:t>
      </w:r>
      <w:r w:rsidR="00C93596" w:rsidRPr="00AC5E4E">
        <w:rPr>
          <w:rFonts w:cs="Arial"/>
        </w:rPr>
        <w:t xml:space="preserve">the following resources </w:t>
      </w:r>
      <w:r w:rsidR="00DE1739" w:rsidRPr="00AC5E4E">
        <w:rPr>
          <w:rFonts w:cs="Arial"/>
        </w:rPr>
        <w:t xml:space="preserve">for </w:t>
      </w:r>
      <w:r w:rsidR="00C93596" w:rsidRPr="00AC5E4E">
        <w:rPr>
          <w:rFonts w:cs="Arial"/>
        </w:rPr>
        <w:t>parents and educators</w:t>
      </w:r>
      <w:r w:rsidR="00C61052" w:rsidRPr="00AC5E4E">
        <w:rPr>
          <w:rFonts w:cs="Arial"/>
        </w:rPr>
        <w:t xml:space="preserve"> that were released in conjunction with the Fall 2017 Dashboard release</w:t>
      </w:r>
      <w:r w:rsidR="00DE1739" w:rsidRPr="00AC5E4E">
        <w:rPr>
          <w:rFonts w:cs="Arial"/>
        </w:rPr>
        <w:t xml:space="preserve">. These resources are designed </w:t>
      </w:r>
      <w:r w:rsidR="00C93596" w:rsidRPr="00AC5E4E">
        <w:rPr>
          <w:rFonts w:cs="Arial"/>
        </w:rPr>
        <w:t xml:space="preserve">to </w:t>
      </w:r>
      <w:r w:rsidR="00DE1739" w:rsidRPr="00AC5E4E">
        <w:rPr>
          <w:rFonts w:cs="Arial"/>
        </w:rPr>
        <w:t xml:space="preserve">assist </w:t>
      </w:r>
      <w:r w:rsidR="00C93596" w:rsidRPr="00AC5E4E">
        <w:rPr>
          <w:rFonts w:cs="Arial"/>
        </w:rPr>
        <w:t xml:space="preserve">LEAs and schools </w:t>
      </w:r>
      <w:r w:rsidR="00DE1739" w:rsidRPr="00AC5E4E">
        <w:rPr>
          <w:rFonts w:cs="Arial"/>
        </w:rPr>
        <w:t xml:space="preserve">with accessing the new data and understanding how well they </w:t>
      </w:r>
      <w:r w:rsidR="00C93596" w:rsidRPr="00AC5E4E">
        <w:rPr>
          <w:rFonts w:cs="Arial"/>
        </w:rPr>
        <w:t>are preparing students for college and career</w:t>
      </w:r>
      <w:r w:rsidR="00DE1739" w:rsidRPr="00AC5E4E">
        <w:rPr>
          <w:rFonts w:cs="Arial"/>
        </w:rPr>
        <w:t xml:space="preserve"> based on the indicator measures</w:t>
      </w:r>
      <w:r w:rsidR="00C93596" w:rsidRPr="00AC5E4E">
        <w:rPr>
          <w:rFonts w:cs="Arial"/>
        </w:rPr>
        <w:t>.</w:t>
      </w:r>
    </w:p>
    <w:p w14:paraId="284A2E4E" w14:textId="29BA9643" w:rsidR="0068105F" w:rsidRPr="00983414" w:rsidRDefault="00C93596" w:rsidP="00983414">
      <w:pPr>
        <w:pStyle w:val="ListParagraph"/>
        <w:numPr>
          <w:ilvl w:val="0"/>
          <w:numId w:val="29"/>
        </w:numPr>
        <w:spacing w:after="240"/>
        <w:ind w:left="720"/>
        <w:contextualSpacing w:val="0"/>
        <w:rPr>
          <w:rFonts w:cs="Arial"/>
        </w:rPr>
      </w:pPr>
      <w:r w:rsidRPr="00983414">
        <w:rPr>
          <w:rFonts w:cs="Arial"/>
        </w:rPr>
        <w:t>The</w:t>
      </w:r>
      <w:r w:rsidR="0068105F" w:rsidRPr="00983414">
        <w:rPr>
          <w:rFonts w:cs="Arial"/>
        </w:rPr>
        <w:t xml:space="preserve"> </w:t>
      </w:r>
      <w:r w:rsidRPr="00983414">
        <w:rPr>
          <w:rFonts w:cs="Arial"/>
          <w:b/>
        </w:rPr>
        <w:t xml:space="preserve">CCI </w:t>
      </w:r>
      <w:r w:rsidR="0068105F" w:rsidRPr="00983414">
        <w:rPr>
          <w:rFonts w:cs="Arial"/>
          <w:b/>
        </w:rPr>
        <w:t>one-page flyer</w:t>
      </w:r>
      <w:r w:rsidR="0068105F" w:rsidRPr="00983414">
        <w:rPr>
          <w:rFonts w:cs="Arial"/>
        </w:rPr>
        <w:t xml:space="preserve"> </w:t>
      </w:r>
      <w:r w:rsidR="001F1BB0" w:rsidRPr="00983414">
        <w:rPr>
          <w:rFonts w:cs="Arial"/>
        </w:rPr>
        <w:t xml:space="preserve">(shown on page 2) </w:t>
      </w:r>
      <w:r w:rsidR="0068105F" w:rsidRPr="00983414">
        <w:rPr>
          <w:rFonts w:cs="Arial"/>
        </w:rPr>
        <w:t>provides the measures used to determine whether LEAs and schools are preparing students for success after high school.</w:t>
      </w:r>
    </w:p>
    <w:p w14:paraId="4FB38FC3" w14:textId="4AD2AEF3" w:rsidR="00C93596" w:rsidRPr="00983414" w:rsidRDefault="00C93596" w:rsidP="00983414">
      <w:pPr>
        <w:pStyle w:val="ListParagraph"/>
        <w:numPr>
          <w:ilvl w:val="0"/>
          <w:numId w:val="29"/>
        </w:numPr>
        <w:spacing w:after="240"/>
        <w:ind w:left="720"/>
        <w:contextualSpacing w:val="0"/>
        <w:rPr>
          <w:rFonts w:cs="Arial"/>
        </w:rPr>
      </w:pPr>
      <w:r w:rsidRPr="00983414">
        <w:rPr>
          <w:rFonts w:cs="Arial"/>
        </w:rPr>
        <w:t xml:space="preserve">The </w:t>
      </w:r>
      <w:r w:rsidRPr="00983414">
        <w:rPr>
          <w:rFonts w:cs="Arial"/>
          <w:b/>
        </w:rPr>
        <w:t>Dashboard</w:t>
      </w:r>
      <w:r w:rsidRPr="00983414">
        <w:rPr>
          <w:rFonts w:cs="Arial"/>
        </w:rPr>
        <w:t xml:space="preserve"> </w:t>
      </w:r>
      <w:r w:rsidRPr="00983414">
        <w:rPr>
          <w:rFonts w:cs="Arial"/>
          <w:b/>
        </w:rPr>
        <w:t>CCI single indicator report</w:t>
      </w:r>
      <w:r w:rsidRPr="00983414">
        <w:rPr>
          <w:rFonts w:cs="Arial"/>
        </w:rPr>
        <w:t xml:space="preserve"> provides Status cut scores by student group which includes the </w:t>
      </w:r>
      <w:r w:rsidR="00082814" w:rsidRPr="00983414">
        <w:rPr>
          <w:rFonts w:cs="Arial"/>
        </w:rPr>
        <w:t xml:space="preserve">overall </w:t>
      </w:r>
      <w:r w:rsidRPr="00983414">
        <w:rPr>
          <w:rFonts w:cs="Arial"/>
        </w:rPr>
        <w:t xml:space="preserve">Grade </w:t>
      </w:r>
      <w:r w:rsidR="007024D8">
        <w:rPr>
          <w:rFonts w:cs="Arial"/>
        </w:rPr>
        <w:t>Eleven</w:t>
      </w:r>
      <w:r w:rsidRPr="00983414">
        <w:rPr>
          <w:rFonts w:cs="Arial"/>
        </w:rPr>
        <w:t xml:space="preserve"> Smarter Balanced results </w:t>
      </w:r>
      <w:r w:rsidR="00210C87" w:rsidRPr="00983414">
        <w:rPr>
          <w:rFonts w:cs="Arial"/>
        </w:rPr>
        <w:t xml:space="preserve">for </w:t>
      </w:r>
      <w:r w:rsidR="007024D8">
        <w:rPr>
          <w:rFonts w:cs="Arial"/>
        </w:rPr>
        <w:t>ELA/literacy</w:t>
      </w:r>
      <w:r w:rsidR="00210C87" w:rsidRPr="00983414">
        <w:rPr>
          <w:rFonts w:cs="Arial"/>
        </w:rPr>
        <w:t xml:space="preserve"> and m</w:t>
      </w:r>
      <w:r w:rsidR="00082814" w:rsidRPr="00983414">
        <w:rPr>
          <w:rFonts w:cs="Arial"/>
        </w:rPr>
        <w:t xml:space="preserve">athematics </w:t>
      </w:r>
      <w:r w:rsidRPr="00983414">
        <w:rPr>
          <w:rFonts w:cs="Arial"/>
        </w:rPr>
        <w:t>by LEA and school.</w:t>
      </w:r>
      <w:r w:rsidR="00DE1739" w:rsidRPr="00983414">
        <w:rPr>
          <w:rFonts w:cs="Arial"/>
        </w:rPr>
        <w:t xml:space="preserve"> The Dashboard can be accessed </w:t>
      </w:r>
      <w:r w:rsidR="007024D8">
        <w:rPr>
          <w:rFonts w:cs="Arial"/>
        </w:rPr>
        <w:t xml:space="preserve">on the CDE California School Dashboard Report Web site </w:t>
      </w:r>
      <w:r w:rsidR="00DE1739" w:rsidRPr="00983414">
        <w:rPr>
          <w:rFonts w:cs="Arial"/>
        </w:rPr>
        <w:t xml:space="preserve">at </w:t>
      </w:r>
      <w:hyperlink r:id="rId11" w:tooltip="California School Dashboard" w:history="1">
        <w:r w:rsidR="00DE1739" w:rsidRPr="00983414">
          <w:rPr>
            <w:rStyle w:val="Hyperlink"/>
            <w:rFonts w:cs="Arial"/>
          </w:rPr>
          <w:t>https://www.caschooldashboard.org/</w:t>
        </w:r>
      </w:hyperlink>
      <w:r w:rsidR="00DE1739" w:rsidRPr="00983414">
        <w:rPr>
          <w:rFonts w:cs="Arial"/>
        </w:rPr>
        <w:t>.</w:t>
      </w:r>
    </w:p>
    <w:p w14:paraId="0C5C44E3" w14:textId="223E42E5" w:rsidR="0068105F" w:rsidRPr="00983414" w:rsidRDefault="00C93596" w:rsidP="00983414">
      <w:pPr>
        <w:pStyle w:val="ListParagraph"/>
        <w:numPr>
          <w:ilvl w:val="0"/>
          <w:numId w:val="29"/>
        </w:numPr>
        <w:spacing w:after="240"/>
        <w:ind w:left="720"/>
        <w:contextualSpacing w:val="0"/>
        <w:rPr>
          <w:rFonts w:cs="Arial"/>
        </w:rPr>
      </w:pPr>
      <w:r w:rsidRPr="00983414">
        <w:rPr>
          <w:rFonts w:cs="Arial"/>
        </w:rPr>
        <w:t xml:space="preserve">The </w:t>
      </w:r>
      <w:r w:rsidRPr="00983414">
        <w:rPr>
          <w:rFonts w:cs="Arial"/>
          <w:b/>
        </w:rPr>
        <w:t>Dashboard Detailed Report tab</w:t>
      </w:r>
      <w:r w:rsidRPr="00983414">
        <w:rPr>
          <w:rFonts w:cs="Arial"/>
        </w:rPr>
        <w:t xml:space="preserve"> </w:t>
      </w:r>
      <w:r w:rsidR="0068105F" w:rsidRPr="00983414">
        <w:rPr>
          <w:rFonts w:cs="Arial"/>
        </w:rPr>
        <w:t xml:space="preserve">provides </w:t>
      </w:r>
      <w:r w:rsidR="007024D8">
        <w:rPr>
          <w:rFonts w:cs="Arial"/>
        </w:rPr>
        <w:t xml:space="preserve">a </w:t>
      </w:r>
      <w:r w:rsidR="00082814" w:rsidRPr="00983414">
        <w:rPr>
          <w:rFonts w:cs="Arial"/>
        </w:rPr>
        <w:t>bar chart for the three levels</w:t>
      </w:r>
      <w:r w:rsidR="007024D8">
        <w:rPr>
          <w:rFonts w:cs="Arial"/>
        </w:rPr>
        <w:t xml:space="preserve">: </w:t>
      </w:r>
      <w:r w:rsidR="00082814" w:rsidRPr="00983414">
        <w:rPr>
          <w:rFonts w:cs="Arial"/>
        </w:rPr>
        <w:t>“Prepared”, “Approachi</w:t>
      </w:r>
      <w:r w:rsidR="007024D8">
        <w:rPr>
          <w:rFonts w:cs="Arial"/>
        </w:rPr>
        <w:t>ng Prepared”, and “Not Prepared.”</w:t>
      </w:r>
    </w:p>
    <w:p w14:paraId="7B8DF079" w14:textId="767BE8F2" w:rsidR="0068105F" w:rsidRPr="00983414" w:rsidRDefault="00082814" w:rsidP="00983414">
      <w:pPr>
        <w:pStyle w:val="ListParagraph"/>
        <w:numPr>
          <w:ilvl w:val="0"/>
          <w:numId w:val="29"/>
        </w:numPr>
        <w:spacing w:after="240"/>
        <w:ind w:left="720"/>
        <w:contextualSpacing w:val="0"/>
        <w:rPr>
          <w:rFonts w:cs="Arial"/>
        </w:rPr>
      </w:pPr>
      <w:r w:rsidRPr="00983414">
        <w:rPr>
          <w:rFonts w:cs="Arial"/>
        </w:rPr>
        <w:t xml:space="preserve">The </w:t>
      </w:r>
      <w:r w:rsidRPr="00983414">
        <w:rPr>
          <w:rFonts w:cs="Arial"/>
          <w:b/>
        </w:rPr>
        <w:t>CCI Indicator Reports and Data</w:t>
      </w:r>
      <w:r w:rsidRPr="00983414">
        <w:rPr>
          <w:rFonts w:cs="Arial"/>
        </w:rPr>
        <w:t xml:space="preserve"> are linked from the Dashboard CCI single indicator report and hosted on</w:t>
      </w:r>
      <w:r w:rsidR="0068105F" w:rsidRPr="00983414">
        <w:rPr>
          <w:rFonts w:cs="Arial"/>
        </w:rPr>
        <w:t xml:space="preserve"> </w:t>
      </w:r>
      <w:r w:rsidR="007024D8">
        <w:rPr>
          <w:rFonts w:cs="Arial"/>
        </w:rPr>
        <w:t>the CDE</w:t>
      </w:r>
      <w:r w:rsidR="0068105F" w:rsidRPr="00983414">
        <w:rPr>
          <w:rFonts w:cs="Arial"/>
        </w:rPr>
        <w:t xml:space="preserve"> California Accountability Model </w:t>
      </w:r>
      <w:r w:rsidR="00E879A6" w:rsidRPr="00983414">
        <w:rPr>
          <w:rFonts w:cs="Arial"/>
        </w:rPr>
        <w:t xml:space="preserve">&amp; </w:t>
      </w:r>
      <w:r w:rsidR="0068105F" w:rsidRPr="00983414">
        <w:rPr>
          <w:rFonts w:cs="Arial"/>
        </w:rPr>
        <w:t>School Dashboard Web page</w:t>
      </w:r>
      <w:r w:rsidR="00106EBA">
        <w:rPr>
          <w:rFonts w:cs="Arial"/>
        </w:rPr>
        <w:t xml:space="preserve"> at</w:t>
      </w:r>
      <w:r w:rsidR="0068105F" w:rsidRPr="00983414">
        <w:rPr>
          <w:rFonts w:cs="Arial"/>
        </w:rPr>
        <w:t xml:space="preserve"> </w:t>
      </w:r>
      <w:hyperlink r:id="rId12" w:tooltip="California Accountability Model &amp; School Dashboard" w:history="1">
        <w:r w:rsidRPr="00AC5E4E">
          <w:rPr>
            <w:rStyle w:val="Hyperlink"/>
          </w:rPr>
          <w:t>https://www.cde.ca.gov/ta/ac/cm/</w:t>
        </w:r>
      </w:hyperlink>
      <w:r w:rsidRPr="00AC5E4E">
        <w:t xml:space="preserve">. These reports </w:t>
      </w:r>
      <w:r w:rsidR="0068105F" w:rsidRPr="00983414">
        <w:rPr>
          <w:rFonts w:cs="Arial"/>
        </w:rPr>
        <w:t xml:space="preserve">provide the </w:t>
      </w:r>
      <w:r w:rsidR="0068105F" w:rsidRPr="00AC5E4E">
        <w:t>number and percentage of students</w:t>
      </w:r>
      <w:r w:rsidRPr="00AC5E4E">
        <w:t>, by student group,</w:t>
      </w:r>
      <w:r w:rsidR="0068105F" w:rsidRPr="00AC5E4E">
        <w:t xml:space="preserve"> who met each of the measures in the </w:t>
      </w:r>
      <w:r w:rsidRPr="00AC5E4E">
        <w:t>“</w:t>
      </w:r>
      <w:r w:rsidR="0068105F" w:rsidRPr="00AC5E4E">
        <w:t>Prepared</w:t>
      </w:r>
      <w:r w:rsidRPr="00AC5E4E">
        <w:t>”</w:t>
      </w:r>
      <w:r w:rsidR="0068105F" w:rsidRPr="00AC5E4E">
        <w:t xml:space="preserve"> and </w:t>
      </w:r>
      <w:r w:rsidRPr="00AC5E4E">
        <w:t>“</w:t>
      </w:r>
      <w:r w:rsidR="0068105F" w:rsidRPr="00AC5E4E">
        <w:t>Approaching Prepared</w:t>
      </w:r>
      <w:r w:rsidRPr="00AC5E4E">
        <w:t>”</w:t>
      </w:r>
      <w:r w:rsidR="0068105F" w:rsidRPr="00AC5E4E">
        <w:t xml:space="preserve"> levels.</w:t>
      </w:r>
    </w:p>
    <w:p w14:paraId="0F4F5CF4" w14:textId="21756F5D" w:rsidR="0068105F" w:rsidRPr="00AC5E4E" w:rsidRDefault="00082814" w:rsidP="00210C87">
      <w:pPr>
        <w:pStyle w:val="ListParagraph"/>
        <w:numPr>
          <w:ilvl w:val="0"/>
          <w:numId w:val="29"/>
        </w:numPr>
        <w:ind w:left="720"/>
        <w:rPr>
          <w:rFonts w:cs="Arial"/>
        </w:rPr>
      </w:pPr>
      <w:r w:rsidRPr="00AC5E4E">
        <w:rPr>
          <w:rFonts w:cs="Arial"/>
        </w:rPr>
        <w:t>A</w:t>
      </w:r>
      <w:r w:rsidR="0068105F" w:rsidRPr="00AC5E4E">
        <w:rPr>
          <w:rFonts w:cs="Arial"/>
        </w:rPr>
        <w:t xml:space="preserve"> </w:t>
      </w:r>
      <w:r w:rsidRPr="00AC5E4E">
        <w:rPr>
          <w:rFonts w:cs="Arial"/>
          <w:b/>
        </w:rPr>
        <w:t xml:space="preserve">CCI methodology, measures, and calculation method </w:t>
      </w:r>
      <w:r w:rsidR="0068105F" w:rsidRPr="00AC5E4E">
        <w:rPr>
          <w:rFonts w:cs="Arial"/>
          <w:b/>
        </w:rPr>
        <w:t>Webinar</w:t>
      </w:r>
      <w:r w:rsidR="0068105F" w:rsidRPr="00AC5E4E">
        <w:rPr>
          <w:rFonts w:cs="Arial"/>
        </w:rPr>
        <w:t xml:space="preserve"> </w:t>
      </w:r>
      <w:r w:rsidRPr="00AC5E4E">
        <w:rPr>
          <w:rFonts w:cs="Arial"/>
        </w:rPr>
        <w:t xml:space="preserve">that was conducted prior to the release of the </w:t>
      </w:r>
      <w:proofErr w:type="gramStart"/>
      <w:r w:rsidRPr="00AC5E4E">
        <w:rPr>
          <w:rFonts w:cs="Arial"/>
        </w:rPr>
        <w:t>Fall</w:t>
      </w:r>
      <w:proofErr w:type="gramEnd"/>
      <w:r w:rsidRPr="00AC5E4E">
        <w:rPr>
          <w:rFonts w:cs="Arial"/>
        </w:rPr>
        <w:t xml:space="preserve"> 2017 Dashboar</w:t>
      </w:r>
      <w:r w:rsidR="007024D8">
        <w:rPr>
          <w:rFonts w:cs="Arial"/>
        </w:rPr>
        <w:t>d is also available on the CDE</w:t>
      </w:r>
      <w:r w:rsidRPr="00AC5E4E">
        <w:rPr>
          <w:rFonts w:cs="Arial"/>
        </w:rPr>
        <w:t xml:space="preserve"> California Accountability Model </w:t>
      </w:r>
      <w:r w:rsidR="00E879A6" w:rsidRPr="00AC5E4E">
        <w:rPr>
          <w:rFonts w:cs="Arial"/>
        </w:rPr>
        <w:t xml:space="preserve">&amp; </w:t>
      </w:r>
      <w:r w:rsidRPr="00AC5E4E">
        <w:rPr>
          <w:rFonts w:cs="Arial"/>
        </w:rPr>
        <w:t xml:space="preserve">School Dashboard Web page </w:t>
      </w:r>
      <w:r w:rsidR="007024D8">
        <w:rPr>
          <w:rFonts w:cs="Arial"/>
        </w:rPr>
        <w:t xml:space="preserve">at </w:t>
      </w:r>
      <w:hyperlink r:id="rId13" w:tooltip="California Accountability Model &amp; School Dashboard" w:history="1">
        <w:r w:rsidRPr="00AC5E4E">
          <w:rPr>
            <w:rStyle w:val="Hyperlink"/>
          </w:rPr>
          <w:t>https://www.cde.ca.gov/ta/ac/cm/</w:t>
        </w:r>
      </w:hyperlink>
      <w:r w:rsidR="0068105F" w:rsidRPr="00AC5E4E">
        <w:rPr>
          <w:rFonts w:cs="Arial"/>
        </w:rPr>
        <w:t>.</w:t>
      </w:r>
    </w:p>
    <w:p w14:paraId="72ADAE04" w14:textId="77777777" w:rsidR="00A97E13" w:rsidRPr="00210C87" w:rsidRDefault="003E0307" w:rsidP="00210C87">
      <w:pPr>
        <w:pStyle w:val="Heading3"/>
        <w:spacing w:before="240" w:after="240"/>
        <w:rPr>
          <w:rFonts w:cs="Arial"/>
        </w:rPr>
      </w:pPr>
      <w:r w:rsidRPr="00210C87">
        <w:rPr>
          <w:rFonts w:cs="Arial"/>
        </w:rPr>
        <w:t xml:space="preserve">Stakeholder Feedback and </w:t>
      </w:r>
      <w:r w:rsidR="00A97E13" w:rsidRPr="00210C87">
        <w:rPr>
          <w:rFonts w:cs="Arial"/>
        </w:rPr>
        <w:t>2018 Dashboard Release</w:t>
      </w:r>
    </w:p>
    <w:p w14:paraId="313E12CF" w14:textId="33469E4E" w:rsidR="007024D8" w:rsidRDefault="003F7997" w:rsidP="00EF4C29">
      <w:pPr>
        <w:spacing w:after="240"/>
        <w:rPr>
          <w:rFonts w:cs="Arial"/>
        </w:rPr>
      </w:pPr>
      <w:r w:rsidRPr="00AC5E4E">
        <w:t>In 2017, t</w:t>
      </w:r>
      <w:r w:rsidR="006B617B" w:rsidRPr="00AC5E4E">
        <w:t xml:space="preserve">he </w:t>
      </w:r>
      <w:r w:rsidR="006B617B" w:rsidRPr="00AC5E4E">
        <w:rPr>
          <w:rFonts w:cs="Arial"/>
        </w:rPr>
        <w:t>CCI Work Group was established to</w:t>
      </w:r>
      <w:r w:rsidRPr="00AC5E4E">
        <w:rPr>
          <w:rFonts w:cs="Arial"/>
        </w:rPr>
        <w:t xml:space="preserve"> advise the CDE on the </w:t>
      </w:r>
      <w:r w:rsidRPr="00AC5E4E">
        <w:t xml:space="preserve">development of additional career measures to address </w:t>
      </w:r>
      <w:r w:rsidR="003E0307" w:rsidRPr="00AC5E4E">
        <w:rPr>
          <w:rFonts w:cs="Arial"/>
        </w:rPr>
        <w:t xml:space="preserve">SBE </w:t>
      </w:r>
      <w:r w:rsidRPr="00AC5E4E">
        <w:rPr>
          <w:rFonts w:cs="Arial"/>
        </w:rPr>
        <w:t xml:space="preserve">concerns </w:t>
      </w:r>
      <w:r w:rsidR="002D6195" w:rsidRPr="00AC5E4E">
        <w:rPr>
          <w:rFonts w:cs="Arial"/>
        </w:rPr>
        <w:t>that the CCI contained an over-emphasis of college measures</w:t>
      </w:r>
      <w:r w:rsidR="002D6195" w:rsidRPr="00AC5E4E">
        <w:t xml:space="preserve">. </w:t>
      </w:r>
      <w:r w:rsidR="00D42168" w:rsidRPr="00AC5E4E">
        <w:rPr>
          <w:rFonts w:cs="Arial"/>
        </w:rPr>
        <w:t xml:space="preserve">The CDE </w:t>
      </w:r>
      <w:r w:rsidRPr="00AC5E4E">
        <w:rPr>
          <w:rFonts w:cs="Arial"/>
        </w:rPr>
        <w:t>ha</w:t>
      </w:r>
      <w:r w:rsidR="002D6195" w:rsidRPr="00AC5E4E">
        <w:rPr>
          <w:rFonts w:cs="Arial"/>
        </w:rPr>
        <w:t xml:space="preserve">s </w:t>
      </w:r>
      <w:r w:rsidR="00D42168" w:rsidRPr="00AC5E4E">
        <w:rPr>
          <w:rFonts w:cs="Arial"/>
        </w:rPr>
        <w:t xml:space="preserve">also </w:t>
      </w:r>
      <w:r w:rsidR="002D6195" w:rsidRPr="00AC5E4E">
        <w:rPr>
          <w:rFonts w:cs="Arial"/>
        </w:rPr>
        <w:t xml:space="preserve">been working with the Alternative </w:t>
      </w:r>
      <w:r w:rsidR="002D6195" w:rsidRPr="00AC5E4E">
        <w:rPr>
          <w:rFonts w:cs="Arial"/>
        </w:rPr>
        <w:lastRenderedPageBreak/>
        <w:t xml:space="preserve">Schools Task Force to develop modified measures for schools </w:t>
      </w:r>
      <w:r w:rsidR="00EB3339" w:rsidRPr="00AC5E4E">
        <w:rPr>
          <w:rFonts w:cs="Arial"/>
        </w:rPr>
        <w:t>with</w:t>
      </w:r>
      <w:r w:rsidR="002D6195" w:rsidRPr="00AC5E4E">
        <w:rPr>
          <w:rFonts w:cs="Arial"/>
        </w:rPr>
        <w:t xml:space="preserve"> a Dashboard Alternative School Status.</w:t>
      </w:r>
    </w:p>
    <w:p w14:paraId="27B26EA4" w14:textId="557099EF" w:rsidR="00D42168" w:rsidRPr="00AC5E4E" w:rsidRDefault="00D42168" w:rsidP="00983414">
      <w:pPr>
        <w:spacing w:after="240"/>
      </w:pPr>
      <w:r w:rsidRPr="00AC5E4E">
        <w:rPr>
          <w:rFonts w:cs="Arial"/>
        </w:rPr>
        <w:t xml:space="preserve">Based on the </w:t>
      </w:r>
      <w:r w:rsidR="002422DB" w:rsidRPr="00AC5E4E">
        <w:rPr>
          <w:rFonts w:cs="Arial"/>
        </w:rPr>
        <w:t xml:space="preserve">CCI Work Group </w:t>
      </w:r>
      <w:r w:rsidRPr="00AC5E4E">
        <w:rPr>
          <w:rFonts w:cs="Arial"/>
        </w:rPr>
        <w:t xml:space="preserve">recommendations, the CDE </w:t>
      </w:r>
      <w:r w:rsidR="002422DB" w:rsidRPr="00AC5E4E">
        <w:rPr>
          <w:rFonts w:cs="Arial"/>
        </w:rPr>
        <w:t xml:space="preserve">developed a three-year </w:t>
      </w:r>
      <w:r w:rsidR="00D2368F">
        <w:rPr>
          <w:rFonts w:cs="Arial"/>
        </w:rPr>
        <w:t>work plan</w:t>
      </w:r>
      <w:r w:rsidR="002422DB" w:rsidRPr="00AC5E4E">
        <w:rPr>
          <w:rFonts w:cs="Arial"/>
        </w:rPr>
        <w:t xml:space="preserve"> that details when specific career measures will be collected and incorporated into future Dashboards. </w:t>
      </w:r>
      <w:r w:rsidR="002D6195" w:rsidRPr="00AC5E4E">
        <w:rPr>
          <w:rFonts w:cs="Arial"/>
        </w:rPr>
        <w:t xml:space="preserve">Attachment </w:t>
      </w:r>
      <w:r w:rsidR="00165B63" w:rsidRPr="00AC5E4E">
        <w:rPr>
          <w:rFonts w:cs="Arial"/>
        </w:rPr>
        <w:t>2</w:t>
      </w:r>
      <w:r w:rsidR="002D6195" w:rsidRPr="00AC5E4E">
        <w:rPr>
          <w:rFonts w:cs="Arial"/>
        </w:rPr>
        <w:t xml:space="preserve"> </w:t>
      </w:r>
      <w:r w:rsidR="00C37EFB" w:rsidRPr="00AC5E4E">
        <w:rPr>
          <w:rFonts w:cs="Arial"/>
        </w:rPr>
        <w:t xml:space="preserve">details the work </w:t>
      </w:r>
      <w:r w:rsidR="008053F1" w:rsidRPr="00AC5E4E">
        <w:rPr>
          <w:rFonts w:cs="Arial"/>
        </w:rPr>
        <w:t xml:space="preserve">accomplished to date </w:t>
      </w:r>
      <w:r w:rsidR="00C37EFB" w:rsidRPr="00AC5E4E">
        <w:rPr>
          <w:rFonts w:cs="Arial"/>
        </w:rPr>
        <w:t>in meeting the established timeline</w:t>
      </w:r>
      <w:r w:rsidR="0003429A" w:rsidRPr="00AC5E4E">
        <w:rPr>
          <w:rFonts w:cs="Arial"/>
        </w:rPr>
        <w:t xml:space="preserve"> and reflects that the CDE </w:t>
      </w:r>
      <w:r w:rsidR="00C863BE" w:rsidRPr="00AC5E4E">
        <w:rPr>
          <w:rFonts w:cs="Arial"/>
        </w:rPr>
        <w:t>is</w:t>
      </w:r>
      <w:r w:rsidR="0003429A" w:rsidRPr="00AC5E4E">
        <w:rPr>
          <w:rFonts w:cs="Arial"/>
        </w:rPr>
        <w:t xml:space="preserve"> </w:t>
      </w:r>
      <w:r w:rsidR="008053F1" w:rsidRPr="00AC5E4E">
        <w:rPr>
          <w:rFonts w:cs="Arial"/>
        </w:rPr>
        <w:t>on track to complet</w:t>
      </w:r>
      <w:r w:rsidR="00C863BE" w:rsidRPr="00AC5E4E">
        <w:rPr>
          <w:rFonts w:cs="Arial"/>
        </w:rPr>
        <w:t>e</w:t>
      </w:r>
      <w:r w:rsidR="00C37EFB" w:rsidRPr="00AC5E4E">
        <w:rPr>
          <w:rFonts w:cs="Arial"/>
        </w:rPr>
        <w:t xml:space="preserve"> </w:t>
      </w:r>
      <w:r w:rsidR="00C40F0C" w:rsidRPr="00AC5E4E">
        <w:rPr>
          <w:rFonts w:cs="Arial"/>
        </w:rPr>
        <w:t>most of</w:t>
      </w:r>
      <w:r w:rsidR="00C37EFB" w:rsidRPr="00AC5E4E">
        <w:rPr>
          <w:rFonts w:cs="Arial"/>
        </w:rPr>
        <w:t xml:space="preserve"> the proposed</w:t>
      </w:r>
      <w:r w:rsidRPr="00AC5E4E">
        <w:rPr>
          <w:rFonts w:cs="Arial"/>
        </w:rPr>
        <w:t xml:space="preserve"> measures</w:t>
      </w:r>
      <w:r w:rsidR="00C40F0C" w:rsidRPr="00AC5E4E">
        <w:rPr>
          <w:rFonts w:cs="Arial"/>
        </w:rPr>
        <w:t>.</w:t>
      </w:r>
      <w:r w:rsidR="0003429A" w:rsidRPr="00AC5E4E">
        <w:rPr>
          <w:rFonts w:cs="Arial"/>
        </w:rPr>
        <w:t xml:space="preserve"> </w:t>
      </w:r>
      <w:r w:rsidR="003F7997" w:rsidRPr="00AC5E4E">
        <w:rPr>
          <w:rFonts w:cs="Arial"/>
        </w:rPr>
        <w:t>A</w:t>
      </w:r>
      <w:r w:rsidR="0003429A" w:rsidRPr="00AC5E4E">
        <w:rPr>
          <w:rFonts w:cs="Arial"/>
        </w:rPr>
        <w:t xml:space="preserve">ttachment </w:t>
      </w:r>
      <w:r w:rsidR="00165B63" w:rsidRPr="00AC5E4E">
        <w:rPr>
          <w:rFonts w:cs="Arial"/>
        </w:rPr>
        <w:t>2</w:t>
      </w:r>
      <w:r w:rsidR="003F7997" w:rsidRPr="00AC5E4E">
        <w:rPr>
          <w:rFonts w:cs="Arial"/>
        </w:rPr>
        <w:t xml:space="preserve"> </w:t>
      </w:r>
      <w:r w:rsidR="0003429A" w:rsidRPr="00AC5E4E">
        <w:rPr>
          <w:rFonts w:cs="Arial"/>
        </w:rPr>
        <w:t xml:space="preserve">also identifies modified CCI measures that the Alternative Schools Task Force </w:t>
      </w:r>
      <w:r w:rsidR="00210C87">
        <w:rPr>
          <w:rFonts w:cs="Arial"/>
        </w:rPr>
        <w:t>is</w:t>
      </w:r>
      <w:r w:rsidRPr="00AC5E4E">
        <w:rPr>
          <w:rFonts w:cs="Arial"/>
        </w:rPr>
        <w:t xml:space="preserve"> considering</w:t>
      </w:r>
      <w:r w:rsidR="0003429A" w:rsidRPr="00AC5E4E">
        <w:rPr>
          <w:rFonts w:cs="Arial"/>
        </w:rPr>
        <w:t>.</w:t>
      </w:r>
    </w:p>
    <w:p w14:paraId="6B755D93" w14:textId="194DB863" w:rsidR="00D85DFE" w:rsidRPr="00AC5E4E" w:rsidRDefault="00D85DFE" w:rsidP="00983414">
      <w:pPr>
        <w:spacing w:after="240"/>
        <w:rPr>
          <w:rFonts w:cs="Arial"/>
          <w:color w:val="000000"/>
        </w:rPr>
      </w:pPr>
      <w:r w:rsidRPr="00AC5E4E">
        <w:t xml:space="preserve">In preparation for the 2018 Dashboard release, the CDE is developing a four-year graduation cohort report in the </w:t>
      </w:r>
      <w:r w:rsidRPr="00AC5E4E">
        <w:rPr>
          <w:rFonts w:cs="Arial"/>
          <w:color w:val="000000"/>
        </w:rPr>
        <w:t xml:space="preserve">California Longitudinal Pupil Achievement Data System. As a result, the CDE </w:t>
      </w:r>
      <w:r w:rsidRPr="00D048C7">
        <w:rPr>
          <w:rFonts w:cs="Arial"/>
          <w:color w:val="000000"/>
        </w:rPr>
        <w:t xml:space="preserve">will be able to </w:t>
      </w:r>
      <w:r w:rsidR="00E13C54" w:rsidRPr="00D048C7">
        <w:rPr>
          <w:rFonts w:cs="Arial"/>
          <w:color w:val="000000"/>
        </w:rPr>
        <w:t xml:space="preserve">use </w:t>
      </w:r>
      <w:r w:rsidRPr="00D048C7">
        <w:rPr>
          <w:rFonts w:cs="Arial"/>
          <w:color w:val="000000"/>
        </w:rPr>
        <w:t xml:space="preserve">the </w:t>
      </w:r>
      <w:r w:rsidRPr="00D048C7">
        <w:rPr>
          <w:rFonts w:cs="Arial"/>
          <w:b/>
          <w:color w:val="000000"/>
        </w:rPr>
        <w:t xml:space="preserve">most current </w:t>
      </w:r>
      <w:r w:rsidRPr="00D048C7">
        <w:rPr>
          <w:rFonts w:cs="Arial"/>
          <w:color w:val="000000"/>
        </w:rPr>
        <w:t>years of graduation cohort data</w:t>
      </w:r>
      <w:r w:rsidRPr="00AC5E4E">
        <w:rPr>
          <w:rFonts w:cs="Arial"/>
          <w:color w:val="000000"/>
        </w:rPr>
        <w:t xml:space="preserve"> in the calculation of the CCI and Graduation Rate Indicator</w:t>
      </w:r>
      <w:r w:rsidR="00E879A6" w:rsidRPr="00AC5E4E">
        <w:rPr>
          <w:rFonts w:cs="Arial"/>
          <w:color w:val="000000"/>
        </w:rPr>
        <w:t>.</w:t>
      </w:r>
      <w:r w:rsidRPr="00AC5E4E">
        <w:rPr>
          <w:rFonts w:cs="Arial"/>
          <w:color w:val="000000"/>
        </w:rPr>
        <w:t xml:space="preserve"> </w:t>
      </w:r>
      <w:r w:rsidR="00E879A6" w:rsidRPr="00AC5E4E">
        <w:rPr>
          <w:rFonts w:cs="Arial"/>
          <w:color w:val="000000"/>
        </w:rPr>
        <w:t xml:space="preserve">Following </w:t>
      </w:r>
      <w:r w:rsidR="00E879A6" w:rsidRPr="00D048C7">
        <w:rPr>
          <w:rFonts w:cs="Arial"/>
          <w:color w:val="000000"/>
        </w:rPr>
        <w:t>t</w:t>
      </w:r>
      <w:r w:rsidRPr="00D048C7">
        <w:rPr>
          <w:rFonts w:cs="Arial"/>
          <w:color w:val="000000"/>
        </w:rPr>
        <w:t>he SBE approv</w:t>
      </w:r>
      <w:r w:rsidR="00E879A6" w:rsidRPr="00D048C7">
        <w:rPr>
          <w:rFonts w:cs="Arial"/>
          <w:color w:val="000000"/>
        </w:rPr>
        <w:t xml:space="preserve">al of </w:t>
      </w:r>
      <w:r w:rsidRPr="00D048C7">
        <w:rPr>
          <w:rFonts w:cs="Arial"/>
          <w:color w:val="000000"/>
        </w:rPr>
        <w:t>the Change cut scores for the CCI</w:t>
      </w:r>
      <w:r w:rsidR="00E879A6" w:rsidRPr="00D048C7">
        <w:rPr>
          <w:rFonts w:cs="Arial"/>
          <w:color w:val="000000"/>
        </w:rPr>
        <w:t xml:space="preserve"> in fall 2018</w:t>
      </w:r>
      <w:r w:rsidRPr="00D048C7">
        <w:rPr>
          <w:rFonts w:cs="Arial"/>
          <w:color w:val="000000"/>
        </w:rPr>
        <w:t>, the 2018 Dashboard will report Status (Class of 2018)</w:t>
      </w:r>
      <w:r w:rsidR="00E13C54" w:rsidRPr="00D048C7">
        <w:rPr>
          <w:rFonts w:cs="Arial"/>
          <w:color w:val="000000"/>
        </w:rPr>
        <w:t xml:space="preserve"> and</w:t>
      </w:r>
      <w:r w:rsidRPr="00D048C7">
        <w:rPr>
          <w:rFonts w:cs="Arial"/>
          <w:color w:val="000000"/>
        </w:rPr>
        <w:t xml:space="preserve"> Change</w:t>
      </w:r>
      <w:r w:rsidR="00E13C54" w:rsidRPr="00D048C7">
        <w:rPr>
          <w:rFonts w:cs="Arial"/>
          <w:color w:val="000000"/>
        </w:rPr>
        <w:t xml:space="preserve">, which will be the </w:t>
      </w:r>
      <w:r w:rsidRPr="00D048C7">
        <w:rPr>
          <w:rFonts w:cs="Arial"/>
          <w:color w:val="000000"/>
        </w:rPr>
        <w:t>difference between the Class of 2018 and Class of 2017. It will also report performance levels (colors) for the first time.</w:t>
      </w:r>
    </w:p>
    <w:p w14:paraId="748D2374" w14:textId="15D8699B" w:rsidR="00640612" w:rsidRPr="00D048C7" w:rsidRDefault="007024D8" w:rsidP="00983414">
      <w:pPr>
        <w:spacing w:after="240"/>
        <w:rPr>
          <w:rFonts w:cs="Arial"/>
          <w:color w:val="000000"/>
        </w:rPr>
      </w:pPr>
      <w:r>
        <w:rPr>
          <w:rFonts w:cs="Arial"/>
          <w:color w:val="000000"/>
        </w:rPr>
        <w:t>Per the three-</w:t>
      </w:r>
      <w:r w:rsidR="00E879A6" w:rsidRPr="00D048C7">
        <w:rPr>
          <w:rFonts w:cs="Arial"/>
          <w:color w:val="000000"/>
        </w:rPr>
        <w:t xml:space="preserve">year </w:t>
      </w:r>
      <w:r w:rsidR="00D2368F">
        <w:rPr>
          <w:rFonts w:cs="Arial"/>
          <w:color w:val="000000"/>
        </w:rPr>
        <w:t xml:space="preserve">work </w:t>
      </w:r>
      <w:r w:rsidR="00E879A6" w:rsidRPr="00D048C7">
        <w:rPr>
          <w:rFonts w:cs="Arial"/>
          <w:color w:val="000000"/>
        </w:rPr>
        <w:t>plan, t</w:t>
      </w:r>
      <w:r w:rsidR="00640612" w:rsidRPr="00D048C7">
        <w:rPr>
          <w:rFonts w:cs="Arial"/>
          <w:color w:val="000000"/>
        </w:rPr>
        <w:t>h</w:t>
      </w:r>
      <w:r w:rsidR="00E879A6" w:rsidRPr="00D048C7">
        <w:rPr>
          <w:rFonts w:cs="Arial"/>
          <w:color w:val="000000"/>
        </w:rPr>
        <w:t xml:space="preserve">ese </w:t>
      </w:r>
      <w:r w:rsidR="00640612" w:rsidRPr="00D048C7">
        <w:rPr>
          <w:rFonts w:cs="Arial"/>
          <w:color w:val="000000"/>
        </w:rPr>
        <w:t xml:space="preserve">new career measures </w:t>
      </w:r>
      <w:r w:rsidR="00E879A6" w:rsidRPr="00D048C7">
        <w:rPr>
          <w:rFonts w:cs="Arial"/>
          <w:color w:val="000000"/>
        </w:rPr>
        <w:t xml:space="preserve">will be </w:t>
      </w:r>
      <w:r w:rsidR="00E13C54" w:rsidRPr="00D048C7">
        <w:rPr>
          <w:rFonts w:cs="Arial"/>
          <w:color w:val="000000"/>
        </w:rPr>
        <w:t>incorporat</w:t>
      </w:r>
      <w:r w:rsidR="00E879A6" w:rsidRPr="00D048C7">
        <w:rPr>
          <w:rFonts w:cs="Arial"/>
          <w:color w:val="000000"/>
        </w:rPr>
        <w:t>ed</w:t>
      </w:r>
      <w:r w:rsidR="00E13C54" w:rsidRPr="00D048C7">
        <w:rPr>
          <w:rFonts w:cs="Arial"/>
          <w:color w:val="000000"/>
        </w:rPr>
        <w:t xml:space="preserve"> </w:t>
      </w:r>
      <w:r w:rsidR="00841620" w:rsidRPr="00D048C7">
        <w:rPr>
          <w:rFonts w:cs="Arial"/>
          <w:color w:val="000000"/>
        </w:rPr>
        <w:t>in the CCI for the 2018 Dashboard</w:t>
      </w:r>
      <w:r w:rsidR="00E879A6" w:rsidRPr="00D048C7">
        <w:rPr>
          <w:rFonts w:cs="Arial"/>
          <w:color w:val="000000"/>
        </w:rPr>
        <w:t xml:space="preserve"> for the Class of 2017</w:t>
      </w:r>
      <w:r w:rsidR="00640612" w:rsidRPr="00D048C7">
        <w:rPr>
          <w:rFonts w:cs="Arial"/>
          <w:color w:val="000000"/>
        </w:rPr>
        <w:t>:</w:t>
      </w:r>
    </w:p>
    <w:p w14:paraId="7D6823BA" w14:textId="4889F8C3" w:rsidR="00640612" w:rsidRPr="00D048C7" w:rsidRDefault="00640612" w:rsidP="00640612">
      <w:pPr>
        <w:pStyle w:val="ListParagraph"/>
        <w:numPr>
          <w:ilvl w:val="0"/>
          <w:numId w:val="32"/>
        </w:numPr>
        <w:rPr>
          <w:rFonts w:cs="Arial"/>
          <w:bCs/>
        </w:rPr>
      </w:pPr>
      <w:r w:rsidRPr="00D048C7">
        <w:rPr>
          <w:rFonts w:cs="Arial"/>
          <w:bCs/>
        </w:rPr>
        <w:t xml:space="preserve">Articulated CTE Courses </w:t>
      </w:r>
    </w:p>
    <w:p w14:paraId="7DF1D01B" w14:textId="7019383D" w:rsidR="00640612" w:rsidRPr="00D048C7" w:rsidRDefault="00640612" w:rsidP="00640612">
      <w:pPr>
        <w:pStyle w:val="ListParagraph"/>
        <w:numPr>
          <w:ilvl w:val="0"/>
          <w:numId w:val="18"/>
        </w:numPr>
        <w:rPr>
          <w:rFonts w:cs="Arial"/>
          <w:bCs/>
        </w:rPr>
      </w:pPr>
      <w:r w:rsidRPr="00D048C7">
        <w:rPr>
          <w:rFonts w:cs="Arial"/>
        </w:rPr>
        <w:t xml:space="preserve">State Seal of </w:t>
      </w:r>
      <w:proofErr w:type="spellStart"/>
      <w:r w:rsidRPr="00D048C7">
        <w:rPr>
          <w:rFonts w:cs="Arial"/>
        </w:rPr>
        <w:t>Biliteracy</w:t>
      </w:r>
      <w:proofErr w:type="spellEnd"/>
      <w:r w:rsidRPr="00D048C7">
        <w:rPr>
          <w:rFonts w:cs="Arial"/>
        </w:rPr>
        <w:t xml:space="preserve"> </w:t>
      </w:r>
    </w:p>
    <w:p w14:paraId="460188A3" w14:textId="3F39705F" w:rsidR="00640612" w:rsidRPr="00983414" w:rsidRDefault="00640612" w:rsidP="00983414">
      <w:pPr>
        <w:pStyle w:val="ListParagraph"/>
        <w:numPr>
          <w:ilvl w:val="0"/>
          <w:numId w:val="18"/>
        </w:numPr>
        <w:spacing w:after="240"/>
        <w:rPr>
          <w:rFonts w:cs="Arial"/>
          <w:color w:val="000000"/>
        </w:rPr>
      </w:pPr>
      <w:r w:rsidRPr="00983414">
        <w:rPr>
          <w:color w:val="000000"/>
          <w:lang w:val="en"/>
        </w:rPr>
        <w:t>Golden State Seal Merit Diploma</w:t>
      </w:r>
    </w:p>
    <w:p w14:paraId="7C772575" w14:textId="6289B4CC" w:rsidR="00D42168" w:rsidRPr="00AC5E4E" w:rsidRDefault="00C34DA1" w:rsidP="00210C87">
      <w:pPr>
        <w:spacing w:after="240"/>
      </w:pPr>
      <w:r w:rsidRPr="00D048C7">
        <w:rPr>
          <w:rFonts w:cs="Arial"/>
          <w:color w:val="000000"/>
        </w:rPr>
        <w:t>T</w:t>
      </w:r>
      <w:r w:rsidR="00640612" w:rsidRPr="00D048C7">
        <w:rPr>
          <w:rFonts w:cs="Arial"/>
          <w:color w:val="000000"/>
        </w:rPr>
        <w:t xml:space="preserve">he CDE will run simulations on these new career measures for the </w:t>
      </w:r>
      <w:r w:rsidRPr="00D048C7">
        <w:rPr>
          <w:rFonts w:cs="Arial"/>
          <w:color w:val="000000"/>
        </w:rPr>
        <w:t xml:space="preserve">Class of 2017 for the </w:t>
      </w:r>
      <w:r w:rsidR="00640612" w:rsidRPr="00D048C7">
        <w:rPr>
          <w:rFonts w:cs="Arial"/>
        </w:rPr>
        <w:t>CCI Work Group</w:t>
      </w:r>
      <w:r w:rsidR="00640612" w:rsidRPr="00D048C7">
        <w:rPr>
          <w:rFonts w:cs="Arial"/>
          <w:color w:val="000000"/>
        </w:rPr>
        <w:t xml:space="preserve"> to review</w:t>
      </w:r>
      <w:r w:rsidR="00E879A6" w:rsidRPr="00D048C7">
        <w:rPr>
          <w:rFonts w:cs="Arial"/>
          <w:color w:val="000000"/>
        </w:rPr>
        <w:t xml:space="preserve"> prior to SBE action.</w:t>
      </w:r>
    </w:p>
    <w:p w14:paraId="01E4E7BB" w14:textId="77777777" w:rsidR="009A1635" w:rsidRPr="00AC5E4E" w:rsidRDefault="009A1635" w:rsidP="006612E9">
      <w:pPr>
        <w:pStyle w:val="Heading2"/>
        <w:spacing w:before="240" w:after="0" w:line="360" w:lineRule="auto"/>
        <w:rPr>
          <w:sz w:val="36"/>
        </w:rPr>
      </w:pPr>
      <w:r w:rsidRPr="00AC5E4E">
        <w:rPr>
          <w:sz w:val="36"/>
        </w:rPr>
        <w:t>Attachment(s)</w:t>
      </w:r>
    </w:p>
    <w:p w14:paraId="4294A213" w14:textId="02724162" w:rsidR="007024D8" w:rsidRPr="00AC5E4E" w:rsidRDefault="00EF4C29" w:rsidP="00EF4C29">
      <w:pPr>
        <w:pStyle w:val="ListParagraph"/>
        <w:numPr>
          <w:ilvl w:val="0"/>
          <w:numId w:val="37"/>
        </w:numPr>
        <w:spacing w:after="240"/>
        <w:contextualSpacing w:val="0"/>
      </w:pPr>
      <w:r>
        <w:t xml:space="preserve">Attachment 1: </w:t>
      </w:r>
      <w:r w:rsidR="00EB3339" w:rsidRPr="00AC5E4E">
        <w:t xml:space="preserve">Background on the College/Career Indicator </w:t>
      </w:r>
      <w:r w:rsidR="006B617B" w:rsidRPr="00AC5E4E">
        <w:t>(</w:t>
      </w:r>
      <w:r w:rsidR="00165B63" w:rsidRPr="00AC5E4E">
        <w:t>5</w:t>
      </w:r>
      <w:r w:rsidR="00FE25FC" w:rsidRPr="00AC5E4E">
        <w:t xml:space="preserve"> P</w:t>
      </w:r>
      <w:r w:rsidR="006B617B" w:rsidRPr="00AC5E4E">
        <w:t>ages)</w:t>
      </w:r>
    </w:p>
    <w:p w14:paraId="5B1A8300" w14:textId="05E3DC6F" w:rsidR="007024D8" w:rsidRPr="00EF4C29" w:rsidRDefault="00EB3339" w:rsidP="00EF4C29">
      <w:pPr>
        <w:pStyle w:val="ListParagraph"/>
        <w:numPr>
          <w:ilvl w:val="0"/>
          <w:numId w:val="37"/>
        </w:numPr>
        <w:spacing w:after="240"/>
        <w:contextualSpacing w:val="0"/>
        <w:rPr>
          <w:rFonts w:cs="Arial"/>
        </w:rPr>
      </w:pPr>
      <w:r w:rsidRPr="00AC5E4E">
        <w:t xml:space="preserve">Attachment 2: </w:t>
      </w:r>
      <w:r w:rsidR="009A1635" w:rsidRPr="00AC5E4E">
        <w:t>Development of C</w:t>
      </w:r>
      <w:r w:rsidR="009A1635" w:rsidRPr="00EF4C29">
        <w:rPr>
          <w:rFonts w:cs="Arial"/>
        </w:rPr>
        <w:t>areer Measures for the College/Career Indicator</w:t>
      </w:r>
      <w:r w:rsidR="007024D8" w:rsidRPr="00EF4C29">
        <w:rPr>
          <w:rFonts w:cs="Arial"/>
        </w:rPr>
        <w:t xml:space="preserve"> </w:t>
      </w:r>
      <w:r w:rsidR="006B617B" w:rsidRPr="00EF4C29">
        <w:rPr>
          <w:rFonts w:cs="Arial"/>
        </w:rPr>
        <w:t>(</w:t>
      </w:r>
      <w:r w:rsidR="007024D8" w:rsidRPr="00EF4C29">
        <w:rPr>
          <w:rFonts w:cs="Arial"/>
        </w:rPr>
        <w:t>7</w:t>
      </w:r>
      <w:r w:rsidR="00FE25FC" w:rsidRPr="00EF4C29">
        <w:rPr>
          <w:rFonts w:cs="Arial"/>
        </w:rPr>
        <w:t xml:space="preserve"> P</w:t>
      </w:r>
      <w:r w:rsidR="006B617B" w:rsidRPr="00EF4C29">
        <w:rPr>
          <w:rFonts w:cs="Arial"/>
        </w:rPr>
        <w:t>ages)</w:t>
      </w:r>
    </w:p>
    <w:p w14:paraId="41E58B75" w14:textId="44C7A011" w:rsidR="00AC122A" w:rsidRPr="00EF4C29" w:rsidRDefault="009A1635" w:rsidP="00EF4C29">
      <w:pPr>
        <w:pStyle w:val="ListParagraph"/>
        <w:numPr>
          <w:ilvl w:val="0"/>
          <w:numId w:val="37"/>
        </w:numPr>
        <w:spacing w:after="240"/>
        <w:contextualSpacing w:val="0"/>
        <w:rPr>
          <w:rFonts w:cs="Arial"/>
        </w:rPr>
      </w:pPr>
      <w:r w:rsidRPr="00EF4C29">
        <w:rPr>
          <w:rFonts w:cs="Arial"/>
        </w:rPr>
        <w:t xml:space="preserve">Attachment </w:t>
      </w:r>
      <w:r w:rsidR="00D42168" w:rsidRPr="00EF4C29">
        <w:rPr>
          <w:rFonts w:cs="Arial"/>
        </w:rPr>
        <w:t>3</w:t>
      </w:r>
      <w:r w:rsidRPr="00EF4C29">
        <w:rPr>
          <w:rFonts w:cs="Arial"/>
        </w:rPr>
        <w:t xml:space="preserve">: Performance Comparisons </w:t>
      </w:r>
      <w:r w:rsidR="00DA4E95" w:rsidRPr="00EF4C29">
        <w:rPr>
          <w:rFonts w:cs="Arial"/>
        </w:rPr>
        <w:t>for</w:t>
      </w:r>
      <w:r w:rsidRPr="00EF4C29">
        <w:rPr>
          <w:rFonts w:cs="Arial"/>
        </w:rPr>
        <w:t xml:space="preserve"> </w:t>
      </w:r>
      <w:r w:rsidR="00373FBD" w:rsidRPr="00EF4C29">
        <w:rPr>
          <w:rFonts w:cs="Arial"/>
        </w:rPr>
        <w:t>College/Career Indicator</w:t>
      </w:r>
      <w:r w:rsidRPr="00EF4C29">
        <w:rPr>
          <w:rFonts w:cs="Arial"/>
        </w:rPr>
        <w:t xml:space="preserve"> Academic Measures</w:t>
      </w:r>
      <w:r w:rsidR="006B617B" w:rsidRPr="00EF4C29">
        <w:rPr>
          <w:rFonts w:cs="Arial"/>
        </w:rPr>
        <w:t xml:space="preserve"> (</w:t>
      </w:r>
      <w:r w:rsidR="00FE25FC" w:rsidRPr="00EF4C29">
        <w:rPr>
          <w:rFonts w:cs="Arial"/>
        </w:rPr>
        <w:t>4</w:t>
      </w:r>
      <w:r w:rsidR="006B617B" w:rsidRPr="00EF4C29">
        <w:rPr>
          <w:rFonts w:cs="Arial"/>
        </w:rPr>
        <w:t xml:space="preserve"> </w:t>
      </w:r>
      <w:r w:rsidR="00FE25FC" w:rsidRPr="00EF4C29">
        <w:rPr>
          <w:rFonts w:cs="Arial"/>
        </w:rPr>
        <w:t>P</w:t>
      </w:r>
      <w:r w:rsidR="006B617B" w:rsidRPr="00EF4C29">
        <w:rPr>
          <w:rFonts w:cs="Arial"/>
        </w:rPr>
        <w:t>ages)</w:t>
      </w:r>
    </w:p>
    <w:p w14:paraId="1C951597" w14:textId="5A31E7D9" w:rsidR="00AC122A" w:rsidRPr="00EF4C29" w:rsidRDefault="00AC122A" w:rsidP="00EF4C29">
      <w:pPr>
        <w:pStyle w:val="ListParagraph"/>
        <w:numPr>
          <w:ilvl w:val="0"/>
          <w:numId w:val="37"/>
        </w:numPr>
        <w:spacing w:after="240"/>
        <w:contextualSpacing w:val="0"/>
        <w:rPr>
          <w:rFonts w:cs="Arial"/>
        </w:rPr>
        <w:sectPr w:rsidR="00AC122A" w:rsidRPr="00EF4C29" w:rsidSect="00057A96">
          <w:type w:val="continuous"/>
          <w:pgSz w:w="12240" w:h="15840"/>
          <w:pgMar w:top="720" w:right="1440" w:bottom="1440" w:left="1440" w:header="720" w:footer="720" w:gutter="0"/>
          <w:cols w:space="720"/>
        </w:sectPr>
      </w:pPr>
      <w:r w:rsidRPr="00EF4C29">
        <w:rPr>
          <w:rFonts w:cs="Arial"/>
        </w:rPr>
        <w:t>Appendix A: Detailed Description of the College/Career Indicator Flyer</w:t>
      </w:r>
      <w:r w:rsidR="004B2006" w:rsidRPr="00EF4C29">
        <w:rPr>
          <w:rFonts w:cs="Arial"/>
        </w:rPr>
        <w:t xml:space="preserve">—to </w:t>
      </w:r>
      <w:r w:rsidR="00106EBA" w:rsidRPr="00EF4C29">
        <w:rPr>
          <w:rFonts w:cs="Arial"/>
        </w:rPr>
        <w:t xml:space="preserve">meet </w:t>
      </w:r>
      <w:r w:rsidR="004B2006" w:rsidRPr="00EF4C29">
        <w:rPr>
          <w:rFonts w:cs="Arial"/>
        </w:rPr>
        <w:t>Section 508 of the federal Rehabilitation Act of 1973</w:t>
      </w:r>
      <w:r w:rsidR="004B2006">
        <w:t xml:space="preserve"> requirements</w:t>
      </w:r>
      <w:r w:rsidRPr="00EF4C29">
        <w:rPr>
          <w:rFonts w:cs="Arial"/>
        </w:rPr>
        <w:t xml:space="preserve"> (2 Pages)</w:t>
      </w:r>
    </w:p>
    <w:p w14:paraId="453296BE" w14:textId="7442EE3E" w:rsidR="005C127C" w:rsidRPr="00EF4C29" w:rsidRDefault="00804FD5" w:rsidP="00EF4C29">
      <w:pPr>
        <w:pStyle w:val="Heading1"/>
        <w:spacing w:before="0" w:after="240"/>
        <w:jc w:val="center"/>
        <w:rPr>
          <w:rFonts w:ascii="Arial" w:hAnsi="Arial" w:cs="Arial"/>
          <w:b/>
          <w:color w:val="auto"/>
          <w:sz w:val="40"/>
        </w:rPr>
      </w:pPr>
      <w:r w:rsidRPr="007024D8">
        <w:rPr>
          <w:rFonts w:ascii="Arial" w:hAnsi="Arial" w:cs="Arial"/>
          <w:b/>
          <w:color w:val="auto"/>
          <w:sz w:val="40"/>
        </w:rPr>
        <w:lastRenderedPageBreak/>
        <w:t>Attachment 1: Background on the</w:t>
      </w:r>
      <w:r w:rsidR="007024D8" w:rsidRPr="007024D8">
        <w:rPr>
          <w:rFonts w:ascii="Arial" w:hAnsi="Arial" w:cs="Arial"/>
          <w:b/>
          <w:color w:val="auto"/>
          <w:sz w:val="40"/>
        </w:rPr>
        <w:t xml:space="preserve"> </w:t>
      </w:r>
      <w:r w:rsidRPr="007024D8">
        <w:rPr>
          <w:rFonts w:ascii="Arial" w:hAnsi="Arial" w:cs="Arial"/>
          <w:b/>
          <w:color w:val="auto"/>
          <w:sz w:val="40"/>
        </w:rPr>
        <w:t>College/Career Indicator</w:t>
      </w:r>
    </w:p>
    <w:p w14:paraId="305A1C69" w14:textId="5C397DC3" w:rsidR="00F379E2" w:rsidRPr="00AC5E4E" w:rsidRDefault="00F379E2" w:rsidP="004340FE">
      <w:pPr>
        <w:pStyle w:val="BodyText"/>
        <w:spacing w:after="240"/>
      </w:pPr>
      <w:r w:rsidRPr="00AC5E4E">
        <w:t>The College/Career Indicator (CCI</w:t>
      </w:r>
      <w:r w:rsidR="005229B8" w:rsidRPr="00AC5E4E">
        <w:t xml:space="preserve">) is one of </w:t>
      </w:r>
      <w:r w:rsidRPr="00AC5E4E">
        <w:t xml:space="preserve">six state indicators reported on the California School Dashboard (Dashboard) </w:t>
      </w:r>
      <w:r w:rsidR="005229B8" w:rsidRPr="00AC5E4E">
        <w:t xml:space="preserve">and was </w:t>
      </w:r>
      <w:r w:rsidRPr="00AC5E4E">
        <w:t>designed to be an accountability indicator for local educational agencies (LEAs) and schools. LEAs and schools will receive a CCI report, but students will not receive their own in</w:t>
      </w:r>
      <w:r w:rsidR="004340FE">
        <w:t>dividual college/career status.</w:t>
      </w:r>
    </w:p>
    <w:p w14:paraId="11F10B50" w14:textId="249A8473" w:rsidR="005229B8" w:rsidRPr="00AC5E4E" w:rsidRDefault="00804FD5" w:rsidP="004340FE">
      <w:pPr>
        <w:pStyle w:val="BodyText"/>
        <w:spacing w:after="240"/>
        <w:rPr>
          <w:rFonts w:cs="Arial"/>
        </w:rPr>
      </w:pPr>
      <w:r w:rsidRPr="00AC5E4E">
        <w:rPr>
          <w:rFonts w:cs="Arial"/>
        </w:rPr>
        <w:t>The goal of the CCI is to emphasize that a high school diploma represents the completion of a broad and rigorous course of study that prepares students for success after high school. Recognizing that students pursue various options to prepare for success after high school, the model relies on both test results and course completion and allows for fair compariso</w:t>
      </w:r>
      <w:r w:rsidR="004340FE">
        <w:rPr>
          <w:rFonts w:cs="Arial"/>
        </w:rPr>
        <w:t>ns across all LEAs and schools.</w:t>
      </w:r>
    </w:p>
    <w:p w14:paraId="5C9D1E2F" w14:textId="56D7E4C0" w:rsidR="00804FD5" w:rsidRPr="00AC5E4E" w:rsidRDefault="005229B8" w:rsidP="004340FE">
      <w:pPr>
        <w:pStyle w:val="BodyText"/>
        <w:shd w:val="clear" w:color="auto" w:fill="FFFFFF"/>
        <w:spacing w:after="240"/>
        <w:rPr>
          <w:rStyle w:val="normalchar1"/>
        </w:rPr>
      </w:pPr>
      <w:r w:rsidRPr="00AC5E4E">
        <w:rPr>
          <w:rFonts w:cs="Arial"/>
          <w:color w:val="000000"/>
        </w:rPr>
        <w:t>The CCI was originally adopted by the State Board of Education (SBE) in July 2016 (</w:t>
      </w:r>
      <w:hyperlink r:id="rId14" w:tooltip="California State Board Agenda" w:history="1">
        <w:r w:rsidRPr="00AC5E4E">
          <w:rPr>
            <w:rStyle w:val="Hyperlink"/>
            <w:rFonts w:cs="Arial"/>
          </w:rPr>
          <w:t>https://www.cde.ca.gov/be/ag/ag/yr16/documents/jul16item02.doc</w:t>
        </w:r>
      </w:hyperlink>
      <w:r w:rsidRPr="00AC5E4E">
        <w:rPr>
          <w:rFonts w:cs="Arial"/>
          <w:color w:val="000000"/>
        </w:rPr>
        <w:t>). Performance levels (colors) will be reported for the first time in the 2018 Dashboard</w:t>
      </w:r>
      <w:r w:rsidR="00D85DFE" w:rsidRPr="00AC5E4E">
        <w:rPr>
          <w:rFonts w:cs="Arial"/>
          <w:color w:val="000000"/>
        </w:rPr>
        <w:t xml:space="preserve"> after the SBE adopts the C</w:t>
      </w:r>
      <w:r w:rsidRPr="00AC5E4E">
        <w:rPr>
          <w:rFonts w:cs="Arial"/>
          <w:color w:val="000000"/>
        </w:rPr>
        <w:t>hange cut scores.</w:t>
      </w:r>
    </w:p>
    <w:p w14:paraId="1BEE6EA5" w14:textId="681E426A" w:rsidR="00A63443" w:rsidRPr="00AC5E4E" w:rsidRDefault="00A63443" w:rsidP="00A63443">
      <w:pPr>
        <w:spacing w:after="240"/>
        <w:rPr>
          <w:rFonts w:cs="Arial"/>
        </w:rPr>
      </w:pPr>
      <w:r w:rsidRPr="00D048C7">
        <w:t xml:space="preserve">The CCI currently consists of six college and career measures. </w:t>
      </w:r>
      <w:r w:rsidRPr="00AC5E4E">
        <w:t xml:space="preserve">The criteria required for the </w:t>
      </w:r>
      <w:r w:rsidR="00D05E83">
        <w:t>“</w:t>
      </w:r>
      <w:r w:rsidRPr="00AC5E4E">
        <w:t>Prepared</w:t>
      </w:r>
      <w:r w:rsidR="00D05E83">
        <w:t>”</w:t>
      </w:r>
      <w:r w:rsidRPr="00AC5E4E">
        <w:t xml:space="preserve"> and </w:t>
      </w:r>
      <w:r w:rsidR="00D05E83">
        <w:t>“</w:t>
      </w:r>
      <w:r w:rsidRPr="00AC5E4E">
        <w:t>Approaching Prepared</w:t>
      </w:r>
      <w:r w:rsidR="00D05E83">
        <w:t>”</w:t>
      </w:r>
      <w:r w:rsidRPr="00AC5E4E">
        <w:t xml:space="preserve"> levels are provided on CCI one-page flyer included in page 2 of this </w:t>
      </w:r>
      <w:r w:rsidR="006978AC">
        <w:t>Information M</w:t>
      </w:r>
      <w:r w:rsidRPr="00AC5E4E">
        <w:t xml:space="preserve">emorandum. As depicted in the flyer, several of the criteria for the “Prepared” level requires </w:t>
      </w:r>
      <w:r w:rsidR="00194F5C">
        <w:t>graduates</w:t>
      </w:r>
      <w:r w:rsidRPr="00AC5E4E">
        <w:t xml:space="preserve"> to meet </w:t>
      </w:r>
      <w:r w:rsidRPr="004B2006">
        <w:rPr>
          <w:b/>
        </w:rPr>
        <w:t>more than one</w:t>
      </w:r>
      <w:r w:rsidRPr="00AC5E4E">
        <w:t xml:space="preserve"> of the six measures</w:t>
      </w:r>
      <w:r w:rsidR="004B2006">
        <w:t>. For example, if a student scores a level 2 on one of the Smarter Balanced Assessments he/she must also meet another criterion, such as completion of a-g courses, to be classified as “Prepared.” The six measures used to calculate the CCI are:</w:t>
      </w:r>
    </w:p>
    <w:p w14:paraId="2517630B" w14:textId="77777777" w:rsidR="00A63443" w:rsidRPr="004340FE" w:rsidRDefault="00A63443" w:rsidP="00A63443">
      <w:pPr>
        <w:pStyle w:val="ListParagraph"/>
        <w:numPr>
          <w:ilvl w:val="0"/>
          <w:numId w:val="31"/>
        </w:numPr>
        <w:spacing w:after="240"/>
        <w:contextualSpacing w:val="0"/>
        <w:rPr>
          <w:rFonts w:cs="Arial"/>
        </w:rPr>
      </w:pPr>
      <w:r w:rsidRPr="004340FE">
        <w:rPr>
          <w:rFonts w:cs="Arial"/>
          <w:b/>
        </w:rPr>
        <w:t>Career Technical Education (CTE) Pathway Completion</w:t>
      </w:r>
      <w:r w:rsidRPr="004340FE">
        <w:rPr>
          <w:rFonts w:cs="Arial"/>
        </w:rPr>
        <w:t>: Completion of a sequence of CTE courses totaling at least 300 hours and completion of a capstone course with a grade of C minus or better.</w:t>
      </w:r>
    </w:p>
    <w:p w14:paraId="0D3F7231" w14:textId="3220D838" w:rsidR="00A63443" w:rsidRPr="004340FE" w:rsidRDefault="00A63443" w:rsidP="00A63443">
      <w:pPr>
        <w:pStyle w:val="ListParagraph"/>
        <w:numPr>
          <w:ilvl w:val="0"/>
          <w:numId w:val="31"/>
        </w:numPr>
        <w:spacing w:after="240"/>
        <w:contextualSpacing w:val="0"/>
        <w:rPr>
          <w:rFonts w:cs="Arial"/>
        </w:rPr>
      </w:pPr>
      <w:r w:rsidRPr="004340FE">
        <w:rPr>
          <w:rFonts w:cs="Arial"/>
        </w:rPr>
        <w:t xml:space="preserve">Completion of courses that meet the University of California and the California State University </w:t>
      </w:r>
      <w:r w:rsidRPr="004340FE">
        <w:rPr>
          <w:rFonts w:cs="Arial"/>
          <w:b/>
        </w:rPr>
        <w:t>“a-g” requirements</w:t>
      </w:r>
      <w:r w:rsidR="00194F5C">
        <w:rPr>
          <w:rFonts w:cs="Arial"/>
        </w:rPr>
        <w:t>.</w:t>
      </w:r>
    </w:p>
    <w:p w14:paraId="560C896E" w14:textId="24A3EC40" w:rsidR="00A63443" w:rsidRPr="004340FE" w:rsidRDefault="00A63443" w:rsidP="00A63443">
      <w:pPr>
        <w:pStyle w:val="ListParagraph"/>
        <w:numPr>
          <w:ilvl w:val="0"/>
          <w:numId w:val="31"/>
        </w:numPr>
        <w:spacing w:after="240"/>
        <w:contextualSpacing w:val="0"/>
        <w:rPr>
          <w:rFonts w:cs="Arial"/>
        </w:rPr>
      </w:pPr>
      <w:r w:rsidRPr="004340FE">
        <w:rPr>
          <w:rFonts w:cs="Arial"/>
          <w:b/>
        </w:rPr>
        <w:t xml:space="preserve">Smarter Balanced Summative Assessments </w:t>
      </w:r>
      <w:r w:rsidRPr="00A63443">
        <w:rPr>
          <w:rFonts w:cs="Arial"/>
        </w:rPr>
        <w:t>for English language arts/literacy (ELA) and mathematics</w:t>
      </w:r>
      <w:r>
        <w:rPr>
          <w:rFonts w:cs="Arial"/>
        </w:rPr>
        <w:t>.</w:t>
      </w:r>
      <w:r w:rsidRPr="004340FE">
        <w:rPr>
          <w:rFonts w:cs="Arial"/>
        </w:rPr>
        <w:t xml:space="preserve"> </w:t>
      </w:r>
    </w:p>
    <w:p w14:paraId="3A0133AD" w14:textId="77777777" w:rsidR="00A63443" w:rsidRPr="004340FE" w:rsidRDefault="00A63443" w:rsidP="00A63443">
      <w:pPr>
        <w:pStyle w:val="ListParagraph"/>
        <w:numPr>
          <w:ilvl w:val="0"/>
          <w:numId w:val="31"/>
        </w:numPr>
        <w:spacing w:after="240"/>
        <w:contextualSpacing w:val="0"/>
        <w:rPr>
          <w:rFonts w:cs="Arial"/>
        </w:rPr>
      </w:pPr>
      <w:r w:rsidRPr="004340FE">
        <w:rPr>
          <w:rFonts w:cs="Arial"/>
          <w:b/>
        </w:rPr>
        <w:t>Advanced Placement (AP) Exam</w:t>
      </w:r>
      <w:r w:rsidRPr="004340FE">
        <w:rPr>
          <w:rFonts w:cs="Arial"/>
        </w:rPr>
        <w:t>: Pass with a score of 3 or higher. (Note: These exams are administered by the College Board.)</w:t>
      </w:r>
    </w:p>
    <w:p w14:paraId="5B285135" w14:textId="5A4B1329" w:rsidR="00A63443" w:rsidRPr="004340FE" w:rsidRDefault="00A63443" w:rsidP="00A63443">
      <w:pPr>
        <w:pStyle w:val="ListParagraph"/>
        <w:numPr>
          <w:ilvl w:val="0"/>
          <w:numId w:val="31"/>
        </w:numPr>
        <w:spacing w:after="240"/>
        <w:contextualSpacing w:val="0"/>
        <w:rPr>
          <w:rFonts w:cs="Arial"/>
        </w:rPr>
      </w:pPr>
      <w:r w:rsidRPr="004340FE">
        <w:rPr>
          <w:rFonts w:cs="Arial"/>
          <w:b/>
        </w:rPr>
        <w:t>International Baccalaureate (IB) Exam</w:t>
      </w:r>
      <w:r w:rsidRPr="004340FE">
        <w:rPr>
          <w:rFonts w:cs="Arial"/>
        </w:rPr>
        <w:t xml:space="preserve">: Pass with a score of </w:t>
      </w:r>
      <w:r w:rsidR="003A0019">
        <w:rPr>
          <w:rFonts w:cs="Arial"/>
        </w:rPr>
        <w:t>4</w:t>
      </w:r>
      <w:r w:rsidRPr="004340FE">
        <w:rPr>
          <w:rFonts w:cs="Arial"/>
        </w:rPr>
        <w:t xml:space="preserve"> or higher. (Note: These exams are administered by the IB.)</w:t>
      </w:r>
    </w:p>
    <w:p w14:paraId="34C04488" w14:textId="46855BA5" w:rsidR="00A63443" w:rsidRPr="004340FE" w:rsidRDefault="00A63443" w:rsidP="00A63443">
      <w:pPr>
        <w:pStyle w:val="ListParagraph"/>
        <w:numPr>
          <w:ilvl w:val="0"/>
          <w:numId w:val="31"/>
        </w:numPr>
        <w:spacing w:after="240"/>
        <w:contextualSpacing w:val="0"/>
        <w:rPr>
          <w:rFonts w:cs="Arial"/>
        </w:rPr>
      </w:pPr>
      <w:r w:rsidRPr="004340FE">
        <w:rPr>
          <w:rFonts w:cs="Arial"/>
          <w:b/>
        </w:rPr>
        <w:lastRenderedPageBreak/>
        <w:t>Dual Enrollment</w:t>
      </w:r>
      <w:r w:rsidRPr="004340FE">
        <w:rPr>
          <w:rFonts w:cs="Arial"/>
        </w:rPr>
        <w:t xml:space="preserve">: Completion </w:t>
      </w:r>
      <w:r w:rsidR="004E1144" w:rsidRPr="004B2006">
        <w:rPr>
          <w:rFonts w:cs="Arial"/>
        </w:rPr>
        <w:t>of college coursework</w:t>
      </w:r>
      <w:r w:rsidR="004E1144">
        <w:rPr>
          <w:rFonts w:cs="Arial"/>
        </w:rPr>
        <w:t xml:space="preserve"> </w:t>
      </w:r>
      <w:r w:rsidRPr="004340FE">
        <w:rPr>
          <w:rFonts w:cs="Arial"/>
        </w:rPr>
        <w:t>with a score of C minus or better and receipt of college credit.</w:t>
      </w:r>
    </w:p>
    <w:p w14:paraId="535B5CB3" w14:textId="45E3CA95" w:rsidR="00804FD5" w:rsidRPr="00AC5E4E" w:rsidRDefault="00804FD5" w:rsidP="004340FE">
      <w:pPr>
        <w:pStyle w:val="BodyText"/>
        <w:spacing w:after="240"/>
        <w:rPr>
          <w:rFonts w:cs="Arial"/>
        </w:rPr>
      </w:pPr>
      <w:r w:rsidRPr="00AC5E4E">
        <w:rPr>
          <w:rFonts w:cs="Arial"/>
        </w:rPr>
        <w:t>High schools that provide all students with a rigorous, broad course of study that leads to likely success in postsecondary and career have a greater likelihood of a high performance level on the Dashboard</w:t>
      </w:r>
      <w:r w:rsidR="001600F9" w:rsidRPr="00AC5E4E">
        <w:rPr>
          <w:rFonts w:cs="Arial"/>
        </w:rPr>
        <w:t xml:space="preserve"> (Green or Blue)</w:t>
      </w:r>
      <w:r w:rsidRPr="00AC5E4E">
        <w:rPr>
          <w:rFonts w:cs="Arial"/>
        </w:rPr>
        <w:t xml:space="preserve">. Whether a student focuses on completing a CTE Pathway, course requirements for a-g, or a course of study specifically designed to meet the student’s individual interests, the completion of a set of rigorous courses—inclusive of </w:t>
      </w:r>
      <w:r w:rsidRPr="00AC5E4E">
        <w:rPr>
          <w:rFonts w:cs="Arial"/>
          <w:color w:val="000000"/>
        </w:rPr>
        <w:t>ELA</w:t>
      </w:r>
      <w:r w:rsidRPr="00AC5E4E">
        <w:rPr>
          <w:rFonts w:cs="Arial"/>
        </w:rPr>
        <w:t xml:space="preserve"> and mathematics content—should prepare a student for the Smarter Balanced Summative Assessments. The CCI takes into consideration the diverse resources and needs of student populations across the state by including multiple pathways for schools to demonstrate student preparedness for college and/or career. In addition, </w:t>
      </w:r>
      <w:r w:rsidR="001600F9" w:rsidRPr="00AC5E4E">
        <w:rPr>
          <w:rFonts w:cs="Arial"/>
        </w:rPr>
        <w:t>the measure</w:t>
      </w:r>
      <w:r w:rsidR="00070010" w:rsidRPr="00AC5E4E">
        <w:rPr>
          <w:rFonts w:cs="Arial"/>
        </w:rPr>
        <w:t>s</w:t>
      </w:r>
      <w:r w:rsidR="001600F9" w:rsidRPr="00AC5E4E">
        <w:rPr>
          <w:rFonts w:cs="Arial"/>
        </w:rPr>
        <w:t xml:space="preserve"> </w:t>
      </w:r>
      <w:r w:rsidR="00070010" w:rsidRPr="00AC5E4E">
        <w:rPr>
          <w:rFonts w:cs="Arial"/>
        </w:rPr>
        <w:t xml:space="preserve">included in the </w:t>
      </w:r>
      <w:r w:rsidR="001600F9" w:rsidRPr="00AC5E4E">
        <w:rPr>
          <w:rFonts w:cs="Arial"/>
        </w:rPr>
        <w:t xml:space="preserve">CCI provides </w:t>
      </w:r>
      <w:r w:rsidRPr="00AC5E4E">
        <w:rPr>
          <w:rFonts w:cs="Arial"/>
        </w:rPr>
        <w:t xml:space="preserve">guidance </w:t>
      </w:r>
      <w:r w:rsidR="00070010" w:rsidRPr="00AC5E4E">
        <w:rPr>
          <w:rFonts w:cs="Arial"/>
        </w:rPr>
        <w:t>to parents</w:t>
      </w:r>
      <w:r w:rsidR="003A0019">
        <w:rPr>
          <w:rFonts w:cs="Arial"/>
        </w:rPr>
        <w:t>/guardians</w:t>
      </w:r>
      <w:r w:rsidR="00070010" w:rsidRPr="00AC5E4E">
        <w:rPr>
          <w:rFonts w:cs="Arial"/>
        </w:rPr>
        <w:t xml:space="preserve"> </w:t>
      </w:r>
      <w:r w:rsidRPr="00AC5E4E">
        <w:rPr>
          <w:rFonts w:cs="Arial"/>
        </w:rPr>
        <w:t xml:space="preserve">on </w:t>
      </w:r>
      <w:r w:rsidR="00070010" w:rsidRPr="00AC5E4E">
        <w:rPr>
          <w:rFonts w:cs="Arial"/>
        </w:rPr>
        <w:t xml:space="preserve">what California has determined a </w:t>
      </w:r>
      <w:r w:rsidRPr="00AC5E4E">
        <w:rPr>
          <w:rFonts w:cs="Arial"/>
        </w:rPr>
        <w:t xml:space="preserve">broad </w:t>
      </w:r>
      <w:r w:rsidR="00070010" w:rsidRPr="00AC5E4E">
        <w:rPr>
          <w:rFonts w:cs="Arial"/>
        </w:rPr>
        <w:t xml:space="preserve">and rigorous </w:t>
      </w:r>
      <w:r w:rsidRPr="00AC5E4E">
        <w:rPr>
          <w:rFonts w:cs="Arial"/>
        </w:rPr>
        <w:t xml:space="preserve">course </w:t>
      </w:r>
      <w:r w:rsidR="00070010" w:rsidRPr="00AC5E4E">
        <w:rPr>
          <w:rFonts w:cs="Arial"/>
        </w:rPr>
        <w:t xml:space="preserve">of </w:t>
      </w:r>
      <w:r w:rsidRPr="00AC5E4E">
        <w:rPr>
          <w:rFonts w:cs="Arial"/>
        </w:rPr>
        <w:t xml:space="preserve">study </w:t>
      </w:r>
      <w:r w:rsidR="00070010" w:rsidRPr="00AC5E4E">
        <w:rPr>
          <w:rFonts w:cs="Arial"/>
        </w:rPr>
        <w:t>for high school students to</w:t>
      </w:r>
      <w:r w:rsidRPr="00AC5E4E">
        <w:rPr>
          <w:rFonts w:cs="Arial"/>
        </w:rPr>
        <w:t xml:space="preserve"> </w:t>
      </w:r>
      <w:r w:rsidR="00070010" w:rsidRPr="00AC5E4E">
        <w:rPr>
          <w:rFonts w:cs="Arial"/>
        </w:rPr>
        <w:t xml:space="preserve">be </w:t>
      </w:r>
      <w:r w:rsidRPr="00AC5E4E">
        <w:rPr>
          <w:rFonts w:cs="Arial"/>
        </w:rPr>
        <w:t>better prepare</w:t>
      </w:r>
      <w:r w:rsidR="003A0019">
        <w:rPr>
          <w:rFonts w:cs="Arial"/>
        </w:rPr>
        <w:t>d</w:t>
      </w:r>
      <w:r w:rsidRPr="00AC5E4E">
        <w:rPr>
          <w:rFonts w:cs="Arial"/>
        </w:rPr>
        <w:t xml:space="preserve"> for college and/or a career.</w:t>
      </w:r>
    </w:p>
    <w:p w14:paraId="7300127F" w14:textId="77777777" w:rsidR="00804FD5" w:rsidRPr="00AC5E4E" w:rsidRDefault="00804FD5" w:rsidP="004340FE">
      <w:pPr>
        <w:spacing w:after="240"/>
      </w:pPr>
      <w:r w:rsidRPr="00AC5E4E">
        <w:rPr>
          <w:rFonts w:cs="Arial"/>
        </w:rPr>
        <w:t>Only measures currently collected statewide at the student level are included in the CCI model. However, the model allows for additional new measures and for the removal of measures as they become obsolete.</w:t>
      </w:r>
    </w:p>
    <w:p w14:paraId="29EDC340" w14:textId="77777777" w:rsidR="00104D88" w:rsidRPr="00EF4C29" w:rsidRDefault="00804FD5" w:rsidP="006612E9">
      <w:pPr>
        <w:pStyle w:val="Heading2"/>
        <w:spacing w:before="240" w:after="240"/>
        <w:rPr>
          <w:sz w:val="32"/>
          <w:szCs w:val="32"/>
        </w:rPr>
      </w:pPr>
      <w:r w:rsidRPr="00EF4C29">
        <w:rPr>
          <w:sz w:val="32"/>
          <w:szCs w:val="32"/>
        </w:rPr>
        <w:t>Evolution of the College/Career Indicator</w:t>
      </w:r>
    </w:p>
    <w:p w14:paraId="0EADE433" w14:textId="655BB6BB" w:rsidR="00D85DFE" w:rsidRPr="00104D88" w:rsidRDefault="00804FD5" w:rsidP="00E82E68">
      <w:pPr>
        <w:spacing w:after="240"/>
        <w:rPr>
          <w:sz w:val="32"/>
          <w:szCs w:val="32"/>
        </w:rPr>
      </w:pPr>
      <w:r w:rsidRPr="00104D88">
        <w:t>The development of the CCI began in 2014 and included extensive input from educational stakeholders and researchers. To assist in determining which measures to include in the CCI, in 2014</w:t>
      </w:r>
      <w:r w:rsidR="003A0019">
        <w:t>,</w:t>
      </w:r>
      <w:r w:rsidRPr="00104D88">
        <w:t xml:space="preserve"> the </w:t>
      </w:r>
      <w:r w:rsidR="003A0019">
        <w:t>California Department of Education (</w:t>
      </w:r>
      <w:r w:rsidRPr="00104D88">
        <w:t>CDE</w:t>
      </w:r>
      <w:r w:rsidR="003A0019">
        <w:t>)</w:t>
      </w:r>
      <w:r w:rsidRPr="00104D88">
        <w:t xml:space="preserve"> held one statewide Webinar and six regional meetings. Approximately 500 people attended the meetings and 146 attendees provided public comment. Based on the regional meeting feedback, the CDE conducted a statewide survey to obtain feedback on the CCI methodology and measures and received 1,768 responses.</w:t>
      </w:r>
    </w:p>
    <w:p w14:paraId="24F21BC3" w14:textId="7425B465" w:rsidR="00F379E2" w:rsidRPr="00AC5E4E" w:rsidRDefault="00804FD5" w:rsidP="004340FE">
      <w:pPr>
        <w:tabs>
          <w:tab w:val="num" w:pos="1440"/>
        </w:tabs>
        <w:spacing w:after="240"/>
        <w:rPr>
          <w:rFonts w:cs="Arial"/>
        </w:rPr>
      </w:pPr>
      <w:r w:rsidRPr="00AC5E4E">
        <w:rPr>
          <w:rFonts w:cs="Arial"/>
        </w:rPr>
        <w:t>To support the decision-making process, the CDE contracted with the Educational Policy Improvement Center (EPIC), with Dr. David Conley as the project lead, to conduct a literature review of the most valid and reliable measures for determining whether or not students were prepared for postsecondary</w:t>
      </w:r>
      <w:r w:rsidR="00D2368F">
        <w:rPr>
          <w:rFonts w:cs="Arial"/>
        </w:rPr>
        <w:t xml:space="preserve"> success</w:t>
      </w:r>
      <w:r w:rsidRPr="00AC5E4E">
        <w:rPr>
          <w:rFonts w:cs="Arial"/>
        </w:rPr>
        <w:t>. Dr. Conley presented six papers to the Public Schools Accountability Act Advisory Committee and presented the final paper at the May 2015 SBE meeting (</w:t>
      </w:r>
      <w:hyperlink r:id="rId15" w:tooltip="State Board of Education May 2015 Meeting Agenda" w:history="1">
        <w:r w:rsidR="003A0019" w:rsidRPr="005E20B1">
          <w:rPr>
            <w:rStyle w:val="Hyperlink"/>
            <w:rFonts w:cs="Arial"/>
          </w:rPr>
          <w:t>https://www.cde.ca.gov/be/ag/ag/yr15/documents/may15item10.doc</w:t>
        </w:r>
      </w:hyperlink>
      <w:r w:rsidRPr="00AC5E4E">
        <w:rPr>
          <w:rFonts w:cs="Arial"/>
        </w:rPr>
        <w:t>). Input from the California Practitioners Advisory Group, the SBE’s Advisory Commission on Special Education, and regional assessment and CTE experts, as well as feedback collected at advocacy stakeholder meetings, assisted with further improvements to the CCI.</w:t>
      </w:r>
    </w:p>
    <w:p w14:paraId="1816FBF4" w14:textId="1EDB9ED9" w:rsidR="00804FD5" w:rsidRPr="00AC5E4E" w:rsidRDefault="00804FD5" w:rsidP="004340FE">
      <w:pPr>
        <w:pStyle w:val="BodyText"/>
        <w:spacing w:after="240"/>
        <w:rPr>
          <w:rFonts w:cs="Arial"/>
        </w:rPr>
      </w:pPr>
      <w:r w:rsidRPr="00AC5E4E">
        <w:rPr>
          <w:rFonts w:cs="Arial"/>
        </w:rPr>
        <w:t>In June 2016, the CDE conducted two sta</w:t>
      </w:r>
      <w:r w:rsidR="003A0019">
        <w:rPr>
          <w:rFonts w:cs="Arial"/>
        </w:rPr>
        <w:t>tewide CCI Stakeholder Webinars</w:t>
      </w:r>
      <w:r w:rsidRPr="00AC5E4E">
        <w:rPr>
          <w:rFonts w:cs="Arial"/>
        </w:rPr>
        <w:t xml:space="preserve"> to </w:t>
      </w:r>
      <w:r w:rsidR="003A0019">
        <w:rPr>
          <w:rFonts w:cs="Arial"/>
        </w:rPr>
        <w:t>solicit</w:t>
      </w:r>
      <w:r w:rsidRPr="00AC5E4E">
        <w:rPr>
          <w:rFonts w:cs="Arial"/>
        </w:rPr>
        <w:t xml:space="preserve"> stakeholder feedback on the appropriate placement of each CCI measure across the performance continuum. Based on the feedback received at these Webinars and on numerous simulations, the Technical Design Group (TDG) made recommendations for each CCI criterion. These recommendations were presented to the SBE in </w:t>
      </w:r>
      <w:r w:rsidR="003A0019">
        <w:rPr>
          <w:rFonts w:cs="Arial"/>
        </w:rPr>
        <w:t>an</w:t>
      </w:r>
      <w:r w:rsidRPr="00AC5E4E">
        <w:rPr>
          <w:rFonts w:cs="Arial"/>
        </w:rPr>
        <w:t xml:space="preserve"> August </w:t>
      </w:r>
      <w:r w:rsidRPr="00AC5E4E">
        <w:rPr>
          <w:rFonts w:cs="Arial"/>
        </w:rPr>
        <w:lastRenderedPageBreak/>
        <w:t>2016 Information Memorandum (</w:t>
      </w:r>
      <w:hyperlink r:id="rId16" w:tooltip="State Board Memorandum August 2016" w:history="1">
        <w:r w:rsidRPr="00AC5E4E">
          <w:rPr>
            <w:rStyle w:val="Hyperlink"/>
            <w:rFonts w:cs="Arial"/>
          </w:rPr>
          <w:t>https://www.cde.ca.gov/be/pn/im/documents/memo-dsib-amard-aug16item01.doc</w:t>
        </w:r>
      </w:hyperlink>
      <w:r w:rsidRPr="00AC5E4E">
        <w:rPr>
          <w:rFonts w:cs="Arial"/>
        </w:rPr>
        <w:t>). Below is a summary of the recommendations approved by the SBE:</w:t>
      </w:r>
    </w:p>
    <w:p w14:paraId="73B0C8D3" w14:textId="008B5CFF" w:rsidR="007D4B18" w:rsidRPr="004340FE" w:rsidRDefault="00804FD5" w:rsidP="00983414">
      <w:pPr>
        <w:pStyle w:val="BodyText"/>
        <w:numPr>
          <w:ilvl w:val="0"/>
          <w:numId w:val="20"/>
        </w:numPr>
        <w:spacing w:after="240"/>
        <w:rPr>
          <w:rFonts w:cs="Arial"/>
        </w:rPr>
      </w:pPr>
      <w:r w:rsidRPr="004340FE">
        <w:rPr>
          <w:rFonts w:cs="Arial"/>
          <w:b/>
        </w:rPr>
        <w:t xml:space="preserve">CTE Pathway Completion: </w:t>
      </w:r>
      <w:r w:rsidRPr="004340FE">
        <w:rPr>
          <w:rFonts w:cs="Arial"/>
        </w:rPr>
        <w:t>The TDG recommended that the completion of a CTE Pathway be considered as “Prepared” only if it is paired with the statewide ELA and mathematics assessments, a-g, or dual enrollment criteria.</w:t>
      </w:r>
    </w:p>
    <w:p w14:paraId="29D0A261" w14:textId="2E07BB03" w:rsidR="007D4B18" w:rsidRPr="004340FE" w:rsidRDefault="00804FD5" w:rsidP="00983414">
      <w:pPr>
        <w:pStyle w:val="BodyText"/>
        <w:numPr>
          <w:ilvl w:val="0"/>
          <w:numId w:val="20"/>
        </w:numPr>
        <w:spacing w:after="240"/>
        <w:rPr>
          <w:rFonts w:cs="Arial"/>
        </w:rPr>
      </w:pPr>
      <w:proofErr w:type="gramStart"/>
      <w:r w:rsidRPr="004340FE">
        <w:rPr>
          <w:rFonts w:cs="Arial"/>
          <w:b/>
        </w:rPr>
        <w:t>a-g</w:t>
      </w:r>
      <w:proofErr w:type="gramEnd"/>
      <w:r w:rsidRPr="004340FE">
        <w:rPr>
          <w:rFonts w:cs="Arial"/>
          <w:b/>
        </w:rPr>
        <w:t xml:space="preserve"> Completion: </w:t>
      </w:r>
      <w:r w:rsidRPr="004340FE">
        <w:rPr>
          <w:rFonts w:cs="Arial"/>
        </w:rPr>
        <w:t>The TDG recommended that the completion of a-g be considered as “Prepared” only if it is paired with the statewide assessments, CTE, or dual enrollment criteria.</w:t>
      </w:r>
    </w:p>
    <w:p w14:paraId="3B60C501" w14:textId="55453D7F" w:rsidR="00804FD5" w:rsidRPr="004340FE" w:rsidRDefault="00804FD5" w:rsidP="00983414">
      <w:pPr>
        <w:pStyle w:val="BodyText"/>
        <w:numPr>
          <w:ilvl w:val="0"/>
          <w:numId w:val="20"/>
        </w:numPr>
        <w:spacing w:after="240"/>
        <w:rPr>
          <w:rFonts w:cs="Arial"/>
        </w:rPr>
      </w:pPr>
      <w:r w:rsidRPr="004340FE">
        <w:rPr>
          <w:rFonts w:cs="Arial"/>
          <w:b/>
        </w:rPr>
        <w:t>AP Exams:</w:t>
      </w:r>
      <w:r w:rsidRPr="004340FE">
        <w:rPr>
          <w:rFonts w:cs="Arial"/>
        </w:rPr>
        <w:t xml:space="preserve"> The TDG and CCI Stakeholder Webinar participants supported the placement of students who passed two AP exams in the CCI model as “Prepared.”</w:t>
      </w:r>
    </w:p>
    <w:p w14:paraId="66D7B978" w14:textId="225F1424" w:rsidR="00804FD5" w:rsidRPr="004340FE" w:rsidRDefault="00804FD5" w:rsidP="00983414">
      <w:pPr>
        <w:pStyle w:val="BodyText"/>
        <w:numPr>
          <w:ilvl w:val="0"/>
          <w:numId w:val="20"/>
        </w:numPr>
        <w:spacing w:after="240"/>
        <w:rPr>
          <w:rFonts w:cs="Arial"/>
        </w:rPr>
      </w:pPr>
      <w:r w:rsidRPr="004340FE">
        <w:rPr>
          <w:rFonts w:cs="Arial"/>
          <w:b/>
        </w:rPr>
        <w:t xml:space="preserve">IB Exams: </w:t>
      </w:r>
      <w:r w:rsidRPr="004340FE">
        <w:rPr>
          <w:rFonts w:cs="Arial"/>
        </w:rPr>
        <w:t>The TDG recommended that students who passed two IB exams be placed as “Prepared,” indicating that the IB program was rigorous</w:t>
      </w:r>
      <w:r w:rsidRPr="00AC5E4E">
        <w:t xml:space="preserve"> and academically challenging.</w:t>
      </w:r>
    </w:p>
    <w:p w14:paraId="7CF31226" w14:textId="34947582" w:rsidR="00804FD5" w:rsidRPr="00AC5E4E" w:rsidRDefault="00804FD5" w:rsidP="004340FE">
      <w:pPr>
        <w:pStyle w:val="BodyText"/>
        <w:numPr>
          <w:ilvl w:val="0"/>
          <w:numId w:val="20"/>
        </w:numPr>
        <w:spacing w:after="240"/>
        <w:rPr>
          <w:rFonts w:cs="Arial"/>
        </w:rPr>
      </w:pPr>
      <w:r w:rsidRPr="00AC5E4E">
        <w:rPr>
          <w:rFonts w:cs="Arial"/>
          <w:b/>
        </w:rPr>
        <w:t xml:space="preserve">Dual Enrollment: </w:t>
      </w:r>
      <w:r w:rsidRPr="00AC5E4E">
        <w:rPr>
          <w:rFonts w:cs="Arial"/>
        </w:rPr>
        <w:t>The TDG recommended placing two semesters or three quarters of dual enrollment as “Prepared,” reasoning that this aligns with the standards of credit for college admissions purposes.</w:t>
      </w:r>
    </w:p>
    <w:p w14:paraId="140C28AE" w14:textId="77777777" w:rsidR="00F379E2" w:rsidRPr="00210C87" w:rsidRDefault="00F379E2" w:rsidP="004340FE">
      <w:pPr>
        <w:pStyle w:val="Heading3"/>
        <w:spacing w:before="240" w:after="240"/>
        <w:rPr>
          <w:rFonts w:cs="Arial"/>
          <w:sz w:val="32"/>
          <w:szCs w:val="32"/>
        </w:rPr>
      </w:pPr>
      <w:r w:rsidRPr="00210C87">
        <w:rPr>
          <w:rFonts w:cs="Arial"/>
          <w:sz w:val="32"/>
          <w:szCs w:val="32"/>
        </w:rPr>
        <w:t>Approval of Status Cut Scores</w:t>
      </w:r>
    </w:p>
    <w:p w14:paraId="48474C86" w14:textId="312FA5B2" w:rsidR="00804FD5" w:rsidRPr="00AC5E4E" w:rsidRDefault="00804FD5" w:rsidP="004340FE">
      <w:pPr>
        <w:spacing w:after="240"/>
        <w:rPr>
          <w:rFonts w:cs="Arial"/>
          <w:color w:val="000000"/>
        </w:rPr>
      </w:pPr>
      <w:r w:rsidRPr="00AC5E4E">
        <w:rPr>
          <w:rFonts w:cs="Arial"/>
        </w:rPr>
        <w:t>The SBE initially approved the CCI cut scores at their September 2016 meeting based on the results of the 2013–14 four-year graduation cohort (Class of 2014) (</w:t>
      </w:r>
      <w:hyperlink r:id="rId17" w:tooltip="State Board September Agenda Item" w:history="1">
        <w:r w:rsidRPr="00EC5240">
          <w:rPr>
            <w:rStyle w:val="Hyperlink"/>
            <w:rFonts w:cs="Arial"/>
            <w:color w:val="2E74B5" w:themeColor="accent1" w:themeShade="BF"/>
          </w:rPr>
          <w:t>https://www.cde.ca.gov/be/ag/ag/yr16/documents/sep16item01.doc</w:t>
        </w:r>
      </w:hyperlink>
      <w:r w:rsidRPr="00AC5E4E">
        <w:rPr>
          <w:rFonts w:cs="Arial"/>
        </w:rPr>
        <w:t xml:space="preserve">). These results included data from the spring 2013 Early Assessment Program, which was part of the former Standardized Testing and Reporting Program. These CCI cut scores were used for the </w:t>
      </w:r>
      <w:proofErr w:type="gramStart"/>
      <w:r w:rsidRPr="00AC5E4E">
        <w:rPr>
          <w:rFonts w:cs="Arial"/>
        </w:rPr>
        <w:t>Spring</w:t>
      </w:r>
      <w:proofErr w:type="gramEnd"/>
      <w:r w:rsidRPr="00AC5E4E">
        <w:rPr>
          <w:rFonts w:cs="Arial"/>
        </w:rPr>
        <w:t xml:space="preserve"> 2017 Dashboard. The SBE requested that the CDE bring the cut scores back for further discussion once the Smarter Balanced assessment results, along with updated graduation cohort data, were available.</w:t>
      </w:r>
    </w:p>
    <w:p w14:paraId="70E95D54" w14:textId="5387E8E7" w:rsidR="00804FD5" w:rsidRPr="00AC5E4E" w:rsidRDefault="007D4B18" w:rsidP="004340FE">
      <w:pPr>
        <w:spacing w:after="240"/>
        <w:rPr>
          <w:rFonts w:cs="Arial"/>
        </w:rPr>
      </w:pPr>
      <w:r w:rsidRPr="00AC5E4E">
        <w:t xml:space="preserve">The first graduating cohort to take </w:t>
      </w:r>
      <w:r w:rsidR="004B2006">
        <w:t>the g</w:t>
      </w:r>
      <w:r w:rsidRPr="00AC5E4E">
        <w:t xml:space="preserve">rade </w:t>
      </w:r>
      <w:r w:rsidR="004B2006">
        <w:t>e</w:t>
      </w:r>
      <w:r w:rsidR="003A0019">
        <w:t>leven</w:t>
      </w:r>
      <w:r w:rsidRPr="00AC5E4E">
        <w:t xml:space="preserve"> Smarter Balanced Summative Assessments was the </w:t>
      </w:r>
      <w:r w:rsidR="00070010" w:rsidRPr="00AC5E4E">
        <w:t xml:space="preserve">graduating </w:t>
      </w:r>
      <w:r w:rsidR="00EC5240">
        <w:t>Class of 2016 (s</w:t>
      </w:r>
      <w:r w:rsidRPr="00AC5E4E">
        <w:t xml:space="preserve">tudents were in </w:t>
      </w:r>
      <w:r w:rsidR="003A0019">
        <w:t>grade eleven</w:t>
      </w:r>
      <w:r w:rsidRPr="00AC5E4E">
        <w:t xml:space="preserve"> when the first operationa</w:t>
      </w:r>
      <w:r w:rsidR="00EC5240">
        <w:t>l assessments were administered in 2015</w:t>
      </w:r>
      <w:r w:rsidRPr="00AC5E4E">
        <w:t>)</w:t>
      </w:r>
      <w:r w:rsidR="00EC5240">
        <w:t>.</w:t>
      </w:r>
      <w:r w:rsidRPr="00AC5E4E">
        <w:t xml:space="preserve"> </w:t>
      </w:r>
      <w:r w:rsidR="00804FD5" w:rsidRPr="00AC5E4E">
        <w:t xml:space="preserve">At their August 2017 meeting, the </w:t>
      </w:r>
      <w:r w:rsidR="00804FD5" w:rsidRPr="00AC5E4E">
        <w:rPr>
          <w:rFonts w:cs="Arial"/>
        </w:rPr>
        <w:t xml:space="preserve">TDG recommended adjusting the Status cut scores to reflect the first year of results </w:t>
      </w:r>
      <w:r w:rsidR="00070010" w:rsidRPr="00AC5E4E">
        <w:rPr>
          <w:rFonts w:cs="Arial"/>
        </w:rPr>
        <w:t xml:space="preserve">that included </w:t>
      </w:r>
      <w:r w:rsidR="00804FD5" w:rsidRPr="00AC5E4E">
        <w:rPr>
          <w:rFonts w:cs="Arial"/>
        </w:rPr>
        <w:t xml:space="preserve">the Smarter Balanced Summative Assessments </w:t>
      </w:r>
      <w:r w:rsidRPr="00AC5E4E">
        <w:rPr>
          <w:rFonts w:cs="Arial"/>
        </w:rPr>
        <w:t>and</w:t>
      </w:r>
      <w:r w:rsidR="00804FD5" w:rsidRPr="00AC5E4E">
        <w:rPr>
          <w:rFonts w:cs="Arial"/>
        </w:rPr>
        <w:t xml:space="preserve"> cautioned that the results between the 2014 and 2016 graduation cohorts were not comparable.</w:t>
      </w:r>
    </w:p>
    <w:p w14:paraId="6FBE9787" w14:textId="77777777" w:rsidR="00EF4C29" w:rsidRDefault="00804FD5" w:rsidP="004340FE">
      <w:pPr>
        <w:spacing w:after="240"/>
      </w:pPr>
      <w:r w:rsidRPr="00AC5E4E">
        <w:rPr>
          <w:rFonts w:cs="Arial"/>
        </w:rPr>
        <w:t>Table 1 displays the CCI Status cut scores approved by the SBE</w:t>
      </w:r>
      <w:r w:rsidRPr="00AC5E4E">
        <w:t xml:space="preserve">, which were used to report Status for the CCI in the </w:t>
      </w:r>
      <w:proofErr w:type="gramStart"/>
      <w:r w:rsidRPr="00AC5E4E">
        <w:t>Fall</w:t>
      </w:r>
      <w:proofErr w:type="gramEnd"/>
      <w:r w:rsidRPr="00AC5E4E">
        <w:t xml:space="preserve"> 2017 Dashboard.</w:t>
      </w:r>
    </w:p>
    <w:p w14:paraId="481AF3D2" w14:textId="5F5EF2E9" w:rsidR="00804FD5" w:rsidRPr="00AC5E4E" w:rsidRDefault="00EF4C29" w:rsidP="00EF4C29">
      <w:pPr>
        <w:spacing w:after="240" w:line="259" w:lineRule="auto"/>
        <w:rPr>
          <w:rFonts w:cs="Arial"/>
          <w:b/>
          <w:bCs/>
          <w:color w:val="000000"/>
        </w:rPr>
      </w:pPr>
      <w:r>
        <w:br w:type="page"/>
      </w:r>
      <w:r w:rsidR="00804FD5" w:rsidRPr="00AC5E4E">
        <w:rPr>
          <w:rFonts w:cs="Arial"/>
          <w:b/>
          <w:bCs/>
          <w:color w:val="000000"/>
        </w:rPr>
        <w:lastRenderedPageBreak/>
        <w:t>Table 1: Status Cut Scores</w:t>
      </w:r>
    </w:p>
    <w:tbl>
      <w:tblPr>
        <w:tblStyle w:val="TableGrid1"/>
        <w:tblW w:w="0" w:type="auto"/>
        <w:tblLook w:val="04A0" w:firstRow="1" w:lastRow="0" w:firstColumn="1" w:lastColumn="0" w:noHBand="0" w:noVBand="1"/>
        <w:tblDescription w:val="Table for the CCI Status Cut Scores."/>
      </w:tblPr>
      <w:tblGrid>
        <w:gridCol w:w="2785"/>
        <w:gridCol w:w="3690"/>
      </w:tblGrid>
      <w:tr w:rsidR="006E063A" w:rsidRPr="006E063A" w14:paraId="131C4A44" w14:textId="77777777" w:rsidTr="00B47344">
        <w:trPr>
          <w:tblHeader/>
        </w:trPr>
        <w:tc>
          <w:tcPr>
            <w:tcW w:w="2785" w:type="dxa"/>
            <w:shd w:val="clear" w:color="auto" w:fill="D9D9D9"/>
            <w:vAlign w:val="center"/>
          </w:tcPr>
          <w:p w14:paraId="337F0FED" w14:textId="77777777" w:rsidR="006E063A" w:rsidRPr="006E063A" w:rsidRDefault="006E063A" w:rsidP="006E063A">
            <w:pPr>
              <w:ind w:left="360" w:hanging="90"/>
              <w:rPr>
                <w:rFonts w:eastAsiaTheme="minorEastAsia" w:cs="Arial"/>
                <w:color w:val="000000"/>
                <w:sz w:val="22"/>
                <w:szCs w:val="22"/>
              </w:rPr>
            </w:pPr>
            <w:r w:rsidRPr="006E063A">
              <w:rPr>
                <w:rFonts w:eastAsiaTheme="minorEastAsia" w:cs="Arial"/>
                <w:b/>
                <w:bCs/>
                <w:color w:val="000000"/>
                <w:sz w:val="22"/>
                <w:szCs w:val="22"/>
              </w:rPr>
              <w:t>Status Level</w:t>
            </w:r>
          </w:p>
        </w:tc>
        <w:tc>
          <w:tcPr>
            <w:tcW w:w="3690" w:type="dxa"/>
            <w:shd w:val="clear" w:color="auto" w:fill="D9D9D9"/>
            <w:vAlign w:val="center"/>
          </w:tcPr>
          <w:p w14:paraId="2C92B451" w14:textId="77777777" w:rsidR="006E063A" w:rsidRPr="006E063A" w:rsidRDefault="006E063A" w:rsidP="006E063A">
            <w:pPr>
              <w:ind w:left="126"/>
              <w:jc w:val="center"/>
              <w:rPr>
                <w:rFonts w:eastAsiaTheme="minorEastAsia" w:cs="Arial"/>
                <w:color w:val="000000"/>
                <w:sz w:val="22"/>
                <w:szCs w:val="22"/>
              </w:rPr>
            </w:pPr>
            <w:r w:rsidRPr="006E063A">
              <w:rPr>
                <w:rFonts w:eastAsiaTheme="minorEastAsia" w:cs="Arial"/>
                <w:b/>
                <w:bCs/>
                <w:color w:val="000000"/>
                <w:sz w:val="22"/>
                <w:szCs w:val="22"/>
              </w:rPr>
              <w:t>Percent of Prepared Students</w:t>
            </w:r>
          </w:p>
        </w:tc>
      </w:tr>
      <w:tr w:rsidR="006E063A" w:rsidRPr="006E063A" w14:paraId="484013AE" w14:textId="77777777" w:rsidTr="00B47344">
        <w:trPr>
          <w:trHeight w:val="350"/>
        </w:trPr>
        <w:tc>
          <w:tcPr>
            <w:tcW w:w="2785" w:type="dxa"/>
            <w:shd w:val="clear" w:color="auto" w:fill="auto"/>
            <w:vAlign w:val="center"/>
          </w:tcPr>
          <w:p w14:paraId="3F59C714" w14:textId="77777777" w:rsidR="006E063A" w:rsidRPr="006E063A" w:rsidRDefault="006E063A" w:rsidP="006E063A">
            <w:pPr>
              <w:ind w:left="360" w:hanging="90"/>
              <w:rPr>
                <w:rFonts w:eastAsiaTheme="minorEastAsia" w:cs="Arial"/>
                <w:color w:val="000000"/>
                <w:sz w:val="22"/>
                <w:szCs w:val="22"/>
              </w:rPr>
            </w:pPr>
            <w:r w:rsidRPr="006E063A">
              <w:rPr>
                <w:rFonts w:eastAsiaTheme="minorEastAsia" w:cs="Arial"/>
                <w:color w:val="000000"/>
                <w:sz w:val="22"/>
                <w:szCs w:val="22"/>
              </w:rPr>
              <w:t>Very High</w:t>
            </w:r>
          </w:p>
        </w:tc>
        <w:tc>
          <w:tcPr>
            <w:tcW w:w="3690" w:type="dxa"/>
            <w:shd w:val="clear" w:color="auto" w:fill="auto"/>
            <w:vAlign w:val="center"/>
          </w:tcPr>
          <w:p w14:paraId="723722D4" w14:textId="77777777" w:rsidR="006E063A" w:rsidRPr="006E063A" w:rsidRDefault="006E063A" w:rsidP="006E063A">
            <w:pPr>
              <w:ind w:firstLine="200"/>
              <w:jc w:val="center"/>
              <w:rPr>
                <w:rFonts w:cs="Arial"/>
                <w:bCs/>
                <w:kern w:val="24"/>
                <w:sz w:val="22"/>
              </w:rPr>
            </w:pPr>
            <w:r w:rsidRPr="006E063A">
              <w:rPr>
                <w:rFonts w:cs="Arial"/>
                <w:bCs/>
                <w:kern w:val="24"/>
                <w:sz w:val="22"/>
              </w:rPr>
              <w:t>70% or more</w:t>
            </w:r>
          </w:p>
        </w:tc>
      </w:tr>
      <w:tr w:rsidR="006E063A" w:rsidRPr="006E063A" w14:paraId="2557C25C" w14:textId="77777777" w:rsidTr="00B47344">
        <w:trPr>
          <w:trHeight w:val="350"/>
        </w:trPr>
        <w:tc>
          <w:tcPr>
            <w:tcW w:w="2785" w:type="dxa"/>
            <w:shd w:val="clear" w:color="auto" w:fill="auto"/>
            <w:vAlign w:val="center"/>
          </w:tcPr>
          <w:p w14:paraId="5D3FCD01" w14:textId="77777777" w:rsidR="006E063A" w:rsidRPr="006E063A" w:rsidRDefault="006E063A" w:rsidP="006E063A">
            <w:pPr>
              <w:ind w:left="360" w:hanging="90"/>
              <w:rPr>
                <w:rFonts w:eastAsiaTheme="minorEastAsia" w:cs="Arial"/>
                <w:color w:val="000000"/>
                <w:sz w:val="22"/>
                <w:szCs w:val="22"/>
              </w:rPr>
            </w:pPr>
            <w:r w:rsidRPr="006E063A">
              <w:rPr>
                <w:rFonts w:eastAsiaTheme="minorEastAsia" w:cs="Arial"/>
                <w:color w:val="000000"/>
                <w:sz w:val="22"/>
                <w:szCs w:val="22"/>
              </w:rPr>
              <w:t>High</w:t>
            </w:r>
          </w:p>
        </w:tc>
        <w:tc>
          <w:tcPr>
            <w:tcW w:w="3690" w:type="dxa"/>
            <w:shd w:val="clear" w:color="auto" w:fill="auto"/>
            <w:vAlign w:val="center"/>
          </w:tcPr>
          <w:p w14:paraId="73A8948C" w14:textId="77777777" w:rsidR="006E063A" w:rsidRPr="006E063A" w:rsidRDefault="006E063A" w:rsidP="006E063A">
            <w:pPr>
              <w:ind w:firstLine="200"/>
              <w:jc w:val="center"/>
              <w:rPr>
                <w:rFonts w:cs="Arial"/>
                <w:sz w:val="22"/>
              </w:rPr>
            </w:pPr>
            <w:r w:rsidRPr="006E063A">
              <w:rPr>
                <w:rFonts w:cs="Arial"/>
                <w:color w:val="000000"/>
                <w:kern w:val="24"/>
                <w:sz w:val="22"/>
              </w:rPr>
              <w:t>55% to less than 70%</w:t>
            </w:r>
          </w:p>
        </w:tc>
      </w:tr>
      <w:tr w:rsidR="006E063A" w:rsidRPr="006E063A" w14:paraId="57BCA9B9" w14:textId="77777777" w:rsidTr="00B47344">
        <w:trPr>
          <w:trHeight w:val="350"/>
        </w:trPr>
        <w:tc>
          <w:tcPr>
            <w:tcW w:w="2785" w:type="dxa"/>
            <w:shd w:val="clear" w:color="auto" w:fill="auto"/>
            <w:vAlign w:val="center"/>
          </w:tcPr>
          <w:p w14:paraId="32C814DF" w14:textId="77777777" w:rsidR="006E063A" w:rsidRPr="006E063A" w:rsidRDefault="006E063A" w:rsidP="006E063A">
            <w:pPr>
              <w:ind w:left="360" w:hanging="90"/>
              <w:rPr>
                <w:rFonts w:eastAsiaTheme="minorEastAsia" w:cs="Arial"/>
                <w:color w:val="000000"/>
                <w:sz w:val="22"/>
                <w:szCs w:val="22"/>
              </w:rPr>
            </w:pPr>
            <w:r w:rsidRPr="006E063A">
              <w:rPr>
                <w:rFonts w:eastAsiaTheme="minorEastAsia" w:cs="Arial"/>
                <w:color w:val="000000"/>
                <w:sz w:val="22"/>
                <w:szCs w:val="22"/>
              </w:rPr>
              <w:t>Medium</w:t>
            </w:r>
          </w:p>
        </w:tc>
        <w:tc>
          <w:tcPr>
            <w:tcW w:w="3690" w:type="dxa"/>
            <w:shd w:val="clear" w:color="auto" w:fill="auto"/>
            <w:vAlign w:val="center"/>
          </w:tcPr>
          <w:p w14:paraId="40D5737F" w14:textId="77777777" w:rsidR="006E063A" w:rsidRPr="006E063A" w:rsidRDefault="006E063A" w:rsidP="006E063A">
            <w:pPr>
              <w:ind w:firstLine="200"/>
              <w:jc w:val="center"/>
              <w:rPr>
                <w:rFonts w:cs="Arial"/>
                <w:sz w:val="22"/>
              </w:rPr>
            </w:pPr>
            <w:r w:rsidRPr="006E063A">
              <w:rPr>
                <w:rFonts w:cs="Arial"/>
                <w:color w:val="000000"/>
                <w:kern w:val="24"/>
                <w:sz w:val="22"/>
              </w:rPr>
              <w:t>35% to less than 55%</w:t>
            </w:r>
          </w:p>
        </w:tc>
      </w:tr>
      <w:tr w:rsidR="006E063A" w:rsidRPr="006E063A" w14:paraId="0FE8FA97" w14:textId="77777777" w:rsidTr="00B47344">
        <w:trPr>
          <w:trHeight w:val="350"/>
        </w:trPr>
        <w:tc>
          <w:tcPr>
            <w:tcW w:w="2785" w:type="dxa"/>
            <w:shd w:val="clear" w:color="auto" w:fill="auto"/>
            <w:vAlign w:val="center"/>
          </w:tcPr>
          <w:p w14:paraId="7BC80F32" w14:textId="77777777" w:rsidR="006E063A" w:rsidRPr="006E063A" w:rsidRDefault="006E063A" w:rsidP="006E063A">
            <w:pPr>
              <w:ind w:left="360" w:hanging="90"/>
              <w:rPr>
                <w:rFonts w:eastAsiaTheme="minorEastAsia" w:cs="Arial"/>
                <w:color w:val="000000"/>
                <w:sz w:val="22"/>
                <w:szCs w:val="22"/>
              </w:rPr>
            </w:pPr>
            <w:r w:rsidRPr="006E063A">
              <w:rPr>
                <w:rFonts w:eastAsiaTheme="minorEastAsia" w:cs="Arial"/>
                <w:color w:val="000000"/>
                <w:sz w:val="22"/>
                <w:szCs w:val="22"/>
              </w:rPr>
              <w:t>Low</w:t>
            </w:r>
          </w:p>
        </w:tc>
        <w:tc>
          <w:tcPr>
            <w:tcW w:w="3690" w:type="dxa"/>
            <w:shd w:val="clear" w:color="auto" w:fill="auto"/>
            <w:vAlign w:val="center"/>
          </w:tcPr>
          <w:p w14:paraId="44FBEE12" w14:textId="77777777" w:rsidR="006E063A" w:rsidRPr="006E063A" w:rsidRDefault="006E063A" w:rsidP="006E063A">
            <w:pPr>
              <w:ind w:firstLine="200"/>
              <w:jc w:val="center"/>
              <w:rPr>
                <w:rFonts w:cs="Arial"/>
                <w:sz w:val="22"/>
              </w:rPr>
            </w:pPr>
            <w:r w:rsidRPr="006E063A">
              <w:rPr>
                <w:rFonts w:cs="Arial"/>
                <w:color w:val="000000"/>
                <w:kern w:val="24"/>
                <w:sz w:val="22"/>
              </w:rPr>
              <w:t>10% to less than 35%</w:t>
            </w:r>
          </w:p>
        </w:tc>
      </w:tr>
      <w:tr w:rsidR="006E063A" w:rsidRPr="006E063A" w14:paraId="5A887A7B" w14:textId="77777777" w:rsidTr="00B47344">
        <w:trPr>
          <w:trHeight w:val="350"/>
        </w:trPr>
        <w:tc>
          <w:tcPr>
            <w:tcW w:w="2785" w:type="dxa"/>
            <w:shd w:val="clear" w:color="auto" w:fill="auto"/>
            <w:vAlign w:val="center"/>
          </w:tcPr>
          <w:p w14:paraId="77E2225B" w14:textId="77777777" w:rsidR="006E063A" w:rsidRPr="006E063A" w:rsidRDefault="006E063A" w:rsidP="006E063A">
            <w:pPr>
              <w:ind w:left="360" w:hanging="90"/>
              <w:rPr>
                <w:rFonts w:eastAsiaTheme="minorEastAsia" w:cs="Arial"/>
                <w:color w:val="000000"/>
                <w:sz w:val="22"/>
                <w:szCs w:val="22"/>
              </w:rPr>
            </w:pPr>
            <w:r w:rsidRPr="006E063A">
              <w:rPr>
                <w:rFonts w:eastAsiaTheme="minorEastAsia" w:cs="Arial"/>
                <w:color w:val="000000"/>
                <w:sz w:val="22"/>
                <w:szCs w:val="22"/>
              </w:rPr>
              <w:t>Very Low</w:t>
            </w:r>
          </w:p>
        </w:tc>
        <w:tc>
          <w:tcPr>
            <w:tcW w:w="3690" w:type="dxa"/>
            <w:shd w:val="clear" w:color="auto" w:fill="auto"/>
            <w:vAlign w:val="center"/>
          </w:tcPr>
          <w:p w14:paraId="394D0368" w14:textId="77777777" w:rsidR="006E063A" w:rsidRPr="006E063A" w:rsidRDefault="006E063A" w:rsidP="006E063A">
            <w:pPr>
              <w:ind w:firstLine="200"/>
              <w:jc w:val="center"/>
              <w:rPr>
                <w:rFonts w:cs="Arial"/>
                <w:sz w:val="22"/>
              </w:rPr>
            </w:pPr>
            <w:r w:rsidRPr="006E063A">
              <w:rPr>
                <w:rFonts w:cs="Arial"/>
                <w:color w:val="000000"/>
                <w:kern w:val="24"/>
                <w:sz w:val="22"/>
              </w:rPr>
              <w:t>Less than 10%</w:t>
            </w:r>
          </w:p>
        </w:tc>
      </w:tr>
    </w:tbl>
    <w:p w14:paraId="71527E29" w14:textId="2014E4CC" w:rsidR="00D85DFE" w:rsidRPr="00AC5E4E" w:rsidRDefault="00804FD5" w:rsidP="004340FE">
      <w:pPr>
        <w:spacing w:before="240" w:after="240"/>
        <w:rPr>
          <w:rFonts w:cs="Arial"/>
          <w:bCs/>
          <w:color w:val="000000"/>
          <w:sz w:val="22"/>
        </w:rPr>
      </w:pPr>
      <w:r w:rsidRPr="00AC5E4E">
        <w:rPr>
          <w:rFonts w:cs="Arial"/>
        </w:rPr>
        <w:t>Table 2 displays the percentile distribution.</w:t>
      </w:r>
    </w:p>
    <w:p w14:paraId="5363934B" w14:textId="77777777" w:rsidR="00804FD5" w:rsidRPr="00AC5E4E" w:rsidRDefault="00804FD5" w:rsidP="004340FE">
      <w:pPr>
        <w:pStyle w:val="NoSpacing"/>
        <w:spacing w:after="240"/>
        <w:rPr>
          <w:rFonts w:ascii="Arial" w:hAnsi="Arial" w:cs="Arial"/>
          <w:b/>
          <w:bCs/>
          <w:color w:val="000000"/>
        </w:rPr>
      </w:pPr>
      <w:r w:rsidRPr="00AC5E4E">
        <w:rPr>
          <w:rFonts w:ascii="Arial" w:hAnsi="Arial" w:cs="Arial"/>
          <w:b/>
          <w:bCs/>
          <w:color w:val="000000"/>
        </w:rPr>
        <w:t>Table 2: Percentile Distribution for the Status Cut Scores</w:t>
      </w:r>
    </w:p>
    <w:tbl>
      <w:tblPr>
        <w:tblStyle w:val="TableGrid2"/>
        <w:tblW w:w="5000" w:type="pct"/>
        <w:tblLook w:val="04A0" w:firstRow="1" w:lastRow="0" w:firstColumn="1" w:lastColumn="0" w:noHBand="0" w:noVBand="1"/>
        <w:tblDescription w:val="Table showing the Percentile Distribution for the Status Cut Scores."/>
      </w:tblPr>
      <w:tblGrid>
        <w:gridCol w:w="1870"/>
        <w:gridCol w:w="4935"/>
        <w:gridCol w:w="2545"/>
      </w:tblGrid>
      <w:tr w:rsidR="00EB749A" w:rsidRPr="00EB749A" w14:paraId="2F17A7D2" w14:textId="77777777" w:rsidTr="006612E9">
        <w:trPr>
          <w:trHeight w:val="288"/>
          <w:tblHeader/>
        </w:trPr>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7DA6955" w14:textId="77777777" w:rsidR="00EB749A" w:rsidRPr="00EB749A" w:rsidRDefault="00EB749A" w:rsidP="00EB749A">
            <w:pPr>
              <w:jc w:val="center"/>
              <w:rPr>
                <w:rFonts w:eastAsiaTheme="minorEastAsia" w:cs="Arial"/>
                <w:b/>
                <w:bCs/>
                <w:color w:val="000000"/>
                <w:sz w:val="22"/>
                <w:szCs w:val="22"/>
              </w:rPr>
            </w:pPr>
            <w:r w:rsidRPr="00EB749A">
              <w:rPr>
                <w:rFonts w:eastAsiaTheme="minorEastAsia" w:cs="Arial"/>
                <w:b/>
                <w:bCs/>
                <w:color w:val="000000"/>
                <w:sz w:val="22"/>
                <w:szCs w:val="22"/>
              </w:rPr>
              <w:t>Percentile</w:t>
            </w:r>
          </w:p>
        </w:tc>
        <w:tc>
          <w:tcPr>
            <w:tcW w:w="2639" w:type="pct"/>
            <w:tcBorders>
              <w:top w:val="single" w:sz="4" w:space="0" w:color="auto"/>
              <w:left w:val="nil"/>
              <w:bottom w:val="single" w:sz="4" w:space="0" w:color="auto"/>
              <w:right w:val="single" w:sz="4" w:space="0" w:color="auto"/>
            </w:tcBorders>
            <w:shd w:val="clear" w:color="auto" w:fill="auto"/>
            <w:vAlign w:val="center"/>
          </w:tcPr>
          <w:p w14:paraId="7107D797" w14:textId="77777777" w:rsidR="00EB749A" w:rsidRPr="00EB749A" w:rsidRDefault="00EB749A" w:rsidP="00EB749A">
            <w:pPr>
              <w:jc w:val="center"/>
              <w:rPr>
                <w:rFonts w:eastAsiaTheme="minorEastAsia" w:cs="Arial"/>
                <w:b/>
                <w:bCs/>
                <w:color w:val="000000"/>
                <w:sz w:val="22"/>
                <w:szCs w:val="22"/>
              </w:rPr>
            </w:pPr>
            <w:r w:rsidRPr="00EB749A">
              <w:rPr>
                <w:rFonts w:eastAsiaTheme="minorEastAsia" w:cs="Arial"/>
                <w:b/>
                <w:bCs/>
                <w:color w:val="000000"/>
                <w:sz w:val="22"/>
                <w:szCs w:val="22"/>
              </w:rPr>
              <w:t>Percent Prepared for College/Career</w:t>
            </w:r>
          </w:p>
        </w:tc>
        <w:tc>
          <w:tcPr>
            <w:tcW w:w="1361" w:type="pct"/>
            <w:tcBorders>
              <w:top w:val="single" w:sz="4" w:space="0" w:color="auto"/>
              <w:left w:val="nil"/>
              <w:bottom w:val="single" w:sz="4" w:space="0" w:color="auto"/>
              <w:right w:val="single" w:sz="4" w:space="0" w:color="auto"/>
            </w:tcBorders>
            <w:shd w:val="clear" w:color="auto" w:fill="auto"/>
            <w:vAlign w:val="center"/>
          </w:tcPr>
          <w:p w14:paraId="54E6A368" w14:textId="77777777" w:rsidR="00EB749A" w:rsidRPr="00EB749A" w:rsidRDefault="00EB749A" w:rsidP="00EB749A">
            <w:pPr>
              <w:jc w:val="center"/>
              <w:rPr>
                <w:rFonts w:eastAsiaTheme="minorEastAsia" w:cs="Arial"/>
                <w:b/>
                <w:bCs/>
                <w:color w:val="000000"/>
                <w:sz w:val="22"/>
                <w:szCs w:val="22"/>
              </w:rPr>
            </w:pPr>
            <w:r w:rsidRPr="00EB749A">
              <w:rPr>
                <w:rFonts w:eastAsiaTheme="minorEastAsia" w:cs="Arial"/>
                <w:b/>
                <w:bCs/>
                <w:color w:val="000000"/>
                <w:sz w:val="22"/>
                <w:szCs w:val="22"/>
              </w:rPr>
              <w:t>Status Level</w:t>
            </w:r>
          </w:p>
        </w:tc>
      </w:tr>
      <w:tr w:rsidR="00EB749A" w:rsidRPr="00EB749A" w14:paraId="0C1AC56A" w14:textId="77777777" w:rsidTr="006612E9">
        <w:trPr>
          <w:trHeight w:val="288"/>
        </w:trPr>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8DF15D" w14:textId="77777777" w:rsidR="00EB749A" w:rsidRPr="00EB749A" w:rsidRDefault="00EB749A" w:rsidP="00EB749A">
            <w:pPr>
              <w:jc w:val="center"/>
              <w:rPr>
                <w:rFonts w:eastAsiaTheme="minorEastAsia" w:cs="Arial"/>
                <w:b/>
                <w:bCs/>
                <w:color w:val="000000"/>
                <w:sz w:val="22"/>
                <w:szCs w:val="22"/>
              </w:rPr>
            </w:pPr>
            <w:r w:rsidRPr="00EB749A">
              <w:rPr>
                <w:rFonts w:eastAsiaTheme="minorEastAsia" w:cs="Arial"/>
                <w:b/>
                <w:bCs/>
                <w:color w:val="000000"/>
                <w:sz w:val="22"/>
                <w:szCs w:val="22"/>
              </w:rPr>
              <w:t>5</w:t>
            </w:r>
          </w:p>
        </w:tc>
        <w:tc>
          <w:tcPr>
            <w:tcW w:w="2639"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157160F8" w14:textId="77777777" w:rsidR="00EB749A" w:rsidRPr="00EB749A" w:rsidRDefault="00EB749A" w:rsidP="00EB749A">
            <w:pPr>
              <w:jc w:val="center"/>
              <w:rPr>
                <w:rFonts w:eastAsiaTheme="minorEastAsia" w:cs="Arial"/>
                <w:color w:val="000000"/>
                <w:sz w:val="22"/>
                <w:szCs w:val="22"/>
              </w:rPr>
            </w:pPr>
            <w:r w:rsidRPr="00EB749A">
              <w:rPr>
                <w:rFonts w:eastAsiaTheme="minorEastAsia" w:cs="Arial"/>
                <w:color w:val="000000"/>
                <w:sz w:val="22"/>
                <w:szCs w:val="22"/>
              </w:rPr>
              <w:t>2.1</w:t>
            </w:r>
          </w:p>
        </w:tc>
        <w:tc>
          <w:tcPr>
            <w:tcW w:w="1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A1B7F3" w14:textId="77777777" w:rsidR="00EB749A" w:rsidRPr="00EB749A" w:rsidRDefault="00EB749A" w:rsidP="00EB749A">
            <w:pPr>
              <w:jc w:val="center"/>
              <w:rPr>
                <w:rFonts w:eastAsiaTheme="minorEastAsia" w:cs="Arial"/>
                <w:bCs/>
                <w:color w:val="000000"/>
                <w:sz w:val="22"/>
                <w:szCs w:val="22"/>
              </w:rPr>
            </w:pPr>
            <w:r w:rsidRPr="00EB749A">
              <w:rPr>
                <w:rFonts w:eastAsiaTheme="minorEastAsia" w:cs="Arial"/>
                <w:bCs/>
                <w:color w:val="000000"/>
                <w:sz w:val="22"/>
                <w:szCs w:val="22"/>
              </w:rPr>
              <w:t>Very Low</w:t>
            </w:r>
          </w:p>
        </w:tc>
      </w:tr>
      <w:tr w:rsidR="00EB749A" w:rsidRPr="00EB749A" w14:paraId="3498F322" w14:textId="77777777" w:rsidTr="006612E9">
        <w:trPr>
          <w:trHeight w:val="288"/>
        </w:trPr>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1428B4" w14:textId="77777777" w:rsidR="00EB749A" w:rsidRPr="00EB749A" w:rsidRDefault="00EB749A" w:rsidP="00EB749A">
            <w:pPr>
              <w:jc w:val="center"/>
              <w:rPr>
                <w:rFonts w:eastAsiaTheme="minorEastAsia" w:cs="Arial"/>
                <w:b/>
                <w:bCs/>
                <w:color w:val="000000"/>
                <w:sz w:val="22"/>
                <w:szCs w:val="22"/>
              </w:rPr>
            </w:pPr>
            <w:r w:rsidRPr="00EB749A">
              <w:rPr>
                <w:rFonts w:eastAsiaTheme="minorEastAsia" w:cs="Arial"/>
                <w:b/>
                <w:bCs/>
                <w:color w:val="000000"/>
                <w:sz w:val="22"/>
                <w:szCs w:val="22"/>
              </w:rPr>
              <w:t>10</w:t>
            </w:r>
          </w:p>
        </w:tc>
        <w:tc>
          <w:tcPr>
            <w:tcW w:w="2639"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726A803E" w14:textId="77777777" w:rsidR="00EB749A" w:rsidRPr="00EB749A" w:rsidRDefault="00EB749A" w:rsidP="00EB749A">
            <w:pPr>
              <w:jc w:val="center"/>
              <w:rPr>
                <w:rFonts w:eastAsiaTheme="minorEastAsia" w:cs="Arial"/>
                <w:color w:val="000000"/>
                <w:sz w:val="22"/>
                <w:szCs w:val="22"/>
              </w:rPr>
            </w:pPr>
            <w:r w:rsidRPr="00EB749A">
              <w:rPr>
                <w:rFonts w:eastAsiaTheme="minorEastAsia" w:cs="Arial"/>
                <w:color w:val="000000"/>
                <w:sz w:val="22"/>
                <w:szCs w:val="22"/>
              </w:rPr>
              <w:t>5.6</w:t>
            </w:r>
          </w:p>
        </w:tc>
        <w:tc>
          <w:tcPr>
            <w:tcW w:w="1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C6B84A" w14:textId="77777777" w:rsidR="00EB749A" w:rsidRPr="00EB749A" w:rsidRDefault="00EB749A" w:rsidP="00EB749A">
            <w:pPr>
              <w:jc w:val="center"/>
              <w:rPr>
                <w:rFonts w:eastAsiaTheme="minorEastAsia" w:cs="Arial"/>
                <w:bCs/>
                <w:color w:val="FFFFFF"/>
                <w:sz w:val="22"/>
                <w:szCs w:val="22"/>
              </w:rPr>
            </w:pPr>
            <w:r w:rsidRPr="00EB749A">
              <w:rPr>
                <w:rFonts w:eastAsiaTheme="minorEastAsia" w:cs="Arial"/>
                <w:bCs/>
                <w:color w:val="000000"/>
                <w:sz w:val="22"/>
                <w:szCs w:val="22"/>
              </w:rPr>
              <w:t>Very Low</w:t>
            </w:r>
          </w:p>
        </w:tc>
      </w:tr>
      <w:tr w:rsidR="00EB749A" w:rsidRPr="00EB749A" w14:paraId="005B17CB" w14:textId="77777777" w:rsidTr="006612E9">
        <w:trPr>
          <w:trHeight w:val="288"/>
        </w:trPr>
        <w:tc>
          <w:tcPr>
            <w:tcW w:w="1000" w:type="pct"/>
            <w:tcBorders>
              <w:top w:val="single" w:sz="4" w:space="0" w:color="auto"/>
              <w:left w:val="single" w:sz="4" w:space="0" w:color="auto"/>
              <w:bottom w:val="single" w:sz="4" w:space="0" w:color="auto"/>
              <w:right w:val="single" w:sz="4" w:space="0" w:color="auto"/>
            </w:tcBorders>
            <w:shd w:val="clear" w:color="auto" w:fill="auto"/>
          </w:tcPr>
          <w:p w14:paraId="6AB429C1" w14:textId="77777777" w:rsidR="00EB749A" w:rsidRPr="00EB749A" w:rsidRDefault="00EB749A" w:rsidP="00EB749A">
            <w:pPr>
              <w:jc w:val="center"/>
              <w:rPr>
                <w:rFonts w:eastAsiaTheme="minorEastAsia" w:cs="Arial"/>
                <w:b/>
                <w:bCs/>
                <w:color w:val="000000"/>
                <w:sz w:val="22"/>
                <w:szCs w:val="22"/>
              </w:rPr>
            </w:pPr>
            <w:r w:rsidRPr="00EB749A">
              <w:rPr>
                <w:rFonts w:eastAsiaTheme="minorEastAsia" w:cs="Arial"/>
                <w:b/>
                <w:bCs/>
                <w:color w:val="000000"/>
                <w:sz w:val="22"/>
                <w:szCs w:val="22"/>
              </w:rPr>
              <w:t>14.8</w:t>
            </w:r>
          </w:p>
        </w:tc>
        <w:tc>
          <w:tcPr>
            <w:tcW w:w="2639" w:type="pct"/>
            <w:tcBorders>
              <w:top w:val="single" w:sz="4" w:space="0" w:color="auto"/>
              <w:left w:val="nil"/>
              <w:bottom w:val="single" w:sz="4" w:space="0" w:color="auto"/>
              <w:right w:val="single" w:sz="4" w:space="0" w:color="auto"/>
            </w:tcBorders>
            <w:shd w:val="clear" w:color="auto" w:fill="auto"/>
            <w:vAlign w:val="bottom"/>
          </w:tcPr>
          <w:p w14:paraId="1CB2B91E" w14:textId="77777777" w:rsidR="00EB749A" w:rsidRPr="00EB749A" w:rsidRDefault="00EB749A" w:rsidP="00EB749A">
            <w:pPr>
              <w:jc w:val="center"/>
              <w:rPr>
                <w:rFonts w:eastAsiaTheme="minorEastAsia" w:cs="Arial"/>
                <w:b/>
                <w:bCs/>
                <w:color w:val="000000"/>
                <w:sz w:val="22"/>
                <w:szCs w:val="22"/>
              </w:rPr>
            </w:pPr>
            <w:r w:rsidRPr="00EB749A">
              <w:rPr>
                <w:rFonts w:eastAsiaTheme="minorEastAsia" w:cs="Arial"/>
                <w:b/>
                <w:bCs/>
                <w:color w:val="000000"/>
                <w:sz w:val="22"/>
                <w:szCs w:val="22"/>
              </w:rPr>
              <w:t>10.0</w:t>
            </w:r>
          </w:p>
        </w:tc>
        <w:tc>
          <w:tcPr>
            <w:tcW w:w="1361" w:type="pct"/>
            <w:tcBorders>
              <w:top w:val="single" w:sz="4" w:space="0" w:color="auto"/>
              <w:left w:val="single" w:sz="4" w:space="0" w:color="auto"/>
              <w:bottom w:val="single" w:sz="4" w:space="0" w:color="auto"/>
              <w:right w:val="single" w:sz="4" w:space="0" w:color="auto"/>
            </w:tcBorders>
            <w:shd w:val="clear" w:color="auto" w:fill="auto"/>
            <w:vAlign w:val="center"/>
          </w:tcPr>
          <w:p w14:paraId="0F746BE0" w14:textId="77777777" w:rsidR="00EB749A" w:rsidRPr="00EB749A" w:rsidRDefault="00EB749A" w:rsidP="00EB749A">
            <w:pPr>
              <w:jc w:val="center"/>
              <w:rPr>
                <w:rFonts w:eastAsiaTheme="minorEastAsia" w:cs="Arial"/>
                <w:bCs/>
                <w:color w:val="000000"/>
                <w:sz w:val="22"/>
                <w:szCs w:val="22"/>
              </w:rPr>
            </w:pPr>
            <w:r w:rsidRPr="00EB749A">
              <w:rPr>
                <w:rFonts w:eastAsiaTheme="minorEastAsia" w:cs="Arial"/>
                <w:bCs/>
                <w:color w:val="000000"/>
                <w:sz w:val="22"/>
                <w:szCs w:val="22"/>
              </w:rPr>
              <w:t>Low</w:t>
            </w:r>
          </w:p>
        </w:tc>
      </w:tr>
      <w:tr w:rsidR="00EB749A" w:rsidRPr="00EB749A" w14:paraId="4569BE6F" w14:textId="77777777" w:rsidTr="006612E9">
        <w:trPr>
          <w:trHeight w:val="288"/>
        </w:trPr>
        <w:tc>
          <w:tcPr>
            <w:tcW w:w="1000" w:type="pct"/>
            <w:tcBorders>
              <w:top w:val="single" w:sz="4" w:space="0" w:color="auto"/>
              <w:left w:val="single" w:sz="4" w:space="0" w:color="auto"/>
              <w:bottom w:val="single" w:sz="4" w:space="0" w:color="auto"/>
              <w:right w:val="single" w:sz="4" w:space="0" w:color="auto"/>
            </w:tcBorders>
            <w:shd w:val="clear" w:color="auto" w:fill="auto"/>
          </w:tcPr>
          <w:p w14:paraId="41AC68B0" w14:textId="77777777" w:rsidR="00EB749A" w:rsidRPr="00EB749A" w:rsidRDefault="00EB749A" w:rsidP="00EB749A">
            <w:pPr>
              <w:jc w:val="center"/>
              <w:rPr>
                <w:rFonts w:eastAsiaTheme="minorEastAsia" w:cs="Arial"/>
                <w:b/>
                <w:bCs/>
                <w:color w:val="000000"/>
                <w:sz w:val="22"/>
                <w:szCs w:val="22"/>
              </w:rPr>
            </w:pPr>
            <w:r w:rsidRPr="00EB749A">
              <w:rPr>
                <w:rFonts w:eastAsiaTheme="minorEastAsia" w:cs="Arial"/>
                <w:b/>
                <w:bCs/>
                <w:color w:val="000000"/>
                <w:sz w:val="22"/>
                <w:szCs w:val="22"/>
              </w:rPr>
              <w:t>15</w:t>
            </w:r>
          </w:p>
        </w:tc>
        <w:tc>
          <w:tcPr>
            <w:tcW w:w="2639" w:type="pct"/>
            <w:tcBorders>
              <w:top w:val="single" w:sz="4" w:space="0" w:color="auto"/>
              <w:left w:val="nil"/>
              <w:bottom w:val="single" w:sz="4" w:space="0" w:color="auto"/>
              <w:right w:val="single" w:sz="4" w:space="0" w:color="auto"/>
            </w:tcBorders>
            <w:shd w:val="clear" w:color="auto" w:fill="auto"/>
            <w:vAlign w:val="bottom"/>
          </w:tcPr>
          <w:p w14:paraId="0E390CA5" w14:textId="77777777" w:rsidR="00EB749A" w:rsidRPr="00EB749A" w:rsidRDefault="00EB749A" w:rsidP="00EB749A">
            <w:pPr>
              <w:jc w:val="center"/>
              <w:rPr>
                <w:rFonts w:eastAsiaTheme="minorEastAsia" w:cs="Arial"/>
                <w:color w:val="000000"/>
                <w:sz w:val="22"/>
                <w:szCs w:val="22"/>
              </w:rPr>
            </w:pPr>
            <w:r w:rsidRPr="00EB749A">
              <w:rPr>
                <w:rFonts w:eastAsiaTheme="minorEastAsia" w:cs="Arial"/>
                <w:color w:val="000000"/>
                <w:sz w:val="22"/>
                <w:szCs w:val="22"/>
              </w:rPr>
              <w:t>10.9</w:t>
            </w:r>
          </w:p>
        </w:tc>
        <w:tc>
          <w:tcPr>
            <w:tcW w:w="1361" w:type="pct"/>
            <w:tcBorders>
              <w:top w:val="single" w:sz="4" w:space="0" w:color="auto"/>
              <w:left w:val="single" w:sz="4" w:space="0" w:color="auto"/>
              <w:bottom w:val="single" w:sz="4" w:space="0" w:color="auto"/>
              <w:right w:val="single" w:sz="4" w:space="0" w:color="auto"/>
            </w:tcBorders>
            <w:shd w:val="clear" w:color="auto" w:fill="auto"/>
          </w:tcPr>
          <w:p w14:paraId="3DA6DC99" w14:textId="77777777" w:rsidR="00EB749A" w:rsidRPr="00EB749A" w:rsidRDefault="00EB749A" w:rsidP="00EB749A">
            <w:pPr>
              <w:jc w:val="center"/>
              <w:rPr>
                <w:rFonts w:eastAsiaTheme="minorEastAsia" w:cs="Arial"/>
                <w:bCs/>
                <w:color w:val="000000"/>
                <w:sz w:val="22"/>
                <w:szCs w:val="22"/>
              </w:rPr>
            </w:pPr>
            <w:r w:rsidRPr="00EB749A">
              <w:rPr>
                <w:rFonts w:eastAsiaTheme="minorEastAsia" w:cs="Arial"/>
                <w:bCs/>
                <w:color w:val="000000"/>
                <w:sz w:val="22"/>
                <w:szCs w:val="22"/>
              </w:rPr>
              <w:t>Low</w:t>
            </w:r>
          </w:p>
        </w:tc>
      </w:tr>
      <w:tr w:rsidR="00EB749A" w:rsidRPr="00EB749A" w14:paraId="64ABE91C" w14:textId="77777777" w:rsidTr="006612E9">
        <w:trPr>
          <w:trHeight w:val="288"/>
        </w:trPr>
        <w:tc>
          <w:tcPr>
            <w:tcW w:w="1000" w:type="pct"/>
            <w:tcBorders>
              <w:top w:val="single" w:sz="4" w:space="0" w:color="auto"/>
              <w:left w:val="single" w:sz="4" w:space="0" w:color="auto"/>
              <w:bottom w:val="single" w:sz="4" w:space="0" w:color="auto"/>
              <w:right w:val="single" w:sz="4" w:space="0" w:color="auto"/>
            </w:tcBorders>
            <w:shd w:val="clear" w:color="auto" w:fill="auto"/>
          </w:tcPr>
          <w:p w14:paraId="04BB94E6" w14:textId="77777777" w:rsidR="00EB749A" w:rsidRPr="00EB749A" w:rsidRDefault="00EB749A" w:rsidP="00EB749A">
            <w:pPr>
              <w:jc w:val="center"/>
              <w:rPr>
                <w:rFonts w:eastAsiaTheme="minorEastAsia" w:cs="Arial"/>
                <w:b/>
                <w:bCs/>
                <w:color w:val="000000"/>
                <w:sz w:val="22"/>
                <w:szCs w:val="22"/>
              </w:rPr>
            </w:pPr>
            <w:r w:rsidRPr="00EB749A">
              <w:rPr>
                <w:rFonts w:eastAsiaTheme="minorEastAsia" w:cs="Arial"/>
                <w:b/>
                <w:bCs/>
                <w:color w:val="000000"/>
                <w:sz w:val="22"/>
                <w:szCs w:val="22"/>
              </w:rPr>
              <w:t>17.3</w:t>
            </w:r>
          </w:p>
        </w:tc>
        <w:tc>
          <w:tcPr>
            <w:tcW w:w="2639" w:type="pct"/>
            <w:tcBorders>
              <w:top w:val="single" w:sz="4" w:space="0" w:color="auto"/>
              <w:left w:val="nil"/>
              <w:bottom w:val="single" w:sz="4" w:space="0" w:color="auto"/>
              <w:right w:val="single" w:sz="4" w:space="0" w:color="auto"/>
            </w:tcBorders>
            <w:shd w:val="clear" w:color="auto" w:fill="auto"/>
            <w:vAlign w:val="bottom"/>
          </w:tcPr>
          <w:p w14:paraId="2B4BF69A" w14:textId="77777777" w:rsidR="00EB749A" w:rsidRPr="00EB749A" w:rsidRDefault="00EB749A" w:rsidP="00EB749A">
            <w:pPr>
              <w:jc w:val="center"/>
              <w:rPr>
                <w:rFonts w:eastAsiaTheme="minorEastAsia" w:cs="Arial"/>
                <w:color w:val="000000"/>
                <w:sz w:val="22"/>
                <w:szCs w:val="22"/>
              </w:rPr>
            </w:pPr>
            <w:r w:rsidRPr="00EB749A">
              <w:rPr>
                <w:rFonts w:eastAsiaTheme="minorEastAsia" w:cs="Arial"/>
                <w:color w:val="000000"/>
                <w:sz w:val="22"/>
                <w:szCs w:val="22"/>
              </w:rPr>
              <w:t>14.1</w:t>
            </w:r>
          </w:p>
        </w:tc>
        <w:tc>
          <w:tcPr>
            <w:tcW w:w="1361" w:type="pct"/>
            <w:tcBorders>
              <w:top w:val="single" w:sz="4" w:space="0" w:color="auto"/>
              <w:left w:val="single" w:sz="4" w:space="0" w:color="auto"/>
              <w:bottom w:val="single" w:sz="4" w:space="0" w:color="auto"/>
              <w:right w:val="single" w:sz="4" w:space="0" w:color="auto"/>
            </w:tcBorders>
            <w:shd w:val="clear" w:color="auto" w:fill="auto"/>
          </w:tcPr>
          <w:p w14:paraId="1C402A85" w14:textId="77777777" w:rsidR="00EB749A" w:rsidRPr="00EB749A" w:rsidRDefault="00EB749A" w:rsidP="00EB749A">
            <w:pPr>
              <w:jc w:val="center"/>
              <w:rPr>
                <w:rFonts w:eastAsiaTheme="minorEastAsia" w:cs="Arial"/>
                <w:bCs/>
                <w:color w:val="000000"/>
                <w:sz w:val="22"/>
                <w:szCs w:val="22"/>
              </w:rPr>
            </w:pPr>
            <w:r w:rsidRPr="00EB749A">
              <w:rPr>
                <w:rFonts w:eastAsiaTheme="minorEastAsia" w:cs="Arial"/>
                <w:bCs/>
                <w:color w:val="000000"/>
                <w:sz w:val="22"/>
                <w:szCs w:val="22"/>
              </w:rPr>
              <w:t>Low</w:t>
            </w:r>
          </w:p>
        </w:tc>
      </w:tr>
      <w:tr w:rsidR="00EB749A" w:rsidRPr="00EB749A" w14:paraId="36CBAFA1" w14:textId="77777777" w:rsidTr="006612E9">
        <w:trPr>
          <w:trHeight w:val="288"/>
        </w:trPr>
        <w:tc>
          <w:tcPr>
            <w:tcW w:w="1000" w:type="pct"/>
            <w:tcBorders>
              <w:top w:val="single" w:sz="4" w:space="0" w:color="auto"/>
              <w:left w:val="single" w:sz="4" w:space="0" w:color="auto"/>
              <w:bottom w:val="single" w:sz="4" w:space="0" w:color="auto"/>
              <w:right w:val="single" w:sz="4" w:space="0" w:color="auto"/>
            </w:tcBorders>
            <w:shd w:val="clear" w:color="auto" w:fill="auto"/>
          </w:tcPr>
          <w:p w14:paraId="321ACB3D" w14:textId="77777777" w:rsidR="00EB749A" w:rsidRPr="00EB749A" w:rsidRDefault="00EB749A" w:rsidP="00EB749A">
            <w:pPr>
              <w:jc w:val="center"/>
              <w:rPr>
                <w:rFonts w:eastAsiaTheme="minorEastAsia" w:cs="Arial"/>
                <w:b/>
                <w:bCs/>
                <w:color w:val="000000"/>
                <w:sz w:val="22"/>
                <w:szCs w:val="22"/>
              </w:rPr>
            </w:pPr>
            <w:r w:rsidRPr="00EB749A">
              <w:rPr>
                <w:rFonts w:eastAsiaTheme="minorEastAsia" w:cs="Arial"/>
                <w:b/>
                <w:bCs/>
                <w:color w:val="000000"/>
                <w:sz w:val="22"/>
                <w:szCs w:val="22"/>
              </w:rPr>
              <w:t>20</w:t>
            </w:r>
          </w:p>
        </w:tc>
        <w:tc>
          <w:tcPr>
            <w:tcW w:w="2639" w:type="pct"/>
            <w:tcBorders>
              <w:top w:val="single" w:sz="4" w:space="0" w:color="auto"/>
              <w:left w:val="nil"/>
              <w:bottom w:val="single" w:sz="4" w:space="0" w:color="auto"/>
              <w:right w:val="single" w:sz="4" w:space="0" w:color="auto"/>
            </w:tcBorders>
            <w:shd w:val="clear" w:color="auto" w:fill="auto"/>
            <w:vAlign w:val="bottom"/>
          </w:tcPr>
          <w:p w14:paraId="48F3A47F" w14:textId="77777777" w:rsidR="00EB749A" w:rsidRPr="00EB749A" w:rsidRDefault="00EB749A" w:rsidP="00EB749A">
            <w:pPr>
              <w:jc w:val="center"/>
              <w:rPr>
                <w:rFonts w:eastAsiaTheme="minorEastAsia" w:cs="Arial"/>
                <w:color w:val="000000"/>
                <w:sz w:val="22"/>
                <w:szCs w:val="22"/>
              </w:rPr>
            </w:pPr>
            <w:r w:rsidRPr="00EB749A">
              <w:rPr>
                <w:rFonts w:eastAsiaTheme="minorEastAsia" w:cs="Arial"/>
                <w:color w:val="000000"/>
                <w:sz w:val="22"/>
                <w:szCs w:val="22"/>
              </w:rPr>
              <w:t>17.6</w:t>
            </w:r>
          </w:p>
        </w:tc>
        <w:tc>
          <w:tcPr>
            <w:tcW w:w="1361" w:type="pct"/>
            <w:tcBorders>
              <w:top w:val="single" w:sz="4" w:space="0" w:color="auto"/>
              <w:left w:val="single" w:sz="4" w:space="0" w:color="auto"/>
              <w:bottom w:val="single" w:sz="4" w:space="0" w:color="auto"/>
              <w:right w:val="single" w:sz="4" w:space="0" w:color="auto"/>
            </w:tcBorders>
            <w:shd w:val="clear" w:color="auto" w:fill="auto"/>
          </w:tcPr>
          <w:p w14:paraId="45FA84F6" w14:textId="77777777" w:rsidR="00EB749A" w:rsidRPr="00EB749A" w:rsidRDefault="00EB749A" w:rsidP="00EB749A">
            <w:pPr>
              <w:jc w:val="center"/>
              <w:rPr>
                <w:rFonts w:eastAsiaTheme="minorEastAsia" w:cs="Arial"/>
                <w:bCs/>
                <w:color w:val="000000"/>
                <w:sz w:val="22"/>
                <w:szCs w:val="22"/>
              </w:rPr>
            </w:pPr>
            <w:r w:rsidRPr="00EB749A">
              <w:rPr>
                <w:rFonts w:eastAsiaTheme="minorEastAsia" w:cs="Arial"/>
                <w:bCs/>
                <w:color w:val="000000"/>
                <w:sz w:val="22"/>
                <w:szCs w:val="22"/>
              </w:rPr>
              <w:t>Low</w:t>
            </w:r>
          </w:p>
        </w:tc>
      </w:tr>
      <w:tr w:rsidR="00EB749A" w:rsidRPr="00EB749A" w14:paraId="4EAF0ABD" w14:textId="77777777" w:rsidTr="006612E9">
        <w:trPr>
          <w:trHeight w:val="288"/>
        </w:trPr>
        <w:tc>
          <w:tcPr>
            <w:tcW w:w="1000" w:type="pct"/>
            <w:tcBorders>
              <w:top w:val="single" w:sz="4" w:space="0" w:color="auto"/>
              <w:left w:val="single" w:sz="4" w:space="0" w:color="auto"/>
              <w:bottom w:val="single" w:sz="4" w:space="0" w:color="auto"/>
              <w:right w:val="single" w:sz="4" w:space="0" w:color="auto"/>
            </w:tcBorders>
            <w:shd w:val="clear" w:color="auto" w:fill="auto"/>
          </w:tcPr>
          <w:p w14:paraId="3F1D7A4C" w14:textId="77777777" w:rsidR="00EB749A" w:rsidRPr="00EB749A" w:rsidRDefault="00EB749A" w:rsidP="00EB749A">
            <w:pPr>
              <w:jc w:val="center"/>
              <w:rPr>
                <w:rFonts w:eastAsiaTheme="minorEastAsia" w:cs="Arial"/>
                <w:b/>
                <w:bCs/>
                <w:color w:val="000000"/>
                <w:sz w:val="22"/>
                <w:szCs w:val="22"/>
              </w:rPr>
            </w:pPr>
            <w:r w:rsidRPr="00EB749A">
              <w:rPr>
                <w:rFonts w:eastAsiaTheme="minorEastAsia" w:cs="Arial"/>
                <w:b/>
                <w:bCs/>
                <w:color w:val="000000"/>
                <w:sz w:val="22"/>
                <w:szCs w:val="22"/>
              </w:rPr>
              <w:t>25</w:t>
            </w:r>
          </w:p>
        </w:tc>
        <w:tc>
          <w:tcPr>
            <w:tcW w:w="2639" w:type="pct"/>
            <w:tcBorders>
              <w:top w:val="single" w:sz="4" w:space="0" w:color="auto"/>
              <w:left w:val="nil"/>
              <w:bottom w:val="single" w:sz="4" w:space="0" w:color="auto"/>
              <w:right w:val="single" w:sz="4" w:space="0" w:color="auto"/>
            </w:tcBorders>
            <w:shd w:val="clear" w:color="auto" w:fill="auto"/>
            <w:vAlign w:val="bottom"/>
          </w:tcPr>
          <w:p w14:paraId="68E98209" w14:textId="77777777" w:rsidR="00EB749A" w:rsidRPr="00EB749A" w:rsidRDefault="00EB749A" w:rsidP="00EB749A">
            <w:pPr>
              <w:jc w:val="center"/>
              <w:rPr>
                <w:rFonts w:eastAsiaTheme="minorEastAsia" w:cs="Arial"/>
                <w:color w:val="000000"/>
                <w:sz w:val="22"/>
                <w:szCs w:val="22"/>
              </w:rPr>
            </w:pPr>
            <w:r w:rsidRPr="00EB749A">
              <w:rPr>
                <w:rFonts w:eastAsiaTheme="minorEastAsia" w:cs="Arial"/>
                <w:color w:val="000000"/>
                <w:sz w:val="22"/>
                <w:szCs w:val="22"/>
              </w:rPr>
              <w:t>25.5</w:t>
            </w:r>
          </w:p>
        </w:tc>
        <w:tc>
          <w:tcPr>
            <w:tcW w:w="1361" w:type="pct"/>
            <w:tcBorders>
              <w:top w:val="single" w:sz="4" w:space="0" w:color="auto"/>
              <w:left w:val="single" w:sz="4" w:space="0" w:color="auto"/>
              <w:bottom w:val="single" w:sz="4" w:space="0" w:color="auto"/>
              <w:right w:val="single" w:sz="4" w:space="0" w:color="auto"/>
            </w:tcBorders>
            <w:shd w:val="clear" w:color="auto" w:fill="auto"/>
          </w:tcPr>
          <w:p w14:paraId="612E7799" w14:textId="77777777" w:rsidR="00EB749A" w:rsidRPr="00EB749A" w:rsidRDefault="00EB749A" w:rsidP="00EB749A">
            <w:pPr>
              <w:jc w:val="center"/>
              <w:rPr>
                <w:rFonts w:eastAsiaTheme="minorEastAsia" w:cs="Arial"/>
                <w:bCs/>
                <w:color w:val="000000"/>
                <w:sz w:val="22"/>
                <w:szCs w:val="22"/>
              </w:rPr>
            </w:pPr>
            <w:r w:rsidRPr="00EB749A">
              <w:rPr>
                <w:rFonts w:eastAsiaTheme="minorEastAsia" w:cs="Arial"/>
                <w:bCs/>
                <w:color w:val="000000"/>
                <w:sz w:val="22"/>
                <w:szCs w:val="22"/>
              </w:rPr>
              <w:t>Low</w:t>
            </w:r>
          </w:p>
        </w:tc>
      </w:tr>
      <w:tr w:rsidR="00EB749A" w:rsidRPr="00EB749A" w14:paraId="4A6C1ED4" w14:textId="77777777" w:rsidTr="006612E9">
        <w:trPr>
          <w:trHeight w:val="288"/>
        </w:trPr>
        <w:tc>
          <w:tcPr>
            <w:tcW w:w="1000" w:type="pct"/>
            <w:tcBorders>
              <w:top w:val="single" w:sz="4" w:space="0" w:color="auto"/>
              <w:left w:val="single" w:sz="4" w:space="0" w:color="auto"/>
              <w:bottom w:val="single" w:sz="4" w:space="0" w:color="auto"/>
              <w:right w:val="single" w:sz="4" w:space="0" w:color="auto"/>
            </w:tcBorders>
            <w:shd w:val="clear" w:color="auto" w:fill="auto"/>
          </w:tcPr>
          <w:p w14:paraId="2C3BCC8D" w14:textId="77777777" w:rsidR="00EB749A" w:rsidRPr="00EB749A" w:rsidRDefault="00EB749A" w:rsidP="00EB749A">
            <w:pPr>
              <w:jc w:val="center"/>
              <w:rPr>
                <w:rFonts w:eastAsiaTheme="minorEastAsia" w:cs="Arial"/>
                <w:b/>
                <w:bCs/>
                <w:color w:val="000000"/>
                <w:sz w:val="22"/>
                <w:szCs w:val="22"/>
              </w:rPr>
            </w:pPr>
            <w:r w:rsidRPr="00EB749A">
              <w:rPr>
                <w:rFonts w:eastAsiaTheme="minorEastAsia" w:cs="Arial"/>
                <w:b/>
                <w:bCs/>
                <w:color w:val="000000"/>
                <w:sz w:val="22"/>
                <w:szCs w:val="22"/>
              </w:rPr>
              <w:t>30</w:t>
            </w:r>
          </w:p>
        </w:tc>
        <w:tc>
          <w:tcPr>
            <w:tcW w:w="2639" w:type="pct"/>
            <w:tcBorders>
              <w:top w:val="single" w:sz="4" w:space="0" w:color="auto"/>
              <w:left w:val="nil"/>
              <w:bottom w:val="single" w:sz="4" w:space="0" w:color="auto"/>
              <w:right w:val="single" w:sz="4" w:space="0" w:color="auto"/>
            </w:tcBorders>
            <w:shd w:val="clear" w:color="auto" w:fill="auto"/>
            <w:vAlign w:val="bottom"/>
          </w:tcPr>
          <w:p w14:paraId="0D23198A" w14:textId="77777777" w:rsidR="00EB749A" w:rsidRPr="00EB749A" w:rsidRDefault="00EB749A" w:rsidP="00EB749A">
            <w:pPr>
              <w:jc w:val="center"/>
              <w:rPr>
                <w:rFonts w:eastAsiaTheme="minorEastAsia" w:cs="Arial"/>
                <w:color w:val="000000"/>
                <w:sz w:val="22"/>
                <w:szCs w:val="22"/>
              </w:rPr>
            </w:pPr>
            <w:r w:rsidRPr="00EB749A">
              <w:rPr>
                <w:rFonts w:eastAsiaTheme="minorEastAsia" w:cs="Arial"/>
                <w:color w:val="000000"/>
                <w:sz w:val="22"/>
                <w:szCs w:val="22"/>
              </w:rPr>
              <w:t>29.3</w:t>
            </w:r>
          </w:p>
        </w:tc>
        <w:tc>
          <w:tcPr>
            <w:tcW w:w="1361" w:type="pct"/>
            <w:tcBorders>
              <w:top w:val="single" w:sz="4" w:space="0" w:color="auto"/>
              <w:left w:val="single" w:sz="4" w:space="0" w:color="auto"/>
              <w:bottom w:val="single" w:sz="4" w:space="0" w:color="auto"/>
              <w:right w:val="single" w:sz="4" w:space="0" w:color="auto"/>
            </w:tcBorders>
            <w:shd w:val="clear" w:color="auto" w:fill="auto"/>
          </w:tcPr>
          <w:p w14:paraId="16976E38" w14:textId="77777777" w:rsidR="00EB749A" w:rsidRPr="00EB749A" w:rsidRDefault="00EB749A" w:rsidP="00EB749A">
            <w:pPr>
              <w:jc w:val="center"/>
              <w:rPr>
                <w:rFonts w:eastAsiaTheme="minorEastAsia" w:cs="Arial"/>
                <w:bCs/>
                <w:color w:val="000000"/>
                <w:sz w:val="22"/>
                <w:szCs w:val="22"/>
              </w:rPr>
            </w:pPr>
            <w:r w:rsidRPr="00EB749A">
              <w:rPr>
                <w:rFonts w:eastAsiaTheme="minorEastAsia" w:cs="Arial"/>
                <w:bCs/>
                <w:color w:val="000000"/>
                <w:sz w:val="22"/>
                <w:szCs w:val="22"/>
              </w:rPr>
              <w:t>Low</w:t>
            </w:r>
          </w:p>
        </w:tc>
      </w:tr>
      <w:tr w:rsidR="00EB749A" w:rsidRPr="00EB749A" w14:paraId="0FFA0DE9" w14:textId="77777777" w:rsidTr="006612E9">
        <w:trPr>
          <w:trHeight w:val="288"/>
        </w:trPr>
        <w:tc>
          <w:tcPr>
            <w:tcW w:w="1000" w:type="pct"/>
            <w:tcBorders>
              <w:top w:val="single" w:sz="4" w:space="0" w:color="auto"/>
              <w:left w:val="single" w:sz="4" w:space="0" w:color="auto"/>
              <w:bottom w:val="single" w:sz="4" w:space="0" w:color="auto"/>
              <w:right w:val="single" w:sz="4" w:space="0" w:color="auto"/>
            </w:tcBorders>
            <w:shd w:val="clear" w:color="auto" w:fill="auto"/>
          </w:tcPr>
          <w:p w14:paraId="30E7859B" w14:textId="77777777" w:rsidR="00EB749A" w:rsidRPr="00EB749A" w:rsidRDefault="00EB749A" w:rsidP="00EB749A">
            <w:pPr>
              <w:jc w:val="center"/>
              <w:rPr>
                <w:rFonts w:eastAsiaTheme="minorEastAsia" w:cs="Arial"/>
                <w:b/>
                <w:bCs/>
                <w:color w:val="000000"/>
                <w:sz w:val="22"/>
                <w:szCs w:val="22"/>
              </w:rPr>
            </w:pPr>
            <w:r w:rsidRPr="00EB749A">
              <w:rPr>
                <w:rFonts w:eastAsiaTheme="minorEastAsia" w:cs="Arial"/>
                <w:b/>
                <w:bCs/>
                <w:color w:val="000000"/>
                <w:sz w:val="22"/>
                <w:szCs w:val="22"/>
              </w:rPr>
              <w:t>35</w:t>
            </w:r>
          </w:p>
        </w:tc>
        <w:tc>
          <w:tcPr>
            <w:tcW w:w="2639" w:type="pct"/>
            <w:tcBorders>
              <w:top w:val="single" w:sz="4" w:space="0" w:color="auto"/>
              <w:left w:val="nil"/>
              <w:bottom w:val="single" w:sz="4" w:space="0" w:color="auto"/>
              <w:right w:val="single" w:sz="4" w:space="0" w:color="auto"/>
            </w:tcBorders>
            <w:shd w:val="clear" w:color="auto" w:fill="auto"/>
            <w:vAlign w:val="bottom"/>
          </w:tcPr>
          <w:p w14:paraId="3CFD55F0" w14:textId="77777777" w:rsidR="00EB749A" w:rsidRPr="00EB749A" w:rsidRDefault="00EB749A" w:rsidP="00EB749A">
            <w:pPr>
              <w:jc w:val="center"/>
              <w:rPr>
                <w:rFonts w:eastAsiaTheme="minorEastAsia" w:cs="Arial"/>
                <w:color w:val="000000"/>
                <w:sz w:val="22"/>
                <w:szCs w:val="22"/>
              </w:rPr>
            </w:pPr>
            <w:r w:rsidRPr="00EB749A">
              <w:rPr>
                <w:rFonts w:eastAsiaTheme="minorEastAsia" w:cs="Arial"/>
                <w:color w:val="000000"/>
                <w:sz w:val="22"/>
                <w:szCs w:val="22"/>
              </w:rPr>
              <w:t>32.5</w:t>
            </w:r>
          </w:p>
        </w:tc>
        <w:tc>
          <w:tcPr>
            <w:tcW w:w="1361" w:type="pct"/>
            <w:tcBorders>
              <w:top w:val="single" w:sz="4" w:space="0" w:color="auto"/>
              <w:left w:val="single" w:sz="4" w:space="0" w:color="auto"/>
              <w:bottom w:val="single" w:sz="4" w:space="0" w:color="auto"/>
              <w:right w:val="single" w:sz="4" w:space="0" w:color="auto"/>
            </w:tcBorders>
            <w:shd w:val="clear" w:color="auto" w:fill="auto"/>
          </w:tcPr>
          <w:p w14:paraId="5DD6AEBA" w14:textId="77777777" w:rsidR="00EB749A" w:rsidRPr="00EB749A" w:rsidRDefault="00EB749A" w:rsidP="00EB749A">
            <w:pPr>
              <w:jc w:val="center"/>
              <w:rPr>
                <w:rFonts w:eastAsiaTheme="minorEastAsia" w:cs="Arial"/>
                <w:bCs/>
                <w:color w:val="000000"/>
                <w:sz w:val="22"/>
                <w:szCs w:val="22"/>
              </w:rPr>
            </w:pPr>
            <w:r w:rsidRPr="00EB749A">
              <w:rPr>
                <w:rFonts w:eastAsiaTheme="minorEastAsia" w:cs="Arial"/>
                <w:bCs/>
                <w:color w:val="000000"/>
                <w:sz w:val="22"/>
                <w:szCs w:val="22"/>
              </w:rPr>
              <w:t>Low</w:t>
            </w:r>
          </w:p>
        </w:tc>
      </w:tr>
      <w:tr w:rsidR="00EB749A" w:rsidRPr="00EB749A" w14:paraId="3E0A699A" w14:textId="77777777" w:rsidTr="006612E9">
        <w:trPr>
          <w:trHeight w:val="288"/>
        </w:trPr>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F44C2F" w14:textId="77777777" w:rsidR="00EB749A" w:rsidRPr="00EB749A" w:rsidRDefault="00EB749A" w:rsidP="00EB749A">
            <w:pPr>
              <w:jc w:val="center"/>
              <w:rPr>
                <w:rFonts w:eastAsiaTheme="minorEastAsia" w:cs="Arial"/>
                <w:b/>
                <w:bCs/>
                <w:color w:val="000000"/>
                <w:sz w:val="22"/>
                <w:szCs w:val="22"/>
              </w:rPr>
            </w:pPr>
            <w:r w:rsidRPr="00EB749A">
              <w:rPr>
                <w:rFonts w:eastAsiaTheme="minorEastAsia" w:cs="Arial"/>
                <w:b/>
                <w:bCs/>
                <w:color w:val="000000"/>
                <w:sz w:val="22"/>
                <w:szCs w:val="22"/>
              </w:rPr>
              <w:t>40</w:t>
            </w:r>
          </w:p>
        </w:tc>
        <w:tc>
          <w:tcPr>
            <w:tcW w:w="2639"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651B64D0" w14:textId="77777777" w:rsidR="00EB749A" w:rsidRPr="00EB749A" w:rsidRDefault="00EB749A" w:rsidP="00EB749A">
            <w:pPr>
              <w:jc w:val="center"/>
              <w:rPr>
                <w:rFonts w:eastAsiaTheme="minorEastAsia" w:cs="Arial"/>
                <w:b/>
                <w:color w:val="000000"/>
                <w:sz w:val="22"/>
                <w:szCs w:val="22"/>
              </w:rPr>
            </w:pPr>
            <w:r w:rsidRPr="00EB749A">
              <w:rPr>
                <w:rFonts w:eastAsiaTheme="minorEastAsia" w:cs="Arial"/>
                <w:b/>
                <w:color w:val="000000"/>
                <w:sz w:val="22"/>
                <w:szCs w:val="22"/>
              </w:rPr>
              <w:t>35.0</w:t>
            </w:r>
          </w:p>
        </w:tc>
        <w:tc>
          <w:tcPr>
            <w:tcW w:w="1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F7732D" w14:textId="77777777" w:rsidR="00EB749A" w:rsidRPr="00EB749A" w:rsidRDefault="00EB749A" w:rsidP="00EB749A">
            <w:pPr>
              <w:jc w:val="center"/>
              <w:rPr>
                <w:rFonts w:eastAsiaTheme="minorEastAsia" w:cs="Arial"/>
                <w:bCs/>
                <w:color w:val="000000"/>
                <w:sz w:val="22"/>
                <w:szCs w:val="22"/>
              </w:rPr>
            </w:pPr>
            <w:r w:rsidRPr="00EB749A">
              <w:rPr>
                <w:rFonts w:eastAsiaTheme="minorEastAsia" w:cs="Arial"/>
                <w:bCs/>
                <w:color w:val="000000"/>
                <w:sz w:val="22"/>
                <w:szCs w:val="22"/>
              </w:rPr>
              <w:t>Medium</w:t>
            </w:r>
          </w:p>
        </w:tc>
      </w:tr>
      <w:tr w:rsidR="00EB749A" w:rsidRPr="00EB749A" w14:paraId="0A6D452E" w14:textId="77777777" w:rsidTr="006612E9">
        <w:trPr>
          <w:trHeight w:val="288"/>
        </w:trPr>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821422" w14:textId="77777777" w:rsidR="00EB749A" w:rsidRPr="00EB749A" w:rsidRDefault="00EB749A" w:rsidP="00EB749A">
            <w:pPr>
              <w:jc w:val="center"/>
              <w:rPr>
                <w:rFonts w:eastAsiaTheme="minorEastAsia" w:cs="Arial"/>
                <w:b/>
                <w:bCs/>
                <w:color w:val="000000"/>
                <w:sz w:val="22"/>
                <w:szCs w:val="22"/>
              </w:rPr>
            </w:pPr>
            <w:r w:rsidRPr="00EB749A">
              <w:rPr>
                <w:rFonts w:eastAsiaTheme="minorEastAsia" w:cs="Arial"/>
                <w:b/>
                <w:bCs/>
                <w:color w:val="000000"/>
                <w:sz w:val="22"/>
                <w:szCs w:val="22"/>
              </w:rPr>
              <w:t>41.8</w:t>
            </w:r>
          </w:p>
        </w:tc>
        <w:tc>
          <w:tcPr>
            <w:tcW w:w="2639"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094B385E" w14:textId="77777777" w:rsidR="00EB749A" w:rsidRPr="00EB749A" w:rsidRDefault="00EB749A" w:rsidP="00EB749A">
            <w:pPr>
              <w:jc w:val="center"/>
              <w:rPr>
                <w:rFonts w:eastAsiaTheme="minorEastAsia" w:cs="Arial"/>
                <w:color w:val="000000"/>
                <w:sz w:val="22"/>
                <w:szCs w:val="22"/>
              </w:rPr>
            </w:pPr>
            <w:r w:rsidRPr="00EB749A">
              <w:rPr>
                <w:rFonts w:eastAsiaTheme="minorEastAsia" w:cs="Arial"/>
                <w:color w:val="000000"/>
                <w:sz w:val="22"/>
                <w:szCs w:val="22"/>
              </w:rPr>
              <w:t>35.1</w:t>
            </w:r>
          </w:p>
        </w:tc>
        <w:tc>
          <w:tcPr>
            <w:tcW w:w="1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BE23B9" w14:textId="77777777" w:rsidR="00EB749A" w:rsidRPr="00EB749A" w:rsidRDefault="00EB749A" w:rsidP="00EB749A">
            <w:pPr>
              <w:jc w:val="center"/>
              <w:rPr>
                <w:rFonts w:eastAsiaTheme="minorEastAsia" w:cs="Arial"/>
                <w:bCs/>
                <w:color w:val="000000"/>
                <w:sz w:val="22"/>
                <w:szCs w:val="22"/>
              </w:rPr>
            </w:pPr>
            <w:r w:rsidRPr="00EB749A">
              <w:rPr>
                <w:rFonts w:eastAsiaTheme="minorEastAsia" w:cs="Arial"/>
                <w:bCs/>
                <w:color w:val="000000"/>
                <w:sz w:val="22"/>
                <w:szCs w:val="22"/>
              </w:rPr>
              <w:t>Medium</w:t>
            </w:r>
          </w:p>
        </w:tc>
      </w:tr>
      <w:tr w:rsidR="00EB749A" w:rsidRPr="00EB749A" w14:paraId="5501E782" w14:textId="77777777" w:rsidTr="006612E9">
        <w:trPr>
          <w:trHeight w:val="288"/>
        </w:trPr>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03A871" w14:textId="77777777" w:rsidR="00EB749A" w:rsidRPr="00EB749A" w:rsidRDefault="00EB749A" w:rsidP="00EB749A">
            <w:pPr>
              <w:jc w:val="center"/>
              <w:rPr>
                <w:rFonts w:eastAsiaTheme="minorEastAsia" w:cs="Arial"/>
                <w:b/>
                <w:bCs/>
                <w:color w:val="000000"/>
                <w:sz w:val="22"/>
                <w:szCs w:val="22"/>
              </w:rPr>
            </w:pPr>
            <w:r w:rsidRPr="00EB749A">
              <w:rPr>
                <w:rFonts w:eastAsiaTheme="minorEastAsia" w:cs="Arial"/>
                <w:b/>
                <w:bCs/>
                <w:color w:val="000000"/>
                <w:sz w:val="22"/>
                <w:szCs w:val="22"/>
              </w:rPr>
              <w:t>45</w:t>
            </w:r>
          </w:p>
        </w:tc>
        <w:tc>
          <w:tcPr>
            <w:tcW w:w="2639"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3061A967" w14:textId="77777777" w:rsidR="00EB749A" w:rsidRPr="00EB749A" w:rsidRDefault="00EB749A" w:rsidP="00EB749A">
            <w:pPr>
              <w:jc w:val="center"/>
              <w:rPr>
                <w:rFonts w:eastAsiaTheme="minorEastAsia" w:cs="Arial"/>
                <w:color w:val="000000"/>
                <w:sz w:val="22"/>
                <w:szCs w:val="22"/>
              </w:rPr>
            </w:pPr>
            <w:r w:rsidRPr="00EB749A">
              <w:rPr>
                <w:rFonts w:eastAsiaTheme="minorEastAsia" w:cs="Arial"/>
                <w:color w:val="000000"/>
                <w:sz w:val="22"/>
                <w:szCs w:val="22"/>
              </w:rPr>
              <w:t>37.1</w:t>
            </w:r>
          </w:p>
        </w:tc>
        <w:tc>
          <w:tcPr>
            <w:tcW w:w="1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ACB0A8" w14:textId="77777777" w:rsidR="00EB749A" w:rsidRPr="00EB749A" w:rsidRDefault="00EB749A" w:rsidP="00EB749A">
            <w:pPr>
              <w:jc w:val="center"/>
              <w:rPr>
                <w:rFonts w:eastAsiaTheme="minorEastAsia" w:cs="Arial"/>
                <w:bCs/>
                <w:color w:val="000000"/>
                <w:sz w:val="22"/>
                <w:szCs w:val="22"/>
              </w:rPr>
            </w:pPr>
            <w:r w:rsidRPr="00EB749A">
              <w:rPr>
                <w:rFonts w:eastAsiaTheme="minorEastAsia" w:cs="Arial"/>
                <w:bCs/>
                <w:color w:val="000000"/>
                <w:sz w:val="22"/>
                <w:szCs w:val="22"/>
              </w:rPr>
              <w:t>Medium</w:t>
            </w:r>
          </w:p>
        </w:tc>
      </w:tr>
      <w:tr w:rsidR="00EB749A" w:rsidRPr="00EB749A" w14:paraId="35D61D1D" w14:textId="77777777" w:rsidTr="006612E9">
        <w:trPr>
          <w:trHeight w:val="288"/>
        </w:trPr>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1B5532" w14:textId="77777777" w:rsidR="00EB749A" w:rsidRPr="00EB749A" w:rsidRDefault="00EB749A" w:rsidP="00EB749A">
            <w:pPr>
              <w:jc w:val="center"/>
              <w:rPr>
                <w:rFonts w:eastAsiaTheme="minorEastAsia" w:cs="Arial"/>
                <w:b/>
                <w:bCs/>
                <w:color w:val="000000"/>
                <w:sz w:val="22"/>
                <w:szCs w:val="22"/>
              </w:rPr>
            </w:pPr>
            <w:r w:rsidRPr="00EB749A">
              <w:rPr>
                <w:rFonts w:eastAsiaTheme="minorEastAsia" w:cs="Arial"/>
                <w:b/>
                <w:bCs/>
                <w:color w:val="000000"/>
                <w:sz w:val="22"/>
                <w:szCs w:val="22"/>
              </w:rPr>
              <w:t>50</w:t>
            </w:r>
          </w:p>
        </w:tc>
        <w:tc>
          <w:tcPr>
            <w:tcW w:w="2639"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44A03961" w14:textId="77777777" w:rsidR="00EB749A" w:rsidRPr="00EB749A" w:rsidRDefault="00EB749A" w:rsidP="00EB749A">
            <w:pPr>
              <w:jc w:val="center"/>
              <w:rPr>
                <w:rFonts w:eastAsiaTheme="minorEastAsia" w:cs="Arial"/>
                <w:color w:val="000000"/>
                <w:sz w:val="22"/>
                <w:szCs w:val="22"/>
              </w:rPr>
            </w:pPr>
            <w:r w:rsidRPr="00EB749A">
              <w:rPr>
                <w:rFonts w:eastAsiaTheme="minorEastAsia" w:cs="Arial"/>
                <w:color w:val="000000"/>
                <w:sz w:val="22"/>
                <w:szCs w:val="22"/>
              </w:rPr>
              <w:t>39.8</w:t>
            </w:r>
          </w:p>
        </w:tc>
        <w:tc>
          <w:tcPr>
            <w:tcW w:w="1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C60C63" w14:textId="77777777" w:rsidR="00EB749A" w:rsidRPr="00EB749A" w:rsidRDefault="00EB749A" w:rsidP="00EB749A">
            <w:pPr>
              <w:jc w:val="center"/>
              <w:rPr>
                <w:rFonts w:eastAsiaTheme="minorEastAsia" w:cs="Arial"/>
                <w:bCs/>
                <w:color w:val="000000"/>
                <w:sz w:val="22"/>
                <w:szCs w:val="22"/>
              </w:rPr>
            </w:pPr>
            <w:r w:rsidRPr="00EB749A">
              <w:rPr>
                <w:rFonts w:eastAsiaTheme="minorEastAsia" w:cs="Arial"/>
                <w:bCs/>
                <w:color w:val="000000"/>
                <w:sz w:val="22"/>
                <w:szCs w:val="22"/>
              </w:rPr>
              <w:t>Medium</w:t>
            </w:r>
          </w:p>
        </w:tc>
      </w:tr>
      <w:tr w:rsidR="00EB749A" w:rsidRPr="00EB749A" w14:paraId="5EB62A30" w14:textId="77777777" w:rsidTr="006612E9">
        <w:trPr>
          <w:trHeight w:val="288"/>
        </w:trPr>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27B1A1" w14:textId="77777777" w:rsidR="00EB749A" w:rsidRPr="00EB749A" w:rsidRDefault="00EB749A" w:rsidP="00EB749A">
            <w:pPr>
              <w:jc w:val="center"/>
              <w:rPr>
                <w:rFonts w:eastAsiaTheme="minorEastAsia" w:cs="Arial"/>
                <w:b/>
                <w:bCs/>
                <w:color w:val="000000"/>
                <w:sz w:val="22"/>
                <w:szCs w:val="22"/>
              </w:rPr>
            </w:pPr>
            <w:r w:rsidRPr="00EB749A">
              <w:rPr>
                <w:rFonts w:eastAsiaTheme="minorEastAsia" w:cs="Arial"/>
                <w:b/>
                <w:bCs/>
                <w:color w:val="000000"/>
                <w:sz w:val="22"/>
                <w:szCs w:val="22"/>
              </w:rPr>
              <w:t>55</w:t>
            </w:r>
          </w:p>
        </w:tc>
        <w:tc>
          <w:tcPr>
            <w:tcW w:w="2639"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77D6745B" w14:textId="77777777" w:rsidR="00EB749A" w:rsidRPr="00EB749A" w:rsidRDefault="00EB749A" w:rsidP="00EB749A">
            <w:pPr>
              <w:jc w:val="center"/>
              <w:rPr>
                <w:rFonts w:eastAsiaTheme="minorEastAsia" w:cs="Arial"/>
                <w:color w:val="000000"/>
                <w:sz w:val="22"/>
                <w:szCs w:val="22"/>
              </w:rPr>
            </w:pPr>
            <w:r w:rsidRPr="00EB749A">
              <w:rPr>
                <w:rFonts w:eastAsiaTheme="minorEastAsia" w:cs="Arial"/>
                <w:color w:val="000000"/>
                <w:sz w:val="22"/>
                <w:szCs w:val="22"/>
              </w:rPr>
              <w:t>42.4</w:t>
            </w:r>
          </w:p>
        </w:tc>
        <w:tc>
          <w:tcPr>
            <w:tcW w:w="1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3AC576" w14:textId="77777777" w:rsidR="00EB749A" w:rsidRPr="00EB749A" w:rsidRDefault="00EB749A" w:rsidP="00EB749A">
            <w:pPr>
              <w:jc w:val="center"/>
              <w:rPr>
                <w:rFonts w:eastAsiaTheme="minorEastAsia" w:cs="Arial"/>
                <w:bCs/>
                <w:color w:val="000000"/>
                <w:sz w:val="22"/>
                <w:szCs w:val="22"/>
              </w:rPr>
            </w:pPr>
            <w:r w:rsidRPr="00EB749A">
              <w:rPr>
                <w:rFonts w:eastAsiaTheme="minorEastAsia" w:cs="Arial"/>
                <w:bCs/>
                <w:color w:val="000000"/>
                <w:sz w:val="22"/>
                <w:szCs w:val="22"/>
              </w:rPr>
              <w:t>Medium</w:t>
            </w:r>
          </w:p>
        </w:tc>
      </w:tr>
      <w:tr w:rsidR="00EB749A" w:rsidRPr="00EB749A" w14:paraId="75FC83D9" w14:textId="77777777" w:rsidTr="006612E9">
        <w:trPr>
          <w:trHeight w:val="288"/>
        </w:trPr>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D6A0D" w14:textId="77777777" w:rsidR="00EB749A" w:rsidRPr="00EB749A" w:rsidRDefault="00EB749A" w:rsidP="00EB749A">
            <w:pPr>
              <w:jc w:val="center"/>
              <w:rPr>
                <w:rFonts w:eastAsiaTheme="minorEastAsia" w:cs="Arial"/>
                <w:b/>
                <w:bCs/>
                <w:color w:val="000000"/>
                <w:sz w:val="22"/>
                <w:szCs w:val="22"/>
              </w:rPr>
            </w:pPr>
            <w:r w:rsidRPr="00EB749A">
              <w:rPr>
                <w:rFonts w:eastAsiaTheme="minorEastAsia" w:cs="Arial"/>
                <w:b/>
                <w:bCs/>
                <w:color w:val="000000"/>
                <w:sz w:val="22"/>
                <w:szCs w:val="22"/>
              </w:rPr>
              <w:t>60</w:t>
            </w:r>
          </w:p>
        </w:tc>
        <w:tc>
          <w:tcPr>
            <w:tcW w:w="2639"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1F5A3CCE" w14:textId="77777777" w:rsidR="00EB749A" w:rsidRPr="00EB749A" w:rsidRDefault="00EB749A" w:rsidP="00EB749A">
            <w:pPr>
              <w:jc w:val="center"/>
              <w:rPr>
                <w:rFonts w:eastAsiaTheme="minorEastAsia" w:cs="Arial"/>
                <w:color w:val="000000"/>
                <w:sz w:val="22"/>
                <w:szCs w:val="22"/>
              </w:rPr>
            </w:pPr>
            <w:r w:rsidRPr="00EB749A">
              <w:rPr>
                <w:rFonts w:eastAsiaTheme="minorEastAsia" w:cs="Arial"/>
                <w:color w:val="000000"/>
                <w:sz w:val="22"/>
                <w:szCs w:val="22"/>
              </w:rPr>
              <w:t>45.2</w:t>
            </w:r>
          </w:p>
        </w:tc>
        <w:tc>
          <w:tcPr>
            <w:tcW w:w="1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DB7AA2" w14:textId="77777777" w:rsidR="00EB749A" w:rsidRPr="00EB749A" w:rsidRDefault="00EB749A" w:rsidP="00EB749A">
            <w:pPr>
              <w:jc w:val="center"/>
              <w:rPr>
                <w:rFonts w:eastAsiaTheme="minorEastAsia" w:cs="Arial"/>
                <w:bCs/>
                <w:color w:val="FFFFFF"/>
                <w:sz w:val="22"/>
                <w:szCs w:val="22"/>
              </w:rPr>
            </w:pPr>
            <w:r w:rsidRPr="00EB749A">
              <w:rPr>
                <w:rFonts w:eastAsiaTheme="minorEastAsia" w:cs="Arial"/>
                <w:bCs/>
                <w:color w:val="000000"/>
                <w:sz w:val="22"/>
                <w:szCs w:val="22"/>
              </w:rPr>
              <w:t>Medium</w:t>
            </w:r>
          </w:p>
        </w:tc>
      </w:tr>
      <w:tr w:rsidR="00EB749A" w:rsidRPr="00EB749A" w14:paraId="285D1977" w14:textId="77777777" w:rsidTr="006612E9">
        <w:trPr>
          <w:trHeight w:val="288"/>
        </w:trPr>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5B045B" w14:textId="77777777" w:rsidR="00EB749A" w:rsidRPr="00EB749A" w:rsidRDefault="00EB749A" w:rsidP="00EB749A">
            <w:pPr>
              <w:jc w:val="center"/>
              <w:rPr>
                <w:rFonts w:eastAsiaTheme="minorEastAsia" w:cs="Arial"/>
                <w:b/>
                <w:bCs/>
                <w:color w:val="000000"/>
                <w:sz w:val="22"/>
                <w:szCs w:val="22"/>
              </w:rPr>
            </w:pPr>
            <w:r w:rsidRPr="00EB749A">
              <w:rPr>
                <w:rFonts w:eastAsiaTheme="minorEastAsia" w:cs="Arial"/>
                <w:b/>
                <w:bCs/>
                <w:color w:val="000000"/>
                <w:sz w:val="22"/>
                <w:szCs w:val="22"/>
              </w:rPr>
              <w:t>65</w:t>
            </w:r>
          </w:p>
        </w:tc>
        <w:tc>
          <w:tcPr>
            <w:tcW w:w="2639"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05C2FFE3" w14:textId="77777777" w:rsidR="00EB749A" w:rsidRPr="00EB749A" w:rsidRDefault="00EB749A" w:rsidP="00EB749A">
            <w:pPr>
              <w:jc w:val="center"/>
              <w:rPr>
                <w:rFonts w:eastAsiaTheme="minorEastAsia" w:cs="Arial"/>
                <w:color w:val="000000"/>
                <w:sz w:val="22"/>
                <w:szCs w:val="22"/>
              </w:rPr>
            </w:pPr>
            <w:r w:rsidRPr="00EB749A">
              <w:rPr>
                <w:rFonts w:eastAsiaTheme="minorEastAsia" w:cs="Arial"/>
                <w:color w:val="000000"/>
                <w:sz w:val="22"/>
                <w:szCs w:val="22"/>
              </w:rPr>
              <w:t>47.8</w:t>
            </w:r>
          </w:p>
        </w:tc>
        <w:tc>
          <w:tcPr>
            <w:tcW w:w="1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DF5F70" w14:textId="77777777" w:rsidR="00EB749A" w:rsidRPr="00EB749A" w:rsidRDefault="00EB749A" w:rsidP="00EB749A">
            <w:pPr>
              <w:jc w:val="center"/>
              <w:rPr>
                <w:rFonts w:eastAsiaTheme="minorEastAsia" w:cs="Arial"/>
                <w:bCs/>
                <w:color w:val="FFFFFF"/>
                <w:sz w:val="22"/>
                <w:szCs w:val="22"/>
              </w:rPr>
            </w:pPr>
            <w:r w:rsidRPr="00EB749A">
              <w:rPr>
                <w:rFonts w:eastAsiaTheme="minorEastAsia" w:cs="Arial"/>
                <w:bCs/>
                <w:color w:val="000000"/>
                <w:sz w:val="22"/>
                <w:szCs w:val="22"/>
              </w:rPr>
              <w:t>Medium</w:t>
            </w:r>
          </w:p>
        </w:tc>
      </w:tr>
      <w:tr w:rsidR="00EB749A" w:rsidRPr="00EB749A" w14:paraId="7FB1D080" w14:textId="77777777" w:rsidTr="006612E9">
        <w:trPr>
          <w:trHeight w:val="288"/>
        </w:trPr>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A6B28A" w14:textId="77777777" w:rsidR="00EB749A" w:rsidRPr="00EB749A" w:rsidRDefault="00EB749A" w:rsidP="00EB749A">
            <w:pPr>
              <w:jc w:val="center"/>
              <w:rPr>
                <w:rFonts w:eastAsiaTheme="minorEastAsia" w:cs="Arial"/>
                <w:b/>
                <w:bCs/>
                <w:color w:val="000000"/>
                <w:sz w:val="22"/>
                <w:szCs w:val="22"/>
              </w:rPr>
            </w:pPr>
            <w:r w:rsidRPr="00EB749A">
              <w:rPr>
                <w:rFonts w:eastAsiaTheme="minorEastAsia" w:cs="Arial"/>
                <w:b/>
                <w:bCs/>
                <w:color w:val="000000"/>
                <w:sz w:val="22"/>
                <w:szCs w:val="22"/>
              </w:rPr>
              <w:t>70</w:t>
            </w:r>
          </w:p>
        </w:tc>
        <w:tc>
          <w:tcPr>
            <w:tcW w:w="2639"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141C167A" w14:textId="77777777" w:rsidR="00EB749A" w:rsidRPr="00EB749A" w:rsidRDefault="00EB749A" w:rsidP="00EB749A">
            <w:pPr>
              <w:jc w:val="center"/>
              <w:rPr>
                <w:rFonts w:eastAsiaTheme="minorEastAsia" w:cs="Arial"/>
                <w:color w:val="000000"/>
                <w:sz w:val="22"/>
                <w:szCs w:val="22"/>
              </w:rPr>
            </w:pPr>
            <w:r w:rsidRPr="00EB749A">
              <w:rPr>
                <w:rFonts w:eastAsiaTheme="minorEastAsia" w:cs="Arial"/>
                <w:color w:val="000000"/>
                <w:sz w:val="22"/>
                <w:szCs w:val="22"/>
              </w:rPr>
              <w:t>51.2</w:t>
            </w:r>
          </w:p>
        </w:tc>
        <w:tc>
          <w:tcPr>
            <w:tcW w:w="1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96FE98" w14:textId="77777777" w:rsidR="00EB749A" w:rsidRPr="00EB749A" w:rsidRDefault="00EB749A" w:rsidP="00EB749A">
            <w:pPr>
              <w:jc w:val="center"/>
              <w:rPr>
                <w:rFonts w:eastAsiaTheme="minorEastAsia" w:cs="Arial"/>
                <w:bCs/>
                <w:color w:val="FFFFFF"/>
                <w:sz w:val="22"/>
                <w:szCs w:val="22"/>
              </w:rPr>
            </w:pPr>
            <w:r w:rsidRPr="00EB749A">
              <w:rPr>
                <w:rFonts w:eastAsiaTheme="minorEastAsia" w:cs="Arial"/>
                <w:bCs/>
                <w:color w:val="000000"/>
                <w:sz w:val="22"/>
                <w:szCs w:val="22"/>
              </w:rPr>
              <w:t>Medium</w:t>
            </w:r>
          </w:p>
        </w:tc>
      </w:tr>
      <w:tr w:rsidR="00EB749A" w:rsidRPr="00EB749A" w14:paraId="69122AC4" w14:textId="77777777" w:rsidTr="006612E9">
        <w:trPr>
          <w:trHeight w:val="288"/>
        </w:trPr>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98C30C" w14:textId="77777777" w:rsidR="00EB749A" w:rsidRPr="00EB749A" w:rsidRDefault="00EB749A" w:rsidP="00EB749A">
            <w:pPr>
              <w:jc w:val="center"/>
              <w:rPr>
                <w:rFonts w:eastAsiaTheme="minorEastAsia" w:cs="Arial"/>
                <w:b/>
                <w:bCs/>
                <w:color w:val="000000"/>
                <w:sz w:val="22"/>
                <w:szCs w:val="22"/>
              </w:rPr>
            </w:pPr>
            <w:r w:rsidRPr="00EB749A">
              <w:rPr>
                <w:rFonts w:eastAsiaTheme="minorEastAsia" w:cs="Arial"/>
                <w:b/>
                <w:bCs/>
                <w:color w:val="000000"/>
                <w:sz w:val="22"/>
                <w:szCs w:val="22"/>
              </w:rPr>
              <w:t>75</w:t>
            </w:r>
          </w:p>
        </w:tc>
        <w:tc>
          <w:tcPr>
            <w:tcW w:w="2639"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767F89A2" w14:textId="77777777" w:rsidR="00EB749A" w:rsidRPr="00EB749A" w:rsidRDefault="00EB749A" w:rsidP="00EB749A">
            <w:pPr>
              <w:jc w:val="center"/>
              <w:rPr>
                <w:rFonts w:eastAsiaTheme="minorEastAsia" w:cs="Arial"/>
                <w:color w:val="000000"/>
                <w:sz w:val="22"/>
                <w:szCs w:val="22"/>
              </w:rPr>
            </w:pPr>
            <w:r w:rsidRPr="00EB749A">
              <w:rPr>
                <w:rFonts w:eastAsiaTheme="minorEastAsia" w:cs="Arial"/>
                <w:color w:val="000000"/>
                <w:sz w:val="22"/>
                <w:szCs w:val="22"/>
              </w:rPr>
              <w:t>54.4</w:t>
            </w:r>
          </w:p>
        </w:tc>
        <w:tc>
          <w:tcPr>
            <w:tcW w:w="1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D009BC" w14:textId="77777777" w:rsidR="00EB749A" w:rsidRPr="00EB749A" w:rsidRDefault="00EB749A" w:rsidP="00EB749A">
            <w:pPr>
              <w:jc w:val="center"/>
              <w:rPr>
                <w:rFonts w:eastAsiaTheme="minorEastAsia" w:cs="Arial"/>
                <w:bCs/>
                <w:color w:val="FFFFFF"/>
                <w:sz w:val="22"/>
                <w:szCs w:val="22"/>
              </w:rPr>
            </w:pPr>
            <w:r w:rsidRPr="00EB749A">
              <w:rPr>
                <w:rFonts w:eastAsiaTheme="minorEastAsia" w:cs="Arial"/>
                <w:bCs/>
                <w:color w:val="000000"/>
                <w:sz w:val="22"/>
                <w:szCs w:val="22"/>
              </w:rPr>
              <w:t>Medium</w:t>
            </w:r>
          </w:p>
        </w:tc>
      </w:tr>
      <w:tr w:rsidR="00EB749A" w:rsidRPr="00EB749A" w14:paraId="52F62BD0" w14:textId="77777777" w:rsidTr="006612E9">
        <w:trPr>
          <w:trHeight w:val="288"/>
        </w:trPr>
        <w:tc>
          <w:tcPr>
            <w:tcW w:w="1000" w:type="pct"/>
            <w:tcBorders>
              <w:top w:val="single" w:sz="4" w:space="0" w:color="auto"/>
              <w:left w:val="single" w:sz="4" w:space="0" w:color="auto"/>
              <w:bottom w:val="single" w:sz="4" w:space="0" w:color="auto"/>
              <w:right w:val="single" w:sz="4" w:space="0" w:color="auto"/>
            </w:tcBorders>
            <w:shd w:val="clear" w:color="auto" w:fill="auto"/>
          </w:tcPr>
          <w:p w14:paraId="78FF8741" w14:textId="77777777" w:rsidR="00EB749A" w:rsidRPr="00EB749A" w:rsidRDefault="00EB749A" w:rsidP="00EB749A">
            <w:pPr>
              <w:jc w:val="center"/>
              <w:rPr>
                <w:rFonts w:eastAsiaTheme="minorEastAsia" w:cs="Arial"/>
                <w:b/>
                <w:bCs/>
                <w:color w:val="000000"/>
                <w:sz w:val="22"/>
                <w:szCs w:val="22"/>
              </w:rPr>
            </w:pPr>
            <w:r w:rsidRPr="00EB749A">
              <w:rPr>
                <w:rFonts w:eastAsiaTheme="minorEastAsia" w:cs="Arial"/>
                <w:b/>
                <w:bCs/>
                <w:color w:val="000000"/>
                <w:sz w:val="22"/>
                <w:szCs w:val="22"/>
              </w:rPr>
              <w:t>75.5</w:t>
            </w:r>
          </w:p>
        </w:tc>
        <w:tc>
          <w:tcPr>
            <w:tcW w:w="2639" w:type="pct"/>
            <w:tcBorders>
              <w:top w:val="single" w:sz="4" w:space="0" w:color="auto"/>
              <w:left w:val="nil"/>
              <w:bottom w:val="single" w:sz="4" w:space="0" w:color="auto"/>
              <w:right w:val="single" w:sz="4" w:space="0" w:color="auto"/>
            </w:tcBorders>
            <w:shd w:val="clear" w:color="auto" w:fill="auto"/>
            <w:vAlign w:val="bottom"/>
          </w:tcPr>
          <w:p w14:paraId="7DF4B196" w14:textId="77777777" w:rsidR="00EB749A" w:rsidRPr="00EB749A" w:rsidRDefault="00EB749A" w:rsidP="00EB749A">
            <w:pPr>
              <w:jc w:val="center"/>
              <w:rPr>
                <w:rFonts w:eastAsiaTheme="minorEastAsia" w:cs="Arial"/>
                <w:b/>
                <w:color w:val="000000"/>
                <w:sz w:val="22"/>
                <w:szCs w:val="22"/>
              </w:rPr>
            </w:pPr>
            <w:r w:rsidRPr="00EB749A">
              <w:rPr>
                <w:rFonts w:eastAsiaTheme="minorEastAsia" w:cs="Arial"/>
                <w:b/>
                <w:color w:val="000000"/>
                <w:sz w:val="22"/>
                <w:szCs w:val="22"/>
              </w:rPr>
              <w:t>55.0</w:t>
            </w:r>
          </w:p>
        </w:tc>
        <w:tc>
          <w:tcPr>
            <w:tcW w:w="1361" w:type="pct"/>
            <w:tcBorders>
              <w:top w:val="single" w:sz="4" w:space="0" w:color="auto"/>
              <w:left w:val="single" w:sz="4" w:space="0" w:color="auto"/>
              <w:bottom w:val="single" w:sz="4" w:space="0" w:color="auto"/>
              <w:right w:val="single" w:sz="4" w:space="0" w:color="auto"/>
            </w:tcBorders>
            <w:shd w:val="clear" w:color="auto" w:fill="auto"/>
            <w:vAlign w:val="center"/>
          </w:tcPr>
          <w:p w14:paraId="2F4DB3C4" w14:textId="77777777" w:rsidR="00EB749A" w:rsidRPr="00EB749A" w:rsidRDefault="00EB749A" w:rsidP="00EB749A">
            <w:pPr>
              <w:jc w:val="center"/>
              <w:rPr>
                <w:rFonts w:eastAsiaTheme="minorEastAsia" w:cs="Arial"/>
                <w:bCs/>
                <w:color w:val="FFFFFF"/>
                <w:sz w:val="22"/>
                <w:szCs w:val="22"/>
              </w:rPr>
            </w:pPr>
            <w:r w:rsidRPr="00EB749A">
              <w:rPr>
                <w:rFonts w:eastAsiaTheme="minorEastAsia" w:cs="Arial"/>
                <w:bCs/>
                <w:color w:val="000000"/>
                <w:sz w:val="22"/>
                <w:szCs w:val="22"/>
              </w:rPr>
              <w:t>High</w:t>
            </w:r>
          </w:p>
        </w:tc>
      </w:tr>
      <w:tr w:rsidR="00EB749A" w:rsidRPr="00EB749A" w14:paraId="005FDF34" w14:textId="77777777" w:rsidTr="006612E9">
        <w:trPr>
          <w:trHeight w:val="288"/>
        </w:trPr>
        <w:tc>
          <w:tcPr>
            <w:tcW w:w="1000" w:type="pct"/>
            <w:tcBorders>
              <w:top w:val="single" w:sz="4" w:space="0" w:color="auto"/>
              <w:left w:val="single" w:sz="4" w:space="0" w:color="auto"/>
              <w:bottom w:val="single" w:sz="4" w:space="0" w:color="auto"/>
              <w:right w:val="single" w:sz="4" w:space="0" w:color="auto"/>
            </w:tcBorders>
            <w:shd w:val="clear" w:color="auto" w:fill="auto"/>
          </w:tcPr>
          <w:p w14:paraId="48FB9A96" w14:textId="77777777" w:rsidR="00EB749A" w:rsidRPr="00EB749A" w:rsidRDefault="00EB749A" w:rsidP="00EB749A">
            <w:pPr>
              <w:jc w:val="center"/>
              <w:rPr>
                <w:rFonts w:eastAsiaTheme="minorEastAsia" w:cs="Arial"/>
                <w:b/>
                <w:bCs/>
                <w:color w:val="000000"/>
                <w:sz w:val="22"/>
                <w:szCs w:val="22"/>
              </w:rPr>
            </w:pPr>
            <w:r w:rsidRPr="00EB749A">
              <w:rPr>
                <w:rFonts w:eastAsiaTheme="minorEastAsia" w:cs="Arial"/>
                <w:b/>
                <w:bCs/>
                <w:color w:val="000000"/>
                <w:sz w:val="22"/>
                <w:szCs w:val="22"/>
              </w:rPr>
              <w:t>80</w:t>
            </w:r>
          </w:p>
        </w:tc>
        <w:tc>
          <w:tcPr>
            <w:tcW w:w="2639" w:type="pct"/>
            <w:tcBorders>
              <w:top w:val="single" w:sz="4" w:space="0" w:color="auto"/>
              <w:left w:val="nil"/>
              <w:bottom w:val="single" w:sz="4" w:space="0" w:color="auto"/>
              <w:right w:val="single" w:sz="4" w:space="0" w:color="auto"/>
            </w:tcBorders>
            <w:shd w:val="clear" w:color="auto" w:fill="auto"/>
            <w:vAlign w:val="bottom"/>
          </w:tcPr>
          <w:p w14:paraId="77664607" w14:textId="77777777" w:rsidR="00EB749A" w:rsidRPr="00EB749A" w:rsidRDefault="00EB749A" w:rsidP="00EB749A">
            <w:pPr>
              <w:jc w:val="center"/>
              <w:rPr>
                <w:rFonts w:eastAsiaTheme="minorEastAsia" w:cs="Arial"/>
                <w:color w:val="000000"/>
                <w:sz w:val="22"/>
                <w:szCs w:val="22"/>
              </w:rPr>
            </w:pPr>
            <w:r w:rsidRPr="00EB749A">
              <w:rPr>
                <w:rFonts w:eastAsiaTheme="minorEastAsia" w:cs="Arial"/>
                <w:color w:val="000000"/>
                <w:sz w:val="22"/>
                <w:szCs w:val="22"/>
              </w:rPr>
              <w:t>58.0</w:t>
            </w:r>
          </w:p>
        </w:tc>
        <w:tc>
          <w:tcPr>
            <w:tcW w:w="1361" w:type="pct"/>
            <w:tcBorders>
              <w:top w:val="single" w:sz="4" w:space="0" w:color="auto"/>
              <w:left w:val="single" w:sz="4" w:space="0" w:color="auto"/>
              <w:bottom w:val="single" w:sz="4" w:space="0" w:color="auto"/>
              <w:right w:val="single" w:sz="4" w:space="0" w:color="auto"/>
            </w:tcBorders>
            <w:shd w:val="clear" w:color="auto" w:fill="auto"/>
            <w:vAlign w:val="center"/>
          </w:tcPr>
          <w:p w14:paraId="29997D12" w14:textId="77777777" w:rsidR="00EB749A" w:rsidRPr="00EB749A" w:rsidRDefault="00EB749A" w:rsidP="00EB749A">
            <w:pPr>
              <w:jc w:val="center"/>
              <w:rPr>
                <w:rFonts w:eastAsiaTheme="minorEastAsia" w:cs="Arial"/>
                <w:bCs/>
                <w:color w:val="FFFFFF"/>
                <w:sz w:val="22"/>
                <w:szCs w:val="22"/>
              </w:rPr>
            </w:pPr>
            <w:r w:rsidRPr="00EB749A">
              <w:rPr>
                <w:rFonts w:eastAsiaTheme="minorEastAsia" w:cs="Arial"/>
                <w:bCs/>
                <w:color w:val="000000"/>
                <w:sz w:val="22"/>
                <w:szCs w:val="22"/>
              </w:rPr>
              <w:t>High</w:t>
            </w:r>
          </w:p>
        </w:tc>
      </w:tr>
      <w:tr w:rsidR="00EB749A" w:rsidRPr="00EB749A" w14:paraId="57376BC8" w14:textId="77777777" w:rsidTr="006612E9">
        <w:trPr>
          <w:trHeight w:val="288"/>
        </w:trPr>
        <w:tc>
          <w:tcPr>
            <w:tcW w:w="1000" w:type="pct"/>
            <w:tcBorders>
              <w:top w:val="single" w:sz="4" w:space="0" w:color="auto"/>
              <w:left w:val="single" w:sz="4" w:space="0" w:color="auto"/>
              <w:bottom w:val="single" w:sz="4" w:space="0" w:color="auto"/>
              <w:right w:val="single" w:sz="4" w:space="0" w:color="auto"/>
            </w:tcBorders>
            <w:shd w:val="clear" w:color="auto" w:fill="auto"/>
          </w:tcPr>
          <w:p w14:paraId="79028230" w14:textId="77777777" w:rsidR="00EB749A" w:rsidRPr="00EB749A" w:rsidRDefault="00EB749A" w:rsidP="00EB749A">
            <w:pPr>
              <w:jc w:val="center"/>
              <w:rPr>
                <w:rFonts w:eastAsiaTheme="minorEastAsia" w:cs="Arial"/>
                <w:b/>
                <w:bCs/>
                <w:color w:val="000000"/>
                <w:sz w:val="22"/>
                <w:szCs w:val="22"/>
              </w:rPr>
            </w:pPr>
            <w:r w:rsidRPr="00EB749A">
              <w:rPr>
                <w:rFonts w:eastAsiaTheme="minorEastAsia" w:cs="Arial"/>
                <w:b/>
                <w:bCs/>
                <w:color w:val="000000"/>
                <w:sz w:val="22"/>
                <w:szCs w:val="22"/>
              </w:rPr>
              <w:t>83.4</w:t>
            </w:r>
          </w:p>
        </w:tc>
        <w:tc>
          <w:tcPr>
            <w:tcW w:w="2639" w:type="pct"/>
            <w:tcBorders>
              <w:top w:val="single" w:sz="4" w:space="0" w:color="auto"/>
              <w:left w:val="nil"/>
              <w:bottom w:val="single" w:sz="4" w:space="0" w:color="auto"/>
              <w:right w:val="single" w:sz="4" w:space="0" w:color="auto"/>
            </w:tcBorders>
            <w:shd w:val="clear" w:color="auto" w:fill="auto"/>
            <w:vAlign w:val="bottom"/>
          </w:tcPr>
          <w:p w14:paraId="70496366" w14:textId="77777777" w:rsidR="00EB749A" w:rsidRPr="00EB749A" w:rsidRDefault="00EB749A" w:rsidP="00EB749A">
            <w:pPr>
              <w:jc w:val="center"/>
              <w:rPr>
                <w:rFonts w:eastAsiaTheme="minorEastAsia" w:cs="Arial"/>
                <w:bCs/>
                <w:color w:val="000000"/>
                <w:sz w:val="22"/>
                <w:szCs w:val="22"/>
              </w:rPr>
            </w:pPr>
            <w:r w:rsidRPr="00EB749A">
              <w:rPr>
                <w:rFonts w:eastAsiaTheme="minorEastAsia" w:cs="Arial"/>
                <w:bCs/>
                <w:color w:val="000000"/>
                <w:sz w:val="22"/>
                <w:szCs w:val="22"/>
              </w:rPr>
              <w:t>61.4</w:t>
            </w:r>
          </w:p>
        </w:tc>
        <w:tc>
          <w:tcPr>
            <w:tcW w:w="1361" w:type="pct"/>
            <w:tcBorders>
              <w:top w:val="single" w:sz="4" w:space="0" w:color="auto"/>
              <w:left w:val="single" w:sz="4" w:space="0" w:color="auto"/>
              <w:bottom w:val="single" w:sz="4" w:space="0" w:color="auto"/>
              <w:right w:val="single" w:sz="4" w:space="0" w:color="auto"/>
            </w:tcBorders>
            <w:shd w:val="clear" w:color="auto" w:fill="auto"/>
            <w:vAlign w:val="center"/>
          </w:tcPr>
          <w:p w14:paraId="4A7720F0" w14:textId="77777777" w:rsidR="00EB749A" w:rsidRPr="00EB749A" w:rsidRDefault="00EB749A" w:rsidP="00EB749A">
            <w:pPr>
              <w:jc w:val="center"/>
              <w:rPr>
                <w:rFonts w:eastAsiaTheme="minorEastAsia" w:cs="Arial"/>
                <w:bCs/>
                <w:color w:val="FFFFFF"/>
                <w:sz w:val="22"/>
                <w:szCs w:val="22"/>
              </w:rPr>
            </w:pPr>
            <w:r w:rsidRPr="00EB749A">
              <w:rPr>
                <w:rFonts w:eastAsiaTheme="minorEastAsia" w:cs="Arial"/>
                <w:bCs/>
                <w:color w:val="000000"/>
                <w:sz w:val="22"/>
                <w:szCs w:val="22"/>
              </w:rPr>
              <w:t>High</w:t>
            </w:r>
          </w:p>
        </w:tc>
      </w:tr>
      <w:tr w:rsidR="00EB749A" w:rsidRPr="00EB749A" w14:paraId="1F768296" w14:textId="77777777" w:rsidTr="006612E9">
        <w:trPr>
          <w:trHeight w:val="288"/>
        </w:trPr>
        <w:tc>
          <w:tcPr>
            <w:tcW w:w="1000" w:type="pct"/>
            <w:tcBorders>
              <w:top w:val="single" w:sz="4" w:space="0" w:color="auto"/>
              <w:left w:val="single" w:sz="4" w:space="0" w:color="auto"/>
              <w:bottom w:val="single" w:sz="4" w:space="0" w:color="auto"/>
              <w:right w:val="single" w:sz="4" w:space="0" w:color="auto"/>
            </w:tcBorders>
            <w:shd w:val="clear" w:color="auto" w:fill="auto"/>
          </w:tcPr>
          <w:p w14:paraId="042EB446" w14:textId="77777777" w:rsidR="00EB749A" w:rsidRPr="00EB749A" w:rsidRDefault="00EB749A" w:rsidP="00EB749A">
            <w:pPr>
              <w:jc w:val="center"/>
              <w:rPr>
                <w:rFonts w:eastAsiaTheme="minorEastAsia" w:cs="Arial"/>
                <w:b/>
                <w:bCs/>
                <w:color w:val="000000"/>
                <w:sz w:val="22"/>
                <w:szCs w:val="22"/>
              </w:rPr>
            </w:pPr>
            <w:r w:rsidRPr="00EB749A">
              <w:rPr>
                <w:rFonts w:eastAsiaTheme="minorEastAsia" w:cs="Arial"/>
                <w:b/>
                <w:bCs/>
                <w:color w:val="000000"/>
                <w:sz w:val="22"/>
                <w:szCs w:val="22"/>
              </w:rPr>
              <w:t>85</w:t>
            </w:r>
          </w:p>
        </w:tc>
        <w:tc>
          <w:tcPr>
            <w:tcW w:w="2639" w:type="pct"/>
            <w:tcBorders>
              <w:top w:val="single" w:sz="4" w:space="0" w:color="auto"/>
              <w:left w:val="nil"/>
              <w:bottom w:val="single" w:sz="4" w:space="0" w:color="auto"/>
              <w:right w:val="single" w:sz="4" w:space="0" w:color="auto"/>
            </w:tcBorders>
            <w:shd w:val="clear" w:color="auto" w:fill="auto"/>
            <w:vAlign w:val="bottom"/>
          </w:tcPr>
          <w:p w14:paraId="0EC68207" w14:textId="77777777" w:rsidR="00EB749A" w:rsidRPr="00EB749A" w:rsidRDefault="00EB749A" w:rsidP="00EB749A">
            <w:pPr>
              <w:jc w:val="center"/>
              <w:rPr>
                <w:rFonts w:eastAsiaTheme="minorEastAsia" w:cs="Arial"/>
                <w:color w:val="000000"/>
                <w:sz w:val="22"/>
                <w:szCs w:val="22"/>
              </w:rPr>
            </w:pPr>
            <w:r w:rsidRPr="00EB749A">
              <w:rPr>
                <w:rFonts w:eastAsiaTheme="minorEastAsia" w:cs="Arial"/>
                <w:color w:val="000000"/>
                <w:sz w:val="22"/>
                <w:szCs w:val="22"/>
              </w:rPr>
              <w:t>63.0</w:t>
            </w:r>
          </w:p>
        </w:tc>
        <w:tc>
          <w:tcPr>
            <w:tcW w:w="1361" w:type="pct"/>
            <w:tcBorders>
              <w:top w:val="single" w:sz="4" w:space="0" w:color="auto"/>
              <w:left w:val="single" w:sz="4" w:space="0" w:color="auto"/>
              <w:bottom w:val="single" w:sz="4" w:space="0" w:color="auto"/>
              <w:right w:val="single" w:sz="4" w:space="0" w:color="auto"/>
            </w:tcBorders>
            <w:shd w:val="clear" w:color="auto" w:fill="auto"/>
            <w:vAlign w:val="center"/>
          </w:tcPr>
          <w:p w14:paraId="7076FA8A" w14:textId="77777777" w:rsidR="00EB749A" w:rsidRPr="00EB749A" w:rsidRDefault="00EB749A" w:rsidP="00EB749A">
            <w:pPr>
              <w:jc w:val="center"/>
              <w:rPr>
                <w:rFonts w:eastAsiaTheme="minorEastAsia" w:cs="Arial"/>
                <w:bCs/>
                <w:color w:val="FFFFFF"/>
                <w:sz w:val="22"/>
                <w:szCs w:val="22"/>
              </w:rPr>
            </w:pPr>
            <w:r w:rsidRPr="00EB749A">
              <w:rPr>
                <w:rFonts w:eastAsiaTheme="minorEastAsia" w:cs="Arial"/>
                <w:bCs/>
                <w:color w:val="000000"/>
                <w:sz w:val="22"/>
                <w:szCs w:val="22"/>
              </w:rPr>
              <w:t>High</w:t>
            </w:r>
          </w:p>
        </w:tc>
      </w:tr>
      <w:tr w:rsidR="00EB749A" w:rsidRPr="00EB749A" w14:paraId="0D9B3C2F" w14:textId="77777777" w:rsidTr="006612E9">
        <w:trPr>
          <w:trHeight w:val="288"/>
        </w:trPr>
        <w:tc>
          <w:tcPr>
            <w:tcW w:w="1000" w:type="pct"/>
            <w:tcBorders>
              <w:top w:val="single" w:sz="4" w:space="0" w:color="auto"/>
              <w:left w:val="single" w:sz="4" w:space="0" w:color="auto"/>
              <w:bottom w:val="single" w:sz="4" w:space="0" w:color="auto"/>
              <w:right w:val="single" w:sz="4" w:space="0" w:color="auto"/>
            </w:tcBorders>
            <w:shd w:val="clear" w:color="auto" w:fill="auto"/>
          </w:tcPr>
          <w:p w14:paraId="207C711D" w14:textId="77777777" w:rsidR="00EB749A" w:rsidRPr="00EB749A" w:rsidRDefault="00EB749A" w:rsidP="00EB749A">
            <w:pPr>
              <w:jc w:val="center"/>
              <w:rPr>
                <w:rFonts w:eastAsiaTheme="minorEastAsia" w:cs="Arial"/>
                <w:b/>
                <w:bCs/>
                <w:color w:val="000000"/>
                <w:sz w:val="22"/>
                <w:szCs w:val="22"/>
              </w:rPr>
            </w:pPr>
            <w:r w:rsidRPr="00EB749A">
              <w:rPr>
                <w:rFonts w:eastAsiaTheme="minorEastAsia" w:cs="Arial"/>
                <w:b/>
                <w:bCs/>
                <w:color w:val="000000"/>
                <w:sz w:val="22"/>
                <w:szCs w:val="22"/>
              </w:rPr>
              <w:t>90</w:t>
            </w:r>
          </w:p>
        </w:tc>
        <w:tc>
          <w:tcPr>
            <w:tcW w:w="2639" w:type="pct"/>
            <w:tcBorders>
              <w:top w:val="single" w:sz="4" w:space="0" w:color="auto"/>
              <w:left w:val="nil"/>
              <w:bottom w:val="single" w:sz="4" w:space="0" w:color="auto"/>
              <w:right w:val="single" w:sz="4" w:space="0" w:color="auto"/>
            </w:tcBorders>
            <w:shd w:val="clear" w:color="auto" w:fill="auto"/>
            <w:vAlign w:val="bottom"/>
          </w:tcPr>
          <w:p w14:paraId="610C16FC" w14:textId="77777777" w:rsidR="00EB749A" w:rsidRPr="00EB749A" w:rsidRDefault="00EB749A" w:rsidP="00EB749A">
            <w:pPr>
              <w:jc w:val="center"/>
              <w:rPr>
                <w:rFonts w:eastAsiaTheme="minorEastAsia" w:cs="Arial"/>
                <w:color w:val="000000"/>
                <w:sz w:val="22"/>
                <w:szCs w:val="22"/>
              </w:rPr>
            </w:pPr>
            <w:r w:rsidRPr="00EB749A">
              <w:rPr>
                <w:rFonts w:eastAsiaTheme="minorEastAsia" w:cs="Arial"/>
                <w:color w:val="000000"/>
                <w:sz w:val="22"/>
                <w:szCs w:val="22"/>
              </w:rPr>
              <w:t>68.3</w:t>
            </w:r>
          </w:p>
        </w:tc>
        <w:tc>
          <w:tcPr>
            <w:tcW w:w="1361" w:type="pct"/>
            <w:tcBorders>
              <w:top w:val="single" w:sz="4" w:space="0" w:color="auto"/>
              <w:left w:val="single" w:sz="4" w:space="0" w:color="auto"/>
              <w:bottom w:val="single" w:sz="4" w:space="0" w:color="auto"/>
              <w:right w:val="single" w:sz="4" w:space="0" w:color="auto"/>
            </w:tcBorders>
            <w:shd w:val="clear" w:color="auto" w:fill="auto"/>
            <w:vAlign w:val="center"/>
          </w:tcPr>
          <w:p w14:paraId="27DABD41" w14:textId="77777777" w:rsidR="00EB749A" w:rsidRPr="00EB749A" w:rsidRDefault="00EB749A" w:rsidP="00EB749A">
            <w:pPr>
              <w:jc w:val="center"/>
              <w:rPr>
                <w:rFonts w:eastAsiaTheme="minorEastAsia" w:cs="Arial"/>
                <w:bCs/>
                <w:color w:val="FFFFFF"/>
                <w:sz w:val="22"/>
                <w:szCs w:val="22"/>
              </w:rPr>
            </w:pPr>
            <w:r w:rsidRPr="00EB749A">
              <w:rPr>
                <w:rFonts w:eastAsiaTheme="minorEastAsia" w:cs="Arial"/>
                <w:bCs/>
                <w:color w:val="000000"/>
                <w:sz w:val="22"/>
                <w:szCs w:val="22"/>
              </w:rPr>
              <w:t>High</w:t>
            </w:r>
          </w:p>
        </w:tc>
      </w:tr>
      <w:tr w:rsidR="00EB749A" w:rsidRPr="00EB749A" w14:paraId="61B2A571" w14:textId="77777777" w:rsidTr="006612E9">
        <w:trPr>
          <w:trHeight w:val="288"/>
        </w:trPr>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09B30" w14:textId="77777777" w:rsidR="00EB749A" w:rsidRPr="00EB749A" w:rsidRDefault="00EB749A" w:rsidP="00EB749A">
            <w:pPr>
              <w:jc w:val="center"/>
              <w:rPr>
                <w:rFonts w:eastAsiaTheme="minorEastAsia" w:cs="Arial"/>
                <w:b/>
                <w:bCs/>
                <w:color w:val="000000"/>
                <w:sz w:val="22"/>
                <w:szCs w:val="22"/>
              </w:rPr>
            </w:pPr>
            <w:r w:rsidRPr="00EB749A">
              <w:rPr>
                <w:rFonts w:eastAsiaTheme="minorEastAsia" w:cs="Arial"/>
                <w:b/>
                <w:bCs/>
                <w:color w:val="000000"/>
                <w:sz w:val="22"/>
                <w:szCs w:val="22"/>
              </w:rPr>
              <w:t>91.4</w:t>
            </w:r>
          </w:p>
        </w:tc>
        <w:tc>
          <w:tcPr>
            <w:tcW w:w="2639"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702E382E" w14:textId="77777777" w:rsidR="00EB749A" w:rsidRPr="00EB749A" w:rsidRDefault="00EB749A" w:rsidP="00EB749A">
            <w:pPr>
              <w:jc w:val="center"/>
              <w:rPr>
                <w:rFonts w:eastAsiaTheme="minorEastAsia" w:cs="Arial"/>
                <w:color w:val="000000"/>
                <w:sz w:val="22"/>
                <w:szCs w:val="22"/>
              </w:rPr>
            </w:pPr>
            <w:r w:rsidRPr="00EB749A">
              <w:rPr>
                <w:rFonts w:eastAsiaTheme="minorEastAsia" w:cs="Arial"/>
                <w:b/>
                <w:color w:val="000000"/>
                <w:sz w:val="22"/>
                <w:szCs w:val="22"/>
              </w:rPr>
              <w:t>70.0</w:t>
            </w:r>
          </w:p>
        </w:tc>
        <w:tc>
          <w:tcPr>
            <w:tcW w:w="1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2E424F" w14:textId="77777777" w:rsidR="00EB749A" w:rsidRPr="00EB749A" w:rsidRDefault="00EB749A" w:rsidP="00EB749A">
            <w:pPr>
              <w:jc w:val="center"/>
              <w:rPr>
                <w:rFonts w:eastAsiaTheme="minorEastAsia" w:cs="Arial"/>
                <w:bCs/>
                <w:color w:val="000000"/>
                <w:sz w:val="22"/>
                <w:szCs w:val="22"/>
              </w:rPr>
            </w:pPr>
            <w:r w:rsidRPr="00EB749A">
              <w:rPr>
                <w:rFonts w:eastAsiaTheme="minorEastAsia" w:cs="Arial"/>
                <w:bCs/>
                <w:color w:val="000000"/>
                <w:sz w:val="22"/>
                <w:szCs w:val="22"/>
              </w:rPr>
              <w:t>Very High</w:t>
            </w:r>
          </w:p>
        </w:tc>
      </w:tr>
    </w:tbl>
    <w:p w14:paraId="7395279A" w14:textId="1621269E" w:rsidR="00C34DA1" w:rsidRPr="00AC5E4E" w:rsidRDefault="007D4B18" w:rsidP="004340FE">
      <w:pPr>
        <w:spacing w:before="240" w:after="240"/>
        <w:rPr>
          <w:rFonts w:cs="Arial"/>
          <w:color w:val="000000"/>
        </w:rPr>
      </w:pPr>
      <w:r w:rsidRPr="00AC5E4E">
        <w:t xml:space="preserve">The </w:t>
      </w:r>
      <w:proofErr w:type="gramStart"/>
      <w:r w:rsidRPr="00AC5E4E">
        <w:t>Fall</w:t>
      </w:r>
      <w:proofErr w:type="gramEnd"/>
      <w:r w:rsidRPr="00AC5E4E">
        <w:t xml:space="preserve"> 2017 Dashboard</w:t>
      </w:r>
      <w:r w:rsidR="00C34DA1" w:rsidRPr="00AC5E4E">
        <w:t xml:space="preserve"> reflects data from the Class of 2016</w:t>
      </w:r>
      <w:r w:rsidRPr="00AC5E4E">
        <w:t xml:space="preserve">. Because only one year of Smarter Balanced Summative Assessment results were available for the CCI, only Status was reported for this indicator. </w:t>
      </w:r>
      <w:r w:rsidRPr="00AC5E4E">
        <w:rPr>
          <w:rFonts w:cs="Arial"/>
          <w:color w:val="000000"/>
        </w:rPr>
        <w:t>The CCI reported Status for</w:t>
      </w:r>
      <w:r w:rsidR="00804FD5" w:rsidRPr="00AC5E4E">
        <w:rPr>
          <w:rFonts w:cs="Arial"/>
          <w:color w:val="000000"/>
        </w:rPr>
        <w:t xml:space="preserve"> all students</w:t>
      </w:r>
      <w:r w:rsidR="003A0019">
        <w:rPr>
          <w:rFonts w:cs="Arial"/>
          <w:color w:val="000000"/>
        </w:rPr>
        <w:t>,</w:t>
      </w:r>
      <w:r w:rsidR="00804FD5" w:rsidRPr="00AC5E4E">
        <w:rPr>
          <w:rFonts w:cs="Arial"/>
          <w:color w:val="000000"/>
        </w:rPr>
        <w:t xml:space="preserve"> as well </w:t>
      </w:r>
      <w:r w:rsidR="00804FD5" w:rsidRPr="00AC5E4E">
        <w:rPr>
          <w:rFonts w:cs="Arial"/>
          <w:color w:val="000000"/>
        </w:rPr>
        <w:lastRenderedPageBreak/>
        <w:t xml:space="preserve">as for each student group, </w:t>
      </w:r>
      <w:r w:rsidRPr="00AC5E4E">
        <w:rPr>
          <w:rFonts w:cs="Arial"/>
          <w:color w:val="000000"/>
        </w:rPr>
        <w:t xml:space="preserve">including </w:t>
      </w:r>
      <w:r w:rsidR="00804FD5" w:rsidRPr="00AC5E4E">
        <w:rPr>
          <w:rFonts w:cs="Arial"/>
          <w:color w:val="000000"/>
        </w:rPr>
        <w:t>the number and percent of students in the Class of 2016 who met the “Prepared” level.</w:t>
      </w:r>
    </w:p>
    <w:p w14:paraId="5E92D6F7" w14:textId="5BBF260C" w:rsidR="005C127C" w:rsidRPr="00EC5240" w:rsidRDefault="00804FD5" w:rsidP="004340FE">
      <w:pPr>
        <w:rPr>
          <w:rFonts w:eastAsiaTheme="majorEastAsia" w:cs="Arial"/>
          <w:sz w:val="32"/>
        </w:rPr>
        <w:sectPr w:rsidR="005C127C" w:rsidRPr="00EC5240" w:rsidSect="00841620">
          <w:headerReference w:type="default" r:id="rId18"/>
          <w:pgSz w:w="12240" w:h="15840"/>
          <w:pgMar w:top="720" w:right="1440" w:bottom="1350" w:left="1440" w:header="720" w:footer="720" w:gutter="0"/>
          <w:pgNumType w:start="1"/>
          <w:cols w:space="720"/>
        </w:sectPr>
      </w:pPr>
      <w:r w:rsidRPr="00AC5E4E">
        <w:t xml:space="preserve">To provide additional information to LEAs and schools, the </w:t>
      </w:r>
      <w:r w:rsidRPr="00AC5E4E">
        <w:rPr>
          <w:rFonts w:cs="Arial"/>
        </w:rPr>
        <w:t xml:space="preserve">CDE produced a detailed report that indicated which CCI criteria were met by students in both the </w:t>
      </w:r>
      <w:r w:rsidR="00C34DA1" w:rsidRPr="00AC5E4E">
        <w:rPr>
          <w:rFonts w:cs="Arial"/>
        </w:rPr>
        <w:t>“</w:t>
      </w:r>
      <w:r w:rsidRPr="00AC5E4E">
        <w:rPr>
          <w:rFonts w:cs="Arial"/>
        </w:rPr>
        <w:t>Prepared</w:t>
      </w:r>
      <w:r w:rsidR="00C34DA1" w:rsidRPr="00AC5E4E">
        <w:rPr>
          <w:rFonts w:cs="Arial"/>
        </w:rPr>
        <w:t>”</w:t>
      </w:r>
      <w:r w:rsidRPr="00AC5E4E">
        <w:rPr>
          <w:rFonts w:cs="Arial"/>
        </w:rPr>
        <w:t xml:space="preserve"> and the </w:t>
      </w:r>
      <w:r w:rsidR="00C34DA1" w:rsidRPr="00AC5E4E">
        <w:rPr>
          <w:rFonts w:cs="Arial"/>
        </w:rPr>
        <w:t>“</w:t>
      </w:r>
      <w:r w:rsidRPr="00AC5E4E">
        <w:rPr>
          <w:rFonts w:cs="Arial"/>
        </w:rPr>
        <w:t>Approaching Prepared</w:t>
      </w:r>
      <w:r w:rsidR="00C34DA1" w:rsidRPr="00AC5E4E">
        <w:rPr>
          <w:rFonts w:cs="Arial"/>
        </w:rPr>
        <w:t>”</w:t>
      </w:r>
      <w:r w:rsidRPr="00AC5E4E">
        <w:rPr>
          <w:rFonts w:cs="Arial"/>
        </w:rPr>
        <w:t xml:space="preserve"> Levels. This information was also provided at the student group levels, allowing LEAs and schools to identify which student groups were underrepresented on specific measures of preparedness. These detailed re</w:t>
      </w:r>
      <w:r w:rsidR="003A0019">
        <w:rPr>
          <w:rFonts w:cs="Arial"/>
        </w:rPr>
        <w:t>ports are available on the CDE</w:t>
      </w:r>
      <w:r w:rsidRPr="00AC5E4E">
        <w:rPr>
          <w:rFonts w:cs="Arial"/>
        </w:rPr>
        <w:t xml:space="preserve"> California Accountability Model </w:t>
      </w:r>
      <w:r w:rsidR="003A0019">
        <w:rPr>
          <w:rFonts w:cs="Arial"/>
        </w:rPr>
        <w:t>&amp;</w:t>
      </w:r>
      <w:r w:rsidRPr="00AC5E4E">
        <w:rPr>
          <w:rFonts w:cs="Arial"/>
        </w:rPr>
        <w:t xml:space="preserve"> School Dashboard Web page at </w:t>
      </w:r>
      <w:hyperlink r:id="rId19" w:tooltip="California Accountability Model and School Dashboard" w:history="1">
        <w:r w:rsidRPr="00EC5240">
          <w:rPr>
            <w:rStyle w:val="Hyperlink"/>
            <w:rFonts w:cs="Arial"/>
            <w:bCs/>
          </w:rPr>
          <w:t>https://www6.cde.ca.gov/californiamodel/?indicator=cci</w:t>
        </w:r>
      </w:hyperlink>
      <w:r w:rsidRPr="00EC5240">
        <w:rPr>
          <w:rFonts w:cs="Arial"/>
          <w:bCs/>
          <w:color w:val="663300"/>
        </w:rPr>
        <w:t>.</w:t>
      </w:r>
    </w:p>
    <w:p w14:paraId="424DB439" w14:textId="77777777" w:rsidR="00DA4E95" w:rsidRPr="003A0019" w:rsidRDefault="00804FD5" w:rsidP="00EF4C29">
      <w:pPr>
        <w:pStyle w:val="Heading1"/>
        <w:spacing w:before="0" w:after="240"/>
        <w:jc w:val="center"/>
        <w:rPr>
          <w:rFonts w:ascii="Arial" w:hAnsi="Arial" w:cs="Arial"/>
          <w:b/>
        </w:rPr>
      </w:pPr>
      <w:r w:rsidRPr="003A0019">
        <w:rPr>
          <w:rFonts w:ascii="Arial" w:hAnsi="Arial" w:cs="Arial"/>
          <w:b/>
          <w:color w:val="auto"/>
          <w:sz w:val="40"/>
        </w:rPr>
        <w:lastRenderedPageBreak/>
        <w:t>Attachment 2</w:t>
      </w:r>
      <w:r w:rsidR="00DA4E95" w:rsidRPr="003A0019">
        <w:rPr>
          <w:rFonts w:ascii="Arial" w:hAnsi="Arial" w:cs="Arial"/>
          <w:b/>
          <w:color w:val="auto"/>
          <w:sz w:val="40"/>
        </w:rPr>
        <w:t>: Development of Career Measures for the College/Career Indicator</w:t>
      </w:r>
    </w:p>
    <w:p w14:paraId="550A9289" w14:textId="0F9862A6" w:rsidR="00E97474" w:rsidRPr="00AC5E4E" w:rsidRDefault="00E97474" w:rsidP="00983414">
      <w:pPr>
        <w:spacing w:after="240"/>
      </w:pPr>
      <w:r w:rsidRPr="00AC5E4E">
        <w:t>Beginning in April 2017, the C</w:t>
      </w:r>
      <w:r w:rsidR="00841620" w:rsidRPr="00AC5E4E">
        <w:t>alifornia Department of Education (C</w:t>
      </w:r>
      <w:r w:rsidRPr="00AC5E4E">
        <w:t>DE</w:t>
      </w:r>
      <w:r w:rsidR="00841620" w:rsidRPr="00AC5E4E">
        <w:t>)</w:t>
      </w:r>
      <w:r w:rsidRPr="00AC5E4E">
        <w:t xml:space="preserve"> established the </w:t>
      </w:r>
      <w:r w:rsidR="00481AE3" w:rsidRPr="00AC5E4E">
        <w:t>C</w:t>
      </w:r>
      <w:r w:rsidR="00841620" w:rsidRPr="00AC5E4E">
        <w:t>ollege/Career Indicator (C</w:t>
      </w:r>
      <w:r w:rsidR="00481AE3" w:rsidRPr="00AC5E4E">
        <w:t>CI</w:t>
      </w:r>
      <w:r w:rsidR="00841620" w:rsidRPr="00AC5E4E">
        <w:t>)</w:t>
      </w:r>
      <w:r w:rsidRPr="00AC5E4E">
        <w:t xml:space="preserve"> Work Group to identify and recommend viable career measures for the CCI. The formation of this work group, which </w:t>
      </w:r>
      <w:r w:rsidRPr="00AC5E4E">
        <w:rPr>
          <w:rFonts w:cs="Arial"/>
        </w:rPr>
        <w:t>consists of researchers, business representatives, and</w:t>
      </w:r>
      <w:r w:rsidR="0078126A" w:rsidRPr="00AC5E4E">
        <w:rPr>
          <w:rFonts w:cs="Arial"/>
        </w:rPr>
        <w:t xml:space="preserve"> </w:t>
      </w:r>
      <w:r w:rsidR="00841620" w:rsidRPr="00AC5E4E">
        <w:rPr>
          <w:rFonts w:cs="Arial"/>
        </w:rPr>
        <w:t>Career Technical Education</w:t>
      </w:r>
      <w:r w:rsidR="0078126A" w:rsidRPr="00AC5E4E">
        <w:rPr>
          <w:rFonts w:cs="Arial"/>
        </w:rPr>
        <w:t xml:space="preserve"> </w:t>
      </w:r>
      <w:r w:rsidR="00841620" w:rsidRPr="00AC5E4E">
        <w:rPr>
          <w:rFonts w:cs="Arial"/>
        </w:rPr>
        <w:t xml:space="preserve">(CTE) </w:t>
      </w:r>
      <w:r w:rsidRPr="00AC5E4E">
        <w:rPr>
          <w:rFonts w:cs="Arial"/>
        </w:rPr>
        <w:t xml:space="preserve">subject matter experts throughout the state, </w:t>
      </w:r>
      <w:r w:rsidRPr="00AC5E4E">
        <w:t xml:space="preserve">was in response to the </w:t>
      </w:r>
      <w:r w:rsidR="00841620" w:rsidRPr="00AC5E4E">
        <w:t>State Board of Education’s (</w:t>
      </w:r>
      <w:r w:rsidR="0078126A" w:rsidRPr="00AC5E4E">
        <w:t>S</w:t>
      </w:r>
      <w:r w:rsidRPr="00AC5E4E">
        <w:t>BE’s</w:t>
      </w:r>
      <w:r w:rsidR="00841620" w:rsidRPr="00AC5E4E">
        <w:t>)</w:t>
      </w:r>
      <w:r w:rsidRPr="00AC5E4E">
        <w:t xml:space="preserve"> directive to develop more career measures.</w:t>
      </w:r>
    </w:p>
    <w:p w14:paraId="6B3CD74A" w14:textId="640D4083" w:rsidR="00E97474" w:rsidRPr="00AC5E4E" w:rsidRDefault="00E97474" w:rsidP="00983414">
      <w:pPr>
        <w:spacing w:after="240"/>
      </w:pPr>
      <w:r w:rsidRPr="00AC5E4E">
        <w:rPr>
          <w:rFonts w:cs="Arial"/>
        </w:rPr>
        <w:t>The CCI Work Group met in April, May, and July of 2017. In September 2017, the CCI Work Group recommendations were presented to the SBE (</w:t>
      </w:r>
      <w:hyperlink r:id="rId20" w:tooltip="State Board September Agenda Item" w:history="1">
        <w:r w:rsidRPr="00AC5E4E">
          <w:rPr>
            <w:rStyle w:val="Hyperlink"/>
          </w:rPr>
          <w:t>https://www.cde.ca.gov/be/ag/ag/yr17/documents/sep17item02.doc</w:t>
        </w:r>
      </w:hyperlink>
      <w:r w:rsidRPr="00AC5E4E">
        <w:t>).</w:t>
      </w:r>
    </w:p>
    <w:p w14:paraId="0C52CC66" w14:textId="16B9870E" w:rsidR="00481AE3" w:rsidRPr="00AC5E4E" w:rsidRDefault="00486911" w:rsidP="00983414">
      <w:pPr>
        <w:spacing w:after="240"/>
      </w:pPr>
      <w:r w:rsidRPr="00AC5E4E">
        <w:t>Since the September 2017</w:t>
      </w:r>
      <w:r w:rsidR="00983414">
        <w:t xml:space="preserve"> meeting</w:t>
      </w:r>
      <w:r w:rsidR="00FE25FC" w:rsidRPr="00AC5E4E">
        <w:t>,</w:t>
      </w:r>
      <w:r w:rsidRPr="00AC5E4E">
        <w:t xml:space="preserve"> </w:t>
      </w:r>
      <w:r w:rsidR="002E0E6A" w:rsidRPr="00AC5E4E">
        <w:t>the Analysis, Measurement, and Accountability Reporting Division has collaborat</w:t>
      </w:r>
      <w:r w:rsidR="00C34DA1" w:rsidRPr="00AC5E4E">
        <w:t>ed</w:t>
      </w:r>
      <w:r w:rsidR="002E0E6A" w:rsidRPr="00AC5E4E">
        <w:t xml:space="preserve"> with </w:t>
      </w:r>
      <w:r w:rsidR="00C34DA1" w:rsidRPr="00AC5E4E">
        <w:t xml:space="preserve">other </w:t>
      </w:r>
      <w:r w:rsidR="002E0E6A" w:rsidRPr="00AC5E4E">
        <w:t xml:space="preserve">divisions </w:t>
      </w:r>
      <w:r w:rsidR="00E87D3C" w:rsidRPr="00AC5E4E">
        <w:t xml:space="preserve">across the </w:t>
      </w:r>
      <w:r w:rsidR="00C34DA1" w:rsidRPr="00AC5E4E">
        <w:t xml:space="preserve">CDE </w:t>
      </w:r>
      <w:r w:rsidR="002E0E6A" w:rsidRPr="00AC5E4E">
        <w:t xml:space="preserve">(Career and College Transition, Educational Data Management, Special Education, and Assessment Development and Administration), </w:t>
      </w:r>
      <w:r w:rsidR="00983414">
        <w:t>as well as</w:t>
      </w:r>
      <w:r w:rsidR="00FE25FC" w:rsidRPr="00AC5E4E">
        <w:t xml:space="preserve"> stakeholder groups such as </w:t>
      </w:r>
      <w:r w:rsidR="002E0E6A" w:rsidRPr="00AC5E4E">
        <w:t xml:space="preserve">the CCI Work Group, the Alternative Schools Task Force, and </w:t>
      </w:r>
      <w:r w:rsidR="00E87D3C" w:rsidRPr="00AC5E4E">
        <w:t>the Advisory Commission on Special Education to</w:t>
      </w:r>
      <w:r w:rsidR="00481AE3" w:rsidRPr="00AC5E4E">
        <w:t>:</w:t>
      </w:r>
    </w:p>
    <w:p w14:paraId="1D8888A0" w14:textId="291559B2" w:rsidR="00481AE3" w:rsidRPr="00983414" w:rsidRDefault="00E87D3C" w:rsidP="00484B9C">
      <w:pPr>
        <w:pStyle w:val="ListParagraph"/>
        <w:numPr>
          <w:ilvl w:val="0"/>
          <w:numId w:val="24"/>
        </w:numPr>
        <w:spacing w:after="240"/>
        <w:ind w:left="720"/>
        <w:contextualSpacing w:val="0"/>
        <w:rPr>
          <w:rFonts w:cs="Arial"/>
        </w:rPr>
      </w:pPr>
      <w:r w:rsidRPr="00AC5E4E">
        <w:t>D</w:t>
      </w:r>
      <w:r w:rsidR="0078126A" w:rsidRPr="00AC5E4E">
        <w:t>efin</w:t>
      </w:r>
      <w:r w:rsidRPr="00AC5E4E">
        <w:t>e</w:t>
      </w:r>
      <w:r w:rsidR="0078126A" w:rsidRPr="00AC5E4E">
        <w:t xml:space="preserve"> the </w:t>
      </w:r>
      <w:r w:rsidR="001147C7" w:rsidRPr="00AC5E4E">
        <w:t>career measures</w:t>
      </w:r>
      <w:r w:rsidR="0078126A" w:rsidRPr="00AC5E4E">
        <w:t xml:space="preserve"> </w:t>
      </w:r>
      <w:r w:rsidR="001147C7" w:rsidRPr="00AC5E4E">
        <w:t xml:space="preserve">recommended </w:t>
      </w:r>
      <w:r w:rsidR="0078126A" w:rsidRPr="00AC5E4E">
        <w:t xml:space="preserve">by the CCI Work Group for </w:t>
      </w:r>
      <w:r w:rsidR="00481AE3" w:rsidRPr="00AC5E4E">
        <w:t>collect</w:t>
      </w:r>
      <w:r w:rsidR="001147C7" w:rsidRPr="00AC5E4E">
        <w:t xml:space="preserve">ion </w:t>
      </w:r>
      <w:r w:rsidR="00486911" w:rsidRPr="00AC5E4E">
        <w:t>through the</w:t>
      </w:r>
      <w:r w:rsidR="00654A8C" w:rsidRPr="00AC5E4E">
        <w:t xml:space="preserve"> </w:t>
      </w:r>
      <w:r w:rsidR="00654A8C" w:rsidRPr="00983414">
        <w:rPr>
          <w:rFonts w:cs="Arial"/>
          <w:color w:val="000000"/>
        </w:rPr>
        <w:t>California Longitudinal Pupil Achievement Data System (CALPADS).</w:t>
      </w:r>
    </w:p>
    <w:p w14:paraId="5D71EA1C" w14:textId="0C62DD40" w:rsidR="00724310" w:rsidRPr="00983414" w:rsidRDefault="00E87D3C" w:rsidP="00484B9C">
      <w:pPr>
        <w:pStyle w:val="ListParagraph"/>
        <w:numPr>
          <w:ilvl w:val="0"/>
          <w:numId w:val="24"/>
        </w:numPr>
        <w:spacing w:after="240"/>
        <w:ind w:left="720"/>
        <w:rPr>
          <w:rFonts w:cs="Arial"/>
        </w:rPr>
      </w:pPr>
      <w:r w:rsidRPr="00983414">
        <w:rPr>
          <w:rFonts w:cs="Arial"/>
        </w:rPr>
        <w:t>I</w:t>
      </w:r>
      <w:r w:rsidR="00724310" w:rsidRPr="00983414">
        <w:rPr>
          <w:rFonts w:cs="Arial"/>
        </w:rPr>
        <w:t>dentify career measures specific to Dashboard Alternative Schools Status (DASS) schools.</w:t>
      </w:r>
      <w:r w:rsidR="00177AA7" w:rsidRPr="00983414">
        <w:rPr>
          <w:rFonts w:cs="Arial"/>
        </w:rPr>
        <w:t xml:space="preserve"> The </w:t>
      </w:r>
      <w:r w:rsidR="001E5E27" w:rsidRPr="00983414">
        <w:rPr>
          <w:rFonts w:cs="Arial"/>
        </w:rPr>
        <w:t xml:space="preserve">Alternative Schools </w:t>
      </w:r>
      <w:r w:rsidR="00177AA7" w:rsidRPr="00983414">
        <w:rPr>
          <w:rFonts w:cs="Arial"/>
        </w:rPr>
        <w:t xml:space="preserve">Task Force is a joint project with the John W. Gardner at Stanford University, which is supported </w:t>
      </w:r>
      <w:r w:rsidR="003A0019">
        <w:rPr>
          <w:rFonts w:cs="Arial"/>
        </w:rPr>
        <w:t>by</w:t>
      </w:r>
      <w:r w:rsidR="00177AA7" w:rsidRPr="00983414">
        <w:rPr>
          <w:rFonts w:cs="Arial"/>
        </w:rPr>
        <w:t xml:space="preserve"> a grant from the Stuart Foundation.</w:t>
      </w:r>
    </w:p>
    <w:p w14:paraId="05958223" w14:textId="7432697F" w:rsidR="003F3185" w:rsidRPr="00AC5E4E" w:rsidRDefault="00C34DA1" w:rsidP="00983414">
      <w:pPr>
        <w:spacing w:after="240"/>
        <w:rPr>
          <w:rFonts w:cs="Arial"/>
        </w:rPr>
      </w:pPr>
      <w:r w:rsidRPr="00AC5E4E">
        <w:rPr>
          <w:rFonts w:cs="Arial"/>
        </w:rPr>
        <w:t>C</w:t>
      </w:r>
      <w:r w:rsidR="00724310" w:rsidRPr="00AC5E4E">
        <w:rPr>
          <w:rFonts w:cs="Arial"/>
        </w:rPr>
        <w:t>ollect</w:t>
      </w:r>
      <w:r w:rsidRPr="00AC5E4E">
        <w:rPr>
          <w:rFonts w:cs="Arial"/>
        </w:rPr>
        <w:t>ing</w:t>
      </w:r>
      <w:r w:rsidR="00724310" w:rsidRPr="00AC5E4E">
        <w:rPr>
          <w:rFonts w:cs="Arial"/>
        </w:rPr>
        <w:t xml:space="preserve"> new data</w:t>
      </w:r>
      <w:r w:rsidR="00F67433" w:rsidRPr="00AC5E4E">
        <w:rPr>
          <w:rFonts w:cs="Arial"/>
        </w:rPr>
        <w:t xml:space="preserve"> in CALPADS</w:t>
      </w:r>
      <w:r w:rsidR="00E97474" w:rsidRPr="00AC5E4E">
        <w:rPr>
          <w:rFonts w:cs="Arial"/>
        </w:rPr>
        <w:t xml:space="preserve"> </w:t>
      </w:r>
      <w:r w:rsidRPr="00AC5E4E">
        <w:rPr>
          <w:rFonts w:cs="Arial"/>
        </w:rPr>
        <w:t>requires significant lead time to allow student information system vendors and LEAs to become familiar</w:t>
      </w:r>
      <w:r w:rsidR="00983414">
        <w:rPr>
          <w:rFonts w:cs="Arial"/>
        </w:rPr>
        <w:t xml:space="preserve"> with</w:t>
      </w:r>
      <w:r w:rsidR="003A0019">
        <w:rPr>
          <w:rFonts w:cs="Arial"/>
        </w:rPr>
        <w:t>,</w:t>
      </w:r>
      <w:r w:rsidRPr="00AC5E4E">
        <w:rPr>
          <w:rFonts w:cs="Arial"/>
        </w:rPr>
        <w:t xml:space="preserve"> and implement</w:t>
      </w:r>
      <w:r w:rsidR="003A0019">
        <w:rPr>
          <w:rFonts w:cs="Arial"/>
        </w:rPr>
        <w:t>,</w:t>
      </w:r>
      <w:r w:rsidRPr="00AC5E4E">
        <w:rPr>
          <w:rFonts w:cs="Arial"/>
        </w:rPr>
        <w:t xml:space="preserve"> new data elements in their systems. Accordingly, the CDE is bringing together a </w:t>
      </w:r>
      <w:r w:rsidR="00983414">
        <w:rPr>
          <w:rFonts w:cs="Arial"/>
        </w:rPr>
        <w:t>CCI Work-based Learning sub</w:t>
      </w:r>
      <w:r w:rsidR="008B752B">
        <w:rPr>
          <w:rFonts w:cs="Arial"/>
        </w:rPr>
        <w:t>committee</w:t>
      </w:r>
      <w:r w:rsidR="003A0019">
        <w:rPr>
          <w:rFonts w:cs="Arial"/>
        </w:rPr>
        <w:t>,</w:t>
      </w:r>
      <w:r w:rsidRPr="00AC5E4E">
        <w:rPr>
          <w:rFonts w:cs="Arial"/>
        </w:rPr>
        <w:t xml:space="preserve"> </w:t>
      </w:r>
      <w:r w:rsidR="001E5E27" w:rsidRPr="00AC5E4E">
        <w:rPr>
          <w:rFonts w:cs="Arial"/>
        </w:rPr>
        <w:t>in early March 2018</w:t>
      </w:r>
      <w:r w:rsidR="003A0019">
        <w:rPr>
          <w:rFonts w:cs="Arial"/>
        </w:rPr>
        <w:t>,</w:t>
      </w:r>
      <w:r w:rsidR="001E5E27" w:rsidRPr="00AC5E4E">
        <w:rPr>
          <w:rFonts w:cs="Arial"/>
        </w:rPr>
        <w:t xml:space="preserve"> </w:t>
      </w:r>
      <w:r w:rsidR="00724310" w:rsidRPr="00AC5E4E">
        <w:rPr>
          <w:rFonts w:cs="Arial"/>
        </w:rPr>
        <w:t xml:space="preserve">to review and </w:t>
      </w:r>
      <w:r w:rsidRPr="00AC5E4E">
        <w:rPr>
          <w:rFonts w:cs="Arial"/>
        </w:rPr>
        <w:t xml:space="preserve">provide feedback on </w:t>
      </w:r>
      <w:r w:rsidR="00724310" w:rsidRPr="00AC5E4E">
        <w:rPr>
          <w:rFonts w:cs="Arial"/>
        </w:rPr>
        <w:t>the proposed definitions</w:t>
      </w:r>
      <w:r w:rsidR="00BB18A0" w:rsidRPr="00AC5E4E">
        <w:rPr>
          <w:rFonts w:cs="Arial"/>
        </w:rPr>
        <w:t xml:space="preserve"> for the</w:t>
      </w:r>
      <w:r w:rsidR="005B56DD" w:rsidRPr="00AC5E4E">
        <w:rPr>
          <w:rFonts w:cs="Arial"/>
        </w:rPr>
        <w:t xml:space="preserve"> following</w:t>
      </w:r>
      <w:r w:rsidR="00724310" w:rsidRPr="00AC5E4E">
        <w:rPr>
          <w:rFonts w:cs="Arial"/>
        </w:rPr>
        <w:t xml:space="preserve"> career measures</w:t>
      </w:r>
      <w:r w:rsidR="00BB18A0" w:rsidRPr="00AC5E4E">
        <w:rPr>
          <w:rFonts w:cs="Arial"/>
        </w:rPr>
        <w:t>, which are</w:t>
      </w:r>
      <w:r w:rsidR="005B56DD" w:rsidRPr="00AC5E4E">
        <w:rPr>
          <w:rFonts w:cs="Arial"/>
        </w:rPr>
        <w:t xml:space="preserve"> </w:t>
      </w:r>
      <w:r w:rsidR="00F67433" w:rsidRPr="00AC5E4E">
        <w:rPr>
          <w:rFonts w:cs="Arial"/>
        </w:rPr>
        <w:t>scheduled</w:t>
      </w:r>
      <w:r w:rsidR="005B56DD" w:rsidRPr="00AC5E4E">
        <w:rPr>
          <w:rFonts w:cs="Arial"/>
        </w:rPr>
        <w:t xml:space="preserve"> for inclusion in the CCI</w:t>
      </w:r>
      <w:r w:rsidR="00E97474" w:rsidRPr="00AC5E4E">
        <w:rPr>
          <w:rFonts w:cs="Arial"/>
        </w:rPr>
        <w:t xml:space="preserve"> for the 2019 </w:t>
      </w:r>
      <w:r w:rsidR="003A0019">
        <w:rPr>
          <w:rFonts w:cs="Arial"/>
        </w:rPr>
        <w:t>California School Dashboard (</w:t>
      </w:r>
      <w:r w:rsidR="00E97474" w:rsidRPr="00AC5E4E">
        <w:rPr>
          <w:rFonts w:cs="Arial"/>
        </w:rPr>
        <w:t>Dashboard</w:t>
      </w:r>
      <w:r w:rsidR="003A0019">
        <w:rPr>
          <w:rFonts w:cs="Arial"/>
        </w:rPr>
        <w:t>)</w:t>
      </w:r>
      <w:r w:rsidR="005B56DD" w:rsidRPr="00AC5E4E">
        <w:rPr>
          <w:rFonts w:cs="Arial"/>
        </w:rPr>
        <w:t>:</w:t>
      </w:r>
    </w:p>
    <w:p w14:paraId="53AE3089" w14:textId="77777777" w:rsidR="005B56DD" w:rsidRPr="00AC5E4E" w:rsidRDefault="001B454D" w:rsidP="00484B9C">
      <w:pPr>
        <w:pStyle w:val="ListParagraph"/>
        <w:numPr>
          <w:ilvl w:val="0"/>
          <w:numId w:val="8"/>
        </w:numPr>
        <w:spacing w:after="240"/>
        <w:ind w:left="720"/>
        <w:rPr>
          <w:rFonts w:cs="Arial"/>
        </w:rPr>
      </w:pPr>
      <w:r w:rsidRPr="00AC5E4E">
        <w:t>Leadership/Military Science</w:t>
      </w:r>
    </w:p>
    <w:p w14:paraId="5C88DDF8" w14:textId="77777777" w:rsidR="005B56DD" w:rsidRPr="00AC5E4E" w:rsidRDefault="005B56DD" w:rsidP="00484B9C">
      <w:pPr>
        <w:pStyle w:val="ListParagraph"/>
        <w:numPr>
          <w:ilvl w:val="0"/>
          <w:numId w:val="8"/>
        </w:numPr>
        <w:spacing w:after="240"/>
        <w:ind w:left="720"/>
        <w:rPr>
          <w:rFonts w:cs="Arial"/>
        </w:rPr>
      </w:pPr>
      <w:r w:rsidRPr="00AC5E4E">
        <w:rPr>
          <w:rFonts w:cs="Arial"/>
        </w:rPr>
        <w:t>Pre-Apprenticeship Certificate</w:t>
      </w:r>
    </w:p>
    <w:p w14:paraId="02C78C52" w14:textId="79E65E48" w:rsidR="00724310" w:rsidRPr="00983414" w:rsidRDefault="007811ED" w:rsidP="00484B9C">
      <w:pPr>
        <w:pStyle w:val="ListParagraph"/>
        <w:numPr>
          <w:ilvl w:val="0"/>
          <w:numId w:val="8"/>
        </w:numPr>
        <w:spacing w:after="240"/>
        <w:ind w:left="720"/>
        <w:rPr>
          <w:rFonts w:cs="Arial"/>
        </w:rPr>
      </w:pPr>
      <w:r w:rsidRPr="00983414">
        <w:rPr>
          <w:rFonts w:cs="Arial"/>
        </w:rPr>
        <w:t>Work Force Readiness</w:t>
      </w:r>
      <w:r w:rsidR="005B56DD" w:rsidRPr="00983414">
        <w:rPr>
          <w:rFonts w:cs="Arial"/>
        </w:rPr>
        <w:t xml:space="preserve"> Certificate</w:t>
      </w:r>
    </w:p>
    <w:p w14:paraId="1F8802F2" w14:textId="74F67DF9" w:rsidR="005B56DD" w:rsidRPr="00AC5E4E" w:rsidRDefault="003A0019" w:rsidP="00983414">
      <w:pPr>
        <w:spacing w:after="240"/>
        <w:rPr>
          <w:rFonts w:cs="Arial"/>
        </w:rPr>
      </w:pPr>
      <w:r>
        <w:rPr>
          <w:rFonts w:cs="Arial"/>
        </w:rPr>
        <w:t xml:space="preserve">The </w:t>
      </w:r>
      <w:r w:rsidR="00E87D3C" w:rsidRPr="00AC5E4E">
        <w:rPr>
          <w:rFonts w:cs="Arial"/>
        </w:rPr>
        <w:t>CDE</w:t>
      </w:r>
      <w:r w:rsidR="00F67433" w:rsidRPr="00AC5E4E">
        <w:rPr>
          <w:rFonts w:cs="Arial"/>
        </w:rPr>
        <w:t xml:space="preserve"> </w:t>
      </w:r>
      <w:r w:rsidR="001E5E27" w:rsidRPr="00AC5E4E">
        <w:rPr>
          <w:rFonts w:cs="Arial"/>
        </w:rPr>
        <w:t xml:space="preserve">will be conducting </w:t>
      </w:r>
      <w:r w:rsidR="00F67433" w:rsidRPr="00AC5E4E">
        <w:rPr>
          <w:rFonts w:cs="Arial"/>
        </w:rPr>
        <w:t xml:space="preserve">simulations </w:t>
      </w:r>
      <w:r w:rsidR="001E5E27" w:rsidRPr="00AC5E4E">
        <w:rPr>
          <w:rFonts w:cs="Arial"/>
        </w:rPr>
        <w:t xml:space="preserve">with the 2016–17 graduation cohort data using these </w:t>
      </w:r>
      <w:r w:rsidR="0049606D" w:rsidRPr="00AC5E4E">
        <w:rPr>
          <w:rFonts w:cs="Arial"/>
        </w:rPr>
        <w:t xml:space="preserve">new career measures </w:t>
      </w:r>
      <w:r w:rsidR="005A12D4" w:rsidRPr="00AC5E4E">
        <w:rPr>
          <w:rFonts w:cs="Arial"/>
        </w:rPr>
        <w:t xml:space="preserve">for the 2018 Dashboard </w:t>
      </w:r>
      <w:r w:rsidR="00BB18A0" w:rsidRPr="00AC5E4E">
        <w:rPr>
          <w:rFonts w:cs="Arial"/>
        </w:rPr>
        <w:t xml:space="preserve">for the </w:t>
      </w:r>
      <w:r w:rsidR="001E5E27" w:rsidRPr="00AC5E4E">
        <w:rPr>
          <w:rFonts w:cs="Arial"/>
        </w:rPr>
        <w:t xml:space="preserve">entire </w:t>
      </w:r>
      <w:r w:rsidR="00BB18A0" w:rsidRPr="00AC5E4E">
        <w:rPr>
          <w:rFonts w:cs="Arial"/>
        </w:rPr>
        <w:t>CCI Work Group</w:t>
      </w:r>
      <w:r w:rsidR="001E5E27" w:rsidRPr="00AC5E4E">
        <w:rPr>
          <w:rFonts w:cs="Arial"/>
        </w:rPr>
        <w:t xml:space="preserve"> to review and provide input</w:t>
      </w:r>
      <w:r>
        <w:rPr>
          <w:rFonts w:cs="Arial"/>
        </w:rPr>
        <w:t xml:space="preserve"> for</w:t>
      </w:r>
      <w:r w:rsidR="005B56DD" w:rsidRPr="00AC5E4E">
        <w:rPr>
          <w:rFonts w:cs="Arial"/>
        </w:rPr>
        <w:t>:</w:t>
      </w:r>
    </w:p>
    <w:p w14:paraId="3FE5C8FE" w14:textId="07399231" w:rsidR="005B56DD" w:rsidRPr="00AC5E4E" w:rsidRDefault="005B56DD" w:rsidP="00983414">
      <w:pPr>
        <w:pStyle w:val="ListParagraph"/>
        <w:numPr>
          <w:ilvl w:val="0"/>
          <w:numId w:val="18"/>
        </w:numPr>
        <w:spacing w:after="240"/>
        <w:rPr>
          <w:rFonts w:cs="Arial"/>
          <w:bCs/>
        </w:rPr>
      </w:pPr>
      <w:r w:rsidRPr="00AC5E4E">
        <w:rPr>
          <w:rFonts w:cs="Arial"/>
          <w:bCs/>
        </w:rPr>
        <w:t xml:space="preserve">Articulated CTE Courses </w:t>
      </w:r>
    </w:p>
    <w:p w14:paraId="1363F3F4" w14:textId="0BE9670D" w:rsidR="005B56DD" w:rsidRPr="00AC5E4E" w:rsidRDefault="007811ED" w:rsidP="00983414">
      <w:pPr>
        <w:pStyle w:val="ListParagraph"/>
        <w:numPr>
          <w:ilvl w:val="0"/>
          <w:numId w:val="18"/>
        </w:numPr>
        <w:spacing w:after="240"/>
        <w:rPr>
          <w:rFonts w:cs="Arial"/>
          <w:bCs/>
        </w:rPr>
      </w:pPr>
      <w:r>
        <w:rPr>
          <w:rFonts w:cs="Arial"/>
        </w:rPr>
        <w:lastRenderedPageBreak/>
        <w:t xml:space="preserve">State Seal of </w:t>
      </w:r>
      <w:proofErr w:type="spellStart"/>
      <w:r>
        <w:rPr>
          <w:rFonts w:cs="Arial"/>
        </w:rPr>
        <w:t>Biliteracy</w:t>
      </w:r>
      <w:proofErr w:type="spellEnd"/>
    </w:p>
    <w:p w14:paraId="00E0E616" w14:textId="6B7F28CA" w:rsidR="007811ED" w:rsidRPr="00983414" w:rsidRDefault="005B56DD" w:rsidP="00983414">
      <w:pPr>
        <w:pStyle w:val="ListParagraph"/>
        <w:numPr>
          <w:ilvl w:val="0"/>
          <w:numId w:val="18"/>
        </w:numPr>
        <w:spacing w:after="240"/>
        <w:rPr>
          <w:rFonts w:cs="Arial"/>
        </w:rPr>
      </w:pPr>
      <w:r w:rsidRPr="00983414">
        <w:rPr>
          <w:color w:val="000000"/>
          <w:lang w:val="en"/>
        </w:rPr>
        <w:t>Golden State Seal Merit Diploma</w:t>
      </w:r>
    </w:p>
    <w:p w14:paraId="685C312A" w14:textId="1C1790A9" w:rsidR="00BB18A0" w:rsidRPr="00AC5E4E" w:rsidRDefault="00BB18A0" w:rsidP="00983414">
      <w:pPr>
        <w:spacing w:after="240"/>
        <w:rPr>
          <w:rFonts w:cs="Arial"/>
        </w:rPr>
      </w:pPr>
      <w:r w:rsidRPr="00AC5E4E">
        <w:rPr>
          <w:rFonts w:cs="Arial"/>
        </w:rPr>
        <w:t xml:space="preserve">CDE staff anticipate </w:t>
      </w:r>
      <w:r w:rsidR="00481AE3" w:rsidRPr="00AC5E4E">
        <w:rPr>
          <w:rFonts w:cs="Arial"/>
        </w:rPr>
        <w:t>that</w:t>
      </w:r>
      <w:r w:rsidR="00E87D3C" w:rsidRPr="00AC5E4E">
        <w:rPr>
          <w:rFonts w:cs="Arial"/>
        </w:rPr>
        <w:t xml:space="preserve"> </w:t>
      </w:r>
      <w:r w:rsidR="0048305F">
        <w:rPr>
          <w:rFonts w:cs="Arial"/>
        </w:rPr>
        <w:t xml:space="preserve">the </w:t>
      </w:r>
      <w:r w:rsidR="00E87D3C" w:rsidRPr="00AC5E4E">
        <w:rPr>
          <w:rFonts w:cs="Arial"/>
        </w:rPr>
        <w:t xml:space="preserve">proposed criteria for </w:t>
      </w:r>
      <w:r w:rsidR="00852F7D">
        <w:rPr>
          <w:rFonts w:cs="Arial"/>
        </w:rPr>
        <w:t xml:space="preserve">the </w:t>
      </w:r>
      <w:r w:rsidR="00E87D3C" w:rsidRPr="00AC5E4E">
        <w:rPr>
          <w:rFonts w:cs="Arial"/>
        </w:rPr>
        <w:t>above measures will be present</w:t>
      </w:r>
      <w:r w:rsidR="001E5E27" w:rsidRPr="00AC5E4E">
        <w:rPr>
          <w:rFonts w:cs="Arial"/>
        </w:rPr>
        <w:t>ed</w:t>
      </w:r>
      <w:r w:rsidR="00E87D3C" w:rsidRPr="00AC5E4E">
        <w:rPr>
          <w:rFonts w:cs="Arial"/>
        </w:rPr>
        <w:t xml:space="preserve"> at the </w:t>
      </w:r>
      <w:r w:rsidR="007B3256" w:rsidRPr="00AC5E4E">
        <w:rPr>
          <w:rFonts w:cs="Arial"/>
        </w:rPr>
        <w:t>July 2018</w:t>
      </w:r>
      <w:r w:rsidR="00EA66B0" w:rsidRPr="00AC5E4E">
        <w:rPr>
          <w:rFonts w:cs="Arial"/>
        </w:rPr>
        <w:t xml:space="preserve"> SBE meeting</w:t>
      </w:r>
      <w:r w:rsidR="00E87D3C" w:rsidRPr="00AC5E4E">
        <w:rPr>
          <w:rFonts w:cs="Arial"/>
        </w:rPr>
        <w:t xml:space="preserve"> for incorporation in the 2018 Dashboard</w:t>
      </w:r>
      <w:r w:rsidRPr="00AC5E4E">
        <w:rPr>
          <w:rFonts w:cs="Arial"/>
        </w:rPr>
        <w:t>.</w:t>
      </w:r>
    </w:p>
    <w:p w14:paraId="5D9B9AFF" w14:textId="330D3FBA" w:rsidR="003F3185" w:rsidRPr="00AC5E4E" w:rsidRDefault="007B3256" w:rsidP="00983414">
      <w:pPr>
        <w:spacing w:after="240"/>
        <w:rPr>
          <w:rFonts w:cs="Arial"/>
        </w:rPr>
      </w:pPr>
      <w:r w:rsidRPr="00AC5E4E">
        <w:rPr>
          <w:rFonts w:cs="Arial"/>
        </w:rPr>
        <w:t xml:space="preserve">An updated three-year plan, which identifies </w:t>
      </w:r>
      <w:r w:rsidR="0048305F">
        <w:rPr>
          <w:rFonts w:cs="Arial"/>
        </w:rPr>
        <w:t xml:space="preserve">the </w:t>
      </w:r>
      <w:r w:rsidRPr="00AC5E4E">
        <w:rPr>
          <w:rFonts w:cs="Arial"/>
        </w:rPr>
        <w:t>CDE’s progress on each b</w:t>
      </w:r>
      <w:r w:rsidR="007D4B18" w:rsidRPr="00AC5E4E">
        <w:rPr>
          <w:rFonts w:cs="Arial"/>
        </w:rPr>
        <w:t>enchmark, is provided in Table 1</w:t>
      </w:r>
      <w:r w:rsidRPr="00AC5E4E">
        <w:rPr>
          <w:rFonts w:cs="Arial"/>
        </w:rPr>
        <w:t xml:space="preserve">. The table shows that the CDE is </w:t>
      </w:r>
      <w:r w:rsidR="001E5E27" w:rsidRPr="00AC5E4E">
        <w:rPr>
          <w:rFonts w:cs="Arial"/>
        </w:rPr>
        <w:t>scheduled</w:t>
      </w:r>
      <w:r w:rsidRPr="00AC5E4E">
        <w:rPr>
          <w:rFonts w:cs="Arial"/>
        </w:rPr>
        <w:t xml:space="preserve"> to meet </w:t>
      </w:r>
      <w:r w:rsidR="00E87D3C" w:rsidRPr="00AC5E4E">
        <w:rPr>
          <w:rFonts w:cs="Arial"/>
        </w:rPr>
        <w:t>most of the initial</w:t>
      </w:r>
      <w:r w:rsidRPr="00AC5E4E">
        <w:rPr>
          <w:rFonts w:cs="Arial"/>
        </w:rPr>
        <w:t xml:space="preserve"> benchmarks set in the three-year plan. In addition,</w:t>
      </w:r>
      <w:r w:rsidR="00E87D3C" w:rsidRPr="00AC5E4E">
        <w:rPr>
          <w:rFonts w:cs="Arial"/>
        </w:rPr>
        <w:t xml:space="preserve"> modified CCI career measures under consideration by the Alternative Schools Task Force for DASS schools is provided in </w:t>
      </w:r>
      <w:r w:rsidR="007D4B18" w:rsidRPr="00AC5E4E">
        <w:rPr>
          <w:rFonts w:cs="Arial"/>
        </w:rPr>
        <w:t>Table 2</w:t>
      </w:r>
      <w:r w:rsidR="0049606D" w:rsidRPr="00AC5E4E">
        <w:rPr>
          <w:rFonts w:cs="Arial"/>
        </w:rPr>
        <w:t>.</w:t>
      </w:r>
    </w:p>
    <w:p w14:paraId="36F58A45" w14:textId="60E101C1" w:rsidR="00484B9C" w:rsidRPr="00484B9C" w:rsidRDefault="008D0FE2" w:rsidP="00484B9C">
      <w:pPr>
        <w:spacing w:after="240"/>
        <w:rPr>
          <w:rFonts w:cs="Arial"/>
        </w:rPr>
      </w:pPr>
      <w:r w:rsidRPr="00AC5E4E">
        <w:rPr>
          <w:rFonts w:cs="Arial"/>
        </w:rPr>
        <w:t>Beginning in f</w:t>
      </w:r>
      <w:r w:rsidR="0049606D" w:rsidRPr="00AC5E4E">
        <w:rPr>
          <w:rFonts w:cs="Arial"/>
        </w:rPr>
        <w:t xml:space="preserve">all 2018, all DASS schools will receive a Dashboard for the first time. They will be held accountable for the same state indicators, although modified measures will be used to more fairly evaluate the success of alternative schools that serve high-risk students. Therefore, </w:t>
      </w:r>
      <w:r w:rsidR="0078126A" w:rsidRPr="00AC5E4E">
        <w:rPr>
          <w:rFonts w:cs="Arial"/>
        </w:rPr>
        <w:t xml:space="preserve">while all of the criteria for the CCI are available for DASS schools, </w:t>
      </w:r>
      <w:r w:rsidR="0049606D" w:rsidRPr="00AC5E4E">
        <w:rPr>
          <w:rFonts w:cs="Arial"/>
        </w:rPr>
        <w:t>modified measures</w:t>
      </w:r>
      <w:r w:rsidR="0078126A" w:rsidRPr="00AC5E4E">
        <w:rPr>
          <w:rFonts w:cs="Arial"/>
        </w:rPr>
        <w:t xml:space="preserve">, which are currently </w:t>
      </w:r>
      <w:r w:rsidR="0049606D" w:rsidRPr="00AC5E4E">
        <w:rPr>
          <w:rFonts w:cs="Arial"/>
        </w:rPr>
        <w:t xml:space="preserve">being developed by the </w:t>
      </w:r>
      <w:r w:rsidR="001E5E27" w:rsidRPr="00AC5E4E">
        <w:rPr>
          <w:rFonts w:cs="Arial"/>
        </w:rPr>
        <w:t xml:space="preserve">Alternative Schools </w:t>
      </w:r>
      <w:r w:rsidR="0049606D" w:rsidRPr="00AC5E4E">
        <w:rPr>
          <w:rFonts w:cs="Arial"/>
        </w:rPr>
        <w:t>Task Force</w:t>
      </w:r>
      <w:r w:rsidR="0078126A" w:rsidRPr="00AC5E4E">
        <w:rPr>
          <w:rFonts w:cs="Arial"/>
        </w:rPr>
        <w:t>, will also be applied to them</w:t>
      </w:r>
      <w:r w:rsidR="0049606D" w:rsidRPr="00AC5E4E">
        <w:rPr>
          <w:rFonts w:cs="Arial"/>
        </w:rPr>
        <w:t>. In July 201</w:t>
      </w:r>
      <w:r w:rsidR="001E5E27" w:rsidRPr="00AC5E4E">
        <w:rPr>
          <w:rFonts w:cs="Arial"/>
        </w:rPr>
        <w:t>7</w:t>
      </w:r>
      <w:r w:rsidR="0049606D" w:rsidRPr="00AC5E4E">
        <w:rPr>
          <w:rFonts w:cs="Arial"/>
        </w:rPr>
        <w:t xml:space="preserve">, the CDE shared with the SBE its work with the </w:t>
      </w:r>
      <w:r w:rsidR="001E5E27" w:rsidRPr="00AC5E4E">
        <w:rPr>
          <w:rFonts w:cs="Arial"/>
        </w:rPr>
        <w:t xml:space="preserve">Alternative Schools </w:t>
      </w:r>
      <w:r w:rsidR="0049606D" w:rsidRPr="00AC5E4E">
        <w:rPr>
          <w:rFonts w:cs="Arial"/>
        </w:rPr>
        <w:t xml:space="preserve">Task Force and its progress in identifying modified methods for DASS schools. At its next </w:t>
      </w:r>
      <w:r w:rsidR="005B56DD" w:rsidRPr="00AC5E4E">
        <w:rPr>
          <w:rFonts w:cs="Arial"/>
        </w:rPr>
        <w:t xml:space="preserve">scheduled </w:t>
      </w:r>
      <w:r w:rsidR="00983414">
        <w:rPr>
          <w:rFonts w:cs="Arial"/>
        </w:rPr>
        <w:t>meeting</w:t>
      </w:r>
      <w:r w:rsidR="0049606D" w:rsidRPr="00AC5E4E">
        <w:rPr>
          <w:rFonts w:cs="Arial"/>
        </w:rPr>
        <w:t xml:space="preserve"> </w:t>
      </w:r>
      <w:r w:rsidR="005B56DD" w:rsidRPr="00AC5E4E">
        <w:rPr>
          <w:rFonts w:cs="Arial"/>
        </w:rPr>
        <w:t>on February 27,</w:t>
      </w:r>
      <w:r w:rsidR="00F67433" w:rsidRPr="00AC5E4E">
        <w:rPr>
          <w:rFonts w:cs="Arial"/>
        </w:rPr>
        <w:t xml:space="preserve"> 2018</w:t>
      </w:r>
      <w:r w:rsidR="0049606D" w:rsidRPr="00AC5E4E">
        <w:rPr>
          <w:rFonts w:cs="Arial"/>
        </w:rPr>
        <w:t xml:space="preserve">, the </w:t>
      </w:r>
      <w:r w:rsidR="001E5E27" w:rsidRPr="00AC5E4E">
        <w:rPr>
          <w:rFonts w:cs="Arial"/>
        </w:rPr>
        <w:t xml:space="preserve">Alternative Schools </w:t>
      </w:r>
      <w:r w:rsidR="0049606D" w:rsidRPr="00AC5E4E">
        <w:rPr>
          <w:rFonts w:cs="Arial"/>
        </w:rPr>
        <w:t xml:space="preserve">Task Force </w:t>
      </w:r>
      <w:r w:rsidR="00F67433" w:rsidRPr="00AC5E4E">
        <w:rPr>
          <w:rFonts w:cs="Arial"/>
        </w:rPr>
        <w:t xml:space="preserve">will review </w:t>
      </w:r>
      <w:r w:rsidR="0049606D" w:rsidRPr="00AC5E4E">
        <w:rPr>
          <w:rFonts w:cs="Arial"/>
        </w:rPr>
        <w:t>modified career measures for the CCI to incorporate</w:t>
      </w:r>
      <w:r w:rsidR="0048305F">
        <w:rPr>
          <w:rFonts w:cs="Arial"/>
        </w:rPr>
        <w:t xml:space="preserve">, if possible, </w:t>
      </w:r>
      <w:r w:rsidR="005D0FE1" w:rsidRPr="00AC5E4E">
        <w:rPr>
          <w:rFonts w:cs="Arial"/>
        </w:rPr>
        <w:t>in the 2019 Dashboard</w:t>
      </w:r>
      <w:r w:rsidR="0049606D" w:rsidRPr="00AC5E4E">
        <w:rPr>
          <w:rFonts w:cs="Arial"/>
        </w:rPr>
        <w:t>:</w:t>
      </w:r>
    </w:p>
    <w:p w14:paraId="08114B07" w14:textId="1734D140" w:rsidR="00EA66B0" w:rsidRPr="00AC5E4E" w:rsidRDefault="003B7ADC" w:rsidP="00983414">
      <w:pPr>
        <w:pStyle w:val="ListParagraph"/>
        <w:numPr>
          <w:ilvl w:val="0"/>
          <w:numId w:val="17"/>
        </w:numPr>
        <w:spacing w:after="240"/>
        <w:contextualSpacing w:val="0"/>
      </w:pPr>
      <w:r w:rsidRPr="00AC5E4E">
        <w:t>Work Experience Education (Exploratory, General, and CTE)</w:t>
      </w:r>
    </w:p>
    <w:p w14:paraId="09F7C38D" w14:textId="262CF67C" w:rsidR="00EA66B0" w:rsidRPr="00AC5E4E" w:rsidRDefault="003B7ADC" w:rsidP="00983414">
      <w:pPr>
        <w:pStyle w:val="ListParagraph"/>
        <w:numPr>
          <w:ilvl w:val="0"/>
          <w:numId w:val="17"/>
        </w:numPr>
        <w:spacing w:after="240"/>
        <w:contextualSpacing w:val="0"/>
      </w:pPr>
      <w:r w:rsidRPr="00AC5E4E">
        <w:t>Leadership/Military Science</w:t>
      </w:r>
    </w:p>
    <w:p w14:paraId="36ED2943" w14:textId="058FDD92" w:rsidR="00EA66B0" w:rsidRPr="00983414" w:rsidRDefault="005D0FE1" w:rsidP="00983414">
      <w:pPr>
        <w:pStyle w:val="ListParagraph"/>
        <w:numPr>
          <w:ilvl w:val="0"/>
          <w:numId w:val="17"/>
        </w:numPr>
        <w:spacing w:after="240"/>
        <w:contextualSpacing w:val="0"/>
        <w:rPr>
          <w:rFonts w:cs="Arial"/>
        </w:rPr>
      </w:pPr>
      <w:r w:rsidRPr="00983414">
        <w:rPr>
          <w:rFonts w:cs="Arial"/>
        </w:rPr>
        <w:t>Work Force Readiness Certificate</w:t>
      </w:r>
    </w:p>
    <w:p w14:paraId="247500D8" w14:textId="22057DDB" w:rsidR="007D4B18" w:rsidRPr="00983414" w:rsidRDefault="005D0FE1" w:rsidP="00983414">
      <w:pPr>
        <w:pStyle w:val="ListParagraph"/>
        <w:numPr>
          <w:ilvl w:val="0"/>
          <w:numId w:val="17"/>
        </w:numPr>
        <w:spacing w:after="240"/>
        <w:contextualSpacing w:val="0"/>
        <w:rPr>
          <w:rFonts w:cs="Arial"/>
        </w:rPr>
      </w:pPr>
      <w:r w:rsidRPr="00983414">
        <w:rPr>
          <w:rFonts w:cs="Arial"/>
        </w:rPr>
        <w:t>Completion of a state or federal job program</w:t>
      </w:r>
    </w:p>
    <w:p w14:paraId="2E156A04" w14:textId="0C65ED64" w:rsidR="00EA66B0" w:rsidRPr="00983414" w:rsidRDefault="005D0FE1" w:rsidP="00983414">
      <w:pPr>
        <w:pStyle w:val="ListParagraph"/>
        <w:numPr>
          <w:ilvl w:val="0"/>
          <w:numId w:val="17"/>
        </w:numPr>
        <w:spacing w:after="240"/>
        <w:contextualSpacing w:val="0"/>
        <w:rPr>
          <w:rFonts w:cs="Arial"/>
        </w:rPr>
      </w:pPr>
      <w:r w:rsidRPr="00983414">
        <w:rPr>
          <w:rFonts w:cs="Arial"/>
        </w:rPr>
        <w:t xml:space="preserve">Completion of Workability courses (limited to students </w:t>
      </w:r>
      <w:r w:rsidR="007811ED" w:rsidRPr="00983414">
        <w:rPr>
          <w:rFonts w:cs="Arial"/>
        </w:rPr>
        <w:t>who have an Individ</w:t>
      </w:r>
      <w:r w:rsidR="0048305F">
        <w:rPr>
          <w:rFonts w:cs="Arial"/>
        </w:rPr>
        <w:t>ualized Education Program [IEP]</w:t>
      </w:r>
      <w:r w:rsidRPr="00983414">
        <w:rPr>
          <w:rFonts w:cs="Arial"/>
        </w:rPr>
        <w:t>)</w:t>
      </w:r>
    </w:p>
    <w:p w14:paraId="7FB22BD9" w14:textId="3D50B9E5" w:rsidR="003B7ADC" w:rsidRPr="00983414" w:rsidRDefault="005D0FE1" w:rsidP="00983414">
      <w:pPr>
        <w:pStyle w:val="ListParagraph"/>
        <w:numPr>
          <w:ilvl w:val="0"/>
          <w:numId w:val="17"/>
        </w:numPr>
        <w:spacing w:after="240"/>
        <w:contextualSpacing w:val="0"/>
        <w:rPr>
          <w:rFonts w:cs="Arial"/>
        </w:rPr>
      </w:pPr>
      <w:r w:rsidRPr="00983414">
        <w:rPr>
          <w:rFonts w:cs="Arial"/>
        </w:rPr>
        <w:t xml:space="preserve">Completion of Workability Work-based learning (limited to students </w:t>
      </w:r>
      <w:r w:rsidR="007811ED" w:rsidRPr="00983414">
        <w:rPr>
          <w:rFonts w:cs="Arial"/>
        </w:rPr>
        <w:t>who have an IEP)</w:t>
      </w:r>
    </w:p>
    <w:p w14:paraId="1F11F258" w14:textId="1D65255D" w:rsidR="003B7ADC" w:rsidRPr="00AC5E4E" w:rsidRDefault="0049606D" w:rsidP="00983414">
      <w:pPr>
        <w:spacing w:after="240"/>
        <w:rPr>
          <w:rFonts w:cs="Arial"/>
        </w:rPr>
      </w:pPr>
      <w:r w:rsidRPr="00AC5E4E">
        <w:rPr>
          <w:rFonts w:cs="Arial"/>
        </w:rPr>
        <w:t xml:space="preserve">These measures are further </w:t>
      </w:r>
      <w:r w:rsidR="007D4B18" w:rsidRPr="00AC5E4E">
        <w:rPr>
          <w:rFonts w:cs="Arial"/>
        </w:rPr>
        <w:t xml:space="preserve">described in Table </w:t>
      </w:r>
      <w:r w:rsidR="00E87D3C" w:rsidRPr="00AC5E4E">
        <w:rPr>
          <w:rFonts w:cs="Arial"/>
        </w:rPr>
        <w:t>2</w:t>
      </w:r>
      <w:r w:rsidRPr="00AC5E4E">
        <w:rPr>
          <w:rFonts w:cs="Arial"/>
        </w:rPr>
        <w:t>.</w:t>
      </w:r>
    </w:p>
    <w:p w14:paraId="01ACF56A" w14:textId="3F19BF46" w:rsidR="005D0FE1" w:rsidRPr="00AC5E4E" w:rsidRDefault="00752D02" w:rsidP="00983414">
      <w:pPr>
        <w:spacing w:after="240"/>
        <w:rPr>
          <w:rFonts w:cs="Arial"/>
        </w:rPr>
      </w:pPr>
      <w:r w:rsidRPr="00AC5E4E">
        <w:rPr>
          <w:rFonts w:cs="Arial"/>
        </w:rPr>
        <w:t xml:space="preserve">Finally, </w:t>
      </w:r>
      <w:r w:rsidR="00E87D3C" w:rsidRPr="00AC5E4E">
        <w:rPr>
          <w:rFonts w:cs="Arial"/>
        </w:rPr>
        <w:t>CDE staff are</w:t>
      </w:r>
      <w:r w:rsidRPr="00AC5E4E">
        <w:rPr>
          <w:rFonts w:cs="Arial"/>
        </w:rPr>
        <w:t xml:space="preserve"> develo</w:t>
      </w:r>
      <w:r w:rsidR="003B7ADC" w:rsidRPr="00AC5E4E">
        <w:rPr>
          <w:rFonts w:cs="Arial"/>
        </w:rPr>
        <w:t>ping an application process for</w:t>
      </w:r>
      <w:r w:rsidRPr="00AC5E4E">
        <w:rPr>
          <w:rFonts w:cs="Arial"/>
        </w:rPr>
        <w:t xml:space="preserve"> Individual Industry Credential</w:t>
      </w:r>
      <w:r w:rsidR="005D0FE1" w:rsidRPr="00AC5E4E">
        <w:rPr>
          <w:rFonts w:cs="Arial"/>
        </w:rPr>
        <w:t>s</w:t>
      </w:r>
      <w:r w:rsidRPr="00AC5E4E">
        <w:rPr>
          <w:rFonts w:cs="Arial"/>
        </w:rPr>
        <w:t>. These stackable credentials, which are earned through passage of assessments at the Beginning Level, Intermediate/Approaching Prepare</w:t>
      </w:r>
      <w:r w:rsidR="0048305F">
        <w:rPr>
          <w:rFonts w:cs="Arial"/>
        </w:rPr>
        <w:t>d</w:t>
      </w:r>
      <w:r w:rsidRPr="00AC5E4E">
        <w:rPr>
          <w:rFonts w:cs="Arial"/>
        </w:rPr>
        <w:t xml:space="preserve"> Level,</w:t>
      </w:r>
      <w:r w:rsidR="0094625D" w:rsidRPr="00AC5E4E">
        <w:rPr>
          <w:rFonts w:cs="Arial"/>
        </w:rPr>
        <w:t xml:space="preserve"> and Advanced/Prepared Level,</w:t>
      </w:r>
      <w:r w:rsidRPr="00AC5E4E">
        <w:rPr>
          <w:rFonts w:cs="Arial"/>
        </w:rPr>
        <w:t xml:space="preserve"> </w:t>
      </w:r>
      <w:r w:rsidR="0094625D" w:rsidRPr="00AC5E4E">
        <w:rPr>
          <w:rFonts w:cs="Arial"/>
        </w:rPr>
        <w:t xml:space="preserve">entail a rigorous and multi-step approval process, which begins at the local level. The assessment is first reviewed by local businesses and industry groups and </w:t>
      </w:r>
      <w:r w:rsidR="00FE25FC" w:rsidRPr="00AC5E4E">
        <w:rPr>
          <w:rFonts w:cs="Arial"/>
        </w:rPr>
        <w:t>then submitted to the district s</w:t>
      </w:r>
      <w:r w:rsidR="0048305F">
        <w:rPr>
          <w:rFonts w:cs="Arial"/>
        </w:rPr>
        <w:t>uperintendent for approval. Once approved, t</w:t>
      </w:r>
      <w:r w:rsidR="0094625D" w:rsidRPr="00AC5E4E">
        <w:rPr>
          <w:rFonts w:cs="Arial"/>
        </w:rPr>
        <w:t xml:space="preserve">he </w:t>
      </w:r>
      <w:r w:rsidR="00983414">
        <w:rPr>
          <w:rFonts w:cs="Arial"/>
        </w:rPr>
        <w:t>s</w:t>
      </w:r>
      <w:r w:rsidR="0094625D" w:rsidRPr="00AC5E4E">
        <w:rPr>
          <w:rFonts w:cs="Arial"/>
        </w:rPr>
        <w:t xml:space="preserve">uperintendent submits the assessment to the CDE, which shares it with </w:t>
      </w:r>
      <w:r w:rsidR="0094625D" w:rsidRPr="00AC5E4E">
        <w:rPr>
          <w:rFonts w:cs="Arial"/>
        </w:rPr>
        <w:lastRenderedPageBreak/>
        <w:t xml:space="preserve">statewide advisory groups that are specific to the industry for which the assessment applies. These groups verify that the assessment meets statewide standards and that successful passage of the assessment will be recognized by the industry as a valid measure of readiness. The </w:t>
      </w:r>
      <w:r w:rsidR="00113071" w:rsidRPr="00AC5E4E">
        <w:rPr>
          <w:rFonts w:cs="Arial"/>
        </w:rPr>
        <w:t>C</w:t>
      </w:r>
      <w:r w:rsidR="001E5E27" w:rsidRPr="00AC5E4E">
        <w:rPr>
          <w:rFonts w:cs="Arial"/>
        </w:rPr>
        <w:t>DE</w:t>
      </w:r>
      <w:r w:rsidR="00113071" w:rsidRPr="00AC5E4E">
        <w:rPr>
          <w:rFonts w:cs="Arial"/>
        </w:rPr>
        <w:t xml:space="preserve"> </w:t>
      </w:r>
      <w:r w:rsidR="0094625D" w:rsidRPr="00AC5E4E">
        <w:rPr>
          <w:rFonts w:cs="Arial"/>
        </w:rPr>
        <w:t>currently has a relationship with the Career and Technical Education Consortium of States and the National Occupational Competency Testing Institute, while districts have a relationship with Precision Exams.</w:t>
      </w:r>
    </w:p>
    <w:p w14:paraId="7AE49D89" w14:textId="59CBB672" w:rsidR="00A24661" w:rsidRPr="00AC5E4E" w:rsidRDefault="0048305F" w:rsidP="00983414">
      <w:pPr>
        <w:spacing w:after="240"/>
        <w:rPr>
          <w:rFonts w:cs="Arial"/>
        </w:rPr>
        <w:sectPr w:rsidR="00A24661" w:rsidRPr="00AC5E4E" w:rsidSect="00D979EA">
          <w:headerReference w:type="default" r:id="rId21"/>
          <w:pgSz w:w="12240" w:h="15840"/>
          <w:pgMar w:top="720" w:right="1440" w:bottom="1440" w:left="1440" w:header="720" w:footer="720" w:gutter="0"/>
          <w:pgNumType w:start="1"/>
          <w:cols w:space="720"/>
        </w:sectPr>
      </w:pPr>
      <w:r>
        <w:rPr>
          <w:rFonts w:cs="Arial"/>
        </w:rPr>
        <w:t xml:space="preserve">The </w:t>
      </w:r>
      <w:r w:rsidR="005D0FE1" w:rsidRPr="00AC5E4E">
        <w:rPr>
          <w:rFonts w:cs="Arial"/>
        </w:rPr>
        <w:t>CDE anticipates that the passage of approved exams will be c</w:t>
      </w:r>
      <w:r w:rsidR="008D0FE2" w:rsidRPr="00AC5E4E">
        <w:rPr>
          <w:rFonts w:cs="Arial"/>
        </w:rPr>
        <w:t>ollected in CALPADS in the 2019–</w:t>
      </w:r>
      <w:r w:rsidR="005D0FE1" w:rsidRPr="00AC5E4E">
        <w:rPr>
          <w:rFonts w:cs="Arial"/>
        </w:rPr>
        <w:t>20 school year.</w:t>
      </w:r>
    </w:p>
    <w:p w14:paraId="59B867DB" w14:textId="32C35F6C" w:rsidR="00A24661" w:rsidRPr="0020372A" w:rsidRDefault="00A24661" w:rsidP="00A368FB">
      <w:pPr>
        <w:spacing w:after="240"/>
        <w:jc w:val="center"/>
        <w:rPr>
          <w:b/>
          <w:bCs/>
          <w:sz w:val="28"/>
          <w:szCs w:val="28"/>
        </w:rPr>
      </w:pPr>
      <w:r w:rsidRPr="0020372A">
        <w:rPr>
          <w:b/>
          <w:bCs/>
          <w:sz w:val="28"/>
          <w:szCs w:val="28"/>
        </w:rPr>
        <w:lastRenderedPageBreak/>
        <w:t xml:space="preserve">Table </w:t>
      </w:r>
      <w:r w:rsidR="007D4B18" w:rsidRPr="0020372A">
        <w:rPr>
          <w:b/>
          <w:bCs/>
          <w:sz w:val="28"/>
          <w:szCs w:val="28"/>
        </w:rPr>
        <w:t>1</w:t>
      </w:r>
      <w:r w:rsidRPr="0020372A">
        <w:rPr>
          <w:b/>
          <w:bCs/>
          <w:sz w:val="28"/>
          <w:szCs w:val="28"/>
        </w:rPr>
        <w:t xml:space="preserve">: </w:t>
      </w:r>
      <w:r w:rsidR="00E13C54" w:rsidRPr="0020372A">
        <w:rPr>
          <w:b/>
          <w:bCs/>
          <w:sz w:val="28"/>
          <w:szCs w:val="28"/>
        </w:rPr>
        <w:t xml:space="preserve">Updated </w:t>
      </w:r>
      <w:r w:rsidRPr="0020372A">
        <w:rPr>
          <w:b/>
          <w:bCs/>
          <w:sz w:val="28"/>
          <w:szCs w:val="28"/>
        </w:rPr>
        <w:t>Timeline for Inclusion of Proposed</w:t>
      </w:r>
      <w:r w:rsidR="00E82E68">
        <w:rPr>
          <w:b/>
          <w:bCs/>
          <w:sz w:val="28"/>
          <w:szCs w:val="28"/>
        </w:rPr>
        <w:t xml:space="preserve"> </w:t>
      </w:r>
      <w:r w:rsidRPr="0020372A">
        <w:rPr>
          <w:b/>
          <w:bCs/>
          <w:sz w:val="28"/>
          <w:szCs w:val="28"/>
        </w:rPr>
        <w:t>Career Measures in the College/Career Indicator</w:t>
      </w:r>
    </w:p>
    <w:tbl>
      <w:tblPr>
        <w:tblStyle w:val="TableGrid5"/>
        <w:tblW w:w="5000" w:type="pct"/>
        <w:tblLook w:val="04A0" w:firstRow="1" w:lastRow="0" w:firstColumn="1" w:lastColumn="0" w:noHBand="0" w:noVBand="1"/>
        <w:tblDescription w:val="Table showing the updated timeline for inclusion of proposed career measures in the College/Career Indicator."/>
      </w:tblPr>
      <w:tblGrid>
        <w:gridCol w:w="2354"/>
        <w:gridCol w:w="1818"/>
        <w:gridCol w:w="1790"/>
        <w:gridCol w:w="4346"/>
        <w:gridCol w:w="2642"/>
      </w:tblGrid>
      <w:tr w:rsidR="00ED7B22" w:rsidRPr="00ED7B22" w14:paraId="5E13A236" w14:textId="77777777" w:rsidTr="00EF4C29">
        <w:trPr>
          <w:tblHeader/>
        </w:trPr>
        <w:tc>
          <w:tcPr>
            <w:tcW w:w="909" w:type="pct"/>
            <w:shd w:val="clear" w:color="auto" w:fill="D9D9D9" w:themeFill="background1" w:themeFillShade="D9"/>
            <w:vAlign w:val="center"/>
          </w:tcPr>
          <w:p w14:paraId="6982329C" w14:textId="77777777" w:rsidR="00ED7B22" w:rsidRPr="00ED7B22" w:rsidRDefault="00ED7B22" w:rsidP="00ED7B22">
            <w:pPr>
              <w:jc w:val="center"/>
              <w:rPr>
                <w:rFonts w:eastAsia="Calibri" w:cs="Arial"/>
                <w:b/>
                <w:sz w:val="22"/>
                <w:szCs w:val="22"/>
              </w:rPr>
            </w:pPr>
            <w:r w:rsidRPr="00ED7B22">
              <w:rPr>
                <w:rFonts w:eastAsia="Calibri" w:cs="Arial"/>
                <w:b/>
                <w:sz w:val="22"/>
                <w:szCs w:val="22"/>
              </w:rPr>
              <w:t>Indicator</w:t>
            </w:r>
          </w:p>
        </w:tc>
        <w:tc>
          <w:tcPr>
            <w:tcW w:w="702" w:type="pct"/>
            <w:shd w:val="clear" w:color="auto" w:fill="D9D9D9" w:themeFill="background1" w:themeFillShade="D9"/>
            <w:vAlign w:val="center"/>
          </w:tcPr>
          <w:p w14:paraId="42DC7E36" w14:textId="77777777" w:rsidR="00ED7B22" w:rsidRPr="00ED7B22" w:rsidRDefault="00ED7B22" w:rsidP="00ED7B22">
            <w:pPr>
              <w:jc w:val="center"/>
              <w:rPr>
                <w:rFonts w:eastAsia="Calibri" w:cs="Arial"/>
                <w:b/>
                <w:sz w:val="22"/>
                <w:szCs w:val="22"/>
              </w:rPr>
            </w:pPr>
            <w:r w:rsidRPr="00ED7B22">
              <w:rPr>
                <w:rFonts w:eastAsia="Calibri" w:cs="Arial"/>
                <w:b/>
                <w:sz w:val="22"/>
                <w:szCs w:val="22"/>
              </w:rPr>
              <w:t>Year of CALPADS Collection</w:t>
            </w:r>
          </w:p>
        </w:tc>
        <w:tc>
          <w:tcPr>
            <w:tcW w:w="691" w:type="pct"/>
            <w:shd w:val="clear" w:color="auto" w:fill="D9D9D9" w:themeFill="background1" w:themeFillShade="D9"/>
            <w:vAlign w:val="center"/>
          </w:tcPr>
          <w:p w14:paraId="1FE2BAE8" w14:textId="77777777" w:rsidR="00ED7B22" w:rsidRPr="00ED7B22" w:rsidRDefault="00ED7B22" w:rsidP="00ED7B22">
            <w:pPr>
              <w:jc w:val="center"/>
              <w:rPr>
                <w:rFonts w:eastAsia="Calibri" w:cs="Arial"/>
                <w:b/>
                <w:sz w:val="22"/>
                <w:szCs w:val="22"/>
              </w:rPr>
            </w:pPr>
            <w:r w:rsidRPr="00ED7B22">
              <w:rPr>
                <w:rFonts w:eastAsia="Calibri" w:cs="Arial"/>
                <w:b/>
                <w:sz w:val="22"/>
                <w:szCs w:val="22"/>
              </w:rPr>
              <w:t>Possible Inclusion in the Dashboard</w:t>
            </w:r>
          </w:p>
        </w:tc>
        <w:tc>
          <w:tcPr>
            <w:tcW w:w="1678" w:type="pct"/>
            <w:shd w:val="clear" w:color="auto" w:fill="D9D9D9" w:themeFill="background1" w:themeFillShade="D9"/>
            <w:vAlign w:val="center"/>
          </w:tcPr>
          <w:p w14:paraId="58290F3A" w14:textId="77777777" w:rsidR="00ED7B22" w:rsidRPr="00ED7B22" w:rsidRDefault="00ED7B22" w:rsidP="00ED7B22">
            <w:pPr>
              <w:jc w:val="center"/>
              <w:rPr>
                <w:rFonts w:eastAsia="Calibri" w:cs="Arial"/>
                <w:b/>
                <w:sz w:val="22"/>
                <w:szCs w:val="22"/>
              </w:rPr>
            </w:pPr>
            <w:r w:rsidRPr="00ED7B22">
              <w:rPr>
                <w:rFonts w:eastAsia="Calibri" w:cs="Arial"/>
                <w:b/>
                <w:sz w:val="22"/>
                <w:szCs w:val="22"/>
              </w:rPr>
              <w:t>Comments</w:t>
            </w:r>
          </w:p>
        </w:tc>
        <w:tc>
          <w:tcPr>
            <w:tcW w:w="1020" w:type="pct"/>
            <w:shd w:val="clear" w:color="auto" w:fill="D9D9D9" w:themeFill="background1" w:themeFillShade="D9"/>
            <w:vAlign w:val="center"/>
          </w:tcPr>
          <w:p w14:paraId="3A39FFB5" w14:textId="77777777" w:rsidR="00ED7B22" w:rsidRPr="00ED7B22" w:rsidRDefault="00ED7B22" w:rsidP="00ED7B22">
            <w:pPr>
              <w:jc w:val="center"/>
              <w:rPr>
                <w:rFonts w:eastAsia="Calibri" w:cs="Arial"/>
                <w:b/>
                <w:sz w:val="22"/>
                <w:szCs w:val="22"/>
              </w:rPr>
            </w:pPr>
            <w:r w:rsidRPr="00ED7B22">
              <w:rPr>
                <w:rFonts w:eastAsia="Calibri" w:cs="Arial"/>
                <w:b/>
                <w:sz w:val="22"/>
                <w:szCs w:val="22"/>
              </w:rPr>
              <w:t>Current Status of Including in Dashboard</w:t>
            </w:r>
          </w:p>
        </w:tc>
      </w:tr>
      <w:tr w:rsidR="00ED7B22" w:rsidRPr="00ED7B22" w14:paraId="55051EAC" w14:textId="77777777" w:rsidTr="00EF4C29">
        <w:tc>
          <w:tcPr>
            <w:tcW w:w="909" w:type="pct"/>
            <w:shd w:val="clear" w:color="auto" w:fill="auto"/>
          </w:tcPr>
          <w:p w14:paraId="3242DB31" w14:textId="77777777" w:rsidR="00ED7B22" w:rsidRPr="00ED7B22" w:rsidRDefault="00ED7B22" w:rsidP="00ED7B22">
            <w:pPr>
              <w:rPr>
                <w:rFonts w:eastAsia="Calibri" w:cs="Arial"/>
                <w:sz w:val="22"/>
                <w:szCs w:val="22"/>
              </w:rPr>
            </w:pPr>
            <w:r w:rsidRPr="00ED7B22">
              <w:rPr>
                <w:rFonts w:eastAsia="Calibri" w:cs="Arial"/>
                <w:sz w:val="22"/>
                <w:szCs w:val="22"/>
              </w:rPr>
              <w:t xml:space="preserve">State Seal of </w:t>
            </w:r>
            <w:proofErr w:type="spellStart"/>
            <w:r w:rsidRPr="00ED7B22">
              <w:rPr>
                <w:rFonts w:eastAsia="Calibri" w:cs="Arial"/>
                <w:sz w:val="22"/>
                <w:szCs w:val="22"/>
              </w:rPr>
              <w:t>Biliteracy</w:t>
            </w:r>
            <w:proofErr w:type="spellEnd"/>
            <w:r w:rsidRPr="00ED7B22">
              <w:rPr>
                <w:rFonts w:eastAsia="Calibri" w:cs="Arial"/>
                <w:sz w:val="22"/>
                <w:szCs w:val="22"/>
              </w:rPr>
              <w:t xml:space="preserve"> </w:t>
            </w:r>
          </w:p>
        </w:tc>
        <w:tc>
          <w:tcPr>
            <w:tcW w:w="702" w:type="pct"/>
            <w:shd w:val="clear" w:color="auto" w:fill="auto"/>
          </w:tcPr>
          <w:p w14:paraId="49DFBE04" w14:textId="09B4BAEB" w:rsidR="00ED7B22" w:rsidRPr="00ED7B22" w:rsidRDefault="0048305F" w:rsidP="00ED7B22">
            <w:pPr>
              <w:jc w:val="center"/>
              <w:rPr>
                <w:rFonts w:eastAsia="Calibri" w:cs="Arial"/>
                <w:sz w:val="22"/>
                <w:szCs w:val="22"/>
              </w:rPr>
            </w:pPr>
            <w:r>
              <w:rPr>
                <w:rFonts w:eastAsia="Calibri" w:cs="Arial"/>
                <w:sz w:val="22"/>
                <w:szCs w:val="22"/>
              </w:rPr>
              <w:t xml:space="preserve">Summer </w:t>
            </w:r>
            <w:r w:rsidR="00ED7B22" w:rsidRPr="00ED7B22">
              <w:rPr>
                <w:rFonts w:eastAsia="Calibri" w:cs="Arial"/>
                <w:sz w:val="22"/>
                <w:szCs w:val="22"/>
              </w:rPr>
              <w:t>2017</w:t>
            </w:r>
          </w:p>
        </w:tc>
        <w:tc>
          <w:tcPr>
            <w:tcW w:w="691" w:type="pct"/>
            <w:shd w:val="clear" w:color="auto" w:fill="auto"/>
          </w:tcPr>
          <w:p w14:paraId="278989C7" w14:textId="77777777" w:rsidR="00ED7B22" w:rsidRPr="00ED7B22" w:rsidRDefault="00ED7B22" w:rsidP="00ED7B22">
            <w:pPr>
              <w:jc w:val="center"/>
              <w:rPr>
                <w:rFonts w:eastAsia="Calibri" w:cs="Arial"/>
                <w:sz w:val="22"/>
                <w:szCs w:val="22"/>
              </w:rPr>
            </w:pPr>
            <w:r w:rsidRPr="00ED7B22">
              <w:rPr>
                <w:rFonts w:eastAsia="Calibri" w:cs="Arial"/>
                <w:sz w:val="22"/>
                <w:szCs w:val="22"/>
              </w:rPr>
              <w:t>Fall 2018</w:t>
            </w:r>
          </w:p>
        </w:tc>
        <w:tc>
          <w:tcPr>
            <w:tcW w:w="1678" w:type="pct"/>
            <w:shd w:val="clear" w:color="auto" w:fill="auto"/>
          </w:tcPr>
          <w:p w14:paraId="62776777" w14:textId="77777777" w:rsidR="00ED7B22" w:rsidRPr="00ED7B22" w:rsidRDefault="00ED7B22" w:rsidP="00ED7B22">
            <w:pPr>
              <w:rPr>
                <w:rFonts w:eastAsia="Calibri" w:cs="Arial"/>
                <w:sz w:val="22"/>
                <w:szCs w:val="22"/>
              </w:rPr>
            </w:pPr>
            <w:r w:rsidRPr="00ED7B22">
              <w:rPr>
                <w:rFonts w:eastAsia="Calibri" w:cs="Arial"/>
                <w:sz w:val="22"/>
                <w:szCs w:val="22"/>
              </w:rPr>
              <w:t xml:space="preserve">Data collected in the summer of 2017 for the 2017 graduating class. </w:t>
            </w:r>
          </w:p>
        </w:tc>
        <w:tc>
          <w:tcPr>
            <w:tcW w:w="1020" w:type="pct"/>
          </w:tcPr>
          <w:p w14:paraId="19C927B6" w14:textId="5E9C3927" w:rsidR="00ED7B22" w:rsidRPr="00ED7B22" w:rsidRDefault="00ED7B22" w:rsidP="00ED7B22">
            <w:pPr>
              <w:rPr>
                <w:rFonts w:eastAsia="Calibri" w:cs="Arial"/>
                <w:sz w:val="22"/>
                <w:szCs w:val="22"/>
              </w:rPr>
            </w:pPr>
            <w:r w:rsidRPr="00ED7B22">
              <w:rPr>
                <w:rFonts w:eastAsia="Calibri" w:cs="Arial"/>
                <w:sz w:val="22"/>
                <w:szCs w:val="22"/>
              </w:rPr>
              <w:t>On track for inclusion in Fall 2018 Dashboard</w:t>
            </w:r>
            <w:r w:rsidR="0048305F">
              <w:rPr>
                <w:rFonts w:eastAsia="Calibri" w:cs="Arial"/>
                <w:sz w:val="22"/>
                <w:szCs w:val="22"/>
              </w:rPr>
              <w:t>.</w:t>
            </w:r>
          </w:p>
        </w:tc>
      </w:tr>
      <w:tr w:rsidR="00ED7B22" w:rsidRPr="00ED7B22" w14:paraId="4E9FCEE3" w14:textId="77777777" w:rsidTr="00EF4C29">
        <w:tc>
          <w:tcPr>
            <w:tcW w:w="909" w:type="pct"/>
            <w:shd w:val="clear" w:color="auto" w:fill="auto"/>
          </w:tcPr>
          <w:p w14:paraId="4076971C" w14:textId="77777777" w:rsidR="00ED7B22" w:rsidRPr="00ED7B22" w:rsidRDefault="00ED7B22" w:rsidP="00ED7B22">
            <w:pPr>
              <w:rPr>
                <w:rFonts w:eastAsia="Calibri" w:cs="Arial"/>
                <w:sz w:val="22"/>
                <w:szCs w:val="22"/>
              </w:rPr>
            </w:pPr>
            <w:r w:rsidRPr="00ED7B22">
              <w:rPr>
                <w:rFonts w:eastAsia="Calibri" w:cs="Arial"/>
                <w:sz w:val="22"/>
                <w:szCs w:val="22"/>
              </w:rPr>
              <w:t>Articulated CTE Courses</w:t>
            </w:r>
          </w:p>
        </w:tc>
        <w:tc>
          <w:tcPr>
            <w:tcW w:w="702" w:type="pct"/>
            <w:shd w:val="clear" w:color="auto" w:fill="auto"/>
          </w:tcPr>
          <w:p w14:paraId="208FD2DC" w14:textId="2659869B" w:rsidR="00ED7B22" w:rsidRPr="00ED7B22" w:rsidRDefault="0048305F" w:rsidP="00ED7B22">
            <w:pPr>
              <w:jc w:val="center"/>
              <w:rPr>
                <w:rFonts w:eastAsia="Calibri" w:cs="Arial"/>
                <w:sz w:val="22"/>
                <w:szCs w:val="22"/>
              </w:rPr>
            </w:pPr>
            <w:r>
              <w:rPr>
                <w:rFonts w:eastAsia="Calibri" w:cs="Arial"/>
                <w:sz w:val="22"/>
                <w:szCs w:val="22"/>
              </w:rPr>
              <w:t xml:space="preserve">Summer </w:t>
            </w:r>
            <w:r w:rsidRPr="00ED7B22">
              <w:rPr>
                <w:rFonts w:eastAsia="Calibri" w:cs="Arial"/>
                <w:sz w:val="22"/>
                <w:szCs w:val="22"/>
              </w:rPr>
              <w:t>2017</w:t>
            </w:r>
          </w:p>
        </w:tc>
        <w:tc>
          <w:tcPr>
            <w:tcW w:w="691" w:type="pct"/>
            <w:shd w:val="clear" w:color="auto" w:fill="auto"/>
          </w:tcPr>
          <w:p w14:paraId="4898F28D" w14:textId="77777777" w:rsidR="00ED7B22" w:rsidRPr="00ED7B22" w:rsidRDefault="00ED7B22" w:rsidP="00ED7B22">
            <w:pPr>
              <w:jc w:val="center"/>
              <w:rPr>
                <w:rFonts w:eastAsia="Calibri" w:cs="Arial"/>
                <w:sz w:val="22"/>
                <w:szCs w:val="22"/>
              </w:rPr>
            </w:pPr>
            <w:r w:rsidRPr="00ED7B22">
              <w:rPr>
                <w:rFonts w:eastAsia="Calibri" w:cs="Arial"/>
                <w:sz w:val="22"/>
                <w:szCs w:val="22"/>
              </w:rPr>
              <w:t>Fall 2018</w:t>
            </w:r>
          </w:p>
        </w:tc>
        <w:tc>
          <w:tcPr>
            <w:tcW w:w="1678" w:type="pct"/>
            <w:shd w:val="clear" w:color="auto" w:fill="auto"/>
          </w:tcPr>
          <w:p w14:paraId="2E9DE0A4" w14:textId="77777777" w:rsidR="00ED7B22" w:rsidRPr="00ED7B22" w:rsidRDefault="00ED7B22" w:rsidP="00ED7B22">
            <w:pPr>
              <w:rPr>
                <w:rFonts w:eastAsia="Calibri" w:cs="Arial"/>
                <w:sz w:val="22"/>
                <w:szCs w:val="22"/>
              </w:rPr>
            </w:pPr>
            <w:r w:rsidRPr="00ED7B22">
              <w:rPr>
                <w:rFonts w:eastAsia="Calibri" w:cs="Arial"/>
                <w:sz w:val="22"/>
                <w:szCs w:val="22"/>
              </w:rPr>
              <w:t>Data collected in the summer of 2017 for the 2017 graduating class.</w:t>
            </w:r>
          </w:p>
        </w:tc>
        <w:tc>
          <w:tcPr>
            <w:tcW w:w="1020" w:type="pct"/>
          </w:tcPr>
          <w:p w14:paraId="79BFD01D" w14:textId="4FC14A2B" w:rsidR="00ED7B22" w:rsidRPr="00ED7B22" w:rsidRDefault="00ED7B22" w:rsidP="00ED7B22">
            <w:pPr>
              <w:rPr>
                <w:rFonts w:eastAsia="Calibri" w:cs="Arial"/>
                <w:sz w:val="22"/>
                <w:szCs w:val="22"/>
              </w:rPr>
            </w:pPr>
            <w:r w:rsidRPr="00ED7B22">
              <w:rPr>
                <w:rFonts w:eastAsia="Calibri" w:cs="Arial"/>
                <w:sz w:val="22"/>
                <w:szCs w:val="22"/>
              </w:rPr>
              <w:t>On track for inclusion in Fall 2018 Dashboard</w:t>
            </w:r>
            <w:r w:rsidR="0048305F">
              <w:rPr>
                <w:rFonts w:eastAsia="Calibri" w:cs="Arial"/>
                <w:sz w:val="22"/>
                <w:szCs w:val="22"/>
              </w:rPr>
              <w:t>.</w:t>
            </w:r>
          </w:p>
        </w:tc>
      </w:tr>
      <w:tr w:rsidR="00ED7B22" w:rsidRPr="00ED7B22" w14:paraId="7E90E34D" w14:textId="77777777" w:rsidTr="00EF4C29">
        <w:tc>
          <w:tcPr>
            <w:tcW w:w="909" w:type="pct"/>
            <w:shd w:val="clear" w:color="auto" w:fill="auto"/>
          </w:tcPr>
          <w:p w14:paraId="63D0B919" w14:textId="77777777" w:rsidR="00ED7B22" w:rsidRPr="00ED7B22" w:rsidRDefault="00ED7B22" w:rsidP="00ED7B22">
            <w:pPr>
              <w:rPr>
                <w:rFonts w:eastAsia="Calibri" w:cs="Arial"/>
                <w:sz w:val="22"/>
                <w:szCs w:val="22"/>
              </w:rPr>
            </w:pPr>
            <w:r w:rsidRPr="00ED7B22">
              <w:rPr>
                <w:rFonts w:eastAsia="Calibri" w:cs="Arial"/>
                <w:sz w:val="22"/>
                <w:szCs w:val="22"/>
              </w:rPr>
              <w:t>Golden State Seal Merit Diploma</w:t>
            </w:r>
          </w:p>
        </w:tc>
        <w:tc>
          <w:tcPr>
            <w:tcW w:w="702" w:type="pct"/>
            <w:shd w:val="clear" w:color="auto" w:fill="auto"/>
          </w:tcPr>
          <w:p w14:paraId="5959DDBB" w14:textId="7F97A665" w:rsidR="00ED7B22" w:rsidRPr="00ED7B22" w:rsidRDefault="0048305F" w:rsidP="00ED7B22">
            <w:pPr>
              <w:jc w:val="center"/>
              <w:rPr>
                <w:rFonts w:eastAsia="Calibri" w:cs="Arial"/>
                <w:sz w:val="22"/>
                <w:szCs w:val="22"/>
              </w:rPr>
            </w:pPr>
            <w:r>
              <w:rPr>
                <w:rFonts w:eastAsia="Calibri" w:cs="Arial"/>
                <w:sz w:val="22"/>
                <w:szCs w:val="22"/>
              </w:rPr>
              <w:t xml:space="preserve">Summer </w:t>
            </w:r>
            <w:r w:rsidRPr="00ED7B22">
              <w:rPr>
                <w:rFonts w:eastAsia="Calibri" w:cs="Arial"/>
                <w:sz w:val="22"/>
                <w:szCs w:val="22"/>
              </w:rPr>
              <w:t>2017</w:t>
            </w:r>
          </w:p>
        </w:tc>
        <w:tc>
          <w:tcPr>
            <w:tcW w:w="691" w:type="pct"/>
            <w:shd w:val="clear" w:color="auto" w:fill="auto"/>
          </w:tcPr>
          <w:p w14:paraId="679C2D1E" w14:textId="77777777" w:rsidR="00ED7B22" w:rsidRPr="00ED7B22" w:rsidRDefault="00ED7B22" w:rsidP="00ED7B22">
            <w:pPr>
              <w:jc w:val="center"/>
              <w:rPr>
                <w:rFonts w:eastAsia="Calibri" w:cs="Arial"/>
                <w:sz w:val="22"/>
                <w:szCs w:val="22"/>
              </w:rPr>
            </w:pPr>
            <w:r w:rsidRPr="00ED7B22">
              <w:rPr>
                <w:rFonts w:eastAsia="Calibri" w:cs="Arial"/>
                <w:sz w:val="22"/>
                <w:szCs w:val="22"/>
              </w:rPr>
              <w:t>Fall 2018</w:t>
            </w:r>
          </w:p>
        </w:tc>
        <w:tc>
          <w:tcPr>
            <w:tcW w:w="1678" w:type="pct"/>
            <w:shd w:val="clear" w:color="auto" w:fill="auto"/>
          </w:tcPr>
          <w:p w14:paraId="6D7BBE19" w14:textId="77777777" w:rsidR="00ED7B22" w:rsidRPr="00ED7B22" w:rsidRDefault="00ED7B22" w:rsidP="00ED7B22">
            <w:pPr>
              <w:rPr>
                <w:rFonts w:eastAsia="Calibri" w:cs="Arial"/>
                <w:sz w:val="22"/>
                <w:szCs w:val="22"/>
              </w:rPr>
            </w:pPr>
            <w:r w:rsidRPr="00ED7B22">
              <w:rPr>
                <w:rFonts w:eastAsia="Calibri" w:cs="Arial"/>
                <w:sz w:val="22"/>
                <w:szCs w:val="22"/>
              </w:rPr>
              <w:t>Data collected in the summer of 2017 for the 2017 graduating class.</w:t>
            </w:r>
          </w:p>
        </w:tc>
        <w:tc>
          <w:tcPr>
            <w:tcW w:w="1020" w:type="pct"/>
          </w:tcPr>
          <w:p w14:paraId="3F38BBFE" w14:textId="77A1771B" w:rsidR="00ED7B22" w:rsidRPr="00ED7B22" w:rsidRDefault="00ED7B22" w:rsidP="00ED7B22">
            <w:pPr>
              <w:rPr>
                <w:rFonts w:eastAsia="Calibri" w:cs="Arial"/>
                <w:sz w:val="22"/>
                <w:szCs w:val="22"/>
              </w:rPr>
            </w:pPr>
            <w:r w:rsidRPr="00ED7B22">
              <w:rPr>
                <w:rFonts w:eastAsia="Calibri" w:cs="Arial"/>
                <w:sz w:val="22"/>
                <w:szCs w:val="22"/>
              </w:rPr>
              <w:t>On track for inclusion in Fall 2018 Dashboard</w:t>
            </w:r>
            <w:r w:rsidR="0048305F">
              <w:rPr>
                <w:rFonts w:eastAsia="Calibri" w:cs="Arial"/>
                <w:sz w:val="22"/>
                <w:szCs w:val="22"/>
              </w:rPr>
              <w:t>.</w:t>
            </w:r>
          </w:p>
        </w:tc>
      </w:tr>
      <w:tr w:rsidR="00ED7B22" w:rsidRPr="00ED7B22" w14:paraId="13725325" w14:textId="77777777" w:rsidTr="00EF4C29">
        <w:tc>
          <w:tcPr>
            <w:tcW w:w="909" w:type="pct"/>
            <w:shd w:val="clear" w:color="auto" w:fill="auto"/>
          </w:tcPr>
          <w:p w14:paraId="176CED9F" w14:textId="77777777" w:rsidR="00ED7B22" w:rsidRPr="00ED7B22" w:rsidRDefault="00ED7B22" w:rsidP="00ED7B22">
            <w:pPr>
              <w:rPr>
                <w:rFonts w:eastAsia="Calibri" w:cs="Arial"/>
                <w:bCs/>
                <w:sz w:val="22"/>
                <w:szCs w:val="22"/>
              </w:rPr>
            </w:pPr>
            <w:r w:rsidRPr="00ED7B22">
              <w:rPr>
                <w:rFonts w:eastAsia="Calibri" w:cs="Arial"/>
                <w:sz w:val="22"/>
                <w:szCs w:val="22"/>
              </w:rPr>
              <w:t>Stand Alone Courses</w:t>
            </w:r>
          </w:p>
          <w:p w14:paraId="48E4AEEC" w14:textId="77777777" w:rsidR="00ED7B22" w:rsidRPr="00ED7B22" w:rsidRDefault="00ED7B22" w:rsidP="00ED7B22">
            <w:pPr>
              <w:rPr>
                <w:rFonts w:eastAsia="Calibri" w:cs="Arial"/>
                <w:sz w:val="22"/>
                <w:szCs w:val="22"/>
              </w:rPr>
            </w:pPr>
            <w:r w:rsidRPr="00ED7B22">
              <w:rPr>
                <w:rFonts w:eastAsia="Calibri" w:cs="Arial"/>
                <w:sz w:val="22"/>
                <w:szCs w:val="22"/>
              </w:rPr>
              <w:t>(Emergency Medical Technician, Certified Nursing Assistant)</w:t>
            </w:r>
          </w:p>
        </w:tc>
        <w:tc>
          <w:tcPr>
            <w:tcW w:w="702" w:type="pct"/>
            <w:shd w:val="clear" w:color="auto" w:fill="auto"/>
          </w:tcPr>
          <w:p w14:paraId="08177C7D" w14:textId="28792F35" w:rsidR="00ED7B22" w:rsidRPr="00ED7B22" w:rsidRDefault="0048305F" w:rsidP="00ED7B22">
            <w:pPr>
              <w:jc w:val="center"/>
              <w:rPr>
                <w:rFonts w:eastAsia="Calibri" w:cs="Arial"/>
                <w:sz w:val="22"/>
                <w:szCs w:val="22"/>
              </w:rPr>
            </w:pPr>
            <w:r>
              <w:rPr>
                <w:rFonts w:eastAsia="Calibri" w:cs="Arial"/>
                <w:sz w:val="22"/>
                <w:szCs w:val="22"/>
              </w:rPr>
              <w:t xml:space="preserve">Summer </w:t>
            </w:r>
            <w:r w:rsidR="00ED7B22" w:rsidRPr="00ED7B22">
              <w:rPr>
                <w:rFonts w:eastAsia="Calibri" w:cs="Arial"/>
                <w:sz w:val="22"/>
                <w:szCs w:val="22"/>
              </w:rPr>
              <w:t>2015</w:t>
            </w:r>
          </w:p>
        </w:tc>
        <w:tc>
          <w:tcPr>
            <w:tcW w:w="691" w:type="pct"/>
            <w:shd w:val="clear" w:color="auto" w:fill="auto"/>
          </w:tcPr>
          <w:p w14:paraId="080F7858" w14:textId="77777777" w:rsidR="00ED7B22" w:rsidRPr="00ED7B22" w:rsidRDefault="00ED7B22" w:rsidP="00ED7B22">
            <w:pPr>
              <w:jc w:val="center"/>
              <w:rPr>
                <w:rFonts w:eastAsia="Calibri" w:cs="Arial"/>
                <w:sz w:val="22"/>
                <w:szCs w:val="22"/>
              </w:rPr>
            </w:pPr>
            <w:r w:rsidRPr="00ED7B22">
              <w:rPr>
                <w:rFonts w:eastAsia="Calibri" w:cs="Arial"/>
                <w:sz w:val="22"/>
                <w:szCs w:val="22"/>
              </w:rPr>
              <w:t>Fall 2018</w:t>
            </w:r>
          </w:p>
        </w:tc>
        <w:tc>
          <w:tcPr>
            <w:tcW w:w="1678" w:type="pct"/>
            <w:shd w:val="clear" w:color="auto" w:fill="auto"/>
          </w:tcPr>
          <w:p w14:paraId="54886C88" w14:textId="77777777" w:rsidR="00ED7B22" w:rsidRPr="00ED7B22" w:rsidRDefault="00ED7B22" w:rsidP="00ED7B22">
            <w:pPr>
              <w:rPr>
                <w:rFonts w:eastAsia="Calibri" w:cs="Arial"/>
                <w:sz w:val="22"/>
                <w:szCs w:val="22"/>
              </w:rPr>
            </w:pPr>
            <w:r w:rsidRPr="00ED7B22">
              <w:rPr>
                <w:rFonts w:eastAsia="Calibri" w:cs="Arial"/>
                <w:sz w:val="22"/>
                <w:szCs w:val="22"/>
              </w:rPr>
              <w:t>The CCI Work Group has requested CDE staff to further explore this measure.</w:t>
            </w:r>
          </w:p>
        </w:tc>
        <w:tc>
          <w:tcPr>
            <w:tcW w:w="1020" w:type="pct"/>
          </w:tcPr>
          <w:p w14:paraId="10B88FD3" w14:textId="1C24EB66" w:rsidR="00ED7B22" w:rsidRPr="00ED7B22" w:rsidRDefault="00ED7B22" w:rsidP="00ED7B22">
            <w:pPr>
              <w:rPr>
                <w:rFonts w:eastAsia="Calibri" w:cs="Arial"/>
                <w:sz w:val="22"/>
                <w:szCs w:val="22"/>
              </w:rPr>
            </w:pPr>
            <w:r w:rsidRPr="00ED7B22">
              <w:rPr>
                <w:rFonts w:eastAsia="Calibri" w:cs="Arial"/>
                <w:color w:val="000000" w:themeColor="text1"/>
                <w:sz w:val="22"/>
                <w:szCs w:val="22"/>
              </w:rPr>
              <w:t>Will be reviewed at t</w:t>
            </w:r>
            <w:r w:rsidR="0048305F">
              <w:rPr>
                <w:rFonts w:eastAsia="Calibri" w:cs="Arial"/>
                <w:color w:val="000000" w:themeColor="text1"/>
                <w:sz w:val="22"/>
                <w:szCs w:val="22"/>
              </w:rPr>
              <w:t>he March CCI Work Group meeting.</w:t>
            </w:r>
          </w:p>
        </w:tc>
      </w:tr>
      <w:tr w:rsidR="00ED7B22" w:rsidRPr="00ED7B22" w14:paraId="40252C84" w14:textId="77777777" w:rsidTr="00EF4C29">
        <w:tc>
          <w:tcPr>
            <w:tcW w:w="909" w:type="pct"/>
            <w:shd w:val="clear" w:color="auto" w:fill="auto"/>
          </w:tcPr>
          <w:p w14:paraId="23EC5C7A" w14:textId="77777777" w:rsidR="00ED7B22" w:rsidRPr="00ED7B22" w:rsidRDefault="00ED7B22" w:rsidP="00ED7B22">
            <w:pPr>
              <w:rPr>
                <w:rFonts w:eastAsia="Calibri" w:cs="Arial"/>
                <w:bCs/>
                <w:sz w:val="22"/>
                <w:szCs w:val="22"/>
              </w:rPr>
            </w:pPr>
            <w:r w:rsidRPr="00ED7B22">
              <w:rPr>
                <w:rFonts w:eastAsia="Calibri" w:cs="Arial"/>
                <w:sz w:val="22"/>
                <w:szCs w:val="22"/>
              </w:rPr>
              <w:t>Leadership/Military Science</w:t>
            </w:r>
          </w:p>
          <w:p w14:paraId="3DA48A57" w14:textId="77777777" w:rsidR="00ED7B22" w:rsidRPr="00ED7B22" w:rsidRDefault="00ED7B22" w:rsidP="00ED7B22">
            <w:pPr>
              <w:rPr>
                <w:rFonts w:eastAsia="Calibri" w:cs="Arial"/>
                <w:sz w:val="22"/>
                <w:szCs w:val="22"/>
              </w:rPr>
            </w:pPr>
          </w:p>
        </w:tc>
        <w:tc>
          <w:tcPr>
            <w:tcW w:w="702" w:type="pct"/>
            <w:shd w:val="clear" w:color="auto" w:fill="auto"/>
          </w:tcPr>
          <w:p w14:paraId="6C5BF329" w14:textId="5E24A10E" w:rsidR="00ED7B22" w:rsidRPr="00ED7B22" w:rsidRDefault="0048305F" w:rsidP="00ED7B22">
            <w:pPr>
              <w:jc w:val="center"/>
              <w:rPr>
                <w:rFonts w:eastAsia="Calibri" w:cs="Arial"/>
                <w:sz w:val="22"/>
                <w:szCs w:val="22"/>
              </w:rPr>
            </w:pPr>
            <w:r>
              <w:rPr>
                <w:rFonts w:eastAsia="Calibri" w:cs="Arial"/>
                <w:sz w:val="22"/>
                <w:szCs w:val="22"/>
              </w:rPr>
              <w:t xml:space="preserve">Summer </w:t>
            </w:r>
            <w:r w:rsidR="00ED7B22" w:rsidRPr="00ED7B22">
              <w:rPr>
                <w:rFonts w:eastAsia="Calibri" w:cs="Arial"/>
                <w:sz w:val="22"/>
                <w:szCs w:val="22"/>
              </w:rPr>
              <w:t>2015</w:t>
            </w:r>
          </w:p>
        </w:tc>
        <w:tc>
          <w:tcPr>
            <w:tcW w:w="691" w:type="pct"/>
            <w:shd w:val="clear" w:color="auto" w:fill="auto"/>
          </w:tcPr>
          <w:p w14:paraId="1E8C57A5" w14:textId="77777777" w:rsidR="00ED7B22" w:rsidRPr="00ED7B22" w:rsidRDefault="00ED7B22" w:rsidP="00ED7B22">
            <w:pPr>
              <w:jc w:val="center"/>
              <w:rPr>
                <w:rFonts w:eastAsia="Calibri" w:cs="Arial"/>
                <w:sz w:val="22"/>
                <w:szCs w:val="22"/>
              </w:rPr>
            </w:pPr>
            <w:r w:rsidRPr="00ED7B22">
              <w:rPr>
                <w:rFonts w:eastAsia="Calibri" w:cs="Arial"/>
                <w:sz w:val="22"/>
                <w:szCs w:val="22"/>
              </w:rPr>
              <w:t>Fall 2018</w:t>
            </w:r>
          </w:p>
        </w:tc>
        <w:tc>
          <w:tcPr>
            <w:tcW w:w="1678" w:type="pct"/>
            <w:shd w:val="clear" w:color="auto" w:fill="auto"/>
          </w:tcPr>
          <w:p w14:paraId="090B1037" w14:textId="77777777" w:rsidR="00ED7B22" w:rsidRPr="00ED7B22" w:rsidRDefault="00ED7B22" w:rsidP="00ED7B22">
            <w:pPr>
              <w:rPr>
                <w:rFonts w:eastAsia="Calibri" w:cs="Arial"/>
                <w:sz w:val="22"/>
                <w:szCs w:val="22"/>
              </w:rPr>
            </w:pPr>
            <w:r w:rsidRPr="00ED7B22">
              <w:rPr>
                <w:rFonts w:eastAsia="Calibri" w:cs="Arial"/>
                <w:sz w:val="22"/>
                <w:szCs w:val="22"/>
              </w:rPr>
              <w:t xml:space="preserve">Through the course enrollment and completion data set, CALPADS currently collects only one relevant course: Leadership/Military Science. This measure is currently being explored for DASS schools. </w:t>
            </w:r>
          </w:p>
        </w:tc>
        <w:tc>
          <w:tcPr>
            <w:tcW w:w="1020" w:type="pct"/>
          </w:tcPr>
          <w:p w14:paraId="0879B519" w14:textId="77777777" w:rsidR="00ED7B22" w:rsidRPr="00ED7B22" w:rsidRDefault="00ED7B22" w:rsidP="00ED7B22">
            <w:pPr>
              <w:rPr>
                <w:rFonts w:eastAsia="Calibri" w:cs="Arial"/>
                <w:sz w:val="22"/>
                <w:szCs w:val="22"/>
              </w:rPr>
            </w:pPr>
            <w:r w:rsidRPr="00ED7B22">
              <w:rPr>
                <w:rFonts w:eastAsia="Calibri" w:cs="Arial"/>
                <w:sz w:val="22"/>
                <w:szCs w:val="22"/>
              </w:rPr>
              <w:t>To address at March CCI Work Group meeting.</w:t>
            </w:r>
          </w:p>
        </w:tc>
      </w:tr>
      <w:tr w:rsidR="00ED7B22" w:rsidRPr="00ED7B22" w14:paraId="457C4353" w14:textId="77777777" w:rsidTr="00EF4C29">
        <w:tc>
          <w:tcPr>
            <w:tcW w:w="909" w:type="pct"/>
            <w:shd w:val="clear" w:color="auto" w:fill="auto"/>
          </w:tcPr>
          <w:p w14:paraId="409231F0" w14:textId="77777777" w:rsidR="00ED7B22" w:rsidRPr="00ED7B22" w:rsidRDefault="00ED7B22" w:rsidP="00ED7B22">
            <w:pPr>
              <w:rPr>
                <w:rFonts w:eastAsia="Calibri" w:cs="Arial"/>
                <w:sz w:val="22"/>
                <w:szCs w:val="22"/>
              </w:rPr>
            </w:pPr>
            <w:r w:rsidRPr="00ED7B22">
              <w:rPr>
                <w:rFonts w:eastAsia="Calibri" w:cs="Arial"/>
                <w:sz w:val="22"/>
                <w:szCs w:val="22"/>
              </w:rPr>
              <w:t>Acceptance to Military</w:t>
            </w:r>
          </w:p>
        </w:tc>
        <w:tc>
          <w:tcPr>
            <w:tcW w:w="702" w:type="pct"/>
            <w:shd w:val="clear" w:color="auto" w:fill="auto"/>
          </w:tcPr>
          <w:p w14:paraId="439292A3" w14:textId="77777777" w:rsidR="00ED7B22" w:rsidRPr="00ED7B22" w:rsidRDefault="00ED7B22" w:rsidP="00ED7B22">
            <w:pPr>
              <w:jc w:val="center"/>
              <w:rPr>
                <w:rFonts w:eastAsia="Calibri" w:cs="Arial"/>
                <w:sz w:val="22"/>
                <w:szCs w:val="22"/>
              </w:rPr>
            </w:pPr>
            <w:r w:rsidRPr="00ED7B22">
              <w:rPr>
                <w:rFonts w:eastAsia="Calibri" w:cs="Arial"/>
                <w:sz w:val="22"/>
                <w:szCs w:val="22"/>
              </w:rPr>
              <w:t>Not Collected</w:t>
            </w:r>
          </w:p>
        </w:tc>
        <w:tc>
          <w:tcPr>
            <w:tcW w:w="691" w:type="pct"/>
            <w:shd w:val="clear" w:color="auto" w:fill="auto"/>
          </w:tcPr>
          <w:p w14:paraId="691057DF" w14:textId="18F658B2" w:rsidR="00ED7B22" w:rsidRPr="00ED7B22" w:rsidRDefault="00ED7B22" w:rsidP="00ED7B22">
            <w:pPr>
              <w:jc w:val="center"/>
              <w:rPr>
                <w:rFonts w:eastAsia="Calibri" w:cs="Arial"/>
                <w:sz w:val="22"/>
                <w:szCs w:val="22"/>
              </w:rPr>
            </w:pPr>
            <w:r w:rsidRPr="00ED7B22">
              <w:rPr>
                <w:rFonts w:eastAsia="Calibri" w:cs="Arial"/>
                <w:sz w:val="22"/>
                <w:szCs w:val="22"/>
              </w:rPr>
              <w:t xml:space="preserve">Fall </w:t>
            </w:r>
            <w:r w:rsidR="006612E9" w:rsidRPr="006612E9">
              <w:rPr>
                <w:rFonts w:eastAsia="Calibri" w:cs="Arial"/>
                <w:sz w:val="22"/>
                <w:szCs w:val="22"/>
                <w:shd w:val="solid" w:color="FFCCCC" w:fill="auto"/>
              </w:rPr>
              <w:t xml:space="preserve">&lt;begin delete&gt; </w:t>
            </w:r>
            <w:r w:rsidRPr="006612E9">
              <w:rPr>
                <w:rFonts w:eastAsia="Calibri" w:cs="Arial"/>
                <w:strike/>
                <w:sz w:val="22"/>
                <w:szCs w:val="22"/>
                <w:shd w:val="solid" w:color="FFCCCC" w:fill="auto"/>
              </w:rPr>
              <w:t>2018</w:t>
            </w:r>
            <w:r w:rsidR="006612E9" w:rsidRPr="006612E9">
              <w:rPr>
                <w:rFonts w:eastAsia="Calibri" w:cs="Arial"/>
                <w:strike/>
                <w:sz w:val="22"/>
                <w:szCs w:val="22"/>
                <w:shd w:val="solid" w:color="FFCCCC" w:fill="auto"/>
              </w:rPr>
              <w:t xml:space="preserve"> </w:t>
            </w:r>
            <w:r w:rsidR="006612E9" w:rsidRPr="006612E9">
              <w:rPr>
                <w:rFonts w:eastAsia="Calibri" w:cs="Arial"/>
                <w:sz w:val="22"/>
                <w:szCs w:val="22"/>
                <w:shd w:val="solid" w:color="FFCCCC" w:fill="auto"/>
              </w:rPr>
              <w:t>&lt;end delete&gt;</w:t>
            </w:r>
            <w:r w:rsidR="006612E9" w:rsidRPr="006612E9">
              <w:rPr>
                <w:rFonts w:eastAsia="Calibri" w:cs="Arial"/>
                <w:sz w:val="22"/>
                <w:szCs w:val="22"/>
              </w:rPr>
              <w:t xml:space="preserve"> </w:t>
            </w:r>
            <w:r w:rsidR="006612E9" w:rsidRPr="006612E9">
              <w:rPr>
                <w:rFonts w:eastAsia="Calibri" w:cs="Arial"/>
                <w:sz w:val="22"/>
                <w:szCs w:val="22"/>
                <w:shd w:val="solid" w:color="CCFFCC" w:fill="CCFFCC"/>
              </w:rPr>
              <w:t>&lt;begin add&gt;</w:t>
            </w:r>
            <w:r w:rsidR="006612E9" w:rsidRPr="006612E9">
              <w:rPr>
                <w:rFonts w:eastAsia="Calibri" w:cs="Arial"/>
                <w:strike/>
                <w:sz w:val="22"/>
                <w:szCs w:val="22"/>
                <w:shd w:val="solid" w:color="CCFFCC" w:fill="CCFFCC"/>
              </w:rPr>
              <w:t xml:space="preserve"> </w:t>
            </w:r>
            <w:r w:rsidRPr="006612E9">
              <w:rPr>
                <w:rFonts w:eastAsia="Calibri" w:cs="Arial"/>
                <w:sz w:val="22"/>
                <w:szCs w:val="22"/>
                <w:shd w:val="solid" w:color="CCFFCC" w:fill="CCFFCC"/>
              </w:rPr>
              <w:t xml:space="preserve"> 2019 </w:t>
            </w:r>
            <w:r w:rsidR="006612E9" w:rsidRPr="006612E9">
              <w:rPr>
                <w:rFonts w:eastAsia="Calibri" w:cs="Arial"/>
                <w:sz w:val="22"/>
                <w:szCs w:val="22"/>
                <w:shd w:val="solid" w:color="CCFFCC" w:fill="CCFFCC"/>
              </w:rPr>
              <w:t>&lt;end add&gt;</w:t>
            </w:r>
            <w:r w:rsidR="006612E9">
              <w:rPr>
                <w:rFonts w:eastAsia="Calibri" w:cs="Arial"/>
                <w:sz w:val="22"/>
                <w:szCs w:val="22"/>
              </w:rPr>
              <w:t xml:space="preserve"> </w:t>
            </w:r>
            <w:r w:rsidRPr="00ED7B22">
              <w:rPr>
                <w:rFonts w:eastAsia="Calibri" w:cs="Arial"/>
                <w:sz w:val="22"/>
                <w:szCs w:val="22"/>
              </w:rPr>
              <w:t>(if data is available)</w:t>
            </w:r>
          </w:p>
        </w:tc>
        <w:tc>
          <w:tcPr>
            <w:tcW w:w="1678" w:type="pct"/>
            <w:shd w:val="clear" w:color="auto" w:fill="auto"/>
          </w:tcPr>
          <w:p w14:paraId="3307EBFE" w14:textId="45F31797" w:rsidR="00ED7B22" w:rsidRPr="00ED7B22" w:rsidRDefault="00ED7B22" w:rsidP="0048305F">
            <w:pPr>
              <w:rPr>
                <w:rFonts w:eastAsia="Calibri" w:cs="Arial"/>
                <w:sz w:val="22"/>
                <w:szCs w:val="22"/>
              </w:rPr>
            </w:pPr>
            <w:r w:rsidRPr="00ED7B22">
              <w:rPr>
                <w:rFonts w:eastAsia="Calibri" w:cs="Arial"/>
                <w:sz w:val="22"/>
                <w:szCs w:val="22"/>
              </w:rPr>
              <w:t xml:space="preserve">This has </w:t>
            </w:r>
            <w:r w:rsidR="00652AE5">
              <w:rPr>
                <w:rFonts w:eastAsia="Calibri" w:cs="Arial"/>
                <w:sz w:val="22"/>
                <w:szCs w:val="22"/>
              </w:rPr>
              <w:t xml:space="preserve">been </w:t>
            </w:r>
            <w:r w:rsidRPr="00ED7B22">
              <w:rPr>
                <w:rFonts w:eastAsia="Calibri" w:cs="Arial"/>
                <w:sz w:val="22"/>
                <w:szCs w:val="22"/>
              </w:rPr>
              <w:t xml:space="preserve">changed </w:t>
            </w:r>
            <w:r w:rsidR="0048305F">
              <w:rPr>
                <w:rFonts w:eastAsia="Calibri" w:cs="Arial"/>
                <w:sz w:val="22"/>
                <w:szCs w:val="22"/>
              </w:rPr>
              <w:t>to the</w:t>
            </w:r>
            <w:r w:rsidRPr="00ED7B22">
              <w:rPr>
                <w:rFonts w:eastAsia="Calibri" w:cs="Arial"/>
                <w:sz w:val="22"/>
                <w:szCs w:val="22"/>
              </w:rPr>
              <w:t xml:space="preserve"> passage of a military entranc</w:t>
            </w:r>
            <w:r w:rsidR="0048305F">
              <w:rPr>
                <w:rFonts w:eastAsia="Calibri" w:cs="Arial"/>
                <w:sz w:val="22"/>
                <w:szCs w:val="22"/>
              </w:rPr>
              <w:t>e exam. The exam information is</w:t>
            </w:r>
            <w:r w:rsidRPr="00ED7B22">
              <w:rPr>
                <w:rFonts w:eastAsia="Calibri" w:cs="Arial"/>
                <w:sz w:val="22"/>
                <w:szCs w:val="22"/>
              </w:rPr>
              <w:t xml:space="preserve"> sent to LEAs. This data cannot be coll</w:t>
            </w:r>
            <w:r w:rsidR="0048305F">
              <w:rPr>
                <w:rFonts w:eastAsia="Calibri" w:cs="Arial"/>
                <w:sz w:val="22"/>
                <w:szCs w:val="22"/>
              </w:rPr>
              <w:t>ected in CALPADS until the 2019–</w:t>
            </w:r>
            <w:r w:rsidRPr="00ED7B22">
              <w:rPr>
                <w:rFonts w:eastAsia="Calibri" w:cs="Arial"/>
                <w:sz w:val="22"/>
                <w:szCs w:val="22"/>
              </w:rPr>
              <w:t xml:space="preserve">20 school year. </w:t>
            </w:r>
          </w:p>
        </w:tc>
        <w:tc>
          <w:tcPr>
            <w:tcW w:w="1020" w:type="pct"/>
          </w:tcPr>
          <w:p w14:paraId="51F52AEA" w14:textId="77C1EED8" w:rsidR="00ED7B22" w:rsidRPr="00ED7B22" w:rsidRDefault="00ED7B22" w:rsidP="00484B9C">
            <w:pPr>
              <w:rPr>
                <w:rFonts w:eastAsia="Calibri" w:cs="Arial"/>
                <w:sz w:val="22"/>
                <w:szCs w:val="22"/>
              </w:rPr>
            </w:pPr>
            <w:r w:rsidRPr="00ED7B22">
              <w:rPr>
                <w:rFonts w:eastAsiaTheme="minorEastAsia" w:cstheme="minorBidi"/>
                <w:sz w:val="22"/>
                <w:szCs w:val="22"/>
              </w:rPr>
              <w:t xml:space="preserve">Passage of </w:t>
            </w:r>
            <w:r w:rsidR="0048305F">
              <w:rPr>
                <w:rFonts w:eastAsiaTheme="minorEastAsia" w:cstheme="minorBidi"/>
                <w:sz w:val="22"/>
                <w:szCs w:val="22"/>
              </w:rPr>
              <w:t xml:space="preserve">the </w:t>
            </w:r>
            <w:r w:rsidRPr="00ED7B22">
              <w:rPr>
                <w:rFonts w:eastAsiaTheme="minorEastAsia" w:cstheme="minorBidi"/>
                <w:sz w:val="22"/>
                <w:szCs w:val="22"/>
              </w:rPr>
              <w:t>Armed Services Vocational Aptitude Battery Exam</w:t>
            </w:r>
            <w:r w:rsidRPr="00ED7B22">
              <w:rPr>
                <w:rFonts w:eastAsia="Calibri" w:cs="Arial"/>
                <w:sz w:val="22"/>
                <w:szCs w:val="22"/>
              </w:rPr>
              <w:t xml:space="preserve"> is proposed for inclusion in the Fall 2020 Dashboard</w:t>
            </w:r>
            <w:r w:rsidR="0048305F">
              <w:rPr>
                <w:rFonts w:eastAsia="Calibri" w:cs="Arial"/>
                <w:sz w:val="22"/>
                <w:szCs w:val="22"/>
              </w:rPr>
              <w:t>.</w:t>
            </w:r>
          </w:p>
        </w:tc>
      </w:tr>
      <w:tr w:rsidR="00ED7B22" w:rsidRPr="00ED7B22" w14:paraId="2ED53007" w14:textId="77777777" w:rsidTr="00EF4C29">
        <w:trPr>
          <w:trHeight w:val="3185"/>
        </w:trPr>
        <w:tc>
          <w:tcPr>
            <w:tcW w:w="909" w:type="pct"/>
            <w:shd w:val="clear" w:color="auto" w:fill="auto"/>
          </w:tcPr>
          <w:p w14:paraId="4B2FABB5" w14:textId="77777777" w:rsidR="00ED7B22" w:rsidRPr="00ED7B22" w:rsidRDefault="00ED7B22" w:rsidP="00ED7B22">
            <w:pPr>
              <w:rPr>
                <w:rFonts w:eastAsia="Calibri" w:cs="Arial"/>
                <w:sz w:val="22"/>
                <w:szCs w:val="22"/>
              </w:rPr>
            </w:pPr>
            <w:r w:rsidRPr="00ED7B22">
              <w:rPr>
                <w:rFonts w:eastAsia="Calibri" w:cs="Arial"/>
                <w:sz w:val="22"/>
                <w:szCs w:val="22"/>
              </w:rPr>
              <w:lastRenderedPageBreak/>
              <w:t>Work-based Learning and Internships</w:t>
            </w:r>
          </w:p>
        </w:tc>
        <w:tc>
          <w:tcPr>
            <w:tcW w:w="702" w:type="pct"/>
            <w:shd w:val="clear" w:color="auto" w:fill="auto"/>
          </w:tcPr>
          <w:p w14:paraId="7EDB0F73" w14:textId="6F530317" w:rsidR="00ED7B22" w:rsidRPr="00ED7B22" w:rsidRDefault="0048305F" w:rsidP="00ED7B22">
            <w:pPr>
              <w:jc w:val="center"/>
              <w:rPr>
                <w:rFonts w:eastAsia="Calibri" w:cs="Arial"/>
                <w:sz w:val="22"/>
                <w:szCs w:val="22"/>
              </w:rPr>
            </w:pPr>
            <w:r>
              <w:rPr>
                <w:rFonts w:eastAsia="Calibri" w:cs="Arial"/>
                <w:sz w:val="22"/>
                <w:szCs w:val="22"/>
              </w:rPr>
              <w:t xml:space="preserve">Summer </w:t>
            </w:r>
            <w:r w:rsidR="00ED7B22" w:rsidRPr="00ED7B22">
              <w:rPr>
                <w:rFonts w:eastAsia="Calibri" w:cs="Arial"/>
                <w:sz w:val="22"/>
                <w:szCs w:val="22"/>
              </w:rPr>
              <w:t>2019</w:t>
            </w:r>
          </w:p>
        </w:tc>
        <w:tc>
          <w:tcPr>
            <w:tcW w:w="691" w:type="pct"/>
            <w:shd w:val="clear" w:color="auto" w:fill="auto"/>
          </w:tcPr>
          <w:p w14:paraId="34ECA0AB" w14:textId="3FDE283D" w:rsidR="00ED7B22" w:rsidRPr="00ED7B22" w:rsidRDefault="00ED7B22" w:rsidP="001E2634">
            <w:pPr>
              <w:jc w:val="center"/>
              <w:rPr>
                <w:rFonts w:eastAsia="Calibri" w:cs="Arial"/>
                <w:sz w:val="22"/>
                <w:szCs w:val="22"/>
              </w:rPr>
            </w:pPr>
            <w:r w:rsidRPr="00ED7B22">
              <w:rPr>
                <w:rFonts w:eastAsia="Calibri" w:cs="Arial"/>
                <w:sz w:val="22"/>
                <w:szCs w:val="22"/>
              </w:rPr>
              <w:t xml:space="preserve">Fall </w:t>
            </w:r>
            <w:r w:rsidR="001E2634" w:rsidRPr="006612E9">
              <w:rPr>
                <w:rFonts w:eastAsia="Calibri" w:cs="Arial"/>
                <w:sz w:val="22"/>
                <w:szCs w:val="22"/>
                <w:shd w:val="solid" w:color="FFCCCC" w:fill="auto"/>
              </w:rPr>
              <w:t xml:space="preserve">&lt;begin delete&gt; </w:t>
            </w:r>
            <w:r w:rsidR="001E2634">
              <w:rPr>
                <w:rFonts w:eastAsia="Calibri" w:cs="Arial"/>
                <w:strike/>
                <w:sz w:val="22"/>
                <w:szCs w:val="22"/>
                <w:shd w:val="solid" w:color="FFCCCC" w:fill="auto"/>
              </w:rPr>
              <w:t>2019</w:t>
            </w:r>
            <w:r w:rsidR="001E2634" w:rsidRPr="006612E9">
              <w:rPr>
                <w:rFonts w:eastAsia="Calibri" w:cs="Arial"/>
                <w:strike/>
                <w:sz w:val="22"/>
                <w:szCs w:val="22"/>
                <w:shd w:val="solid" w:color="FFCCCC" w:fill="auto"/>
              </w:rPr>
              <w:t xml:space="preserve"> </w:t>
            </w:r>
            <w:r w:rsidR="001E2634" w:rsidRPr="006612E9">
              <w:rPr>
                <w:rFonts w:eastAsia="Calibri" w:cs="Arial"/>
                <w:sz w:val="22"/>
                <w:szCs w:val="22"/>
                <w:shd w:val="solid" w:color="FFCCCC" w:fill="auto"/>
              </w:rPr>
              <w:t>&lt;end delete&gt;</w:t>
            </w:r>
            <w:r w:rsidRPr="00ED7B22">
              <w:rPr>
                <w:rFonts w:eastAsia="Calibri" w:cs="Arial"/>
                <w:sz w:val="22"/>
                <w:szCs w:val="22"/>
              </w:rPr>
              <w:t xml:space="preserve"> </w:t>
            </w:r>
            <w:r w:rsidR="001E2634" w:rsidRPr="006612E9">
              <w:rPr>
                <w:rFonts w:eastAsia="Calibri" w:cs="Arial"/>
                <w:sz w:val="22"/>
                <w:szCs w:val="22"/>
                <w:shd w:val="solid" w:color="CCFFCC" w:fill="CCFFCC"/>
              </w:rPr>
              <w:t>&lt;begin add&gt;</w:t>
            </w:r>
            <w:r w:rsidR="001E2634" w:rsidRPr="006612E9">
              <w:rPr>
                <w:rFonts w:eastAsia="Calibri" w:cs="Arial"/>
                <w:strike/>
                <w:sz w:val="22"/>
                <w:szCs w:val="22"/>
                <w:shd w:val="solid" w:color="CCFFCC" w:fill="CCFFCC"/>
              </w:rPr>
              <w:t xml:space="preserve"> </w:t>
            </w:r>
            <w:r w:rsidR="001E2634" w:rsidRPr="006612E9">
              <w:rPr>
                <w:rFonts w:eastAsia="Calibri" w:cs="Arial"/>
                <w:sz w:val="22"/>
                <w:szCs w:val="22"/>
                <w:shd w:val="solid" w:color="CCFFCC" w:fill="CCFFCC"/>
              </w:rPr>
              <w:t xml:space="preserve"> </w:t>
            </w:r>
            <w:r w:rsidR="001E2634">
              <w:rPr>
                <w:rFonts w:eastAsia="Calibri" w:cs="Arial"/>
                <w:sz w:val="22"/>
                <w:szCs w:val="22"/>
                <w:shd w:val="solid" w:color="CCFFCC" w:fill="CCFFCC"/>
              </w:rPr>
              <w:t>2020</w:t>
            </w:r>
            <w:r w:rsidR="001E2634" w:rsidRPr="006612E9">
              <w:rPr>
                <w:rFonts w:eastAsia="Calibri" w:cs="Arial"/>
                <w:sz w:val="22"/>
                <w:szCs w:val="22"/>
                <w:shd w:val="solid" w:color="CCFFCC" w:fill="CCFFCC"/>
              </w:rPr>
              <w:t xml:space="preserve"> &lt;end add&gt;</w:t>
            </w:r>
          </w:p>
        </w:tc>
        <w:tc>
          <w:tcPr>
            <w:tcW w:w="1678" w:type="pct"/>
            <w:shd w:val="clear" w:color="auto" w:fill="auto"/>
          </w:tcPr>
          <w:p w14:paraId="4E71E7EC" w14:textId="77777777" w:rsidR="00ED7B22" w:rsidRPr="00ED7B22" w:rsidRDefault="00ED7B22" w:rsidP="00ED7B22">
            <w:pPr>
              <w:rPr>
                <w:rFonts w:eastAsia="Calibri" w:cs="Arial"/>
                <w:sz w:val="22"/>
                <w:szCs w:val="22"/>
              </w:rPr>
            </w:pPr>
            <w:r w:rsidRPr="00ED7B22">
              <w:rPr>
                <w:rFonts w:eastAsia="Calibri" w:cs="Arial"/>
                <w:sz w:val="22"/>
                <w:szCs w:val="22"/>
              </w:rPr>
              <w:t xml:space="preserve">To ensure that complete and informative data are collected, such as linking internships to specific CTE pathways and collecting the number of internship hours completed, additional time is needed.  Currently, LEAs’ local student information systems (SIS) do not collect these data. Therefore, local SIS vendors need six to nine months to program their systems to collect these data. In addition, trainings on the specifications of collecting this data is needed to ensure data integrity. </w:t>
            </w:r>
          </w:p>
        </w:tc>
        <w:tc>
          <w:tcPr>
            <w:tcW w:w="1020" w:type="pct"/>
          </w:tcPr>
          <w:p w14:paraId="02DB36E2" w14:textId="76FBE0C8" w:rsidR="00ED7B22" w:rsidRPr="00ED7B22" w:rsidRDefault="00ED7B22" w:rsidP="00ED7B22">
            <w:pPr>
              <w:rPr>
                <w:rFonts w:eastAsia="Calibri" w:cs="Arial"/>
                <w:sz w:val="22"/>
                <w:szCs w:val="22"/>
              </w:rPr>
            </w:pPr>
            <w:r w:rsidRPr="00ED7B22">
              <w:rPr>
                <w:rFonts w:eastAsia="Calibri" w:cs="Arial"/>
                <w:sz w:val="22"/>
                <w:szCs w:val="22"/>
              </w:rPr>
              <w:t>Inclusion in the Fall 2020 Dashboard</w:t>
            </w:r>
            <w:r w:rsidR="0048305F">
              <w:rPr>
                <w:rFonts w:eastAsia="Calibri" w:cs="Arial"/>
                <w:sz w:val="22"/>
                <w:szCs w:val="22"/>
              </w:rPr>
              <w:t>.</w:t>
            </w:r>
          </w:p>
        </w:tc>
      </w:tr>
      <w:tr w:rsidR="00ED7B22" w:rsidRPr="00ED7B22" w14:paraId="60D61ECC" w14:textId="77777777" w:rsidTr="00EF4C29">
        <w:tc>
          <w:tcPr>
            <w:tcW w:w="909" w:type="pct"/>
            <w:shd w:val="clear" w:color="auto" w:fill="auto"/>
          </w:tcPr>
          <w:p w14:paraId="43A051AA" w14:textId="77777777" w:rsidR="00ED7B22" w:rsidRPr="00ED7B22" w:rsidRDefault="00ED7B22" w:rsidP="00ED7B22">
            <w:pPr>
              <w:rPr>
                <w:rFonts w:eastAsia="Calibri" w:cs="Arial"/>
                <w:sz w:val="22"/>
                <w:szCs w:val="22"/>
              </w:rPr>
            </w:pPr>
            <w:r w:rsidRPr="00ED7B22">
              <w:rPr>
                <w:rFonts w:eastAsia="Calibri" w:cs="Arial"/>
                <w:sz w:val="22"/>
                <w:szCs w:val="22"/>
              </w:rPr>
              <w:t>Industry Certification</w:t>
            </w:r>
          </w:p>
        </w:tc>
        <w:tc>
          <w:tcPr>
            <w:tcW w:w="702" w:type="pct"/>
            <w:shd w:val="clear" w:color="auto" w:fill="auto"/>
          </w:tcPr>
          <w:p w14:paraId="7869BE6C" w14:textId="4B195690" w:rsidR="00ED7B22" w:rsidRPr="00ED7B22" w:rsidRDefault="0048305F" w:rsidP="00ED7B22">
            <w:pPr>
              <w:jc w:val="center"/>
              <w:rPr>
                <w:rFonts w:eastAsia="Calibri" w:cs="Arial"/>
                <w:sz w:val="22"/>
                <w:szCs w:val="22"/>
              </w:rPr>
            </w:pPr>
            <w:r>
              <w:rPr>
                <w:rFonts w:eastAsia="Calibri" w:cs="Arial"/>
                <w:sz w:val="22"/>
                <w:szCs w:val="22"/>
              </w:rPr>
              <w:t xml:space="preserve">Summer </w:t>
            </w:r>
            <w:r w:rsidR="00ED7B22" w:rsidRPr="00ED7B22">
              <w:rPr>
                <w:rFonts w:eastAsia="Calibri" w:cs="Arial"/>
                <w:sz w:val="22"/>
                <w:szCs w:val="22"/>
              </w:rPr>
              <w:t>2020</w:t>
            </w:r>
          </w:p>
        </w:tc>
        <w:tc>
          <w:tcPr>
            <w:tcW w:w="691" w:type="pct"/>
            <w:shd w:val="clear" w:color="auto" w:fill="auto"/>
          </w:tcPr>
          <w:p w14:paraId="0BBB2302" w14:textId="77777777" w:rsidR="00ED7B22" w:rsidRPr="00ED7B22" w:rsidRDefault="00ED7B22" w:rsidP="00ED7B22">
            <w:pPr>
              <w:jc w:val="center"/>
              <w:rPr>
                <w:rFonts w:eastAsia="Calibri" w:cs="Arial"/>
                <w:sz w:val="22"/>
                <w:szCs w:val="22"/>
              </w:rPr>
            </w:pPr>
            <w:r w:rsidRPr="00ED7B22">
              <w:rPr>
                <w:rFonts w:eastAsia="Calibri" w:cs="Arial"/>
                <w:sz w:val="22"/>
                <w:szCs w:val="22"/>
              </w:rPr>
              <w:t>Fall 2020</w:t>
            </w:r>
          </w:p>
        </w:tc>
        <w:tc>
          <w:tcPr>
            <w:tcW w:w="1678" w:type="pct"/>
            <w:shd w:val="clear" w:color="auto" w:fill="auto"/>
          </w:tcPr>
          <w:p w14:paraId="253ABB40" w14:textId="37EB6227" w:rsidR="00ED7B22" w:rsidRPr="00ED7B22" w:rsidRDefault="00ED7B22" w:rsidP="00ED7B22">
            <w:pPr>
              <w:rPr>
                <w:rFonts w:eastAsia="Calibri" w:cs="Arial"/>
                <w:sz w:val="22"/>
                <w:szCs w:val="22"/>
              </w:rPr>
            </w:pPr>
            <w:r w:rsidRPr="00ED7B22">
              <w:rPr>
                <w:rFonts w:eastAsia="Calibri" w:cs="Arial"/>
                <w:sz w:val="22"/>
                <w:szCs w:val="22"/>
              </w:rPr>
              <w:t xml:space="preserve">This will be the most challenging data to collect. </w:t>
            </w:r>
            <w:r w:rsidRPr="00ED7B22">
              <w:rPr>
                <w:rFonts w:eastAsia="Calibri" w:cs="Arial"/>
                <w:bCs/>
                <w:sz w:val="22"/>
                <w:szCs w:val="22"/>
              </w:rPr>
              <w:t xml:space="preserve">The community colleges have been working on vetting and obtaining industry certification data for several years with limited progress. </w:t>
            </w:r>
            <w:r w:rsidRPr="00ED7B22">
              <w:rPr>
                <w:rFonts w:eastAsia="Calibri" w:cs="Arial"/>
                <w:sz w:val="22"/>
                <w:szCs w:val="22"/>
              </w:rPr>
              <w:t>Need to determine whether to include in the CCI or only display results in the Detail</w:t>
            </w:r>
            <w:r w:rsidR="0048305F">
              <w:rPr>
                <w:rFonts w:eastAsia="Calibri" w:cs="Arial"/>
                <w:sz w:val="22"/>
                <w:szCs w:val="22"/>
              </w:rPr>
              <w:t>ed</w:t>
            </w:r>
            <w:r w:rsidRPr="00ED7B22">
              <w:rPr>
                <w:rFonts w:eastAsia="Calibri" w:cs="Arial"/>
                <w:sz w:val="22"/>
                <w:szCs w:val="22"/>
              </w:rPr>
              <w:t xml:space="preserve"> Report for the 2020 release.</w:t>
            </w:r>
          </w:p>
        </w:tc>
        <w:tc>
          <w:tcPr>
            <w:tcW w:w="1020" w:type="pct"/>
          </w:tcPr>
          <w:p w14:paraId="592E5094" w14:textId="5C2131A1" w:rsidR="00ED7B22" w:rsidRPr="00ED7B22" w:rsidRDefault="00ED7B22" w:rsidP="00ED7B22">
            <w:pPr>
              <w:rPr>
                <w:rFonts w:eastAsia="Calibri" w:cs="Arial"/>
                <w:sz w:val="22"/>
                <w:szCs w:val="22"/>
              </w:rPr>
            </w:pPr>
            <w:r w:rsidRPr="00ED7B22">
              <w:rPr>
                <w:rFonts w:eastAsia="Calibri" w:cs="Arial"/>
                <w:sz w:val="22"/>
                <w:szCs w:val="22"/>
              </w:rPr>
              <w:t>On track for inclu</w:t>
            </w:r>
            <w:r w:rsidR="00484B9C">
              <w:rPr>
                <w:rFonts w:eastAsia="Calibri" w:cs="Arial"/>
                <w:sz w:val="22"/>
                <w:szCs w:val="22"/>
              </w:rPr>
              <w:t>sion in the Fall 2020 Dashboard.</w:t>
            </w:r>
            <w:r w:rsidRPr="00ED7B22">
              <w:rPr>
                <w:rFonts w:eastAsia="Calibri" w:cs="Arial"/>
                <w:sz w:val="22"/>
                <w:szCs w:val="22"/>
              </w:rPr>
              <w:t xml:space="preserve"> Working with </w:t>
            </w:r>
            <w:r w:rsidR="0048305F">
              <w:rPr>
                <w:rFonts w:eastAsia="Calibri" w:cs="Arial"/>
                <w:sz w:val="22"/>
                <w:szCs w:val="22"/>
              </w:rPr>
              <w:t xml:space="preserve">the </w:t>
            </w:r>
            <w:r w:rsidRPr="00ED7B22">
              <w:rPr>
                <w:rFonts w:eastAsia="Calibri" w:cs="Arial"/>
                <w:sz w:val="22"/>
                <w:szCs w:val="22"/>
              </w:rPr>
              <w:t>CDE’s Career and College Transition Division to develop an Individual Industry Credential application.</w:t>
            </w:r>
          </w:p>
        </w:tc>
      </w:tr>
    </w:tbl>
    <w:p w14:paraId="334A7E91" w14:textId="77777777" w:rsidR="00A24661" w:rsidRPr="00AC5E4E" w:rsidRDefault="00A24661">
      <w:pPr>
        <w:spacing w:after="160" w:line="259" w:lineRule="auto"/>
        <w:rPr>
          <w:rFonts w:cs="Arial"/>
        </w:rPr>
        <w:sectPr w:rsidR="00A24661" w:rsidRPr="00AC5E4E" w:rsidSect="00EF4C29">
          <w:headerReference w:type="default" r:id="rId22"/>
          <w:pgSz w:w="15840" w:h="12240" w:orient="landscape"/>
          <w:pgMar w:top="1440" w:right="1440" w:bottom="1440" w:left="1440" w:header="720" w:footer="720" w:gutter="0"/>
          <w:pgNumType w:start="4"/>
          <w:cols w:space="720"/>
          <w:docGrid w:linePitch="326"/>
        </w:sectPr>
      </w:pPr>
    </w:p>
    <w:p w14:paraId="5EACD150" w14:textId="0C309152" w:rsidR="00752D02" w:rsidRPr="00ED7B22" w:rsidRDefault="00752D02" w:rsidP="00652AE5">
      <w:pPr>
        <w:spacing w:after="240"/>
        <w:jc w:val="center"/>
        <w:rPr>
          <w:b/>
          <w:bCs/>
          <w:i/>
          <w:sz w:val="28"/>
          <w:szCs w:val="28"/>
        </w:rPr>
      </w:pPr>
      <w:r w:rsidRPr="00ED7B22">
        <w:rPr>
          <w:b/>
          <w:bCs/>
          <w:sz w:val="28"/>
          <w:szCs w:val="28"/>
        </w:rPr>
        <w:lastRenderedPageBreak/>
        <w:t xml:space="preserve">Table </w:t>
      </w:r>
      <w:r w:rsidR="007D4B18" w:rsidRPr="00ED7B22">
        <w:rPr>
          <w:b/>
          <w:bCs/>
          <w:sz w:val="28"/>
          <w:szCs w:val="28"/>
        </w:rPr>
        <w:t>2</w:t>
      </w:r>
      <w:r w:rsidR="00D059F3" w:rsidRPr="00ED7B22">
        <w:rPr>
          <w:b/>
          <w:bCs/>
          <w:sz w:val="28"/>
          <w:szCs w:val="28"/>
        </w:rPr>
        <w:t>: Proposed Modified Career Measures for</w:t>
      </w:r>
      <w:r w:rsidR="00E82E68">
        <w:rPr>
          <w:b/>
          <w:bCs/>
          <w:sz w:val="28"/>
          <w:szCs w:val="28"/>
        </w:rPr>
        <w:t xml:space="preserve"> </w:t>
      </w:r>
      <w:r w:rsidR="00D059F3" w:rsidRPr="00ED7B22">
        <w:rPr>
          <w:b/>
          <w:bCs/>
          <w:sz w:val="28"/>
          <w:szCs w:val="28"/>
        </w:rPr>
        <w:t>Dashboard Alternative School Status (DASS) Schools</w:t>
      </w:r>
    </w:p>
    <w:tbl>
      <w:tblPr>
        <w:tblStyle w:val="TableGrid"/>
        <w:tblW w:w="5000" w:type="pct"/>
        <w:tblLook w:val="04A0" w:firstRow="1" w:lastRow="0" w:firstColumn="1" w:lastColumn="0" w:noHBand="0" w:noVBand="1"/>
        <w:tblDescription w:val="Table showing the proposed modified career measures for Dashboard Alternative School Status (DASS) Schools."/>
      </w:tblPr>
      <w:tblGrid>
        <w:gridCol w:w="2671"/>
        <w:gridCol w:w="1443"/>
        <w:gridCol w:w="2886"/>
        <w:gridCol w:w="5950"/>
      </w:tblGrid>
      <w:tr w:rsidR="00D059F3" w:rsidRPr="00AC5E4E" w14:paraId="4DE02F58" w14:textId="77777777" w:rsidTr="00EF4C29">
        <w:trPr>
          <w:tblHeader/>
        </w:trPr>
        <w:tc>
          <w:tcPr>
            <w:tcW w:w="1036" w:type="pct"/>
            <w:shd w:val="clear" w:color="auto" w:fill="D9D9D9" w:themeFill="background1" w:themeFillShade="D9"/>
            <w:vAlign w:val="center"/>
          </w:tcPr>
          <w:p w14:paraId="26E6DF54" w14:textId="77777777" w:rsidR="00D059F3" w:rsidRPr="00AC5E4E" w:rsidRDefault="00D059F3" w:rsidP="0048305F">
            <w:pPr>
              <w:jc w:val="center"/>
              <w:rPr>
                <w:b/>
                <w:szCs w:val="22"/>
              </w:rPr>
            </w:pPr>
            <w:r w:rsidRPr="00AC5E4E">
              <w:rPr>
                <w:b/>
                <w:szCs w:val="22"/>
              </w:rPr>
              <w:t>Measure</w:t>
            </w:r>
          </w:p>
        </w:tc>
        <w:tc>
          <w:tcPr>
            <w:tcW w:w="543" w:type="pct"/>
            <w:shd w:val="clear" w:color="auto" w:fill="D9D9D9" w:themeFill="background1" w:themeFillShade="D9"/>
            <w:vAlign w:val="center"/>
          </w:tcPr>
          <w:p w14:paraId="02125743" w14:textId="77777777" w:rsidR="00D059F3" w:rsidRPr="00AC5E4E" w:rsidRDefault="00D059F3" w:rsidP="0048305F">
            <w:pPr>
              <w:jc w:val="center"/>
              <w:rPr>
                <w:b/>
                <w:szCs w:val="22"/>
              </w:rPr>
            </w:pPr>
            <w:r w:rsidRPr="00AC5E4E">
              <w:rPr>
                <w:b/>
                <w:szCs w:val="22"/>
              </w:rPr>
              <w:t>Currently Collected?</w:t>
            </w:r>
          </w:p>
        </w:tc>
        <w:tc>
          <w:tcPr>
            <w:tcW w:w="1119" w:type="pct"/>
            <w:shd w:val="clear" w:color="auto" w:fill="D9D9D9" w:themeFill="background1" w:themeFillShade="D9"/>
            <w:vAlign w:val="center"/>
          </w:tcPr>
          <w:p w14:paraId="14AA4C3B" w14:textId="77777777" w:rsidR="00D059F3" w:rsidRPr="00AC5E4E" w:rsidRDefault="00D059F3" w:rsidP="0048305F">
            <w:pPr>
              <w:jc w:val="center"/>
              <w:rPr>
                <w:b/>
                <w:szCs w:val="22"/>
              </w:rPr>
            </w:pPr>
            <w:r w:rsidRPr="00AC5E4E">
              <w:rPr>
                <w:b/>
                <w:szCs w:val="22"/>
              </w:rPr>
              <w:t>Proposed Criteria</w:t>
            </w:r>
          </w:p>
        </w:tc>
        <w:tc>
          <w:tcPr>
            <w:tcW w:w="2302" w:type="pct"/>
            <w:shd w:val="clear" w:color="auto" w:fill="D9D9D9" w:themeFill="background1" w:themeFillShade="D9"/>
            <w:vAlign w:val="center"/>
          </w:tcPr>
          <w:p w14:paraId="643B3153" w14:textId="77777777" w:rsidR="00D059F3" w:rsidRPr="00AC5E4E" w:rsidRDefault="00D059F3" w:rsidP="0048305F">
            <w:pPr>
              <w:jc w:val="center"/>
              <w:rPr>
                <w:b/>
                <w:szCs w:val="22"/>
              </w:rPr>
            </w:pPr>
            <w:r w:rsidRPr="00AC5E4E">
              <w:rPr>
                <w:b/>
                <w:szCs w:val="22"/>
              </w:rPr>
              <w:t>Description</w:t>
            </w:r>
          </w:p>
        </w:tc>
      </w:tr>
      <w:tr w:rsidR="00D059F3" w:rsidRPr="00AC5E4E" w14:paraId="0F2AB6C0" w14:textId="77777777" w:rsidTr="00EF4C29">
        <w:tc>
          <w:tcPr>
            <w:tcW w:w="1036" w:type="pct"/>
          </w:tcPr>
          <w:p w14:paraId="2C8515EA" w14:textId="77777777" w:rsidR="00D059F3" w:rsidRPr="00AC5E4E" w:rsidRDefault="00D059F3" w:rsidP="002A2FA9">
            <w:pPr>
              <w:rPr>
                <w:sz w:val="22"/>
                <w:szCs w:val="22"/>
              </w:rPr>
            </w:pPr>
            <w:r w:rsidRPr="00AC5E4E">
              <w:rPr>
                <w:i/>
                <w:sz w:val="22"/>
                <w:szCs w:val="22"/>
              </w:rPr>
              <w:t xml:space="preserve">Exploratory </w:t>
            </w:r>
            <w:r w:rsidRPr="00AC5E4E">
              <w:rPr>
                <w:sz w:val="22"/>
                <w:szCs w:val="22"/>
              </w:rPr>
              <w:t>Work Experience Education (EWEE)</w:t>
            </w:r>
          </w:p>
        </w:tc>
        <w:tc>
          <w:tcPr>
            <w:tcW w:w="543" w:type="pct"/>
          </w:tcPr>
          <w:p w14:paraId="08A68EC6" w14:textId="77777777" w:rsidR="00D059F3" w:rsidRPr="00AC5E4E" w:rsidRDefault="00D059F3" w:rsidP="000269EA">
            <w:pPr>
              <w:jc w:val="center"/>
              <w:rPr>
                <w:sz w:val="22"/>
                <w:szCs w:val="22"/>
              </w:rPr>
            </w:pPr>
            <w:r w:rsidRPr="00AC5E4E">
              <w:rPr>
                <w:sz w:val="22"/>
                <w:szCs w:val="22"/>
              </w:rPr>
              <w:t>Yes; Course Code 7002</w:t>
            </w:r>
          </w:p>
        </w:tc>
        <w:tc>
          <w:tcPr>
            <w:tcW w:w="1119" w:type="pct"/>
          </w:tcPr>
          <w:p w14:paraId="78BFF075" w14:textId="77777777" w:rsidR="00D059F3" w:rsidRPr="00AC5E4E" w:rsidRDefault="00D059F3" w:rsidP="000269EA">
            <w:pPr>
              <w:rPr>
                <w:sz w:val="22"/>
                <w:szCs w:val="22"/>
              </w:rPr>
            </w:pPr>
            <w:r w:rsidRPr="00AC5E4E">
              <w:rPr>
                <w:sz w:val="22"/>
                <w:szCs w:val="22"/>
              </w:rPr>
              <w:t>Two semesters and passing grade</w:t>
            </w:r>
          </w:p>
        </w:tc>
        <w:tc>
          <w:tcPr>
            <w:tcW w:w="2302" w:type="pct"/>
          </w:tcPr>
          <w:p w14:paraId="7678B0FC" w14:textId="790D3099" w:rsidR="00D059F3" w:rsidRPr="00AC5E4E" w:rsidRDefault="00D059F3" w:rsidP="002A2FA9">
            <w:pPr>
              <w:rPr>
                <w:sz w:val="22"/>
                <w:szCs w:val="22"/>
              </w:rPr>
            </w:pPr>
            <w:r w:rsidRPr="00AC5E4E">
              <w:rPr>
                <w:sz w:val="22"/>
                <w:szCs w:val="22"/>
              </w:rPr>
              <w:t xml:space="preserve">Provides career guidance through non-paid observations and experiences at selected work sites. EWEE is an instructional course, where students have an opportunity to observe and sample a variety of conditions of work for ascertaining their interest and suitability for the occupations that they are exploring, while including related classroom instruction in </w:t>
            </w:r>
            <w:r w:rsidR="00D05E83">
              <w:rPr>
                <w:sz w:val="22"/>
                <w:szCs w:val="22"/>
              </w:rPr>
              <w:t>Work Experience Education (</w:t>
            </w:r>
            <w:r w:rsidRPr="00AC5E4E">
              <w:rPr>
                <w:sz w:val="22"/>
                <w:szCs w:val="22"/>
              </w:rPr>
              <w:t>WEE</w:t>
            </w:r>
            <w:r w:rsidR="00D05E83">
              <w:rPr>
                <w:sz w:val="22"/>
                <w:szCs w:val="22"/>
              </w:rPr>
              <w:t>)</w:t>
            </w:r>
            <w:r w:rsidRPr="00AC5E4E">
              <w:rPr>
                <w:sz w:val="22"/>
                <w:szCs w:val="22"/>
              </w:rPr>
              <w:t xml:space="preserve">. EWEE provides an opportunity for </w:t>
            </w:r>
            <w:r w:rsidR="0048305F">
              <w:rPr>
                <w:sz w:val="22"/>
                <w:szCs w:val="22"/>
              </w:rPr>
              <w:t xml:space="preserve">a </w:t>
            </w:r>
            <w:r w:rsidRPr="00AC5E4E">
              <w:rPr>
                <w:sz w:val="22"/>
                <w:szCs w:val="22"/>
              </w:rPr>
              <w:t xml:space="preserve">broad-spectrum of students to explore career paths with the goal of clarifying career directions.  </w:t>
            </w:r>
          </w:p>
        </w:tc>
      </w:tr>
      <w:tr w:rsidR="00D059F3" w:rsidRPr="00AC5E4E" w14:paraId="638D7D29" w14:textId="77777777" w:rsidTr="00EF4C29">
        <w:tc>
          <w:tcPr>
            <w:tcW w:w="1036" w:type="pct"/>
          </w:tcPr>
          <w:p w14:paraId="74B19952" w14:textId="77777777" w:rsidR="00D059F3" w:rsidRPr="00AC5E4E" w:rsidRDefault="00D059F3" w:rsidP="002A2FA9">
            <w:pPr>
              <w:rPr>
                <w:sz w:val="22"/>
                <w:szCs w:val="22"/>
              </w:rPr>
            </w:pPr>
            <w:r w:rsidRPr="00AC5E4E">
              <w:rPr>
                <w:i/>
                <w:sz w:val="22"/>
                <w:szCs w:val="22"/>
              </w:rPr>
              <w:t>General</w:t>
            </w:r>
            <w:r w:rsidRPr="00AC5E4E">
              <w:rPr>
                <w:sz w:val="22"/>
                <w:szCs w:val="22"/>
              </w:rPr>
              <w:t xml:space="preserve"> Work Experience Education (GWEE)</w:t>
            </w:r>
          </w:p>
        </w:tc>
        <w:tc>
          <w:tcPr>
            <w:tcW w:w="543" w:type="pct"/>
          </w:tcPr>
          <w:p w14:paraId="5C53DA1F" w14:textId="77777777" w:rsidR="00D059F3" w:rsidRPr="00AC5E4E" w:rsidRDefault="00D059F3" w:rsidP="000269EA">
            <w:pPr>
              <w:jc w:val="center"/>
              <w:rPr>
                <w:sz w:val="22"/>
                <w:szCs w:val="22"/>
              </w:rPr>
            </w:pPr>
            <w:r w:rsidRPr="00AC5E4E">
              <w:rPr>
                <w:sz w:val="22"/>
                <w:szCs w:val="22"/>
              </w:rPr>
              <w:t>Yes; Course Code 7003</w:t>
            </w:r>
          </w:p>
        </w:tc>
        <w:tc>
          <w:tcPr>
            <w:tcW w:w="1119" w:type="pct"/>
          </w:tcPr>
          <w:p w14:paraId="17E3B081" w14:textId="77777777" w:rsidR="00D059F3" w:rsidRPr="00AC5E4E" w:rsidRDefault="00D059F3" w:rsidP="002A2FA9">
            <w:pPr>
              <w:rPr>
                <w:sz w:val="22"/>
                <w:szCs w:val="22"/>
              </w:rPr>
            </w:pPr>
            <w:r w:rsidRPr="00AC5E4E">
              <w:rPr>
                <w:sz w:val="22"/>
                <w:szCs w:val="22"/>
              </w:rPr>
              <w:t>Four semesters and passing grade</w:t>
            </w:r>
          </w:p>
        </w:tc>
        <w:tc>
          <w:tcPr>
            <w:tcW w:w="2302" w:type="pct"/>
          </w:tcPr>
          <w:p w14:paraId="14F70528" w14:textId="77777777" w:rsidR="00D059F3" w:rsidRPr="00AC5E4E" w:rsidRDefault="00D059F3" w:rsidP="002A2FA9">
            <w:pPr>
              <w:rPr>
                <w:sz w:val="22"/>
                <w:szCs w:val="22"/>
              </w:rPr>
            </w:pPr>
            <w:r w:rsidRPr="00AC5E4E">
              <w:rPr>
                <w:sz w:val="22"/>
                <w:szCs w:val="22"/>
              </w:rPr>
              <w:t xml:space="preserve">The GWEE course enables students to become productive, responsible individuals through supervised, paid employment experiences. GWEE is an instructional course, where students will acquire general and specific occupational and employability skills through a combination of supervised paid employment in any occupational field along with classroom related instruction in WEE. </w:t>
            </w:r>
          </w:p>
        </w:tc>
      </w:tr>
      <w:tr w:rsidR="00D059F3" w:rsidRPr="00AC5E4E" w14:paraId="71C75327" w14:textId="77777777" w:rsidTr="00EF4C29">
        <w:tc>
          <w:tcPr>
            <w:tcW w:w="1036" w:type="pct"/>
          </w:tcPr>
          <w:p w14:paraId="46077F7C" w14:textId="77777777" w:rsidR="00D059F3" w:rsidRPr="00AC5E4E" w:rsidRDefault="00D059F3" w:rsidP="002A2FA9">
            <w:pPr>
              <w:rPr>
                <w:sz w:val="22"/>
                <w:szCs w:val="22"/>
              </w:rPr>
            </w:pPr>
            <w:r w:rsidRPr="00AC5E4E">
              <w:rPr>
                <w:i/>
                <w:sz w:val="22"/>
                <w:szCs w:val="22"/>
              </w:rPr>
              <w:t>CTE Work</w:t>
            </w:r>
            <w:r w:rsidRPr="00AC5E4E">
              <w:rPr>
                <w:sz w:val="22"/>
                <w:szCs w:val="22"/>
              </w:rPr>
              <w:t xml:space="preserve"> Experience Education (CTWEE)</w:t>
            </w:r>
          </w:p>
        </w:tc>
        <w:tc>
          <w:tcPr>
            <w:tcW w:w="543" w:type="pct"/>
          </w:tcPr>
          <w:p w14:paraId="28B29FF9" w14:textId="77777777" w:rsidR="00D059F3" w:rsidRPr="00AC5E4E" w:rsidRDefault="00D059F3" w:rsidP="000269EA">
            <w:pPr>
              <w:jc w:val="center"/>
              <w:rPr>
                <w:sz w:val="22"/>
                <w:szCs w:val="22"/>
              </w:rPr>
            </w:pPr>
            <w:r w:rsidRPr="00AC5E4E">
              <w:rPr>
                <w:sz w:val="22"/>
                <w:szCs w:val="22"/>
              </w:rPr>
              <w:t>Yes; Course Code 7004</w:t>
            </w:r>
          </w:p>
        </w:tc>
        <w:tc>
          <w:tcPr>
            <w:tcW w:w="1119" w:type="pct"/>
          </w:tcPr>
          <w:p w14:paraId="67AFEAD2" w14:textId="77777777" w:rsidR="00D059F3" w:rsidRPr="00AC5E4E" w:rsidRDefault="00D059F3" w:rsidP="002A2FA9">
            <w:pPr>
              <w:rPr>
                <w:sz w:val="22"/>
                <w:szCs w:val="22"/>
              </w:rPr>
            </w:pPr>
            <w:r w:rsidRPr="00AC5E4E">
              <w:rPr>
                <w:sz w:val="22"/>
                <w:szCs w:val="22"/>
              </w:rPr>
              <w:t>Four semesters and passing grade</w:t>
            </w:r>
          </w:p>
        </w:tc>
        <w:tc>
          <w:tcPr>
            <w:tcW w:w="2302" w:type="pct"/>
          </w:tcPr>
          <w:p w14:paraId="62D0728C" w14:textId="0C20AF30" w:rsidR="00D059F3" w:rsidRPr="00AC5E4E" w:rsidRDefault="00D059F3" w:rsidP="002A2FA9">
            <w:pPr>
              <w:rPr>
                <w:sz w:val="22"/>
                <w:szCs w:val="22"/>
              </w:rPr>
            </w:pPr>
            <w:r w:rsidRPr="00AC5E4E">
              <w:rPr>
                <w:sz w:val="22"/>
                <w:szCs w:val="22"/>
              </w:rPr>
              <w:t>The CTWEE course reinforces and extends vocational learning opportunities for students through a combination of related CTE classroom instruction and supervised paid employment. The CTWEE is</w:t>
            </w:r>
            <w:r w:rsidR="00484B9C">
              <w:rPr>
                <w:sz w:val="22"/>
                <w:szCs w:val="22"/>
              </w:rPr>
              <w:t xml:space="preserve"> meant</w:t>
            </w:r>
            <w:r w:rsidRPr="00AC5E4E">
              <w:rPr>
                <w:sz w:val="22"/>
                <w:szCs w:val="22"/>
              </w:rPr>
              <w:t xml:space="preserve"> to develop and refine occupational competencies necessary to acquire paid em</w:t>
            </w:r>
            <w:r w:rsidR="00484B9C">
              <w:rPr>
                <w:sz w:val="22"/>
                <w:szCs w:val="22"/>
              </w:rPr>
              <w:t xml:space="preserve">ployment or paid placements, help students </w:t>
            </w:r>
            <w:r w:rsidRPr="00AC5E4E">
              <w:rPr>
                <w:sz w:val="22"/>
                <w:szCs w:val="22"/>
              </w:rPr>
              <w:t>adapt to th</w:t>
            </w:r>
            <w:r w:rsidR="00484B9C">
              <w:rPr>
                <w:sz w:val="22"/>
                <w:szCs w:val="22"/>
              </w:rPr>
              <w:t>e employment environment, and help students</w:t>
            </w:r>
            <w:r w:rsidRPr="00AC5E4E">
              <w:rPr>
                <w:sz w:val="22"/>
                <w:szCs w:val="22"/>
              </w:rPr>
              <w:t xml:space="preserve"> advance in an occupation. Students enrolled in CTWEE must have a worksite placement or employment that is related to a previous or concurrently enrolled CTE course of study. </w:t>
            </w:r>
          </w:p>
        </w:tc>
      </w:tr>
      <w:tr w:rsidR="00D059F3" w:rsidRPr="00AC5E4E" w14:paraId="4DE01E61" w14:textId="77777777" w:rsidTr="00EF4C29">
        <w:tc>
          <w:tcPr>
            <w:tcW w:w="1036" w:type="pct"/>
          </w:tcPr>
          <w:p w14:paraId="06CDE766" w14:textId="77777777" w:rsidR="00D059F3" w:rsidRPr="00AC5E4E" w:rsidRDefault="00D059F3" w:rsidP="002A2FA9">
            <w:pPr>
              <w:rPr>
                <w:sz w:val="22"/>
                <w:szCs w:val="22"/>
              </w:rPr>
            </w:pPr>
            <w:r w:rsidRPr="00AC5E4E">
              <w:rPr>
                <w:sz w:val="22"/>
                <w:szCs w:val="22"/>
              </w:rPr>
              <w:lastRenderedPageBreak/>
              <w:t>Workability Program Course</w:t>
            </w:r>
            <w:r w:rsidR="00831A88" w:rsidRPr="00AC5E4E">
              <w:rPr>
                <w:sz w:val="22"/>
                <w:szCs w:val="22"/>
              </w:rPr>
              <w:t>s</w:t>
            </w:r>
          </w:p>
        </w:tc>
        <w:tc>
          <w:tcPr>
            <w:tcW w:w="543" w:type="pct"/>
          </w:tcPr>
          <w:p w14:paraId="2432DAA5" w14:textId="77777777" w:rsidR="00D059F3" w:rsidRPr="00AC5E4E" w:rsidRDefault="00D059F3" w:rsidP="000269EA">
            <w:pPr>
              <w:jc w:val="center"/>
              <w:rPr>
                <w:sz w:val="22"/>
                <w:szCs w:val="22"/>
              </w:rPr>
            </w:pPr>
            <w:r w:rsidRPr="00AC5E4E">
              <w:rPr>
                <w:sz w:val="22"/>
                <w:szCs w:val="22"/>
              </w:rPr>
              <w:t>No</w:t>
            </w:r>
          </w:p>
        </w:tc>
        <w:tc>
          <w:tcPr>
            <w:tcW w:w="1119" w:type="pct"/>
          </w:tcPr>
          <w:p w14:paraId="4DFAB452" w14:textId="270B61FC" w:rsidR="00D059F3" w:rsidRPr="00AC5E4E" w:rsidRDefault="00177AA7" w:rsidP="002A2FA9">
            <w:pPr>
              <w:rPr>
                <w:sz w:val="22"/>
                <w:szCs w:val="22"/>
              </w:rPr>
            </w:pPr>
            <w:r w:rsidRPr="00AC5E4E">
              <w:rPr>
                <w:sz w:val="22"/>
                <w:szCs w:val="22"/>
              </w:rPr>
              <w:t>Minimum number of course</w:t>
            </w:r>
            <w:r w:rsidR="005A12D4" w:rsidRPr="00AC5E4E">
              <w:rPr>
                <w:sz w:val="22"/>
                <w:szCs w:val="22"/>
              </w:rPr>
              <w:t>s</w:t>
            </w:r>
            <w:r w:rsidRPr="00AC5E4E">
              <w:rPr>
                <w:sz w:val="22"/>
                <w:szCs w:val="22"/>
              </w:rPr>
              <w:t xml:space="preserve"> to be determined by the </w:t>
            </w:r>
            <w:r w:rsidR="001E5E27" w:rsidRPr="00AC5E4E">
              <w:rPr>
                <w:rFonts w:cs="Arial"/>
              </w:rPr>
              <w:t>Alternative Schools</w:t>
            </w:r>
            <w:r w:rsidR="001E5E27" w:rsidRPr="00AC5E4E">
              <w:rPr>
                <w:sz w:val="22"/>
                <w:szCs w:val="22"/>
              </w:rPr>
              <w:t xml:space="preserve"> </w:t>
            </w:r>
            <w:r w:rsidRPr="00AC5E4E">
              <w:rPr>
                <w:sz w:val="22"/>
                <w:szCs w:val="22"/>
              </w:rPr>
              <w:t>Task Force</w:t>
            </w:r>
          </w:p>
        </w:tc>
        <w:tc>
          <w:tcPr>
            <w:tcW w:w="2302" w:type="pct"/>
          </w:tcPr>
          <w:p w14:paraId="25E49977" w14:textId="0DEE3A20" w:rsidR="00D059F3" w:rsidRPr="00AC5E4E" w:rsidRDefault="003D34CB" w:rsidP="00484B9C">
            <w:pPr>
              <w:rPr>
                <w:color w:val="FF0000"/>
                <w:sz w:val="22"/>
                <w:szCs w:val="22"/>
              </w:rPr>
            </w:pPr>
            <w:r w:rsidRPr="00AC5E4E">
              <w:rPr>
                <w:rFonts w:cs="Arial"/>
                <w:sz w:val="22"/>
              </w:rPr>
              <w:t>Provides comprehensive pre-employment skills training, employment placement and follow-up for high school students in special education who are making the transition from school to work, independent living and postsecondary education or training. The program is administered by the CDE</w:t>
            </w:r>
            <w:r w:rsidR="00484B9C">
              <w:rPr>
                <w:rFonts w:cs="Arial"/>
                <w:sz w:val="22"/>
              </w:rPr>
              <w:t>.</w:t>
            </w:r>
            <w:r w:rsidR="005A12D4" w:rsidRPr="00AC5E4E">
              <w:rPr>
                <w:rFonts w:cs="Arial"/>
                <w:sz w:val="22"/>
              </w:rPr>
              <w:t xml:space="preserve"> </w:t>
            </w:r>
            <w:r w:rsidR="00484B9C">
              <w:rPr>
                <w:rFonts w:cs="Arial"/>
                <w:sz w:val="22"/>
              </w:rPr>
              <w:t>C</w:t>
            </w:r>
            <w:r w:rsidR="005A12D4" w:rsidRPr="00AC5E4E">
              <w:rPr>
                <w:rFonts w:cs="Arial"/>
                <w:sz w:val="22"/>
              </w:rPr>
              <w:t>ourse</w:t>
            </w:r>
            <w:r w:rsidR="00484B9C">
              <w:rPr>
                <w:rFonts w:cs="Arial"/>
                <w:sz w:val="22"/>
              </w:rPr>
              <w:t>s</w:t>
            </w:r>
            <w:r w:rsidRPr="00AC5E4E">
              <w:rPr>
                <w:rFonts w:cs="Arial"/>
                <w:sz w:val="22"/>
              </w:rPr>
              <w:t xml:space="preserve"> include job skills, occupational training, independent living/functional skills, job search, job retention, and mobility training.</w:t>
            </w:r>
          </w:p>
        </w:tc>
      </w:tr>
      <w:tr w:rsidR="005A12D4" w:rsidRPr="00AC5E4E" w14:paraId="3D46BBBB" w14:textId="77777777" w:rsidTr="00EF4C29">
        <w:tc>
          <w:tcPr>
            <w:tcW w:w="1036" w:type="pct"/>
          </w:tcPr>
          <w:p w14:paraId="29FA5943" w14:textId="77777777" w:rsidR="005A12D4" w:rsidRPr="00AC5E4E" w:rsidRDefault="005A12D4" w:rsidP="00B372FA">
            <w:pPr>
              <w:rPr>
                <w:sz w:val="22"/>
                <w:szCs w:val="22"/>
              </w:rPr>
            </w:pPr>
            <w:r w:rsidRPr="00AC5E4E">
              <w:rPr>
                <w:sz w:val="22"/>
                <w:szCs w:val="22"/>
              </w:rPr>
              <w:t>Workability Work-Based Learning</w:t>
            </w:r>
          </w:p>
        </w:tc>
        <w:tc>
          <w:tcPr>
            <w:tcW w:w="543" w:type="pct"/>
          </w:tcPr>
          <w:p w14:paraId="043F3A02" w14:textId="77777777" w:rsidR="005A12D4" w:rsidRPr="00AC5E4E" w:rsidRDefault="005A12D4" w:rsidP="000269EA">
            <w:pPr>
              <w:jc w:val="center"/>
              <w:rPr>
                <w:sz w:val="22"/>
                <w:szCs w:val="22"/>
              </w:rPr>
            </w:pPr>
            <w:r w:rsidRPr="00AC5E4E">
              <w:rPr>
                <w:sz w:val="22"/>
                <w:szCs w:val="22"/>
              </w:rPr>
              <w:t>No</w:t>
            </w:r>
          </w:p>
        </w:tc>
        <w:tc>
          <w:tcPr>
            <w:tcW w:w="1119" w:type="pct"/>
          </w:tcPr>
          <w:p w14:paraId="08A109F7" w14:textId="6A92D994" w:rsidR="005A12D4" w:rsidRPr="00AC5E4E" w:rsidRDefault="005A12D4" w:rsidP="005A12D4">
            <w:pPr>
              <w:rPr>
                <w:sz w:val="22"/>
                <w:szCs w:val="22"/>
              </w:rPr>
            </w:pPr>
            <w:r w:rsidRPr="00AC5E4E">
              <w:rPr>
                <w:sz w:val="22"/>
                <w:szCs w:val="22"/>
              </w:rPr>
              <w:t xml:space="preserve">Minimum number of hours to be determined by the </w:t>
            </w:r>
            <w:r w:rsidR="001E5E27" w:rsidRPr="00AC5E4E">
              <w:rPr>
                <w:rFonts w:cs="Arial"/>
              </w:rPr>
              <w:t>Alternative Schools</w:t>
            </w:r>
            <w:r w:rsidR="001E5E27" w:rsidRPr="00AC5E4E">
              <w:rPr>
                <w:sz w:val="22"/>
                <w:szCs w:val="22"/>
              </w:rPr>
              <w:t xml:space="preserve"> </w:t>
            </w:r>
            <w:r w:rsidRPr="00AC5E4E">
              <w:rPr>
                <w:sz w:val="22"/>
                <w:szCs w:val="22"/>
              </w:rPr>
              <w:t>Task Force</w:t>
            </w:r>
          </w:p>
        </w:tc>
        <w:tc>
          <w:tcPr>
            <w:tcW w:w="2302" w:type="pct"/>
          </w:tcPr>
          <w:p w14:paraId="2507F4CA" w14:textId="77777777" w:rsidR="005A12D4" w:rsidRPr="00AC5E4E" w:rsidRDefault="005A12D4" w:rsidP="005A12D4">
            <w:pPr>
              <w:rPr>
                <w:sz w:val="22"/>
                <w:szCs w:val="22"/>
              </w:rPr>
            </w:pPr>
            <w:r w:rsidRPr="00AC5E4E">
              <w:rPr>
                <w:rFonts w:cs="Arial"/>
                <w:sz w:val="22"/>
              </w:rPr>
              <w:t>Work-based learning includes student wages for try-out employment, placement in unsubsidized employment, earning at least minimum wage, apprenticeships, internships (paid or unpaid), and community-based vocational instruction in compliance with the Fair Labor Standards Act requirements.</w:t>
            </w:r>
          </w:p>
        </w:tc>
      </w:tr>
      <w:tr w:rsidR="00D059F3" w:rsidRPr="00AC5E4E" w14:paraId="71086A21" w14:textId="77777777" w:rsidTr="00EF4C29">
        <w:tc>
          <w:tcPr>
            <w:tcW w:w="1036" w:type="pct"/>
          </w:tcPr>
          <w:p w14:paraId="5D9CC04F" w14:textId="77777777" w:rsidR="00D059F3" w:rsidRPr="00AC5E4E" w:rsidRDefault="003D34CB" w:rsidP="002A2FA9">
            <w:pPr>
              <w:rPr>
                <w:sz w:val="22"/>
                <w:szCs w:val="22"/>
              </w:rPr>
            </w:pPr>
            <w:r w:rsidRPr="00AC5E4E">
              <w:rPr>
                <w:sz w:val="22"/>
                <w:szCs w:val="22"/>
              </w:rPr>
              <w:t>Workforce Readiness Certificate</w:t>
            </w:r>
          </w:p>
        </w:tc>
        <w:tc>
          <w:tcPr>
            <w:tcW w:w="543" w:type="pct"/>
          </w:tcPr>
          <w:p w14:paraId="618A8C8F" w14:textId="77777777" w:rsidR="00D059F3" w:rsidRPr="00AC5E4E" w:rsidRDefault="00D059F3" w:rsidP="000269EA">
            <w:pPr>
              <w:jc w:val="center"/>
              <w:rPr>
                <w:sz w:val="22"/>
                <w:szCs w:val="22"/>
              </w:rPr>
            </w:pPr>
            <w:r w:rsidRPr="00AC5E4E">
              <w:rPr>
                <w:sz w:val="22"/>
                <w:szCs w:val="22"/>
              </w:rPr>
              <w:t>No</w:t>
            </w:r>
          </w:p>
        </w:tc>
        <w:tc>
          <w:tcPr>
            <w:tcW w:w="1119" w:type="pct"/>
          </w:tcPr>
          <w:p w14:paraId="1B3F3F70" w14:textId="77777777" w:rsidR="00D059F3" w:rsidRPr="00AC5E4E" w:rsidRDefault="003D34CB" w:rsidP="002A2FA9">
            <w:pPr>
              <w:rPr>
                <w:sz w:val="22"/>
                <w:szCs w:val="22"/>
              </w:rPr>
            </w:pPr>
            <w:r w:rsidRPr="00AC5E4E">
              <w:rPr>
                <w:sz w:val="22"/>
                <w:szCs w:val="22"/>
              </w:rPr>
              <w:t>Earned certificate</w:t>
            </w:r>
          </w:p>
        </w:tc>
        <w:tc>
          <w:tcPr>
            <w:tcW w:w="2302" w:type="pct"/>
          </w:tcPr>
          <w:p w14:paraId="64717E55" w14:textId="77CD0954" w:rsidR="00D059F3" w:rsidRPr="00AC5E4E" w:rsidRDefault="003D34CB" w:rsidP="00983414">
            <w:pPr>
              <w:rPr>
                <w:sz w:val="22"/>
                <w:szCs w:val="22"/>
              </w:rPr>
            </w:pPr>
            <w:r w:rsidRPr="00AC5E4E">
              <w:rPr>
                <w:sz w:val="22"/>
                <w:szCs w:val="22"/>
              </w:rPr>
              <w:t>The certificate is approved by a third party (e.g., National Career Readiness Certificate, Workforce Development Board Certificate).</w:t>
            </w:r>
          </w:p>
        </w:tc>
      </w:tr>
      <w:tr w:rsidR="00D059F3" w:rsidRPr="00AC5E4E" w14:paraId="74546DB1" w14:textId="77777777" w:rsidTr="00EF4C29">
        <w:tc>
          <w:tcPr>
            <w:tcW w:w="1036" w:type="pct"/>
            <w:tcBorders>
              <w:bottom w:val="single" w:sz="4" w:space="0" w:color="auto"/>
            </w:tcBorders>
          </w:tcPr>
          <w:p w14:paraId="6ADC595D" w14:textId="77777777" w:rsidR="00D059F3" w:rsidRPr="00AC5E4E" w:rsidRDefault="00D059F3" w:rsidP="002A2FA9">
            <w:pPr>
              <w:rPr>
                <w:sz w:val="22"/>
                <w:szCs w:val="22"/>
              </w:rPr>
            </w:pPr>
            <w:r w:rsidRPr="00AC5E4E">
              <w:rPr>
                <w:sz w:val="22"/>
                <w:szCs w:val="22"/>
              </w:rPr>
              <w:t>Completion of a Pre-Apprenticeship Program</w:t>
            </w:r>
          </w:p>
        </w:tc>
        <w:tc>
          <w:tcPr>
            <w:tcW w:w="543" w:type="pct"/>
            <w:tcBorders>
              <w:bottom w:val="single" w:sz="4" w:space="0" w:color="auto"/>
            </w:tcBorders>
          </w:tcPr>
          <w:p w14:paraId="225D3BD9" w14:textId="77777777" w:rsidR="00D059F3" w:rsidRPr="00AC5E4E" w:rsidRDefault="00D059F3" w:rsidP="000269EA">
            <w:pPr>
              <w:jc w:val="center"/>
              <w:rPr>
                <w:sz w:val="22"/>
                <w:szCs w:val="22"/>
              </w:rPr>
            </w:pPr>
            <w:r w:rsidRPr="00AC5E4E">
              <w:rPr>
                <w:sz w:val="22"/>
                <w:szCs w:val="22"/>
              </w:rPr>
              <w:t>No</w:t>
            </w:r>
          </w:p>
        </w:tc>
        <w:tc>
          <w:tcPr>
            <w:tcW w:w="1119" w:type="pct"/>
            <w:tcBorders>
              <w:bottom w:val="single" w:sz="4" w:space="0" w:color="auto"/>
            </w:tcBorders>
          </w:tcPr>
          <w:p w14:paraId="6DCDBF6F" w14:textId="77777777" w:rsidR="00D059F3" w:rsidRPr="00AC5E4E" w:rsidRDefault="00D059F3" w:rsidP="004A3F0A">
            <w:pPr>
              <w:rPr>
                <w:sz w:val="22"/>
                <w:szCs w:val="22"/>
              </w:rPr>
            </w:pPr>
            <w:r w:rsidRPr="00AC5E4E">
              <w:rPr>
                <w:sz w:val="22"/>
                <w:szCs w:val="22"/>
              </w:rPr>
              <w:t>120 hour mi</w:t>
            </w:r>
            <w:r w:rsidR="007B7CE7" w:rsidRPr="00AC5E4E">
              <w:rPr>
                <w:sz w:val="22"/>
                <w:szCs w:val="22"/>
              </w:rPr>
              <w:t>n</w:t>
            </w:r>
            <w:r w:rsidRPr="00AC5E4E">
              <w:rPr>
                <w:sz w:val="22"/>
                <w:szCs w:val="22"/>
              </w:rPr>
              <w:t>imum</w:t>
            </w:r>
          </w:p>
        </w:tc>
        <w:tc>
          <w:tcPr>
            <w:tcW w:w="2302" w:type="pct"/>
            <w:tcBorders>
              <w:bottom w:val="single" w:sz="4" w:space="0" w:color="auto"/>
            </w:tcBorders>
          </w:tcPr>
          <w:p w14:paraId="0935E9BB" w14:textId="1A43A5EB" w:rsidR="00D059F3" w:rsidRPr="00AC5E4E" w:rsidRDefault="00D059F3" w:rsidP="00983414">
            <w:pPr>
              <w:rPr>
                <w:sz w:val="22"/>
                <w:szCs w:val="22"/>
              </w:rPr>
            </w:pPr>
            <w:r w:rsidRPr="00AC5E4E">
              <w:rPr>
                <w:sz w:val="22"/>
                <w:szCs w:val="22"/>
              </w:rPr>
              <w:t>A course of study offered by program sponsors to potential registered apprenticeship-program applicants. Content is typically focused on basic skills which must be successfully demonstrated on program entrance examinations.</w:t>
            </w:r>
          </w:p>
        </w:tc>
      </w:tr>
      <w:tr w:rsidR="00D059F3" w:rsidRPr="00AC5E4E" w14:paraId="11406989" w14:textId="77777777" w:rsidTr="00EF4C29">
        <w:tc>
          <w:tcPr>
            <w:tcW w:w="1036" w:type="pct"/>
            <w:tcBorders>
              <w:bottom w:val="single" w:sz="4" w:space="0" w:color="auto"/>
            </w:tcBorders>
          </w:tcPr>
          <w:p w14:paraId="6601196F" w14:textId="77777777" w:rsidR="00D059F3" w:rsidRPr="00AC5E4E" w:rsidRDefault="003D34CB" w:rsidP="002A2FA9">
            <w:pPr>
              <w:rPr>
                <w:sz w:val="22"/>
                <w:szCs w:val="22"/>
              </w:rPr>
            </w:pPr>
            <w:r w:rsidRPr="00AC5E4E">
              <w:rPr>
                <w:sz w:val="22"/>
                <w:szCs w:val="22"/>
              </w:rPr>
              <w:t>State or Federal Job Program</w:t>
            </w:r>
          </w:p>
        </w:tc>
        <w:tc>
          <w:tcPr>
            <w:tcW w:w="543" w:type="pct"/>
            <w:tcBorders>
              <w:bottom w:val="single" w:sz="4" w:space="0" w:color="auto"/>
            </w:tcBorders>
          </w:tcPr>
          <w:p w14:paraId="53399429" w14:textId="77777777" w:rsidR="00D059F3" w:rsidRPr="00AC5E4E" w:rsidRDefault="00D059F3" w:rsidP="000269EA">
            <w:pPr>
              <w:jc w:val="center"/>
              <w:rPr>
                <w:sz w:val="22"/>
                <w:szCs w:val="22"/>
              </w:rPr>
            </w:pPr>
            <w:r w:rsidRPr="00AC5E4E">
              <w:rPr>
                <w:sz w:val="22"/>
                <w:szCs w:val="22"/>
              </w:rPr>
              <w:t>No</w:t>
            </w:r>
          </w:p>
        </w:tc>
        <w:tc>
          <w:tcPr>
            <w:tcW w:w="1119" w:type="pct"/>
            <w:tcBorders>
              <w:bottom w:val="single" w:sz="4" w:space="0" w:color="auto"/>
            </w:tcBorders>
          </w:tcPr>
          <w:p w14:paraId="62F5C4C1" w14:textId="77777777" w:rsidR="00D059F3" w:rsidRPr="00AC5E4E" w:rsidRDefault="003D34CB" w:rsidP="002A2FA9">
            <w:pPr>
              <w:rPr>
                <w:sz w:val="22"/>
                <w:szCs w:val="22"/>
              </w:rPr>
            </w:pPr>
            <w:r w:rsidRPr="00AC5E4E">
              <w:rPr>
                <w:sz w:val="22"/>
                <w:szCs w:val="22"/>
              </w:rPr>
              <w:t>Completion of program</w:t>
            </w:r>
          </w:p>
        </w:tc>
        <w:tc>
          <w:tcPr>
            <w:tcW w:w="2302" w:type="pct"/>
            <w:tcBorders>
              <w:bottom w:val="single" w:sz="4" w:space="0" w:color="auto"/>
            </w:tcBorders>
          </w:tcPr>
          <w:p w14:paraId="098A147B" w14:textId="59A6AF3E" w:rsidR="00D059F3" w:rsidRPr="00AC5E4E" w:rsidRDefault="003D34CB" w:rsidP="00983414">
            <w:pPr>
              <w:rPr>
                <w:color w:val="FF0000"/>
                <w:sz w:val="22"/>
                <w:szCs w:val="22"/>
              </w:rPr>
            </w:pPr>
            <w:r w:rsidRPr="00AC5E4E">
              <w:rPr>
                <w:sz w:val="22"/>
                <w:szCs w:val="22"/>
              </w:rPr>
              <w:t xml:space="preserve">These programs meet the requirement established in state or federal legislation and/or regulations (e.g., </w:t>
            </w:r>
            <w:r w:rsidR="00D059F3" w:rsidRPr="00AC5E4E">
              <w:rPr>
                <w:sz w:val="22"/>
                <w:szCs w:val="22"/>
              </w:rPr>
              <w:t>Job</w:t>
            </w:r>
            <w:r w:rsidRPr="00AC5E4E">
              <w:rPr>
                <w:sz w:val="22"/>
                <w:szCs w:val="22"/>
              </w:rPr>
              <w:t xml:space="preserve"> </w:t>
            </w:r>
            <w:r w:rsidR="00D059F3" w:rsidRPr="00AC5E4E">
              <w:rPr>
                <w:sz w:val="22"/>
                <w:szCs w:val="22"/>
              </w:rPr>
              <w:t>Corps, Youth</w:t>
            </w:r>
            <w:r w:rsidR="00757667" w:rsidRPr="00AC5E4E">
              <w:rPr>
                <w:sz w:val="22"/>
                <w:szCs w:val="22"/>
              </w:rPr>
              <w:t xml:space="preserve"> B</w:t>
            </w:r>
            <w:r w:rsidR="00D059F3" w:rsidRPr="00AC5E4E">
              <w:rPr>
                <w:sz w:val="22"/>
                <w:szCs w:val="22"/>
              </w:rPr>
              <w:t>uild, W</w:t>
            </w:r>
            <w:r w:rsidRPr="00AC5E4E">
              <w:rPr>
                <w:sz w:val="22"/>
                <w:szCs w:val="22"/>
              </w:rPr>
              <w:t>orkforce Innovation and Opportunity Act,</w:t>
            </w:r>
            <w:r w:rsidR="00D059F3" w:rsidRPr="00AC5E4E">
              <w:rPr>
                <w:sz w:val="22"/>
                <w:szCs w:val="22"/>
              </w:rPr>
              <w:t xml:space="preserve"> California Conservation Corps, </w:t>
            </w:r>
            <w:r w:rsidR="00757667" w:rsidRPr="00AC5E4E">
              <w:rPr>
                <w:sz w:val="22"/>
                <w:szCs w:val="22"/>
              </w:rPr>
              <w:t xml:space="preserve">and </w:t>
            </w:r>
            <w:r w:rsidR="00D059F3" w:rsidRPr="00AC5E4E">
              <w:rPr>
                <w:sz w:val="22"/>
                <w:szCs w:val="22"/>
              </w:rPr>
              <w:t>R</w:t>
            </w:r>
            <w:r w:rsidR="00757667" w:rsidRPr="00AC5E4E">
              <w:rPr>
                <w:sz w:val="22"/>
                <w:szCs w:val="22"/>
              </w:rPr>
              <w:t>egional Occupational Program)</w:t>
            </w:r>
            <w:r w:rsidR="00983414">
              <w:rPr>
                <w:sz w:val="22"/>
                <w:szCs w:val="22"/>
              </w:rPr>
              <w:t>.</w:t>
            </w:r>
          </w:p>
        </w:tc>
      </w:tr>
    </w:tbl>
    <w:p w14:paraId="6F1D5EBF" w14:textId="77777777" w:rsidR="009D54C8" w:rsidRPr="00D048C7" w:rsidRDefault="009D54C8" w:rsidP="008B1135">
      <w:pPr>
        <w:spacing w:after="480"/>
      </w:pPr>
    </w:p>
    <w:p w14:paraId="54C8A525" w14:textId="77777777" w:rsidR="00373FBD" w:rsidRPr="00D048C7" w:rsidRDefault="00373FBD">
      <w:pPr>
        <w:spacing w:after="160" w:line="259" w:lineRule="auto"/>
        <w:sectPr w:rsidR="00373FBD" w:rsidRPr="00D048C7" w:rsidSect="00EF4C29">
          <w:pgSz w:w="15840" w:h="12240" w:orient="landscape"/>
          <w:pgMar w:top="1440" w:right="1440" w:bottom="1440" w:left="1440" w:header="720" w:footer="720" w:gutter="0"/>
          <w:cols w:space="720"/>
          <w:docGrid w:linePitch="326"/>
        </w:sectPr>
      </w:pPr>
    </w:p>
    <w:p w14:paraId="7AEDD083" w14:textId="78EE7A41" w:rsidR="009D54C8" w:rsidRPr="003056FA" w:rsidRDefault="005B6A20" w:rsidP="003056FA">
      <w:pPr>
        <w:pStyle w:val="Heading1"/>
        <w:spacing w:after="240"/>
        <w:jc w:val="center"/>
        <w:rPr>
          <w:rFonts w:ascii="Arial" w:hAnsi="Arial" w:cs="Arial"/>
          <w:b/>
          <w:color w:val="auto"/>
        </w:rPr>
      </w:pPr>
      <w:r w:rsidRPr="003056FA">
        <w:rPr>
          <w:rFonts w:ascii="Arial" w:hAnsi="Arial" w:cs="Arial"/>
          <w:b/>
          <w:color w:val="auto"/>
        </w:rPr>
        <w:lastRenderedPageBreak/>
        <w:t>Attachment 3</w:t>
      </w:r>
      <w:r w:rsidR="009D54C8" w:rsidRPr="003056FA">
        <w:rPr>
          <w:rFonts w:ascii="Arial" w:hAnsi="Arial" w:cs="Arial"/>
          <w:b/>
          <w:color w:val="auto"/>
        </w:rPr>
        <w:t xml:space="preserve">: Performance Comparisons for </w:t>
      </w:r>
      <w:r w:rsidR="00373FBD" w:rsidRPr="003056FA">
        <w:rPr>
          <w:rFonts w:ascii="Arial" w:hAnsi="Arial" w:cs="Arial"/>
          <w:b/>
          <w:color w:val="auto"/>
        </w:rPr>
        <w:t xml:space="preserve">College/Career Indicator </w:t>
      </w:r>
      <w:r w:rsidR="009D54C8" w:rsidRPr="003056FA">
        <w:rPr>
          <w:rFonts w:ascii="Arial" w:hAnsi="Arial" w:cs="Arial"/>
          <w:b/>
          <w:color w:val="auto"/>
        </w:rPr>
        <w:t>Academic Measures</w:t>
      </w:r>
    </w:p>
    <w:p w14:paraId="16A9B9AF" w14:textId="2851637C" w:rsidR="004033D1" w:rsidRPr="00AC5E4E" w:rsidRDefault="003B7ADC" w:rsidP="00484B9C">
      <w:pPr>
        <w:spacing w:after="240"/>
        <w:rPr>
          <w:rFonts w:cs="Arial"/>
          <w:color w:val="000000"/>
        </w:rPr>
      </w:pPr>
      <w:r w:rsidRPr="00AC5E4E">
        <w:rPr>
          <w:rFonts w:cs="Arial"/>
          <w:color w:val="000000"/>
        </w:rPr>
        <w:t xml:space="preserve">At the January 2018 State Board of Education (SBE) meeting, SBE members </w:t>
      </w:r>
      <w:r w:rsidR="001E5E27" w:rsidRPr="00AC5E4E">
        <w:rPr>
          <w:rFonts w:cs="Arial"/>
          <w:color w:val="000000"/>
        </w:rPr>
        <w:t xml:space="preserve">requested additional information </w:t>
      </w:r>
      <w:r w:rsidR="007B3256" w:rsidRPr="00AC5E4E">
        <w:rPr>
          <w:rFonts w:cs="Arial"/>
          <w:color w:val="000000"/>
        </w:rPr>
        <w:t>regarding the criterion-</w:t>
      </w:r>
      <w:r w:rsidRPr="00AC5E4E">
        <w:rPr>
          <w:rFonts w:cs="Arial"/>
          <w:color w:val="000000"/>
        </w:rPr>
        <w:t>based C</w:t>
      </w:r>
      <w:r w:rsidR="007B3256" w:rsidRPr="00AC5E4E">
        <w:rPr>
          <w:rFonts w:cs="Arial"/>
          <w:color w:val="000000"/>
        </w:rPr>
        <w:t>ollege/Career (CCI) Model. Specifically,</w:t>
      </w:r>
      <w:r w:rsidRPr="00AC5E4E">
        <w:rPr>
          <w:rFonts w:cs="Arial"/>
          <w:color w:val="000000"/>
        </w:rPr>
        <w:t xml:space="preserve"> </w:t>
      </w:r>
      <w:r w:rsidR="001E5E27" w:rsidRPr="00AC5E4E">
        <w:rPr>
          <w:rFonts w:cs="Arial"/>
          <w:color w:val="000000"/>
        </w:rPr>
        <w:t xml:space="preserve">SBE </w:t>
      </w:r>
      <w:r w:rsidRPr="00AC5E4E">
        <w:rPr>
          <w:rFonts w:cs="Arial"/>
          <w:color w:val="000000"/>
        </w:rPr>
        <w:t xml:space="preserve">members were concerned that students might be </w:t>
      </w:r>
      <w:r w:rsidR="009C0C23" w:rsidRPr="00AC5E4E">
        <w:rPr>
          <w:rFonts w:cs="Arial"/>
          <w:color w:val="000000"/>
        </w:rPr>
        <w:t xml:space="preserve">inappropriately </w:t>
      </w:r>
      <w:r w:rsidRPr="00AC5E4E">
        <w:rPr>
          <w:rFonts w:cs="Arial"/>
          <w:color w:val="000000"/>
        </w:rPr>
        <w:t xml:space="preserve">assigned </w:t>
      </w:r>
      <w:r w:rsidR="009C0C23" w:rsidRPr="00AC5E4E">
        <w:rPr>
          <w:rFonts w:cs="Arial"/>
          <w:color w:val="000000"/>
        </w:rPr>
        <w:t xml:space="preserve">to </w:t>
      </w:r>
      <w:r w:rsidRPr="00AC5E4E">
        <w:rPr>
          <w:rFonts w:cs="Arial"/>
          <w:color w:val="000000"/>
        </w:rPr>
        <w:t>the “Prepared” performance level</w:t>
      </w:r>
      <w:r w:rsidR="009C0C23" w:rsidRPr="00AC5E4E">
        <w:rPr>
          <w:rFonts w:cs="Arial"/>
          <w:color w:val="000000"/>
        </w:rPr>
        <w:t xml:space="preserve"> based on their performance on one measure </w:t>
      </w:r>
      <w:r w:rsidR="007B3256" w:rsidRPr="00AC5E4E">
        <w:rPr>
          <w:rFonts w:cs="Arial"/>
          <w:color w:val="000000"/>
        </w:rPr>
        <w:t>alone</w:t>
      </w:r>
      <w:r w:rsidR="009C0C23" w:rsidRPr="00AC5E4E">
        <w:rPr>
          <w:rFonts w:cs="Arial"/>
          <w:color w:val="000000"/>
        </w:rPr>
        <w:t xml:space="preserve"> rather than on a broad course of study.</w:t>
      </w:r>
    </w:p>
    <w:p w14:paraId="6065F0D0" w14:textId="37C6AB59" w:rsidR="004033D1" w:rsidRPr="00AC5E4E" w:rsidRDefault="00B372FA" w:rsidP="00484B9C">
      <w:pPr>
        <w:spacing w:after="240"/>
        <w:rPr>
          <w:rFonts w:cs="Arial"/>
          <w:color w:val="000000"/>
        </w:rPr>
      </w:pPr>
      <w:r w:rsidRPr="00AC5E4E">
        <w:rPr>
          <w:rFonts w:cs="Arial"/>
          <w:color w:val="000000"/>
        </w:rPr>
        <w:t>T</w:t>
      </w:r>
      <w:r w:rsidR="004033D1" w:rsidRPr="00AC5E4E">
        <w:rPr>
          <w:rFonts w:cs="Arial"/>
          <w:color w:val="000000"/>
        </w:rPr>
        <w:t xml:space="preserve">he CCI is based on a broad course of study and </w:t>
      </w:r>
      <w:r w:rsidR="00831A88" w:rsidRPr="00AC5E4E">
        <w:rPr>
          <w:rFonts w:cs="Arial"/>
          <w:color w:val="000000"/>
        </w:rPr>
        <w:t xml:space="preserve">encourages </w:t>
      </w:r>
      <w:r w:rsidR="004033D1" w:rsidRPr="00AC5E4E">
        <w:rPr>
          <w:rFonts w:cs="Arial"/>
          <w:color w:val="000000"/>
        </w:rPr>
        <w:t xml:space="preserve">schools </w:t>
      </w:r>
      <w:r w:rsidR="00831A88" w:rsidRPr="00AC5E4E">
        <w:rPr>
          <w:rFonts w:cs="Arial"/>
          <w:color w:val="000000"/>
        </w:rPr>
        <w:t xml:space="preserve">to </w:t>
      </w:r>
      <w:r w:rsidR="004033D1" w:rsidRPr="00AC5E4E">
        <w:rPr>
          <w:rFonts w:cs="Arial"/>
          <w:color w:val="000000"/>
        </w:rPr>
        <w:t xml:space="preserve">provide students with access to a comprehensive range of skills </w:t>
      </w:r>
      <w:r w:rsidR="004A3F0A" w:rsidRPr="00AC5E4E">
        <w:rPr>
          <w:rFonts w:cs="Arial"/>
          <w:color w:val="000000"/>
        </w:rPr>
        <w:t xml:space="preserve">that are necessary for success in </w:t>
      </w:r>
      <w:r w:rsidR="004033D1" w:rsidRPr="00AC5E4E">
        <w:rPr>
          <w:rFonts w:cs="Arial"/>
          <w:color w:val="000000"/>
        </w:rPr>
        <w:t xml:space="preserve">college and/or a career. </w:t>
      </w:r>
      <w:r w:rsidRPr="00AC5E4E">
        <w:rPr>
          <w:rFonts w:cs="Arial"/>
          <w:color w:val="000000"/>
        </w:rPr>
        <w:t>I</w:t>
      </w:r>
      <w:r w:rsidR="004033D1" w:rsidRPr="00AC5E4E">
        <w:rPr>
          <w:rFonts w:cs="Arial"/>
          <w:color w:val="000000"/>
        </w:rPr>
        <w:t xml:space="preserve">t is not possible for any one criterion to predict whether or not students will be successful after graduation. Rather the CCI is designed to be an effective indicator of whether students have the necessary </w:t>
      </w:r>
      <w:r w:rsidRPr="00AC5E4E">
        <w:rPr>
          <w:rFonts w:cs="Arial"/>
          <w:color w:val="000000"/>
        </w:rPr>
        <w:t xml:space="preserve">academic </w:t>
      </w:r>
      <w:r w:rsidR="004033D1" w:rsidRPr="00AC5E4E">
        <w:rPr>
          <w:rFonts w:cs="Arial"/>
          <w:color w:val="000000"/>
        </w:rPr>
        <w:t xml:space="preserve">skills to </w:t>
      </w:r>
      <w:r w:rsidRPr="00AC5E4E">
        <w:rPr>
          <w:rFonts w:cs="Arial"/>
          <w:color w:val="000000"/>
        </w:rPr>
        <w:t>enroll in</w:t>
      </w:r>
      <w:r w:rsidR="004033D1" w:rsidRPr="00AC5E4E">
        <w:rPr>
          <w:rFonts w:cs="Arial"/>
          <w:color w:val="000000"/>
        </w:rPr>
        <w:t xml:space="preserve"> college-level courses </w:t>
      </w:r>
      <w:r w:rsidRPr="00AC5E4E">
        <w:rPr>
          <w:rFonts w:cs="Arial"/>
          <w:color w:val="000000"/>
        </w:rPr>
        <w:t xml:space="preserve">without the need for remediation, </w:t>
      </w:r>
      <w:r w:rsidR="004033D1" w:rsidRPr="00AC5E4E">
        <w:rPr>
          <w:rFonts w:cs="Arial"/>
          <w:color w:val="000000"/>
        </w:rPr>
        <w:t xml:space="preserve">and/or obtain </w:t>
      </w:r>
      <w:r w:rsidRPr="00AC5E4E">
        <w:rPr>
          <w:rFonts w:cs="Arial"/>
          <w:color w:val="000000"/>
        </w:rPr>
        <w:t xml:space="preserve">and be successful in </w:t>
      </w:r>
      <w:r w:rsidR="004033D1" w:rsidRPr="00AC5E4E">
        <w:rPr>
          <w:rFonts w:cs="Arial"/>
          <w:color w:val="000000"/>
        </w:rPr>
        <w:t>entry-level career positions.</w:t>
      </w:r>
    </w:p>
    <w:p w14:paraId="0924F326" w14:textId="33661C7F" w:rsidR="0071243D" w:rsidRPr="00AC5E4E" w:rsidRDefault="004033D1" w:rsidP="00484B9C">
      <w:pPr>
        <w:spacing w:after="240"/>
        <w:rPr>
          <w:rFonts w:cs="Arial"/>
          <w:color w:val="000000"/>
        </w:rPr>
      </w:pPr>
      <w:r w:rsidRPr="00AC5E4E">
        <w:rPr>
          <w:rFonts w:cs="Arial"/>
          <w:color w:val="000000"/>
        </w:rPr>
        <w:t>T</w:t>
      </w:r>
      <w:r w:rsidR="00605DB3" w:rsidRPr="00AC5E4E">
        <w:rPr>
          <w:rFonts w:cs="Arial"/>
          <w:color w:val="000000"/>
        </w:rPr>
        <w:t>he criteria</w:t>
      </w:r>
      <w:r w:rsidRPr="00AC5E4E">
        <w:rPr>
          <w:rFonts w:cs="Arial"/>
          <w:color w:val="000000"/>
        </w:rPr>
        <w:t xml:space="preserve"> </w:t>
      </w:r>
      <w:r w:rsidR="00605DB3" w:rsidRPr="00AC5E4E">
        <w:rPr>
          <w:rFonts w:cs="Arial"/>
          <w:color w:val="000000"/>
        </w:rPr>
        <w:t xml:space="preserve">for the </w:t>
      </w:r>
      <w:r w:rsidR="001E5E27" w:rsidRPr="00AC5E4E">
        <w:rPr>
          <w:rFonts w:cs="Arial"/>
          <w:color w:val="000000"/>
        </w:rPr>
        <w:t>“</w:t>
      </w:r>
      <w:r w:rsidR="00605DB3" w:rsidRPr="00AC5E4E">
        <w:rPr>
          <w:rFonts w:cs="Arial"/>
          <w:color w:val="000000"/>
        </w:rPr>
        <w:t>Prepared</w:t>
      </w:r>
      <w:r w:rsidR="001E5E27" w:rsidRPr="00AC5E4E">
        <w:rPr>
          <w:rFonts w:cs="Arial"/>
          <w:color w:val="000000"/>
        </w:rPr>
        <w:t>”</w:t>
      </w:r>
      <w:r w:rsidR="00605DB3" w:rsidRPr="00AC5E4E">
        <w:rPr>
          <w:rFonts w:cs="Arial"/>
          <w:color w:val="000000"/>
        </w:rPr>
        <w:t xml:space="preserve"> and </w:t>
      </w:r>
      <w:r w:rsidR="001E5E27" w:rsidRPr="00AC5E4E">
        <w:rPr>
          <w:rFonts w:cs="Arial"/>
          <w:color w:val="000000"/>
        </w:rPr>
        <w:t>“</w:t>
      </w:r>
      <w:r w:rsidR="00605DB3" w:rsidRPr="00AC5E4E">
        <w:rPr>
          <w:rFonts w:cs="Arial"/>
          <w:color w:val="000000"/>
        </w:rPr>
        <w:t>Approaching Prepared</w:t>
      </w:r>
      <w:r w:rsidR="001E5E27" w:rsidRPr="00AC5E4E">
        <w:rPr>
          <w:rFonts w:cs="Arial"/>
          <w:color w:val="000000"/>
        </w:rPr>
        <w:t>”</w:t>
      </w:r>
      <w:r w:rsidR="00605DB3" w:rsidRPr="00AC5E4E">
        <w:rPr>
          <w:rFonts w:cs="Arial"/>
          <w:color w:val="000000"/>
        </w:rPr>
        <w:t xml:space="preserve"> </w:t>
      </w:r>
      <w:r w:rsidR="00C6264A">
        <w:rPr>
          <w:rFonts w:cs="Arial"/>
          <w:color w:val="000000"/>
        </w:rPr>
        <w:t xml:space="preserve">performance </w:t>
      </w:r>
      <w:r w:rsidR="00605DB3" w:rsidRPr="00AC5E4E">
        <w:rPr>
          <w:rFonts w:cs="Arial"/>
          <w:color w:val="000000"/>
        </w:rPr>
        <w:t>levels</w:t>
      </w:r>
      <w:r w:rsidRPr="00AC5E4E">
        <w:rPr>
          <w:rFonts w:cs="Arial"/>
          <w:color w:val="000000"/>
        </w:rPr>
        <w:t xml:space="preserve"> were initially set</w:t>
      </w:r>
      <w:r w:rsidR="00605DB3" w:rsidRPr="00AC5E4E">
        <w:rPr>
          <w:rFonts w:cs="Arial"/>
          <w:color w:val="000000"/>
        </w:rPr>
        <w:t xml:space="preserve"> </w:t>
      </w:r>
      <w:r w:rsidRPr="00AC5E4E">
        <w:rPr>
          <w:rFonts w:cs="Arial"/>
          <w:color w:val="000000"/>
        </w:rPr>
        <w:t>based on analyses comparing each CCI measure to results from th</w:t>
      </w:r>
      <w:r w:rsidR="00605DB3" w:rsidRPr="00AC5E4E">
        <w:rPr>
          <w:rFonts w:cs="Arial"/>
          <w:color w:val="000000"/>
        </w:rPr>
        <w:t>e Early Assessment</w:t>
      </w:r>
      <w:r w:rsidRPr="00AC5E4E">
        <w:rPr>
          <w:rFonts w:cs="Arial"/>
          <w:color w:val="000000"/>
        </w:rPr>
        <w:t xml:space="preserve"> Program. These criteria were vetted by the Technical Design Group</w:t>
      </w:r>
      <w:r w:rsidR="0071243D" w:rsidRPr="00AC5E4E">
        <w:rPr>
          <w:rFonts w:cs="Arial"/>
          <w:color w:val="000000"/>
        </w:rPr>
        <w:t xml:space="preserve"> </w:t>
      </w:r>
      <w:r w:rsidR="00B372FA" w:rsidRPr="00AC5E4E">
        <w:rPr>
          <w:rFonts w:cs="Arial"/>
          <w:color w:val="000000"/>
        </w:rPr>
        <w:t xml:space="preserve">(TDG) </w:t>
      </w:r>
      <w:r w:rsidR="0071243D" w:rsidRPr="00AC5E4E">
        <w:rPr>
          <w:rFonts w:cs="Arial"/>
          <w:color w:val="000000"/>
        </w:rPr>
        <w:t xml:space="preserve">as well as </w:t>
      </w:r>
      <w:r w:rsidR="004A3F0A" w:rsidRPr="00AC5E4E">
        <w:rPr>
          <w:rFonts w:cs="Arial"/>
          <w:color w:val="000000"/>
        </w:rPr>
        <w:t xml:space="preserve">by </w:t>
      </w:r>
      <w:r w:rsidRPr="00AC5E4E">
        <w:rPr>
          <w:rFonts w:cs="Arial"/>
          <w:color w:val="000000"/>
        </w:rPr>
        <w:t xml:space="preserve">the </w:t>
      </w:r>
      <w:r w:rsidR="00FE25FC" w:rsidRPr="00AC5E4E">
        <w:rPr>
          <w:rFonts w:cs="Arial"/>
          <w:color w:val="000000"/>
        </w:rPr>
        <w:t xml:space="preserve">Local Control Funding Formula </w:t>
      </w:r>
      <w:r w:rsidRPr="00AC5E4E">
        <w:rPr>
          <w:rFonts w:cs="Arial"/>
          <w:color w:val="000000"/>
        </w:rPr>
        <w:t>stakeholder group, district staff</w:t>
      </w:r>
      <w:r w:rsidR="0071243D" w:rsidRPr="00AC5E4E">
        <w:rPr>
          <w:rFonts w:cs="Arial"/>
          <w:color w:val="000000"/>
        </w:rPr>
        <w:t>, and advocacy groups</w:t>
      </w:r>
      <w:r w:rsidRPr="00AC5E4E">
        <w:rPr>
          <w:rFonts w:cs="Arial"/>
          <w:color w:val="000000"/>
        </w:rPr>
        <w:t xml:space="preserve">. </w:t>
      </w:r>
      <w:r w:rsidR="0071243D" w:rsidRPr="00AC5E4E">
        <w:rPr>
          <w:rFonts w:cs="Arial"/>
          <w:color w:val="000000"/>
        </w:rPr>
        <w:t xml:space="preserve">In the August 2016 </w:t>
      </w:r>
      <w:r w:rsidR="00C6264A">
        <w:rPr>
          <w:rFonts w:cs="Arial"/>
          <w:color w:val="000000"/>
        </w:rPr>
        <w:t xml:space="preserve">SBE </w:t>
      </w:r>
      <w:r w:rsidR="0071243D" w:rsidRPr="00AC5E4E">
        <w:rPr>
          <w:rFonts w:cs="Arial"/>
          <w:color w:val="000000"/>
        </w:rPr>
        <w:t>Information Memorandum, the CDE shared stakeholder feedback from this vetting process as well as TDG recommendations for each CCI criterion (</w:t>
      </w:r>
      <w:hyperlink r:id="rId23" w:tooltip="State Board Memorandum September 2016" w:history="1">
        <w:r w:rsidR="004A3F0A" w:rsidRPr="00AC5E4E">
          <w:rPr>
            <w:rStyle w:val="Hyperlink"/>
            <w:rFonts w:cs="Arial"/>
          </w:rPr>
          <w:t>https://www.cde.ca.gov/be/pn/im/documents/memo-dsib-amard-aug16item01.doc</w:t>
        </w:r>
      </w:hyperlink>
      <w:r w:rsidR="004A3F0A" w:rsidRPr="00AC5E4E">
        <w:rPr>
          <w:rFonts w:cs="Arial"/>
        </w:rPr>
        <w:t>)</w:t>
      </w:r>
      <w:r w:rsidR="0071243D" w:rsidRPr="00AC5E4E">
        <w:rPr>
          <w:rFonts w:cs="Arial"/>
          <w:color w:val="000000"/>
        </w:rPr>
        <w:t>.</w:t>
      </w:r>
    </w:p>
    <w:p w14:paraId="6990AC0E" w14:textId="0EFD3F2C" w:rsidR="002A2FA9" w:rsidRPr="00AC5E4E" w:rsidRDefault="002A2FA9" w:rsidP="00484B9C">
      <w:pPr>
        <w:spacing w:after="240"/>
        <w:rPr>
          <w:rFonts w:cs="Arial"/>
          <w:color w:val="000000"/>
        </w:rPr>
      </w:pPr>
      <w:r w:rsidRPr="00AC5E4E">
        <w:rPr>
          <w:rFonts w:cs="Arial"/>
          <w:color w:val="000000"/>
        </w:rPr>
        <w:t>In an effort to demonstrate the soundness of the model and its measures, as well as to verify that success on one m</w:t>
      </w:r>
      <w:r w:rsidR="00373FBD" w:rsidRPr="00AC5E4E">
        <w:rPr>
          <w:rFonts w:cs="Arial"/>
          <w:color w:val="000000"/>
        </w:rPr>
        <w:t>easure can be seen as a proxy of</w:t>
      </w:r>
      <w:r w:rsidRPr="00AC5E4E">
        <w:rPr>
          <w:rFonts w:cs="Arial"/>
          <w:color w:val="000000"/>
        </w:rPr>
        <w:t xml:space="preserve"> success on another measure, the CDE </w:t>
      </w:r>
      <w:r w:rsidR="0071243D" w:rsidRPr="00AC5E4E">
        <w:rPr>
          <w:rFonts w:cs="Arial"/>
          <w:color w:val="000000"/>
        </w:rPr>
        <w:t xml:space="preserve">has </w:t>
      </w:r>
      <w:r w:rsidRPr="00AC5E4E">
        <w:rPr>
          <w:rFonts w:cs="Arial"/>
          <w:color w:val="000000"/>
        </w:rPr>
        <w:t>conducted analyses</w:t>
      </w:r>
      <w:r w:rsidR="0071243D" w:rsidRPr="00AC5E4E">
        <w:rPr>
          <w:rFonts w:cs="Arial"/>
          <w:color w:val="000000"/>
        </w:rPr>
        <w:t xml:space="preserve"> using results from the Smarter Balanced </w:t>
      </w:r>
      <w:r w:rsidR="00E07F2A">
        <w:rPr>
          <w:rFonts w:cs="Arial"/>
          <w:color w:val="000000"/>
        </w:rPr>
        <w:t xml:space="preserve">Summative </w:t>
      </w:r>
      <w:r w:rsidR="0071243D" w:rsidRPr="00AC5E4E">
        <w:rPr>
          <w:rFonts w:cs="Arial"/>
          <w:color w:val="000000"/>
        </w:rPr>
        <w:t>Assessment</w:t>
      </w:r>
      <w:r w:rsidR="00E07F2A">
        <w:rPr>
          <w:rFonts w:cs="Arial"/>
          <w:color w:val="000000"/>
        </w:rPr>
        <w:t>,</w:t>
      </w:r>
      <w:r w:rsidR="0071243D" w:rsidRPr="00AC5E4E">
        <w:rPr>
          <w:rFonts w:cs="Arial"/>
          <w:color w:val="000000"/>
        </w:rPr>
        <w:t xml:space="preserve"> </w:t>
      </w:r>
      <w:r w:rsidRPr="00AC5E4E">
        <w:rPr>
          <w:rFonts w:cs="Arial"/>
          <w:color w:val="000000"/>
        </w:rPr>
        <w:t xml:space="preserve">comparing </w:t>
      </w:r>
      <w:r w:rsidR="0071243D" w:rsidRPr="00AC5E4E">
        <w:rPr>
          <w:rFonts w:cs="Arial"/>
          <w:color w:val="000000"/>
        </w:rPr>
        <w:t xml:space="preserve">them to student </w:t>
      </w:r>
      <w:r w:rsidRPr="00AC5E4E">
        <w:rPr>
          <w:rFonts w:cs="Arial"/>
          <w:color w:val="000000"/>
        </w:rPr>
        <w:t xml:space="preserve">performance across </w:t>
      </w:r>
      <w:r w:rsidR="0071243D" w:rsidRPr="00AC5E4E">
        <w:rPr>
          <w:rFonts w:cs="Arial"/>
          <w:color w:val="000000"/>
        </w:rPr>
        <w:t>other</w:t>
      </w:r>
      <w:r w:rsidRPr="00AC5E4E">
        <w:rPr>
          <w:rFonts w:cs="Arial"/>
          <w:color w:val="000000"/>
        </w:rPr>
        <w:t xml:space="preserve"> CCI measures. The results of these analyses are presented </w:t>
      </w:r>
      <w:r w:rsidR="00CD0E1D" w:rsidRPr="00AC5E4E">
        <w:rPr>
          <w:rFonts w:cs="Arial"/>
          <w:color w:val="000000"/>
        </w:rPr>
        <w:t>in Tables 1</w:t>
      </w:r>
      <w:r w:rsidR="0071243D" w:rsidRPr="00AC5E4E">
        <w:rPr>
          <w:rFonts w:cs="Arial"/>
          <w:color w:val="000000"/>
        </w:rPr>
        <w:t xml:space="preserve"> and</w:t>
      </w:r>
      <w:r w:rsidR="00CD0E1D" w:rsidRPr="00AC5E4E">
        <w:rPr>
          <w:rFonts w:cs="Arial"/>
          <w:color w:val="000000"/>
        </w:rPr>
        <w:t xml:space="preserve"> 2</w:t>
      </w:r>
      <w:r w:rsidRPr="00AC5E4E">
        <w:rPr>
          <w:rFonts w:cs="Arial"/>
          <w:color w:val="000000"/>
        </w:rPr>
        <w:t>.</w:t>
      </w:r>
    </w:p>
    <w:p w14:paraId="2E81BBBC" w14:textId="0074150D" w:rsidR="00EC6CF2" w:rsidRPr="00AC5E4E" w:rsidRDefault="00EC6CF2" w:rsidP="00484B9C">
      <w:pPr>
        <w:spacing w:before="240" w:after="240"/>
      </w:pPr>
      <w:r w:rsidRPr="00AC5E4E">
        <w:t xml:space="preserve">Table 1 </w:t>
      </w:r>
      <w:r w:rsidR="00FF44EB" w:rsidRPr="00AC5E4E">
        <w:t>provides data for students in the Class of 2016.</w:t>
      </w:r>
      <w:r w:rsidR="00852F7D">
        <w:t xml:space="preserve"> Of the 481,553 students in this graduating class, </w:t>
      </w:r>
      <w:r w:rsidR="00FF44EB" w:rsidRPr="00AC5E4E">
        <w:t xml:space="preserve">there were 189,235 students assigned to the “Prepared” level on the CCI. </w:t>
      </w:r>
      <w:r w:rsidR="00F82E35" w:rsidRPr="00AC5E4E">
        <w:t xml:space="preserve">The table provides a breakdown of results for these students on the following CCI </w:t>
      </w:r>
      <w:r w:rsidR="00E07F2A">
        <w:t>“</w:t>
      </w:r>
      <w:r w:rsidR="00B372FA" w:rsidRPr="00AC5E4E">
        <w:t>Prepared</w:t>
      </w:r>
      <w:r w:rsidR="00E07F2A">
        <w:t>”</w:t>
      </w:r>
      <w:r w:rsidR="00B372FA" w:rsidRPr="00AC5E4E">
        <w:t xml:space="preserve"> </w:t>
      </w:r>
      <w:r w:rsidR="00F82E35" w:rsidRPr="00AC5E4E">
        <w:t>measures:</w:t>
      </w:r>
    </w:p>
    <w:p w14:paraId="5DE5271D" w14:textId="6610AA4B" w:rsidR="00F82E35" w:rsidRPr="00AC5E4E" w:rsidRDefault="00F82E35" w:rsidP="00484B9C">
      <w:pPr>
        <w:pStyle w:val="ListParagraph"/>
        <w:numPr>
          <w:ilvl w:val="0"/>
          <w:numId w:val="15"/>
        </w:numPr>
        <w:spacing w:after="240"/>
        <w:contextualSpacing w:val="0"/>
      </w:pPr>
      <w:r w:rsidRPr="00484B9C">
        <w:rPr>
          <w:b/>
        </w:rPr>
        <w:t>Advanced Placement (AP) Exams</w:t>
      </w:r>
      <w:r w:rsidRPr="00AC5E4E">
        <w:t xml:space="preserve">: </w:t>
      </w:r>
      <w:r w:rsidR="00B372FA" w:rsidRPr="00AC5E4E">
        <w:t>A</w:t>
      </w:r>
      <w:r w:rsidRPr="00AC5E4E">
        <w:t xml:space="preserve"> score of 3 or higher on two AP exams.</w:t>
      </w:r>
    </w:p>
    <w:p w14:paraId="7DB0BB37" w14:textId="102CE247" w:rsidR="00EC6CF2" w:rsidRPr="00AC5E4E" w:rsidRDefault="00F82E35" w:rsidP="00484B9C">
      <w:pPr>
        <w:pStyle w:val="ListParagraph"/>
        <w:numPr>
          <w:ilvl w:val="0"/>
          <w:numId w:val="15"/>
        </w:numPr>
        <w:spacing w:after="240"/>
        <w:contextualSpacing w:val="0"/>
      </w:pPr>
      <w:r w:rsidRPr="00484B9C">
        <w:rPr>
          <w:b/>
          <w:bCs/>
          <w:szCs w:val="23"/>
        </w:rPr>
        <w:t xml:space="preserve">International Baccalaureate (IB) Exams: </w:t>
      </w:r>
      <w:r w:rsidR="00B372FA" w:rsidRPr="00AC5E4E">
        <w:t>A</w:t>
      </w:r>
      <w:r w:rsidRPr="00AC5E4E">
        <w:t xml:space="preserve"> score of </w:t>
      </w:r>
      <w:r w:rsidR="00EC6CF2" w:rsidRPr="00AC5E4E">
        <w:t>4</w:t>
      </w:r>
      <w:r w:rsidRPr="00AC5E4E">
        <w:t xml:space="preserve"> or highe</w:t>
      </w:r>
      <w:r w:rsidR="00EC6CF2" w:rsidRPr="00AC5E4E">
        <w:t>r on two IB</w:t>
      </w:r>
      <w:r w:rsidRPr="00AC5E4E">
        <w:t xml:space="preserve"> exams.</w:t>
      </w:r>
    </w:p>
    <w:p w14:paraId="44D7CC23" w14:textId="287E2617" w:rsidR="001E5E27" w:rsidRPr="00AC5E4E" w:rsidRDefault="00EC6CF2" w:rsidP="00484B9C">
      <w:pPr>
        <w:pStyle w:val="ListParagraph"/>
        <w:numPr>
          <w:ilvl w:val="0"/>
          <w:numId w:val="15"/>
        </w:numPr>
        <w:spacing w:after="240"/>
        <w:contextualSpacing w:val="0"/>
      </w:pPr>
      <w:r w:rsidRPr="00AC5E4E">
        <w:rPr>
          <w:b/>
        </w:rPr>
        <w:t xml:space="preserve">Dual Enrollment: </w:t>
      </w:r>
      <w:r w:rsidR="00B372FA" w:rsidRPr="00AC5E4E">
        <w:t>C</w:t>
      </w:r>
      <w:r w:rsidRPr="00AC5E4E">
        <w:t>omplet</w:t>
      </w:r>
      <w:r w:rsidR="00B372FA" w:rsidRPr="00AC5E4E">
        <w:t>ion of</w:t>
      </w:r>
      <w:r w:rsidRPr="00AC5E4E">
        <w:t xml:space="preserve"> two semesters or three quarter of college course work with a grade of C</w:t>
      </w:r>
      <w:r w:rsidR="005B6A20" w:rsidRPr="00AC5E4E">
        <w:t xml:space="preserve"> minus</w:t>
      </w:r>
      <w:r w:rsidRPr="00AC5E4E">
        <w:t xml:space="preserve"> or better in academic/Career Technical Education (CTE) subjects where college credit is awarded.</w:t>
      </w:r>
    </w:p>
    <w:p w14:paraId="70091171" w14:textId="6EBB9F14" w:rsidR="00484B9C" w:rsidRDefault="00B372FA" w:rsidP="00484B9C">
      <w:pPr>
        <w:pStyle w:val="ListParagraph"/>
        <w:spacing w:after="240"/>
        <w:contextualSpacing w:val="0"/>
      </w:pPr>
      <w:r w:rsidRPr="00D048C7">
        <w:lastRenderedPageBreak/>
        <w:t xml:space="preserve">Note: The CDE is in the process of </w:t>
      </w:r>
      <w:r w:rsidR="00214735" w:rsidRPr="00D048C7">
        <w:t>finalizing</w:t>
      </w:r>
      <w:r w:rsidRPr="00D048C7">
        <w:t xml:space="preserve"> a Memorandum of Understanding with the California Community College Chancellor’s Office to </w:t>
      </w:r>
      <w:r w:rsidR="00214735" w:rsidRPr="00D048C7">
        <w:t>obtain course data for</w:t>
      </w:r>
      <w:r w:rsidR="00AB6ACE" w:rsidRPr="00D048C7">
        <w:t xml:space="preserve"> students who </w:t>
      </w:r>
      <w:r w:rsidR="00214735" w:rsidRPr="00D048C7">
        <w:t>tak</w:t>
      </w:r>
      <w:r w:rsidR="00AB6ACE" w:rsidRPr="00D048C7">
        <w:t>e</w:t>
      </w:r>
      <w:r w:rsidR="00214735" w:rsidRPr="00D048C7">
        <w:t xml:space="preserve"> college course</w:t>
      </w:r>
      <w:r w:rsidR="00E13C54" w:rsidRPr="00D048C7">
        <w:t>s</w:t>
      </w:r>
      <w:r w:rsidR="00214735" w:rsidRPr="00D048C7">
        <w:t xml:space="preserve"> while still enrolled in high school. This data will strengthen the accuracy of the dual enrollment data used to calculate the CCI</w:t>
      </w:r>
      <w:r w:rsidR="00214735" w:rsidRPr="00D048C7">
        <w:rPr>
          <w:rFonts w:cs="Arial"/>
          <w:color w:val="000000"/>
        </w:rPr>
        <w:t>.</w:t>
      </w:r>
      <w:r w:rsidR="00214735" w:rsidRPr="00D048C7">
        <w:t xml:space="preserve"> For </w:t>
      </w:r>
      <w:r w:rsidR="001440BC" w:rsidRPr="00D048C7">
        <w:t>example</w:t>
      </w:r>
      <w:r w:rsidR="00214735" w:rsidRPr="00D048C7">
        <w:t xml:space="preserve">, it will capture students who take college summer courses that are not currently collected in the </w:t>
      </w:r>
      <w:r w:rsidR="00214735" w:rsidRPr="00D048C7">
        <w:rPr>
          <w:rFonts w:cs="Arial"/>
          <w:color w:val="000000"/>
        </w:rPr>
        <w:t>California Longitudinal Pupil Achievement Data System</w:t>
      </w:r>
      <w:r w:rsidR="00214735" w:rsidRPr="00D048C7">
        <w:t>.</w:t>
      </w:r>
    </w:p>
    <w:p w14:paraId="069FD5A7" w14:textId="4998D9A2" w:rsidR="00484B9C" w:rsidRPr="00484B9C" w:rsidRDefault="00EC6CF2" w:rsidP="00484B9C">
      <w:pPr>
        <w:pStyle w:val="ListParagraph"/>
        <w:numPr>
          <w:ilvl w:val="0"/>
          <w:numId w:val="15"/>
        </w:numPr>
        <w:spacing w:after="240"/>
        <w:contextualSpacing w:val="0"/>
        <w:rPr>
          <w:szCs w:val="23"/>
        </w:rPr>
      </w:pPr>
      <w:r w:rsidRPr="00484B9C">
        <w:rPr>
          <w:b/>
        </w:rPr>
        <w:t xml:space="preserve">University of California (UC) and California State University (CSU) a-g Requirements: </w:t>
      </w:r>
      <w:r w:rsidRPr="00AC5E4E">
        <w:t>A student is p</w:t>
      </w:r>
      <w:r w:rsidR="00FE25FC" w:rsidRPr="00AC5E4E">
        <w:t xml:space="preserve">laced in the CCI </w:t>
      </w:r>
      <w:r w:rsidR="001946D5">
        <w:t>“</w:t>
      </w:r>
      <w:r w:rsidR="00FE25FC" w:rsidRPr="00AC5E4E">
        <w:t>Prepared</w:t>
      </w:r>
      <w:r w:rsidR="001946D5">
        <w:t>”</w:t>
      </w:r>
      <w:r w:rsidR="00FE25FC" w:rsidRPr="00AC5E4E">
        <w:t xml:space="preserve"> level if</w:t>
      </w:r>
      <w:r w:rsidRPr="00AC5E4E">
        <w:t xml:space="preserve"> he/she completes a-g course requirements with a grade of C</w:t>
      </w:r>
      <w:r w:rsidR="005B6A20" w:rsidRPr="00AC5E4E">
        <w:t xml:space="preserve"> minus</w:t>
      </w:r>
      <w:r w:rsidRPr="00AC5E4E">
        <w:t xml:space="preserve"> or better plus one </w:t>
      </w:r>
      <w:r w:rsidR="00A368FB">
        <w:t>of the following</w:t>
      </w:r>
      <w:r w:rsidRPr="00AC5E4E">
        <w:t xml:space="preserve"> criteria</w:t>
      </w:r>
      <w:r w:rsidR="00A368FB">
        <w:t>:</w:t>
      </w:r>
    </w:p>
    <w:p w14:paraId="2E570224" w14:textId="5D03E0D4" w:rsidR="00484B9C" w:rsidRPr="00484B9C" w:rsidRDefault="00EC6CF2" w:rsidP="00484B9C">
      <w:pPr>
        <w:pStyle w:val="ListParagraph"/>
        <w:numPr>
          <w:ilvl w:val="1"/>
          <w:numId w:val="15"/>
        </w:numPr>
        <w:spacing w:after="240"/>
        <w:contextualSpacing w:val="0"/>
        <w:rPr>
          <w:sz w:val="28"/>
        </w:rPr>
      </w:pPr>
      <w:r w:rsidRPr="00484B9C">
        <w:rPr>
          <w:szCs w:val="23"/>
        </w:rPr>
        <w:t>Smarter Balanced Summative Assessment Scores:</w:t>
      </w:r>
    </w:p>
    <w:p w14:paraId="53712A6B" w14:textId="1EFAC8F0" w:rsidR="00CD0E1D" w:rsidRPr="00484B9C" w:rsidRDefault="001946D5" w:rsidP="00484B9C">
      <w:pPr>
        <w:pStyle w:val="ListParagraph"/>
        <w:numPr>
          <w:ilvl w:val="2"/>
          <w:numId w:val="15"/>
        </w:numPr>
        <w:spacing w:after="240"/>
        <w:ind w:left="2160"/>
        <w:contextualSpacing w:val="0"/>
        <w:rPr>
          <w:sz w:val="28"/>
        </w:rPr>
      </w:pPr>
      <w:r>
        <w:rPr>
          <w:rFonts w:cs="Arial"/>
          <w:szCs w:val="23"/>
        </w:rPr>
        <w:t>Level 3 or higher i</w:t>
      </w:r>
      <w:r w:rsidR="00EC6CF2" w:rsidRPr="00484B9C">
        <w:rPr>
          <w:rFonts w:cs="Arial"/>
          <w:szCs w:val="23"/>
        </w:rPr>
        <w:t>n ELA and at least a Level 2 “Standard Nearly Met” in mathematics, or</w:t>
      </w:r>
    </w:p>
    <w:p w14:paraId="26D42BD9" w14:textId="6F0F9F59" w:rsidR="00EC6CF2" w:rsidRPr="00AC5E4E" w:rsidRDefault="001946D5" w:rsidP="00484B9C">
      <w:pPr>
        <w:pStyle w:val="ListParagraph"/>
        <w:numPr>
          <w:ilvl w:val="2"/>
          <w:numId w:val="15"/>
        </w:numPr>
        <w:spacing w:after="240"/>
        <w:ind w:left="2160"/>
        <w:contextualSpacing w:val="0"/>
      </w:pPr>
      <w:r>
        <w:rPr>
          <w:rFonts w:cs="Arial"/>
          <w:szCs w:val="23"/>
        </w:rPr>
        <w:t>Level 3 or higher i</w:t>
      </w:r>
      <w:r w:rsidR="00EC6CF2" w:rsidRPr="00484B9C">
        <w:rPr>
          <w:rFonts w:cs="Arial"/>
          <w:szCs w:val="23"/>
        </w:rPr>
        <w:t xml:space="preserve">n mathematics and at least a Level 2 in </w:t>
      </w:r>
      <w:r>
        <w:rPr>
          <w:rFonts w:cs="Arial"/>
          <w:szCs w:val="23"/>
        </w:rPr>
        <w:t>English language arts/literacy (</w:t>
      </w:r>
      <w:r w:rsidR="00EC6CF2" w:rsidRPr="00484B9C">
        <w:rPr>
          <w:rFonts w:cs="Arial"/>
          <w:szCs w:val="23"/>
        </w:rPr>
        <w:t>ELA</w:t>
      </w:r>
      <w:r>
        <w:rPr>
          <w:rFonts w:cs="Arial"/>
          <w:szCs w:val="23"/>
        </w:rPr>
        <w:t>)</w:t>
      </w:r>
    </w:p>
    <w:p w14:paraId="34A2E8C4" w14:textId="6292CC63" w:rsidR="00EC6CF2" w:rsidRPr="003F0FC1" w:rsidRDefault="00D05E83" w:rsidP="00484B9C">
      <w:pPr>
        <w:pStyle w:val="ListParagraph"/>
        <w:numPr>
          <w:ilvl w:val="1"/>
          <w:numId w:val="15"/>
        </w:numPr>
        <w:spacing w:before="240" w:after="240"/>
        <w:contextualSpacing w:val="0"/>
      </w:pPr>
      <w:r>
        <w:rPr>
          <w:rFonts w:cs="Arial"/>
          <w:color w:val="000000"/>
        </w:rPr>
        <w:t>CTE Pathway C</w:t>
      </w:r>
      <w:r w:rsidR="00EC6CF2" w:rsidRPr="00AC5E4E">
        <w:rPr>
          <w:rFonts w:cs="Arial"/>
          <w:color w:val="000000"/>
        </w:rPr>
        <w:t xml:space="preserve">ompletion: </w:t>
      </w:r>
      <w:r w:rsidR="00EC6CF2" w:rsidRPr="00AC5E4E">
        <w:t>Pathway completion with a grade of C</w:t>
      </w:r>
      <w:r w:rsidR="005B6A20" w:rsidRPr="00AC5E4E">
        <w:t xml:space="preserve"> minus </w:t>
      </w:r>
      <w:r w:rsidR="00EC6CF2" w:rsidRPr="00AC5E4E">
        <w:t>or better in the capstone course</w:t>
      </w:r>
      <w:r w:rsidR="00EC6CF2" w:rsidRPr="00AC5E4E">
        <w:rPr>
          <w:rFonts w:cs="Arial"/>
          <w:color w:val="000000"/>
        </w:rPr>
        <w:t>.</w:t>
      </w:r>
    </w:p>
    <w:p w14:paraId="0AB951E1" w14:textId="1A2FC3F3" w:rsidR="003F0FC1" w:rsidRPr="004E1144" w:rsidRDefault="003F0FC1" w:rsidP="003F0FC1">
      <w:pPr>
        <w:pStyle w:val="ListParagraph"/>
        <w:numPr>
          <w:ilvl w:val="0"/>
          <w:numId w:val="15"/>
        </w:numPr>
        <w:spacing w:before="240" w:after="240"/>
        <w:contextualSpacing w:val="0"/>
      </w:pPr>
      <w:r>
        <w:rPr>
          <w:rFonts w:cs="Arial"/>
          <w:b/>
          <w:color w:val="000000"/>
        </w:rPr>
        <w:t xml:space="preserve">CTE Pathway Completion: </w:t>
      </w:r>
      <w:r>
        <w:rPr>
          <w:rFonts w:cs="Arial"/>
          <w:color w:val="000000"/>
        </w:rPr>
        <w:t xml:space="preserve">A student is placed in the CCI Prepared level if he/she completes </w:t>
      </w:r>
      <w:r w:rsidR="00431787">
        <w:rPr>
          <w:rFonts w:cs="Arial"/>
        </w:rPr>
        <w:t>the pathway with</w:t>
      </w:r>
      <w:r w:rsidRPr="004340FE">
        <w:rPr>
          <w:rFonts w:cs="Arial"/>
        </w:rPr>
        <w:t xml:space="preserve"> a grade of C minus or better</w:t>
      </w:r>
      <w:r w:rsidR="00431787">
        <w:rPr>
          <w:rFonts w:cs="Arial"/>
        </w:rPr>
        <w:t xml:space="preserve"> in the capstone course</w:t>
      </w:r>
      <w:r w:rsidR="004E1144">
        <w:rPr>
          <w:rFonts w:cs="Arial"/>
        </w:rPr>
        <w:t xml:space="preserve">, plus one </w:t>
      </w:r>
      <w:r w:rsidR="00A368FB">
        <w:rPr>
          <w:rFonts w:cs="Arial"/>
        </w:rPr>
        <w:t>of the following criteria</w:t>
      </w:r>
      <w:r w:rsidR="004E1144">
        <w:rPr>
          <w:rFonts w:cs="Arial"/>
        </w:rPr>
        <w:t xml:space="preserve">: </w:t>
      </w:r>
    </w:p>
    <w:p w14:paraId="6219226A" w14:textId="77777777" w:rsidR="004E1144" w:rsidRPr="00484B9C" w:rsidRDefault="004E1144" w:rsidP="004E1144">
      <w:pPr>
        <w:pStyle w:val="ListParagraph"/>
        <w:numPr>
          <w:ilvl w:val="1"/>
          <w:numId w:val="15"/>
        </w:numPr>
        <w:spacing w:after="240"/>
        <w:contextualSpacing w:val="0"/>
        <w:rPr>
          <w:sz w:val="28"/>
        </w:rPr>
      </w:pPr>
      <w:r w:rsidRPr="00484B9C">
        <w:rPr>
          <w:szCs w:val="23"/>
        </w:rPr>
        <w:t>Smarter Balanced Summative Assessment Scores:</w:t>
      </w:r>
    </w:p>
    <w:p w14:paraId="794A210F" w14:textId="136B352F" w:rsidR="004E1144" w:rsidRPr="00484B9C" w:rsidRDefault="001946D5" w:rsidP="004E1144">
      <w:pPr>
        <w:pStyle w:val="ListParagraph"/>
        <w:numPr>
          <w:ilvl w:val="2"/>
          <w:numId w:val="15"/>
        </w:numPr>
        <w:spacing w:after="240"/>
        <w:ind w:left="2160"/>
        <w:contextualSpacing w:val="0"/>
        <w:rPr>
          <w:sz w:val="28"/>
        </w:rPr>
      </w:pPr>
      <w:r>
        <w:rPr>
          <w:rFonts w:cs="Arial"/>
          <w:szCs w:val="23"/>
        </w:rPr>
        <w:t>Level 3 or higher i</w:t>
      </w:r>
      <w:r w:rsidR="004E1144" w:rsidRPr="00484B9C">
        <w:rPr>
          <w:rFonts w:cs="Arial"/>
          <w:szCs w:val="23"/>
        </w:rPr>
        <w:t>n ELA and at least a Level 2 “Standard Nearly Met” in mathematics, or</w:t>
      </w:r>
    </w:p>
    <w:p w14:paraId="729769E6" w14:textId="4F093ED1" w:rsidR="004E1144" w:rsidRPr="004E1144" w:rsidRDefault="001946D5" w:rsidP="00431787">
      <w:pPr>
        <w:pStyle w:val="ListParagraph"/>
        <w:numPr>
          <w:ilvl w:val="2"/>
          <w:numId w:val="15"/>
        </w:numPr>
        <w:spacing w:after="240"/>
        <w:ind w:left="2160"/>
        <w:contextualSpacing w:val="0"/>
      </w:pPr>
      <w:r>
        <w:rPr>
          <w:rFonts w:cs="Arial"/>
          <w:szCs w:val="23"/>
        </w:rPr>
        <w:t>Level 3 or higher i</w:t>
      </w:r>
      <w:r w:rsidR="004E1144" w:rsidRPr="00484B9C">
        <w:rPr>
          <w:rFonts w:cs="Arial"/>
          <w:szCs w:val="23"/>
        </w:rPr>
        <w:t>n mathematics and at least a Level 2 in ELA</w:t>
      </w:r>
    </w:p>
    <w:p w14:paraId="5B6807A4" w14:textId="113B0B95" w:rsidR="004E1144" w:rsidRPr="004E1144" w:rsidRDefault="004E1144" w:rsidP="004E1144">
      <w:pPr>
        <w:pStyle w:val="ListParagraph"/>
        <w:numPr>
          <w:ilvl w:val="0"/>
          <w:numId w:val="15"/>
        </w:numPr>
        <w:spacing w:before="240" w:after="240"/>
        <w:contextualSpacing w:val="0"/>
      </w:pPr>
      <w:r>
        <w:rPr>
          <w:rFonts w:cs="Arial"/>
          <w:b/>
          <w:color w:val="000000"/>
        </w:rPr>
        <w:t xml:space="preserve">CTE Pathway Completion </w:t>
      </w:r>
      <w:r>
        <w:rPr>
          <w:rFonts w:cs="Arial"/>
          <w:color w:val="000000"/>
        </w:rPr>
        <w:t xml:space="preserve">(as described above) </w:t>
      </w:r>
      <w:r>
        <w:rPr>
          <w:rFonts w:cs="Arial"/>
        </w:rPr>
        <w:t xml:space="preserve">plus one additional criteria: </w:t>
      </w:r>
    </w:p>
    <w:p w14:paraId="463BF431" w14:textId="6A93E356" w:rsidR="004E1144" w:rsidRPr="00AC5E4E" w:rsidRDefault="004E1144" w:rsidP="004E1144">
      <w:pPr>
        <w:pStyle w:val="ListParagraph"/>
        <w:numPr>
          <w:ilvl w:val="1"/>
          <w:numId w:val="15"/>
        </w:numPr>
        <w:spacing w:before="240" w:after="240"/>
        <w:contextualSpacing w:val="0"/>
      </w:pPr>
      <w:r>
        <w:t xml:space="preserve">Dual enrollment: </w:t>
      </w:r>
      <w:r w:rsidRPr="004340FE">
        <w:rPr>
          <w:rFonts w:cs="Arial"/>
        </w:rPr>
        <w:t xml:space="preserve">Completion </w:t>
      </w:r>
      <w:r>
        <w:rPr>
          <w:rFonts w:cs="Arial"/>
        </w:rPr>
        <w:t xml:space="preserve">of college coursework </w:t>
      </w:r>
      <w:r w:rsidRPr="004340FE">
        <w:rPr>
          <w:rFonts w:cs="Arial"/>
        </w:rPr>
        <w:t>with a score of C minus or better and receipt of college credit.</w:t>
      </w:r>
    </w:p>
    <w:p w14:paraId="68C8853C" w14:textId="3762C26F" w:rsidR="00EC6CF2" w:rsidRPr="00AC5E4E" w:rsidRDefault="00EC6CF2" w:rsidP="00484B9C">
      <w:pPr>
        <w:spacing w:before="240" w:after="240"/>
      </w:pPr>
      <w:r w:rsidRPr="00AC5E4E">
        <w:t>For each of these measures, the table provides how the “Prepared” students performed on the Smarter Balanced Summative Assessments for both ELA and mathematics, using the following achievement levels:</w:t>
      </w:r>
    </w:p>
    <w:p w14:paraId="6FAC4D6C" w14:textId="77777777" w:rsidR="00F82E35" w:rsidRPr="00AC5E4E" w:rsidRDefault="00EC6CF2" w:rsidP="00484B9C">
      <w:pPr>
        <w:pStyle w:val="ListParagraph"/>
        <w:numPr>
          <w:ilvl w:val="0"/>
          <w:numId w:val="16"/>
        </w:numPr>
        <w:spacing w:before="240" w:after="240"/>
        <w:ind w:left="720"/>
      </w:pPr>
      <w:r w:rsidRPr="00AC5E4E">
        <w:t>Level 1: Standard Not Met</w:t>
      </w:r>
    </w:p>
    <w:p w14:paraId="40232763" w14:textId="77777777" w:rsidR="00EC6CF2" w:rsidRPr="00AC5E4E" w:rsidRDefault="00EC6CF2" w:rsidP="00484B9C">
      <w:pPr>
        <w:pStyle w:val="ListParagraph"/>
        <w:numPr>
          <w:ilvl w:val="0"/>
          <w:numId w:val="16"/>
        </w:numPr>
        <w:spacing w:before="240" w:after="240"/>
        <w:ind w:left="720"/>
      </w:pPr>
      <w:r w:rsidRPr="00AC5E4E">
        <w:t>Level 2: Standard Nearly Met</w:t>
      </w:r>
    </w:p>
    <w:p w14:paraId="4463DC79" w14:textId="77777777" w:rsidR="00E07F2A" w:rsidRDefault="00EC6CF2" w:rsidP="00E07F2A">
      <w:pPr>
        <w:pStyle w:val="ListParagraph"/>
        <w:numPr>
          <w:ilvl w:val="0"/>
          <w:numId w:val="16"/>
        </w:numPr>
        <w:spacing w:before="240" w:after="240"/>
        <w:ind w:left="720"/>
      </w:pPr>
      <w:r w:rsidRPr="00AC5E4E">
        <w:lastRenderedPageBreak/>
        <w:t>Level 3: Standard Met</w:t>
      </w:r>
    </w:p>
    <w:p w14:paraId="46E64CFC" w14:textId="5A1AD592" w:rsidR="00D2368F" w:rsidRDefault="00EC6CF2" w:rsidP="00D2368F">
      <w:pPr>
        <w:pStyle w:val="ListParagraph"/>
        <w:numPr>
          <w:ilvl w:val="0"/>
          <w:numId w:val="16"/>
        </w:numPr>
        <w:spacing w:before="240" w:after="240"/>
        <w:ind w:left="720"/>
      </w:pPr>
      <w:r w:rsidRPr="00AC5E4E">
        <w:t>Level 4: Standard Exceeded</w:t>
      </w:r>
    </w:p>
    <w:p w14:paraId="0CC6B33F" w14:textId="0061BED6" w:rsidR="00CD0E1D" w:rsidRPr="00484B9C" w:rsidRDefault="00CD0E1D" w:rsidP="00E07F2A">
      <w:pPr>
        <w:spacing w:before="240" w:after="240"/>
      </w:pPr>
      <w:r w:rsidRPr="00E07F2A">
        <w:rPr>
          <w:b/>
        </w:rPr>
        <w:t>Table 1</w:t>
      </w:r>
    </w:p>
    <w:tbl>
      <w:tblPr>
        <w:tblStyle w:val="TableGrid3"/>
        <w:tblW w:w="5000" w:type="pct"/>
        <w:tblLook w:val="04A0" w:firstRow="1" w:lastRow="0" w:firstColumn="1" w:lastColumn="0" w:noHBand="0" w:noVBand="1"/>
        <w:tblDescription w:val="Table showing the CCI Criteria percentages for each content area."/>
      </w:tblPr>
      <w:tblGrid>
        <w:gridCol w:w="1644"/>
        <w:gridCol w:w="1257"/>
        <w:gridCol w:w="1612"/>
        <w:gridCol w:w="1612"/>
        <w:gridCol w:w="1612"/>
        <w:gridCol w:w="1613"/>
      </w:tblGrid>
      <w:tr w:rsidR="005E0955" w:rsidRPr="005E0955" w14:paraId="70BE27A9" w14:textId="77777777" w:rsidTr="00EF4C29">
        <w:trPr>
          <w:tblHeader/>
        </w:trPr>
        <w:tc>
          <w:tcPr>
            <w:tcW w:w="833" w:type="pct"/>
            <w:shd w:val="clear" w:color="auto" w:fill="D9D9D9" w:themeFill="background1" w:themeFillShade="D9"/>
            <w:vAlign w:val="center"/>
          </w:tcPr>
          <w:p w14:paraId="0158CD08" w14:textId="77777777" w:rsidR="005E0955" w:rsidRPr="005E0955" w:rsidRDefault="005E0955" w:rsidP="005E0955">
            <w:pPr>
              <w:jc w:val="center"/>
              <w:rPr>
                <w:rFonts w:eastAsiaTheme="minorEastAsia" w:cs="Arial"/>
                <w:b/>
                <w:color w:val="000000"/>
                <w:szCs w:val="22"/>
              </w:rPr>
            </w:pPr>
            <w:r w:rsidRPr="005E0955">
              <w:rPr>
                <w:rFonts w:eastAsiaTheme="minorEastAsia" w:cs="Arial"/>
                <w:b/>
                <w:color w:val="000000"/>
                <w:szCs w:val="22"/>
              </w:rPr>
              <w:t>CCI Criteria</w:t>
            </w:r>
          </w:p>
        </w:tc>
        <w:tc>
          <w:tcPr>
            <w:tcW w:w="658" w:type="pct"/>
            <w:shd w:val="clear" w:color="auto" w:fill="D9D9D9" w:themeFill="background1" w:themeFillShade="D9"/>
            <w:vAlign w:val="center"/>
          </w:tcPr>
          <w:p w14:paraId="46BE5CD6" w14:textId="77777777" w:rsidR="005E0955" w:rsidRPr="005E0955" w:rsidRDefault="005E0955" w:rsidP="005E0955">
            <w:pPr>
              <w:jc w:val="center"/>
              <w:rPr>
                <w:rFonts w:eastAsiaTheme="minorEastAsia" w:cs="Arial"/>
                <w:b/>
                <w:color w:val="000000"/>
                <w:szCs w:val="22"/>
              </w:rPr>
            </w:pPr>
            <w:r w:rsidRPr="005E0955">
              <w:rPr>
                <w:rFonts w:eastAsiaTheme="minorEastAsia" w:cs="Arial"/>
                <w:b/>
                <w:color w:val="000000"/>
                <w:szCs w:val="22"/>
              </w:rPr>
              <w:t xml:space="preserve">Number of Prepared Students Who Met CCI Criteria </w:t>
            </w:r>
          </w:p>
        </w:tc>
        <w:tc>
          <w:tcPr>
            <w:tcW w:w="877" w:type="pct"/>
            <w:shd w:val="clear" w:color="auto" w:fill="D9D9D9" w:themeFill="background1" w:themeFillShade="D9"/>
            <w:vAlign w:val="center"/>
          </w:tcPr>
          <w:p w14:paraId="37D42B5F" w14:textId="77777777" w:rsidR="00163B5E" w:rsidRDefault="005E0955" w:rsidP="00163B5E">
            <w:pPr>
              <w:jc w:val="center"/>
              <w:rPr>
                <w:rFonts w:eastAsiaTheme="minorEastAsia" w:cs="Arial"/>
                <w:b/>
                <w:color w:val="000000"/>
                <w:szCs w:val="22"/>
              </w:rPr>
            </w:pPr>
            <w:r w:rsidRPr="005E0955">
              <w:rPr>
                <w:rFonts w:eastAsiaTheme="minorEastAsia" w:cs="Arial"/>
                <w:b/>
                <w:color w:val="000000"/>
                <w:szCs w:val="22"/>
              </w:rPr>
              <w:t>ELA:</w:t>
            </w:r>
          </w:p>
          <w:p w14:paraId="39C4CDD6" w14:textId="56C5EBBC" w:rsidR="005E0955" w:rsidRPr="005E0955" w:rsidRDefault="005E0955" w:rsidP="00163B5E">
            <w:pPr>
              <w:jc w:val="center"/>
              <w:rPr>
                <w:rFonts w:eastAsiaTheme="minorEastAsia" w:cs="Arial"/>
                <w:b/>
                <w:color w:val="000000"/>
                <w:szCs w:val="22"/>
              </w:rPr>
            </w:pPr>
            <w:r w:rsidRPr="005E0955">
              <w:rPr>
                <w:rFonts w:eastAsiaTheme="minorEastAsia" w:cs="Arial"/>
                <w:b/>
                <w:color w:val="000000"/>
                <w:szCs w:val="22"/>
              </w:rPr>
              <w:t>Number &amp; Percent of Students Who Received</w:t>
            </w:r>
            <w:r w:rsidR="00163B5E">
              <w:rPr>
                <w:rFonts w:eastAsiaTheme="minorEastAsia" w:cs="Arial"/>
                <w:b/>
                <w:color w:val="000000"/>
                <w:szCs w:val="22"/>
              </w:rPr>
              <w:t xml:space="preserve"> </w:t>
            </w:r>
            <w:r w:rsidR="001946D5">
              <w:rPr>
                <w:rFonts w:eastAsiaTheme="minorEastAsia" w:cs="Arial"/>
                <w:b/>
                <w:color w:val="000000"/>
                <w:szCs w:val="22"/>
              </w:rPr>
              <w:t>Level</w:t>
            </w:r>
            <w:r w:rsidRPr="005E0955">
              <w:rPr>
                <w:rFonts w:eastAsiaTheme="minorEastAsia" w:cs="Arial"/>
                <w:b/>
                <w:color w:val="000000"/>
                <w:szCs w:val="22"/>
              </w:rPr>
              <w:t xml:space="preserve"> 1 or 2</w:t>
            </w:r>
          </w:p>
        </w:tc>
        <w:tc>
          <w:tcPr>
            <w:tcW w:w="877" w:type="pct"/>
            <w:shd w:val="clear" w:color="auto" w:fill="D9D9D9" w:themeFill="background1" w:themeFillShade="D9"/>
            <w:vAlign w:val="center"/>
          </w:tcPr>
          <w:p w14:paraId="6AD78B5A" w14:textId="77777777" w:rsidR="00163B5E" w:rsidRDefault="005E0955" w:rsidP="00163B5E">
            <w:pPr>
              <w:jc w:val="center"/>
              <w:rPr>
                <w:rFonts w:eastAsiaTheme="minorEastAsia" w:cs="Arial"/>
                <w:b/>
                <w:color w:val="000000"/>
                <w:szCs w:val="22"/>
              </w:rPr>
            </w:pPr>
            <w:r w:rsidRPr="005E0955">
              <w:rPr>
                <w:rFonts w:eastAsiaTheme="minorEastAsia" w:cs="Arial"/>
                <w:b/>
                <w:color w:val="000000"/>
                <w:szCs w:val="22"/>
              </w:rPr>
              <w:t>ELA:</w:t>
            </w:r>
          </w:p>
          <w:p w14:paraId="05332B06" w14:textId="33FE71F8" w:rsidR="005E0955" w:rsidRPr="005E0955" w:rsidRDefault="005E0955" w:rsidP="00163B5E">
            <w:pPr>
              <w:jc w:val="center"/>
              <w:rPr>
                <w:rFonts w:eastAsiaTheme="minorEastAsia" w:cs="Arial"/>
                <w:b/>
                <w:color w:val="000000"/>
                <w:szCs w:val="22"/>
              </w:rPr>
            </w:pPr>
            <w:r w:rsidRPr="005E0955">
              <w:rPr>
                <w:rFonts w:eastAsiaTheme="minorEastAsia" w:cs="Arial"/>
                <w:b/>
                <w:color w:val="000000"/>
                <w:szCs w:val="22"/>
              </w:rPr>
              <w:t>Number &amp; Percent of Students Who Received</w:t>
            </w:r>
            <w:r w:rsidR="00163B5E">
              <w:rPr>
                <w:rFonts w:eastAsiaTheme="minorEastAsia" w:cs="Arial"/>
                <w:b/>
                <w:color w:val="000000"/>
                <w:szCs w:val="22"/>
              </w:rPr>
              <w:t xml:space="preserve"> </w:t>
            </w:r>
            <w:r w:rsidR="001946D5">
              <w:rPr>
                <w:rFonts w:eastAsiaTheme="minorEastAsia" w:cs="Arial"/>
                <w:b/>
                <w:color w:val="000000"/>
                <w:szCs w:val="22"/>
              </w:rPr>
              <w:t>Level</w:t>
            </w:r>
            <w:r w:rsidRPr="005E0955">
              <w:rPr>
                <w:rFonts w:eastAsiaTheme="minorEastAsia" w:cs="Arial"/>
                <w:b/>
                <w:color w:val="000000"/>
                <w:szCs w:val="22"/>
              </w:rPr>
              <w:t xml:space="preserve"> 3 or 4</w:t>
            </w:r>
          </w:p>
        </w:tc>
        <w:tc>
          <w:tcPr>
            <w:tcW w:w="877" w:type="pct"/>
            <w:shd w:val="clear" w:color="auto" w:fill="D9D9D9" w:themeFill="background1" w:themeFillShade="D9"/>
            <w:vAlign w:val="center"/>
          </w:tcPr>
          <w:p w14:paraId="4F984899" w14:textId="38164343" w:rsidR="005E0955" w:rsidRPr="005E0955" w:rsidRDefault="005E0955" w:rsidP="00163B5E">
            <w:pPr>
              <w:jc w:val="center"/>
              <w:rPr>
                <w:rFonts w:eastAsiaTheme="minorEastAsia" w:cs="Arial"/>
                <w:b/>
                <w:color w:val="000000"/>
                <w:szCs w:val="22"/>
              </w:rPr>
            </w:pPr>
            <w:r w:rsidRPr="005E0955">
              <w:rPr>
                <w:rFonts w:eastAsiaTheme="minorEastAsia" w:cs="Arial"/>
                <w:b/>
                <w:color w:val="000000"/>
                <w:szCs w:val="22"/>
              </w:rPr>
              <w:t>Math:</w:t>
            </w:r>
            <w:r w:rsidR="00163B5E">
              <w:rPr>
                <w:rFonts w:eastAsiaTheme="minorEastAsia" w:cs="Arial"/>
                <w:b/>
                <w:color w:val="000000"/>
                <w:szCs w:val="22"/>
              </w:rPr>
              <w:t xml:space="preserve"> </w:t>
            </w:r>
            <w:r w:rsidRPr="005E0955">
              <w:rPr>
                <w:rFonts w:eastAsiaTheme="minorEastAsia" w:cs="Arial"/>
                <w:b/>
                <w:color w:val="000000"/>
                <w:szCs w:val="22"/>
              </w:rPr>
              <w:t>Number &amp; Percent of Students Who Received</w:t>
            </w:r>
            <w:r w:rsidR="00163B5E">
              <w:rPr>
                <w:rFonts w:eastAsiaTheme="minorEastAsia" w:cs="Arial"/>
                <w:b/>
                <w:color w:val="000000"/>
                <w:szCs w:val="22"/>
              </w:rPr>
              <w:t xml:space="preserve"> </w:t>
            </w:r>
            <w:r w:rsidR="001946D5">
              <w:rPr>
                <w:rFonts w:eastAsiaTheme="minorEastAsia" w:cs="Arial"/>
                <w:b/>
                <w:color w:val="000000"/>
                <w:szCs w:val="22"/>
              </w:rPr>
              <w:t>Level</w:t>
            </w:r>
            <w:r w:rsidRPr="005E0955">
              <w:rPr>
                <w:rFonts w:eastAsiaTheme="minorEastAsia" w:cs="Arial"/>
                <w:b/>
                <w:color w:val="000000"/>
                <w:szCs w:val="22"/>
              </w:rPr>
              <w:t xml:space="preserve"> 1 or 2</w:t>
            </w:r>
          </w:p>
        </w:tc>
        <w:tc>
          <w:tcPr>
            <w:tcW w:w="877" w:type="pct"/>
            <w:shd w:val="clear" w:color="auto" w:fill="D9D9D9" w:themeFill="background1" w:themeFillShade="D9"/>
            <w:vAlign w:val="center"/>
          </w:tcPr>
          <w:p w14:paraId="450876B0" w14:textId="19DD9D8E" w:rsidR="005E0955" w:rsidRPr="005E0955" w:rsidRDefault="005E0955" w:rsidP="00163B5E">
            <w:pPr>
              <w:jc w:val="center"/>
              <w:rPr>
                <w:rFonts w:eastAsiaTheme="minorEastAsia" w:cs="Arial"/>
                <w:b/>
                <w:color w:val="000000"/>
                <w:szCs w:val="22"/>
              </w:rPr>
            </w:pPr>
            <w:r w:rsidRPr="005E0955">
              <w:rPr>
                <w:rFonts w:eastAsiaTheme="minorEastAsia" w:cs="Arial"/>
                <w:b/>
                <w:color w:val="000000"/>
                <w:szCs w:val="22"/>
              </w:rPr>
              <w:t>Math:</w:t>
            </w:r>
            <w:r w:rsidR="00163B5E">
              <w:rPr>
                <w:rFonts w:eastAsiaTheme="minorEastAsia" w:cs="Arial"/>
                <w:b/>
                <w:color w:val="000000"/>
                <w:szCs w:val="22"/>
              </w:rPr>
              <w:t xml:space="preserve"> </w:t>
            </w:r>
            <w:r w:rsidRPr="005E0955">
              <w:rPr>
                <w:rFonts w:eastAsiaTheme="minorEastAsia" w:cs="Arial"/>
                <w:b/>
                <w:color w:val="000000"/>
                <w:szCs w:val="22"/>
              </w:rPr>
              <w:t>Number &amp; Percent of Students Who Received</w:t>
            </w:r>
            <w:r w:rsidR="00163B5E">
              <w:rPr>
                <w:rFonts w:eastAsiaTheme="minorEastAsia" w:cs="Arial"/>
                <w:b/>
                <w:color w:val="000000"/>
                <w:szCs w:val="22"/>
              </w:rPr>
              <w:t xml:space="preserve"> </w:t>
            </w:r>
            <w:r w:rsidR="001946D5">
              <w:rPr>
                <w:rFonts w:eastAsiaTheme="minorEastAsia" w:cs="Arial"/>
                <w:b/>
                <w:color w:val="000000"/>
                <w:szCs w:val="22"/>
              </w:rPr>
              <w:t>Level</w:t>
            </w:r>
            <w:r w:rsidRPr="005E0955">
              <w:rPr>
                <w:rFonts w:eastAsiaTheme="minorEastAsia" w:cs="Arial"/>
                <w:b/>
                <w:color w:val="000000"/>
                <w:szCs w:val="22"/>
              </w:rPr>
              <w:t xml:space="preserve"> 3 or 4</w:t>
            </w:r>
          </w:p>
        </w:tc>
      </w:tr>
      <w:tr w:rsidR="005E0955" w:rsidRPr="005E0955" w14:paraId="3F26433E" w14:textId="77777777" w:rsidTr="00EF4C29">
        <w:tc>
          <w:tcPr>
            <w:tcW w:w="833" w:type="pct"/>
            <w:shd w:val="clear" w:color="auto" w:fill="auto"/>
            <w:vAlign w:val="center"/>
          </w:tcPr>
          <w:p w14:paraId="4A04638C" w14:textId="77777777" w:rsidR="005E0955" w:rsidRPr="005E0955" w:rsidRDefault="005E0955" w:rsidP="005E0955">
            <w:pPr>
              <w:jc w:val="center"/>
              <w:rPr>
                <w:rFonts w:eastAsiaTheme="minorEastAsia" w:cs="Arial"/>
                <w:color w:val="000000"/>
                <w:szCs w:val="22"/>
              </w:rPr>
            </w:pPr>
            <w:r w:rsidRPr="005E0955">
              <w:rPr>
                <w:rFonts w:eastAsiaTheme="minorEastAsia" w:cs="Arial"/>
                <w:color w:val="000000"/>
                <w:szCs w:val="22"/>
              </w:rPr>
              <w:t>Two AP Exams</w:t>
            </w:r>
          </w:p>
        </w:tc>
        <w:tc>
          <w:tcPr>
            <w:tcW w:w="658" w:type="pct"/>
            <w:shd w:val="clear" w:color="auto" w:fill="auto"/>
            <w:vAlign w:val="center"/>
          </w:tcPr>
          <w:p w14:paraId="256BD418" w14:textId="77777777" w:rsidR="005E0955" w:rsidRPr="005E0955" w:rsidRDefault="005E0955" w:rsidP="005E0955">
            <w:pPr>
              <w:jc w:val="center"/>
              <w:rPr>
                <w:rFonts w:eastAsiaTheme="minorEastAsia" w:cs="Arial"/>
                <w:color w:val="000000"/>
                <w:szCs w:val="22"/>
              </w:rPr>
            </w:pPr>
            <w:r w:rsidRPr="005E0955">
              <w:rPr>
                <w:rFonts w:eastAsiaTheme="minorEastAsia" w:cs="Arial"/>
                <w:color w:val="000000"/>
                <w:szCs w:val="22"/>
              </w:rPr>
              <w:t>64,818</w:t>
            </w:r>
          </w:p>
        </w:tc>
        <w:tc>
          <w:tcPr>
            <w:tcW w:w="877" w:type="pct"/>
            <w:shd w:val="clear" w:color="auto" w:fill="auto"/>
            <w:vAlign w:val="center"/>
          </w:tcPr>
          <w:p w14:paraId="34B45537" w14:textId="77777777" w:rsidR="005E0955" w:rsidRPr="005E0955" w:rsidRDefault="005E0955" w:rsidP="005E0955">
            <w:pPr>
              <w:jc w:val="center"/>
              <w:rPr>
                <w:rFonts w:eastAsiaTheme="minorEastAsia" w:cs="Arial"/>
                <w:color w:val="000000"/>
                <w:szCs w:val="22"/>
              </w:rPr>
            </w:pPr>
            <w:r w:rsidRPr="005E0955">
              <w:rPr>
                <w:rFonts w:eastAsiaTheme="minorEastAsia" w:cs="Arial"/>
                <w:color w:val="000000"/>
                <w:szCs w:val="22"/>
              </w:rPr>
              <w:t>2,164 (3%)</w:t>
            </w:r>
          </w:p>
        </w:tc>
        <w:tc>
          <w:tcPr>
            <w:tcW w:w="877" w:type="pct"/>
            <w:shd w:val="clear" w:color="auto" w:fill="auto"/>
            <w:vAlign w:val="center"/>
          </w:tcPr>
          <w:p w14:paraId="0535F72D" w14:textId="77777777" w:rsidR="005E0955" w:rsidRPr="005E0955" w:rsidRDefault="005E0955" w:rsidP="005E0955">
            <w:pPr>
              <w:jc w:val="center"/>
              <w:rPr>
                <w:rFonts w:eastAsiaTheme="minorEastAsia" w:cs="Arial"/>
                <w:color w:val="000000"/>
                <w:szCs w:val="22"/>
              </w:rPr>
            </w:pPr>
            <w:r w:rsidRPr="005E0955">
              <w:rPr>
                <w:rFonts w:eastAsiaTheme="minorEastAsia" w:cs="Arial"/>
                <w:color w:val="000000"/>
                <w:szCs w:val="22"/>
              </w:rPr>
              <w:t>59,071 (91%)</w:t>
            </w:r>
          </w:p>
        </w:tc>
        <w:tc>
          <w:tcPr>
            <w:tcW w:w="877" w:type="pct"/>
            <w:shd w:val="clear" w:color="auto" w:fill="auto"/>
            <w:vAlign w:val="center"/>
          </w:tcPr>
          <w:p w14:paraId="025824CF" w14:textId="77777777" w:rsidR="005E0955" w:rsidRPr="005E0955" w:rsidRDefault="005E0955" w:rsidP="005E0955">
            <w:pPr>
              <w:jc w:val="center"/>
              <w:rPr>
                <w:rFonts w:eastAsiaTheme="minorEastAsia" w:cs="Arial"/>
                <w:color w:val="000000"/>
                <w:szCs w:val="22"/>
              </w:rPr>
            </w:pPr>
            <w:r w:rsidRPr="005E0955">
              <w:rPr>
                <w:rFonts w:eastAsiaTheme="minorEastAsia" w:cs="Arial"/>
                <w:color w:val="000000"/>
                <w:szCs w:val="22"/>
              </w:rPr>
              <w:t>7,719 (12%)</w:t>
            </w:r>
          </w:p>
        </w:tc>
        <w:tc>
          <w:tcPr>
            <w:tcW w:w="877" w:type="pct"/>
            <w:shd w:val="clear" w:color="auto" w:fill="auto"/>
            <w:vAlign w:val="center"/>
          </w:tcPr>
          <w:p w14:paraId="0A88DA2A" w14:textId="77777777" w:rsidR="005E0955" w:rsidRPr="005E0955" w:rsidRDefault="005E0955" w:rsidP="005E0955">
            <w:pPr>
              <w:jc w:val="center"/>
              <w:rPr>
                <w:rFonts w:eastAsiaTheme="minorEastAsia" w:cs="Arial"/>
                <w:color w:val="000000"/>
                <w:szCs w:val="22"/>
              </w:rPr>
            </w:pPr>
            <w:r w:rsidRPr="005E0955">
              <w:rPr>
                <w:rFonts w:eastAsiaTheme="minorEastAsia" w:cs="Arial"/>
                <w:color w:val="000000"/>
                <w:szCs w:val="22"/>
              </w:rPr>
              <w:t>53,325 (82%)</w:t>
            </w:r>
          </w:p>
        </w:tc>
      </w:tr>
      <w:tr w:rsidR="005E0955" w:rsidRPr="005E0955" w14:paraId="0695929C" w14:textId="77777777" w:rsidTr="00EF4C29">
        <w:tc>
          <w:tcPr>
            <w:tcW w:w="833" w:type="pct"/>
            <w:shd w:val="clear" w:color="auto" w:fill="auto"/>
            <w:vAlign w:val="center"/>
          </w:tcPr>
          <w:p w14:paraId="39EE8505" w14:textId="77777777" w:rsidR="005E0955" w:rsidRPr="005E0955" w:rsidRDefault="005E0955" w:rsidP="005E0955">
            <w:pPr>
              <w:jc w:val="center"/>
              <w:rPr>
                <w:rFonts w:eastAsiaTheme="minorEastAsia" w:cs="Arial"/>
                <w:color w:val="000000"/>
                <w:szCs w:val="22"/>
              </w:rPr>
            </w:pPr>
            <w:r w:rsidRPr="005E0955">
              <w:rPr>
                <w:rFonts w:eastAsiaTheme="minorEastAsia" w:cs="Arial"/>
                <w:color w:val="000000"/>
                <w:szCs w:val="22"/>
              </w:rPr>
              <w:t>Two IB Exams</w:t>
            </w:r>
          </w:p>
        </w:tc>
        <w:tc>
          <w:tcPr>
            <w:tcW w:w="658" w:type="pct"/>
            <w:shd w:val="clear" w:color="auto" w:fill="auto"/>
            <w:vAlign w:val="center"/>
          </w:tcPr>
          <w:p w14:paraId="0E71E3C4" w14:textId="77777777" w:rsidR="005E0955" w:rsidRPr="005E0955" w:rsidRDefault="005E0955" w:rsidP="005E0955">
            <w:pPr>
              <w:jc w:val="center"/>
              <w:rPr>
                <w:rFonts w:eastAsiaTheme="minorEastAsia" w:cs="Arial"/>
                <w:color w:val="000000"/>
                <w:szCs w:val="22"/>
              </w:rPr>
            </w:pPr>
            <w:r w:rsidRPr="005E0955">
              <w:rPr>
                <w:rFonts w:eastAsiaTheme="minorEastAsia" w:cs="Arial"/>
                <w:color w:val="000000"/>
                <w:szCs w:val="22"/>
              </w:rPr>
              <w:t>3,868</w:t>
            </w:r>
          </w:p>
        </w:tc>
        <w:tc>
          <w:tcPr>
            <w:tcW w:w="877" w:type="pct"/>
            <w:shd w:val="clear" w:color="auto" w:fill="auto"/>
            <w:vAlign w:val="center"/>
          </w:tcPr>
          <w:p w14:paraId="423B8C9A" w14:textId="77777777" w:rsidR="005E0955" w:rsidRPr="005E0955" w:rsidRDefault="005E0955" w:rsidP="005E0955">
            <w:pPr>
              <w:jc w:val="center"/>
              <w:rPr>
                <w:rFonts w:eastAsiaTheme="minorEastAsia" w:cs="Arial"/>
                <w:color w:val="000000"/>
                <w:szCs w:val="22"/>
              </w:rPr>
            </w:pPr>
            <w:r w:rsidRPr="005E0955">
              <w:rPr>
                <w:rFonts w:eastAsiaTheme="minorEastAsia" w:cs="Arial"/>
                <w:color w:val="000000"/>
                <w:szCs w:val="22"/>
              </w:rPr>
              <w:t>141 (4%)</w:t>
            </w:r>
          </w:p>
        </w:tc>
        <w:tc>
          <w:tcPr>
            <w:tcW w:w="877" w:type="pct"/>
            <w:shd w:val="clear" w:color="auto" w:fill="auto"/>
            <w:vAlign w:val="center"/>
          </w:tcPr>
          <w:p w14:paraId="018DC4D8" w14:textId="77777777" w:rsidR="005E0955" w:rsidRPr="005E0955" w:rsidRDefault="005E0955" w:rsidP="005E0955">
            <w:pPr>
              <w:jc w:val="center"/>
              <w:rPr>
                <w:rFonts w:eastAsiaTheme="minorEastAsia" w:cs="Arial"/>
                <w:color w:val="000000"/>
                <w:szCs w:val="22"/>
              </w:rPr>
            </w:pPr>
            <w:r w:rsidRPr="005E0955">
              <w:rPr>
                <w:rFonts w:eastAsiaTheme="minorEastAsia" w:cs="Arial"/>
                <w:color w:val="000000"/>
                <w:szCs w:val="22"/>
              </w:rPr>
              <w:t>3,580 (93%)</w:t>
            </w:r>
          </w:p>
        </w:tc>
        <w:tc>
          <w:tcPr>
            <w:tcW w:w="877" w:type="pct"/>
            <w:shd w:val="clear" w:color="auto" w:fill="auto"/>
            <w:vAlign w:val="center"/>
          </w:tcPr>
          <w:p w14:paraId="36C53E3A" w14:textId="77777777" w:rsidR="005E0955" w:rsidRPr="005E0955" w:rsidRDefault="005E0955" w:rsidP="005E0955">
            <w:pPr>
              <w:jc w:val="center"/>
              <w:rPr>
                <w:rFonts w:eastAsiaTheme="minorEastAsia" w:cs="Arial"/>
                <w:color w:val="000000"/>
                <w:szCs w:val="22"/>
              </w:rPr>
            </w:pPr>
            <w:r w:rsidRPr="005E0955">
              <w:rPr>
                <w:rFonts w:eastAsiaTheme="minorEastAsia" w:cs="Arial"/>
                <w:color w:val="000000"/>
                <w:szCs w:val="22"/>
              </w:rPr>
              <w:t>537 (14%)</w:t>
            </w:r>
          </w:p>
        </w:tc>
        <w:tc>
          <w:tcPr>
            <w:tcW w:w="877" w:type="pct"/>
            <w:shd w:val="clear" w:color="auto" w:fill="auto"/>
            <w:vAlign w:val="center"/>
          </w:tcPr>
          <w:p w14:paraId="47F113E8" w14:textId="77777777" w:rsidR="005E0955" w:rsidRPr="005E0955" w:rsidRDefault="005E0955" w:rsidP="005E0955">
            <w:pPr>
              <w:jc w:val="center"/>
              <w:rPr>
                <w:rFonts w:eastAsiaTheme="minorEastAsia" w:cs="Arial"/>
                <w:color w:val="000000"/>
                <w:szCs w:val="22"/>
              </w:rPr>
            </w:pPr>
            <w:r w:rsidRPr="005E0955">
              <w:rPr>
                <w:rFonts w:eastAsiaTheme="minorEastAsia" w:cs="Arial"/>
                <w:color w:val="000000"/>
                <w:szCs w:val="22"/>
              </w:rPr>
              <w:t>3,163 (82%)</w:t>
            </w:r>
          </w:p>
        </w:tc>
      </w:tr>
      <w:tr w:rsidR="005E0955" w:rsidRPr="005E0955" w14:paraId="55D3FFD9" w14:textId="77777777" w:rsidTr="00EF4C29">
        <w:tc>
          <w:tcPr>
            <w:tcW w:w="833" w:type="pct"/>
            <w:shd w:val="clear" w:color="auto" w:fill="auto"/>
            <w:vAlign w:val="center"/>
          </w:tcPr>
          <w:p w14:paraId="332630A8" w14:textId="77777777" w:rsidR="005E0955" w:rsidRPr="005E0955" w:rsidRDefault="005E0955" w:rsidP="005E0955">
            <w:pPr>
              <w:jc w:val="center"/>
              <w:rPr>
                <w:rFonts w:eastAsiaTheme="minorEastAsia" w:cs="Arial"/>
                <w:color w:val="000000"/>
                <w:szCs w:val="22"/>
              </w:rPr>
            </w:pPr>
            <w:r w:rsidRPr="005E0955">
              <w:rPr>
                <w:rFonts w:eastAsiaTheme="minorEastAsia" w:cs="Arial"/>
                <w:color w:val="000000"/>
                <w:szCs w:val="22"/>
              </w:rPr>
              <w:t>Dual Enrollment (One Year)</w:t>
            </w:r>
          </w:p>
        </w:tc>
        <w:tc>
          <w:tcPr>
            <w:tcW w:w="658" w:type="pct"/>
            <w:shd w:val="clear" w:color="auto" w:fill="auto"/>
            <w:vAlign w:val="center"/>
          </w:tcPr>
          <w:p w14:paraId="5B256988" w14:textId="77777777" w:rsidR="005E0955" w:rsidRPr="005E0955" w:rsidRDefault="005E0955" w:rsidP="005E0955">
            <w:pPr>
              <w:jc w:val="center"/>
              <w:rPr>
                <w:rFonts w:eastAsiaTheme="minorEastAsia" w:cs="Arial"/>
                <w:color w:val="000000"/>
                <w:szCs w:val="22"/>
              </w:rPr>
            </w:pPr>
            <w:r w:rsidRPr="005E0955">
              <w:rPr>
                <w:rFonts w:eastAsiaTheme="minorEastAsia" w:cs="Arial"/>
                <w:color w:val="000000"/>
                <w:szCs w:val="22"/>
              </w:rPr>
              <w:t>725</w:t>
            </w:r>
          </w:p>
        </w:tc>
        <w:tc>
          <w:tcPr>
            <w:tcW w:w="877" w:type="pct"/>
            <w:shd w:val="clear" w:color="auto" w:fill="auto"/>
            <w:vAlign w:val="center"/>
          </w:tcPr>
          <w:p w14:paraId="454E71B4" w14:textId="77777777" w:rsidR="005E0955" w:rsidRPr="005E0955" w:rsidRDefault="005E0955" w:rsidP="005E0955">
            <w:pPr>
              <w:jc w:val="center"/>
              <w:rPr>
                <w:rFonts w:eastAsiaTheme="minorEastAsia" w:cs="Arial"/>
                <w:color w:val="000000"/>
                <w:szCs w:val="22"/>
              </w:rPr>
            </w:pPr>
            <w:r w:rsidRPr="005E0955">
              <w:rPr>
                <w:rFonts w:eastAsiaTheme="minorEastAsia" w:cs="Arial"/>
                <w:color w:val="000000"/>
                <w:szCs w:val="22"/>
              </w:rPr>
              <w:t>79 (11%)</w:t>
            </w:r>
          </w:p>
        </w:tc>
        <w:tc>
          <w:tcPr>
            <w:tcW w:w="877" w:type="pct"/>
            <w:shd w:val="clear" w:color="auto" w:fill="auto"/>
            <w:vAlign w:val="center"/>
          </w:tcPr>
          <w:p w14:paraId="6D6CE46C" w14:textId="77777777" w:rsidR="005E0955" w:rsidRPr="005E0955" w:rsidRDefault="005E0955" w:rsidP="005E0955">
            <w:pPr>
              <w:jc w:val="center"/>
              <w:rPr>
                <w:rFonts w:eastAsiaTheme="minorEastAsia" w:cs="Arial"/>
                <w:color w:val="000000"/>
                <w:szCs w:val="22"/>
              </w:rPr>
            </w:pPr>
            <w:r w:rsidRPr="005E0955">
              <w:rPr>
                <w:rFonts w:eastAsiaTheme="minorEastAsia" w:cs="Arial"/>
                <w:color w:val="000000"/>
                <w:szCs w:val="22"/>
              </w:rPr>
              <w:t>609 (84%)</w:t>
            </w:r>
          </w:p>
        </w:tc>
        <w:tc>
          <w:tcPr>
            <w:tcW w:w="877" w:type="pct"/>
            <w:shd w:val="clear" w:color="auto" w:fill="auto"/>
            <w:vAlign w:val="center"/>
          </w:tcPr>
          <w:p w14:paraId="058401DE" w14:textId="77777777" w:rsidR="005E0955" w:rsidRPr="005E0955" w:rsidRDefault="005E0955" w:rsidP="005E0955">
            <w:pPr>
              <w:jc w:val="center"/>
              <w:rPr>
                <w:rFonts w:eastAsiaTheme="minorEastAsia" w:cs="Arial"/>
                <w:color w:val="000000"/>
                <w:szCs w:val="22"/>
              </w:rPr>
            </w:pPr>
            <w:r w:rsidRPr="005E0955">
              <w:rPr>
                <w:rFonts w:eastAsiaTheme="minorEastAsia" w:cs="Arial"/>
                <w:color w:val="000000"/>
                <w:szCs w:val="22"/>
              </w:rPr>
              <w:t>262 (36%)</w:t>
            </w:r>
          </w:p>
        </w:tc>
        <w:tc>
          <w:tcPr>
            <w:tcW w:w="877" w:type="pct"/>
            <w:shd w:val="clear" w:color="auto" w:fill="auto"/>
            <w:vAlign w:val="center"/>
          </w:tcPr>
          <w:p w14:paraId="3448543A" w14:textId="77777777" w:rsidR="005E0955" w:rsidRPr="005E0955" w:rsidRDefault="005E0955" w:rsidP="005E0955">
            <w:pPr>
              <w:jc w:val="center"/>
              <w:rPr>
                <w:rFonts w:eastAsiaTheme="minorEastAsia" w:cs="Arial"/>
                <w:color w:val="000000"/>
                <w:szCs w:val="22"/>
              </w:rPr>
            </w:pPr>
            <w:r w:rsidRPr="005E0955">
              <w:rPr>
                <w:rFonts w:eastAsiaTheme="minorEastAsia" w:cs="Arial"/>
                <w:color w:val="000000"/>
                <w:szCs w:val="22"/>
              </w:rPr>
              <w:t>431 (59%)</w:t>
            </w:r>
          </w:p>
        </w:tc>
      </w:tr>
      <w:tr w:rsidR="005E0955" w:rsidRPr="005E0955" w14:paraId="2B2367D9" w14:textId="77777777" w:rsidTr="00EF4C29">
        <w:tc>
          <w:tcPr>
            <w:tcW w:w="833" w:type="pct"/>
            <w:shd w:val="clear" w:color="auto" w:fill="auto"/>
            <w:vAlign w:val="center"/>
          </w:tcPr>
          <w:p w14:paraId="410B0C50" w14:textId="2425561D" w:rsidR="005E0955" w:rsidRPr="005E0955" w:rsidRDefault="005E0955" w:rsidP="005E0955">
            <w:pPr>
              <w:jc w:val="center"/>
              <w:rPr>
                <w:rFonts w:eastAsiaTheme="minorEastAsia" w:cs="Arial"/>
                <w:color w:val="000000"/>
                <w:szCs w:val="22"/>
              </w:rPr>
            </w:pPr>
            <w:r w:rsidRPr="005E0955">
              <w:rPr>
                <w:rFonts w:eastAsiaTheme="minorEastAsia" w:cs="Arial"/>
                <w:color w:val="000000"/>
                <w:szCs w:val="22"/>
              </w:rPr>
              <w:t xml:space="preserve">a-g </w:t>
            </w:r>
            <w:r w:rsidRPr="005E0955">
              <w:rPr>
                <w:rFonts w:eastAsiaTheme="minorEastAsia" w:cs="Arial"/>
                <w:i/>
                <w:color w:val="000000"/>
                <w:szCs w:val="22"/>
              </w:rPr>
              <w:t>plus</w:t>
            </w:r>
            <w:r w:rsidRPr="005E0955">
              <w:rPr>
                <w:rFonts w:eastAsiaTheme="minorEastAsia" w:cs="Arial"/>
                <w:color w:val="000000"/>
                <w:szCs w:val="22"/>
              </w:rPr>
              <w:t xml:space="preserve"> Smart</w:t>
            </w:r>
            <w:r w:rsidR="00163B5E">
              <w:rPr>
                <w:rFonts w:eastAsiaTheme="minorEastAsia" w:cs="Arial"/>
                <w:color w:val="000000"/>
                <w:szCs w:val="22"/>
              </w:rPr>
              <w:t>er Balanced Summative Assessment</w:t>
            </w:r>
            <w:r w:rsidRPr="005E0955">
              <w:rPr>
                <w:rFonts w:eastAsiaTheme="minorEastAsia" w:cs="Arial"/>
                <w:color w:val="000000"/>
                <w:szCs w:val="22"/>
              </w:rPr>
              <w:t>s</w:t>
            </w:r>
          </w:p>
        </w:tc>
        <w:tc>
          <w:tcPr>
            <w:tcW w:w="658" w:type="pct"/>
            <w:shd w:val="clear" w:color="auto" w:fill="auto"/>
            <w:vAlign w:val="center"/>
          </w:tcPr>
          <w:p w14:paraId="5FE422CA" w14:textId="77777777" w:rsidR="005E0955" w:rsidRPr="005E0955" w:rsidRDefault="005E0955" w:rsidP="005E0955">
            <w:pPr>
              <w:jc w:val="center"/>
              <w:rPr>
                <w:rFonts w:eastAsiaTheme="minorEastAsia" w:cs="Arial"/>
                <w:color w:val="000000"/>
                <w:szCs w:val="22"/>
              </w:rPr>
            </w:pPr>
            <w:r w:rsidRPr="005E0955">
              <w:rPr>
                <w:rFonts w:eastAsiaTheme="minorEastAsia" w:cs="Arial"/>
                <w:color w:val="000000"/>
                <w:szCs w:val="22"/>
              </w:rPr>
              <w:t>140,234</w:t>
            </w:r>
          </w:p>
        </w:tc>
        <w:tc>
          <w:tcPr>
            <w:tcW w:w="877" w:type="pct"/>
            <w:shd w:val="clear" w:color="auto" w:fill="auto"/>
            <w:vAlign w:val="center"/>
          </w:tcPr>
          <w:p w14:paraId="4E179565" w14:textId="77777777" w:rsidR="005E0955" w:rsidRPr="005E0955" w:rsidRDefault="005E0955" w:rsidP="005E0955">
            <w:pPr>
              <w:jc w:val="center"/>
              <w:rPr>
                <w:rFonts w:eastAsiaTheme="minorEastAsia" w:cs="Arial"/>
                <w:color w:val="000000"/>
                <w:szCs w:val="22"/>
              </w:rPr>
            </w:pPr>
            <w:r w:rsidRPr="005E0955">
              <w:rPr>
                <w:rFonts w:eastAsiaTheme="minorEastAsia" w:cs="Arial"/>
                <w:color w:val="000000"/>
                <w:szCs w:val="22"/>
              </w:rPr>
              <w:t>3,882 (3%)</w:t>
            </w:r>
          </w:p>
        </w:tc>
        <w:tc>
          <w:tcPr>
            <w:tcW w:w="877" w:type="pct"/>
            <w:shd w:val="clear" w:color="auto" w:fill="auto"/>
            <w:vAlign w:val="center"/>
          </w:tcPr>
          <w:p w14:paraId="79CB20C0" w14:textId="77777777" w:rsidR="005E0955" w:rsidRPr="005E0955" w:rsidRDefault="005E0955" w:rsidP="005E0955">
            <w:pPr>
              <w:jc w:val="center"/>
              <w:rPr>
                <w:rFonts w:eastAsiaTheme="minorEastAsia" w:cs="Arial"/>
                <w:color w:val="000000"/>
                <w:szCs w:val="22"/>
              </w:rPr>
            </w:pPr>
            <w:r w:rsidRPr="005E0955">
              <w:rPr>
                <w:rFonts w:eastAsiaTheme="minorEastAsia" w:cs="Arial"/>
                <w:color w:val="000000"/>
                <w:szCs w:val="22"/>
              </w:rPr>
              <w:t>136,352 (97%)</w:t>
            </w:r>
          </w:p>
        </w:tc>
        <w:tc>
          <w:tcPr>
            <w:tcW w:w="877" w:type="pct"/>
            <w:shd w:val="clear" w:color="auto" w:fill="auto"/>
            <w:vAlign w:val="center"/>
          </w:tcPr>
          <w:p w14:paraId="00B45685" w14:textId="77777777" w:rsidR="005E0955" w:rsidRPr="005E0955" w:rsidRDefault="005E0955" w:rsidP="005E0955">
            <w:pPr>
              <w:jc w:val="center"/>
              <w:rPr>
                <w:rFonts w:eastAsiaTheme="minorEastAsia" w:cs="Arial"/>
                <w:color w:val="000000"/>
                <w:szCs w:val="22"/>
              </w:rPr>
            </w:pPr>
            <w:r w:rsidRPr="005E0955">
              <w:rPr>
                <w:rFonts w:eastAsiaTheme="minorEastAsia" w:cs="Arial"/>
                <w:color w:val="000000"/>
                <w:szCs w:val="22"/>
              </w:rPr>
              <w:t>40,570 (29%)</w:t>
            </w:r>
          </w:p>
        </w:tc>
        <w:tc>
          <w:tcPr>
            <w:tcW w:w="877" w:type="pct"/>
            <w:shd w:val="clear" w:color="auto" w:fill="auto"/>
            <w:vAlign w:val="center"/>
          </w:tcPr>
          <w:p w14:paraId="2167EE08" w14:textId="77777777" w:rsidR="005E0955" w:rsidRPr="005E0955" w:rsidRDefault="005E0955" w:rsidP="005E0955">
            <w:pPr>
              <w:jc w:val="center"/>
              <w:rPr>
                <w:rFonts w:eastAsiaTheme="minorEastAsia" w:cs="Arial"/>
                <w:color w:val="000000"/>
                <w:szCs w:val="22"/>
              </w:rPr>
            </w:pPr>
            <w:r w:rsidRPr="005E0955">
              <w:rPr>
                <w:rFonts w:eastAsiaTheme="minorEastAsia" w:cs="Arial"/>
                <w:color w:val="000000"/>
                <w:szCs w:val="22"/>
              </w:rPr>
              <w:t>99,664 (71%)</w:t>
            </w:r>
          </w:p>
        </w:tc>
      </w:tr>
      <w:tr w:rsidR="005E0955" w:rsidRPr="005E0955" w14:paraId="5B039F31" w14:textId="77777777" w:rsidTr="00EF4C29">
        <w:tc>
          <w:tcPr>
            <w:tcW w:w="833" w:type="pct"/>
            <w:shd w:val="clear" w:color="auto" w:fill="auto"/>
            <w:vAlign w:val="center"/>
          </w:tcPr>
          <w:p w14:paraId="22A506C2" w14:textId="70DF2386" w:rsidR="005E0955" w:rsidRPr="005E0955" w:rsidRDefault="005E0955" w:rsidP="00163B5E">
            <w:pPr>
              <w:jc w:val="center"/>
              <w:rPr>
                <w:rFonts w:eastAsiaTheme="minorEastAsia" w:cs="Arial"/>
                <w:color w:val="000000"/>
                <w:szCs w:val="22"/>
              </w:rPr>
            </w:pPr>
            <w:r w:rsidRPr="005E0955">
              <w:rPr>
                <w:rFonts w:eastAsiaTheme="minorEastAsia" w:cs="Arial"/>
                <w:color w:val="000000"/>
                <w:szCs w:val="22"/>
              </w:rPr>
              <w:t xml:space="preserve">a-g </w:t>
            </w:r>
            <w:r w:rsidRPr="005E0955">
              <w:rPr>
                <w:rFonts w:eastAsiaTheme="minorEastAsia" w:cs="Arial"/>
                <w:i/>
                <w:color w:val="000000"/>
                <w:szCs w:val="22"/>
              </w:rPr>
              <w:t>plus</w:t>
            </w:r>
            <w:r w:rsidRPr="005E0955">
              <w:rPr>
                <w:rFonts w:eastAsiaTheme="minorEastAsia" w:cs="Arial"/>
                <w:color w:val="000000"/>
                <w:szCs w:val="22"/>
              </w:rPr>
              <w:t xml:space="preserve"> CTE Pathway</w:t>
            </w:r>
          </w:p>
        </w:tc>
        <w:tc>
          <w:tcPr>
            <w:tcW w:w="658" w:type="pct"/>
            <w:shd w:val="clear" w:color="auto" w:fill="auto"/>
            <w:vAlign w:val="center"/>
          </w:tcPr>
          <w:p w14:paraId="3000F74A" w14:textId="77777777" w:rsidR="005E0955" w:rsidRPr="005E0955" w:rsidRDefault="005E0955" w:rsidP="005E0955">
            <w:pPr>
              <w:jc w:val="center"/>
              <w:rPr>
                <w:rFonts w:eastAsiaTheme="minorEastAsia" w:cs="Arial"/>
                <w:color w:val="000000"/>
                <w:szCs w:val="22"/>
              </w:rPr>
            </w:pPr>
            <w:r w:rsidRPr="005E0955">
              <w:rPr>
                <w:rFonts w:eastAsiaTheme="minorEastAsia" w:cs="Arial"/>
                <w:color w:val="000000"/>
                <w:szCs w:val="22"/>
              </w:rPr>
              <w:t>35,045</w:t>
            </w:r>
          </w:p>
        </w:tc>
        <w:tc>
          <w:tcPr>
            <w:tcW w:w="877" w:type="pct"/>
            <w:shd w:val="clear" w:color="auto" w:fill="auto"/>
            <w:vAlign w:val="center"/>
          </w:tcPr>
          <w:p w14:paraId="301B938F" w14:textId="77777777" w:rsidR="005E0955" w:rsidRPr="005E0955" w:rsidRDefault="005E0955" w:rsidP="005E0955">
            <w:pPr>
              <w:jc w:val="center"/>
              <w:rPr>
                <w:rFonts w:eastAsiaTheme="minorEastAsia" w:cs="Arial"/>
                <w:color w:val="000000"/>
                <w:szCs w:val="22"/>
              </w:rPr>
            </w:pPr>
            <w:r w:rsidRPr="005E0955">
              <w:rPr>
                <w:rFonts w:eastAsiaTheme="minorEastAsia" w:cs="Arial"/>
                <w:color w:val="000000"/>
                <w:szCs w:val="22"/>
              </w:rPr>
              <w:t>7,009 (20%)</w:t>
            </w:r>
          </w:p>
        </w:tc>
        <w:tc>
          <w:tcPr>
            <w:tcW w:w="877" w:type="pct"/>
            <w:shd w:val="clear" w:color="auto" w:fill="auto"/>
            <w:vAlign w:val="center"/>
          </w:tcPr>
          <w:p w14:paraId="2CF8A397" w14:textId="77777777" w:rsidR="005E0955" w:rsidRPr="005E0955" w:rsidRDefault="005E0955" w:rsidP="005E0955">
            <w:pPr>
              <w:jc w:val="center"/>
              <w:rPr>
                <w:rFonts w:eastAsiaTheme="minorEastAsia" w:cs="Arial"/>
                <w:color w:val="000000"/>
                <w:szCs w:val="22"/>
              </w:rPr>
            </w:pPr>
            <w:r w:rsidRPr="005E0955">
              <w:rPr>
                <w:rFonts w:eastAsiaTheme="minorEastAsia" w:cs="Arial"/>
                <w:color w:val="000000"/>
                <w:szCs w:val="22"/>
              </w:rPr>
              <w:t>26,729 (76%)</w:t>
            </w:r>
          </w:p>
        </w:tc>
        <w:tc>
          <w:tcPr>
            <w:tcW w:w="877" w:type="pct"/>
            <w:shd w:val="clear" w:color="auto" w:fill="auto"/>
            <w:vAlign w:val="center"/>
          </w:tcPr>
          <w:p w14:paraId="59A89063" w14:textId="77777777" w:rsidR="005E0955" w:rsidRPr="005E0955" w:rsidRDefault="005E0955" w:rsidP="005E0955">
            <w:pPr>
              <w:jc w:val="center"/>
              <w:rPr>
                <w:rFonts w:eastAsiaTheme="minorEastAsia" w:cs="Arial"/>
                <w:color w:val="000000"/>
                <w:szCs w:val="22"/>
              </w:rPr>
            </w:pPr>
            <w:r w:rsidRPr="005E0955">
              <w:rPr>
                <w:rFonts w:eastAsiaTheme="minorEastAsia" w:cs="Arial"/>
                <w:color w:val="000000"/>
                <w:szCs w:val="22"/>
              </w:rPr>
              <w:t>16,591 (47%)</w:t>
            </w:r>
          </w:p>
        </w:tc>
        <w:tc>
          <w:tcPr>
            <w:tcW w:w="877" w:type="pct"/>
            <w:shd w:val="clear" w:color="auto" w:fill="auto"/>
            <w:vAlign w:val="center"/>
          </w:tcPr>
          <w:p w14:paraId="32B814D3" w14:textId="77777777" w:rsidR="005E0955" w:rsidRPr="005E0955" w:rsidRDefault="005E0955" w:rsidP="005E0955">
            <w:pPr>
              <w:jc w:val="center"/>
              <w:rPr>
                <w:rFonts w:eastAsiaTheme="minorEastAsia" w:cs="Arial"/>
                <w:color w:val="000000"/>
                <w:szCs w:val="22"/>
              </w:rPr>
            </w:pPr>
            <w:r w:rsidRPr="005E0955">
              <w:rPr>
                <w:rFonts w:eastAsiaTheme="minorEastAsia" w:cs="Arial"/>
                <w:color w:val="000000"/>
                <w:szCs w:val="22"/>
              </w:rPr>
              <w:t>17,009 (49%)</w:t>
            </w:r>
          </w:p>
        </w:tc>
      </w:tr>
      <w:tr w:rsidR="003F0FC1" w:rsidRPr="005E0955" w14:paraId="6DD7C8FE" w14:textId="77777777" w:rsidTr="00EF4C29">
        <w:tc>
          <w:tcPr>
            <w:tcW w:w="833" w:type="pct"/>
            <w:shd w:val="clear" w:color="auto" w:fill="auto"/>
            <w:vAlign w:val="center"/>
          </w:tcPr>
          <w:p w14:paraId="50E22D04" w14:textId="0764ADD8" w:rsidR="003F0FC1" w:rsidRPr="005E0955" w:rsidRDefault="003F0FC1" w:rsidP="00163B5E">
            <w:pPr>
              <w:jc w:val="center"/>
              <w:rPr>
                <w:rFonts w:eastAsiaTheme="minorEastAsia" w:cs="Arial"/>
                <w:color w:val="000000"/>
                <w:szCs w:val="22"/>
              </w:rPr>
            </w:pPr>
            <w:r w:rsidRPr="005E0955">
              <w:rPr>
                <w:rFonts w:eastAsiaTheme="minorEastAsia" w:cs="Arial"/>
                <w:color w:val="000000"/>
                <w:szCs w:val="22"/>
              </w:rPr>
              <w:t>CTE Pathway</w:t>
            </w:r>
            <w:r>
              <w:rPr>
                <w:rFonts w:eastAsiaTheme="minorEastAsia" w:cs="Arial"/>
                <w:color w:val="000000"/>
                <w:szCs w:val="22"/>
              </w:rPr>
              <w:t xml:space="preserve"> </w:t>
            </w:r>
            <w:r w:rsidRPr="005E0955">
              <w:rPr>
                <w:rFonts w:eastAsiaTheme="minorEastAsia" w:cs="Arial"/>
                <w:i/>
                <w:color w:val="000000"/>
                <w:szCs w:val="22"/>
              </w:rPr>
              <w:t>plus</w:t>
            </w:r>
            <w:r>
              <w:rPr>
                <w:rFonts w:eastAsiaTheme="minorEastAsia" w:cs="Arial"/>
                <w:i/>
                <w:color w:val="000000"/>
                <w:szCs w:val="22"/>
              </w:rPr>
              <w:t xml:space="preserve"> </w:t>
            </w:r>
            <w:r w:rsidRPr="005E0955">
              <w:rPr>
                <w:rFonts w:eastAsiaTheme="minorEastAsia" w:cs="Arial"/>
                <w:color w:val="000000"/>
                <w:szCs w:val="22"/>
              </w:rPr>
              <w:t>Smart</w:t>
            </w:r>
            <w:r>
              <w:rPr>
                <w:rFonts w:eastAsiaTheme="minorEastAsia" w:cs="Arial"/>
                <w:color w:val="000000"/>
                <w:szCs w:val="22"/>
              </w:rPr>
              <w:t>er Balanced Summative Assessment</w:t>
            </w:r>
            <w:r w:rsidRPr="005E0955">
              <w:rPr>
                <w:rFonts w:eastAsiaTheme="minorEastAsia" w:cs="Arial"/>
                <w:color w:val="000000"/>
                <w:szCs w:val="22"/>
              </w:rPr>
              <w:t>s</w:t>
            </w:r>
            <w:r>
              <w:rPr>
                <w:rFonts w:eastAsiaTheme="minorEastAsia" w:cs="Arial"/>
                <w:color w:val="000000"/>
                <w:szCs w:val="22"/>
              </w:rPr>
              <w:t xml:space="preserve"> </w:t>
            </w:r>
          </w:p>
        </w:tc>
        <w:tc>
          <w:tcPr>
            <w:tcW w:w="658" w:type="pct"/>
            <w:shd w:val="clear" w:color="auto" w:fill="auto"/>
            <w:vAlign w:val="center"/>
          </w:tcPr>
          <w:p w14:paraId="0FE5C3C1" w14:textId="3FD35DCC" w:rsidR="003F0FC1" w:rsidRPr="005E0955" w:rsidRDefault="00B96A2E" w:rsidP="005E0955">
            <w:pPr>
              <w:jc w:val="center"/>
              <w:rPr>
                <w:rFonts w:eastAsiaTheme="minorEastAsia" w:cs="Arial"/>
                <w:color w:val="000000"/>
                <w:szCs w:val="22"/>
              </w:rPr>
            </w:pPr>
            <w:r w:rsidRPr="00B96A2E">
              <w:rPr>
                <w:rFonts w:eastAsiaTheme="minorEastAsia" w:cs="Arial"/>
                <w:color w:val="000000"/>
                <w:szCs w:val="22"/>
              </w:rPr>
              <w:t>35</w:t>
            </w:r>
            <w:r>
              <w:rPr>
                <w:rFonts w:eastAsiaTheme="minorEastAsia" w:cs="Arial"/>
                <w:color w:val="000000"/>
                <w:szCs w:val="22"/>
              </w:rPr>
              <w:t>,</w:t>
            </w:r>
            <w:r w:rsidRPr="00B96A2E">
              <w:rPr>
                <w:rFonts w:eastAsiaTheme="minorEastAsia" w:cs="Arial"/>
                <w:color w:val="000000"/>
                <w:szCs w:val="22"/>
              </w:rPr>
              <w:t>093</w:t>
            </w:r>
          </w:p>
        </w:tc>
        <w:tc>
          <w:tcPr>
            <w:tcW w:w="877" w:type="pct"/>
            <w:shd w:val="clear" w:color="auto" w:fill="auto"/>
            <w:vAlign w:val="center"/>
          </w:tcPr>
          <w:p w14:paraId="7C9379A8" w14:textId="047A42BA" w:rsidR="003F0FC1" w:rsidRPr="005E0955" w:rsidRDefault="001946D5" w:rsidP="001946D5">
            <w:pPr>
              <w:jc w:val="center"/>
              <w:rPr>
                <w:rFonts w:eastAsiaTheme="minorEastAsia" w:cs="Arial"/>
                <w:color w:val="000000"/>
                <w:szCs w:val="22"/>
              </w:rPr>
            </w:pPr>
            <w:r w:rsidRPr="00B96A2E">
              <w:rPr>
                <w:rFonts w:eastAsiaTheme="minorEastAsia" w:cs="Arial"/>
                <w:color w:val="000000"/>
                <w:szCs w:val="22"/>
              </w:rPr>
              <w:t>1</w:t>
            </w:r>
            <w:r>
              <w:rPr>
                <w:rFonts w:eastAsiaTheme="minorEastAsia" w:cs="Arial"/>
                <w:color w:val="000000"/>
                <w:szCs w:val="22"/>
              </w:rPr>
              <w:t>,</w:t>
            </w:r>
            <w:r w:rsidRPr="00B96A2E">
              <w:rPr>
                <w:rFonts w:eastAsiaTheme="minorEastAsia" w:cs="Arial"/>
                <w:color w:val="000000"/>
                <w:szCs w:val="22"/>
              </w:rPr>
              <w:t>258</w:t>
            </w:r>
            <w:r>
              <w:rPr>
                <w:rFonts w:eastAsiaTheme="minorEastAsia" w:cs="Arial"/>
                <w:color w:val="000000"/>
                <w:szCs w:val="22"/>
              </w:rPr>
              <w:t xml:space="preserve"> </w:t>
            </w:r>
            <w:r w:rsidR="00B96A2E">
              <w:rPr>
                <w:rFonts w:eastAsiaTheme="minorEastAsia" w:cs="Arial"/>
                <w:color w:val="000000"/>
                <w:szCs w:val="22"/>
              </w:rPr>
              <w:t>(</w:t>
            </w:r>
            <w:r>
              <w:rPr>
                <w:rFonts w:eastAsiaTheme="minorEastAsia" w:cs="Arial"/>
                <w:color w:val="000000"/>
                <w:szCs w:val="22"/>
              </w:rPr>
              <w:t>4</w:t>
            </w:r>
            <w:r w:rsidR="00B96A2E">
              <w:rPr>
                <w:rFonts w:eastAsiaTheme="minorEastAsia" w:cs="Arial"/>
                <w:color w:val="000000"/>
                <w:szCs w:val="22"/>
              </w:rPr>
              <w:t>%)</w:t>
            </w:r>
          </w:p>
        </w:tc>
        <w:tc>
          <w:tcPr>
            <w:tcW w:w="877" w:type="pct"/>
            <w:shd w:val="clear" w:color="auto" w:fill="auto"/>
            <w:vAlign w:val="center"/>
          </w:tcPr>
          <w:p w14:paraId="40AF2B3A" w14:textId="043C66D9" w:rsidR="003F0FC1" w:rsidRPr="005E0955" w:rsidRDefault="001946D5" w:rsidP="001946D5">
            <w:pPr>
              <w:jc w:val="center"/>
              <w:rPr>
                <w:rFonts w:eastAsiaTheme="minorEastAsia" w:cs="Arial"/>
                <w:color w:val="000000"/>
                <w:szCs w:val="22"/>
              </w:rPr>
            </w:pPr>
            <w:r>
              <w:rPr>
                <w:rFonts w:eastAsiaTheme="minorEastAsia" w:cs="Arial"/>
                <w:color w:val="000000"/>
                <w:szCs w:val="22"/>
              </w:rPr>
              <w:t>33,835</w:t>
            </w:r>
            <w:r w:rsidR="00B96A2E">
              <w:rPr>
                <w:rFonts w:eastAsiaTheme="minorEastAsia" w:cs="Arial"/>
                <w:color w:val="000000"/>
                <w:szCs w:val="22"/>
              </w:rPr>
              <w:t xml:space="preserve"> (</w:t>
            </w:r>
            <w:r>
              <w:rPr>
                <w:rFonts w:eastAsiaTheme="minorEastAsia" w:cs="Arial"/>
                <w:color w:val="000000"/>
                <w:szCs w:val="22"/>
              </w:rPr>
              <w:t>96</w:t>
            </w:r>
            <w:r w:rsidR="00B96A2E">
              <w:rPr>
                <w:rFonts w:eastAsiaTheme="minorEastAsia" w:cs="Arial"/>
                <w:color w:val="000000"/>
                <w:szCs w:val="22"/>
              </w:rPr>
              <w:t>%)</w:t>
            </w:r>
          </w:p>
        </w:tc>
        <w:tc>
          <w:tcPr>
            <w:tcW w:w="877" w:type="pct"/>
            <w:shd w:val="clear" w:color="auto" w:fill="auto"/>
            <w:vAlign w:val="center"/>
          </w:tcPr>
          <w:p w14:paraId="1B1A1A07" w14:textId="006B4DCF" w:rsidR="003F0FC1" w:rsidRPr="005E0955" w:rsidRDefault="001946D5" w:rsidP="001946D5">
            <w:pPr>
              <w:jc w:val="center"/>
              <w:rPr>
                <w:rFonts w:eastAsiaTheme="minorEastAsia" w:cs="Arial"/>
                <w:color w:val="000000"/>
                <w:szCs w:val="22"/>
              </w:rPr>
            </w:pPr>
            <w:r>
              <w:rPr>
                <w:rFonts w:eastAsiaTheme="minorEastAsia" w:cs="Arial"/>
                <w:color w:val="000000"/>
                <w:szCs w:val="22"/>
              </w:rPr>
              <w:t>14,091</w:t>
            </w:r>
            <w:r w:rsidR="00B96A2E">
              <w:rPr>
                <w:rFonts w:eastAsiaTheme="minorEastAsia" w:cs="Arial"/>
                <w:color w:val="000000"/>
                <w:szCs w:val="22"/>
              </w:rPr>
              <w:t xml:space="preserve"> (</w:t>
            </w:r>
            <w:r>
              <w:rPr>
                <w:rFonts w:eastAsiaTheme="minorEastAsia" w:cs="Arial"/>
                <w:color w:val="000000"/>
                <w:szCs w:val="22"/>
              </w:rPr>
              <w:t>40</w:t>
            </w:r>
            <w:r w:rsidR="00B96A2E">
              <w:rPr>
                <w:rFonts w:eastAsiaTheme="minorEastAsia" w:cs="Arial"/>
                <w:color w:val="000000"/>
                <w:szCs w:val="22"/>
              </w:rPr>
              <w:t>%)</w:t>
            </w:r>
          </w:p>
        </w:tc>
        <w:tc>
          <w:tcPr>
            <w:tcW w:w="877" w:type="pct"/>
            <w:shd w:val="clear" w:color="auto" w:fill="auto"/>
            <w:vAlign w:val="center"/>
          </w:tcPr>
          <w:p w14:paraId="53653CBC" w14:textId="5EBBE151" w:rsidR="003F0FC1" w:rsidRPr="005E0955" w:rsidRDefault="001946D5" w:rsidP="001946D5">
            <w:pPr>
              <w:jc w:val="center"/>
              <w:rPr>
                <w:rFonts w:eastAsiaTheme="minorEastAsia" w:cs="Arial"/>
                <w:color w:val="000000"/>
                <w:szCs w:val="22"/>
              </w:rPr>
            </w:pPr>
            <w:r>
              <w:rPr>
                <w:rFonts w:eastAsiaTheme="minorEastAsia" w:cs="Arial"/>
                <w:color w:val="000000"/>
                <w:szCs w:val="22"/>
              </w:rPr>
              <w:t>21,002</w:t>
            </w:r>
            <w:r w:rsidR="00B96A2E">
              <w:rPr>
                <w:rFonts w:eastAsiaTheme="minorEastAsia" w:cs="Arial"/>
                <w:color w:val="000000"/>
                <w:szCs w:val="22"/>
              </w:rPr>
              <w:t xml:space="preserve"> (</w:t>
            </w:r>
            <w:r>
              <w:rPr>
                <w:rFonts w:eastAsiaTheme="minorEastAsia" w:cs="Arial"/>
                <w:color w:val="000000"/>
                <w:szCs w:val="22"/>
              </w:rPr>
              <w:t>60</w:t>
            </w:r>
            <w:r w:rsidR="00B96A2E">
              <w:rPr>
                <w:rFonts w:eastAsiaTheme="minorEastAsia" w:cs="Arial"/>
                <w:color w:val="000000"/>
                <w:szCs w:val="22"/>
              </w:rPr>
              <w:t>%)</w:t>
            </w:r>
          </w:p>
        </w:tc>
      </w:tr>
      <w:tr w:rsidR="003F0FC1" w:rsidRPr="005E0955" w14:paraId="2260C432" w14:textId="77777777" w:rsidTr="00EF4C29">
        <w:tc>
          <w:tcPr>
            <w:tcW w:w="833" w:type="pct"/>
            <w:shd w:val="clear" w:color="auto" w:fill="auto"/>
            <w:vAlign w:val="center"/>
          </w:tcPr>
          <w:p w14:paraId="5D84CEA8" w14:textId="311EEEBB" w:rsidR="003F0FC1" w:rsidRPr="003F0FC1" w:rsidRDefault="003F0FC1" w:rsidP="00163B5E">
            <w:pPr>
              <w:jc w:val="center"/>
              <w:rPr>
                <w:rFonts w:eastAsiaTheme="minorEastAsia" w:cs="Arial"/>
                <w:color w:val="000000"/>
                <w:szCs w:val="22"/>
              </w:rPr>
            </w:pPr>
            <w:r w:rsidRPr="005E0955">
              <w:rPr>
                <w:rFonts w:eastAsiaTheme="minorEastAsia" w:cs="Arial"/>
                <w:color w:val="000000"/>
                <w:szCs w:val="22"/>
              </w:rPr>
              <w:t>CTE Pathway</w:t>
            </w:r>
            <w:r>
              <w:rPr>
                <w:rFonts w:eastAsiaTheme="minorEastAsia" w:cs="Arial"/>
                <w:color w:val="000000"/>
                <w:szCs w:val="22"/>
              </w:rPr>
              <w:t xml:space="preserve"> </w:t>
            </w:r>
            <w:r w:rsidRPr="005E0955">
              <w:rPr>
                <w:rFonts w:eastAsiaTheme="minorEastAsia" w:cs="Arial"/>
                <w:i/>
                <w:color w:val="000000"/>
                <w:szCs w:val="22"/>
              </w:rPr>
              <w:t>plus</w:t>
            </w:r>
            <w:r>
              <w:rPr>
                <w:rFonts w:eastAsiaTheme="minorEastAsia" w:cs="Arial"/>
                <w:i/>
                <w:color w:val="000000"/>
                <w:szCs w:val="22"/>
              </w:rPr>
              <w:t xml:space="preserve"> </w:t>
            </w:r>
            <w:r w:rsidRPr="005E0955">
              <w:rPr>
                <w:rFonts w:eastAsiaTheme="minorEastAsia" w:cs="Arial"/>
                <w:color w:val="000000"/>
                <w:szCs w:val="22"/>
              </w:rPr>
              <w:t>Dual Enrollment (One Year)</w:t>
            </w:r>
          </w:p>
        </w:tc>
        <w:tc>
          <w:tcPr>
            <w:tcW w:w="658" w:type="pct"/>
            <w:shd w:val="clear" w:color="auto" w:fill="auto"/>
            <w:vAlign w:val="center"/>
          </w:tcPr>
          <w:p w14:paraId="4AF8F11A" w14:textId="1A721ED9" w:rsidR="003F0FC1" w:rsidRPr="005E0955" w:rsidRDefault="00B96A2E" w:rsidP="005E0955">
            <w:pPr>
              <w:jc w:val="center"/>
              <w:rPr>
                <w:rFonts w:eastAsiaTheme="minorEastAsia" w:cs="Arial"/>
                <w:color w:val="000000"/>
                <w:szCs w:val="22"/>
              </w:rPr>
            </w:pPr>
            <w:r>
              <w:rPr>
                <w:rFonts w:eastAsiaTheme="minorEastAsia" w:cs="Arial"/>
                <w:color w:val="000000"/>
                <w:szCs w:val="22"/>
              </w:rPr>
              <w:t>75</w:t>
            </w:r>
          </w:p>
        </w:tc>
        <w:tc>
          <w:tcPr>
            <w:tcW w:w="877" w:type="pct"/>
            <w:shd w:val="clear" w:color="auto" w:fill="auto"/>
            <w:vAlign w:val="center"/>
          </w:tcPr>
          <w:p w14:paraId="4B4645C4" w14:textId="4C2F7E4C" w:rsidR="003F0FC1" w:rsidRPr="005E0955" w:rsidRDefault="001946D5" w:rsidP="001946D5">
            <w:pPr>
              <w:jc w:val="center"/>
              <w:rPr>
                <w:rFonts w:eastAsiaTheme="minorEastAsia" w:cs="Arial"/>
                <w:color w:val="000000"/>
                <w:szCs w:val="22"/>
              </w:rPr>
            </w:pPr>
            <w:r>
              <w:rPr>
                <w:rFonts w:eastAsiaTheme="minorEastAsia" w:cs="Arial"/>
                <w:color w:val="000000"/>
                <w:szCs w:val="22"/>
              </w:rPr>
              <w:t>14</w:t>
            </w:r>
            <w:r w:rsidR="00B96A2E">
              <w:rPr>
                <w:rFonts w:eastAsiaTheme="minorEastAsia" w:cs="Arial"/>
                <w:color w:val="000000"/>
                <w:szCs w:val="22"/>
              </w:rPr>
              <w:t xml:space="preserve"> (</w:t>
            </w:r>
            <w:r>
              <w:rPr>
                <w:rFonts w:eastAsiaTheme="minorEastAsia" w:cs="Arial"/>
                <w:color w:val="000000"/>
                <w:szCs w:val="22"/>
              </w:rPr>
              <w:t>19</w:t>
            </w:r>
            <w:r w:rsidR="00B96A2E">
              <w:rPr>
                <w:rFonts w:eastAsiaTheme="minorEastAsia" w:cs="Arial"/>
                <w:color w:val="000000"/>
                <w:szCs w:val="22"/>
              </w:rPr>
              <w:t>%)</w:t>
            </w:r>
          </w:p>
        </w:tc>
        <w:tc>
          <w:tcPr>
            <w:tcW w:w="877" w:type="pct"/>
            <w:shd w:val="clear" w:color="auto" w:fill="auto"/>
            <w:vAlign w:val="center"/>
          </w:tcPr>
          <w:p w14:paraId="61EF4971" w14:textId="624DB556" w:rsidR="003F0FC1" w:rsidRPr="005E0955" w:rsidRDefault="001946D5" w:rsidP="001946D5">
            <w:pPr>
              <w:jc w:val="center"/>
              <w:rPr>
                <w:rFonts w:eastAsiaTheme="minorEastAsia" w:cs="Arial"/>
                <w:color w:val="000000"/>
                <w:szCs w:val="22"/>
              </w:rPr>
            </w:pPr>
            <w:r>
              <w:rPr>
                <w:rFonts w:eastAsiaTheme="minorEastAsia" w:cs="Arial"/>
                <w:color w:val="000000"/>
                <w:szCs w:val="22"/>
              </w:rPr>
              <w:t>60</w:t>
            </w:r>
            <w:r w:rsidR="00B96A2E">
              <w:rPr>
                <w:rFonts w:eastAsiaTheme="minorEastAsia" w:cs="Arial"/>
                <w:color w:val="000000"/>
                <w:szCs w:val="22"/>
              </w:rPr>
              <w:t xml:space="preserve"> (</w:t>
            </w:r>
            <w:r>
              <w:rPr>
                <w:rFonts w:eastAsiaTheme="minorEastAsia" w:cs="Arial"/>
                <w:color w:val="000000"/>
                <w:szCs w:val="22"/>
              </w:rPr>
              <w:t>80</w:t>
            </w:r>
            <w:r w:rsidR="00B96A2E">
              <w:rPr>
                <w:rFonts w:eastAsiaTheme="minorEastAsia" w:cs="Arial"/>
                <w:color w:val="000000"/>
                <w:szCs w:val="22"/>
              </w:rPr>
              <w:t>%)</w:t>
            </w:r>
          </w:p>
        </w:tc>
        <w:tc>
          <w:tcPr>
            <w:tcW w:w="877" w:type="pct"/>
            <w:shd w:val="clear" w:color="auto" w:fill="auto"/>
            <w:vAlign w:val="center"/>
          </w:tcPr>
          <w:p w14:paraId="33E15AB4" w14:textId="421FAE7F" w:rsidR="003F0FC1" w:rsidRPr="005E0955" w:rsidRDefault="00852F7D" w:rsidP="001946D5">
            <w:pPr>
              <w:jc w:val="center"/>
              <w:rPr>
                <w:rFonts w:eastAsiaTheme="minorEastAsia" w:cs="Arial"/>
                <w:color w:val="000000"/>
                <w:szCs w:val="22"/>
              </w:rPr>
            </w:pPr>
            <w:r>
              <w:rPr>
                <w:rFonts w:eastAsiaTheme="minorEastAsia" w:cs="Arial"/>
                <w:color w:val="000000"/>
                <w:szCs w:val="22"/>
              </w:rPr>
              <w:t>36</w:t>
            </w:r>
            <w:r w:rsidR="00B96A2E">
              <w:rPr>
                <w:rFonts w:eastAsiaTheme="minorEastAsia" w:cs="Arial"/>
                <w:color w:val="000000"/>
                <w:szCs w:val="22"/>
              </w:rPr>
              <w:t xml:space="preserve"> (</w:t>
            </w:r>
            <w:r w:rsidR="001946D5">
              <w:rPr>
                <w:rFonts w:eastAsiaTheme="minorEastAsia" w:cs="Arial"/>
                <w:color w:val="000000"/>
                <w:szCs w:val="22"/>
              </w:rPr>
              <w:t>48</w:t>
            </w:r>
            <w:r w:rsidR="00B96A2E">
              <w:rPr>
                <w:rFonts w:eastAsiaTheme="minorEastAsia" w:cs="Arial"/>
                <w:color w:val="000000"/>
                <w:szCs w:val="22"/>
              </w:rPr>
              <w:t>%)</w:t>
            </w:r>
          </w:p>
        </w:tc>
        <w:tc>
          <w:tcPr>
            <w:tcW w:w="877" w:type="pct"/>
            <w:shd w:val="clear" w:color="auto" w:fill="auto"/>
            <w:vAlign w:val="center"/>
          </w:tcPr>
          <w:p w14:paraId="67617F62" w14:textId="20A34F12" w:rsidR="003F0FC1" w:rsidRPr="005E0955" w:rsidRDefault="00073D25" w:rsidP="00073D25">
            <w:pPr>
              <w:jc w:val="center"/>
              <w:rPr>
                <w:rFonts w:eastAsiaTheme="minorEastAsia" w:cs="Arial"/>
                <w:color w:val="000000"/>
                <w:szCs w:val="22"/>
              </w:rPr>
            </w:pPr>
            <w:r>
              <w:rPr>
                <w:rFonts w:eastAsiaTheme="minorEastAsia" w:cs="Arial"/>
                <w:color w:val="000000"/>
                <w:szCs w:val="22"/>
              </w:rPr>
              <w:t>37</w:t>
            </w:r>
            <w:r w:rsidR="00B96A2E">
              <w:rPr>
                <w:rFonts w:eastAsiaTheme="minorEastAsia" w:cs="Arial"/>
                <w:color w:val="000000"/>
                <w:szCs w:val="22"/>
              </w:rPr>
              <w:t xml:space="preserve"> (4</w:t>
            </w:r>
            <w:r>
              <w:rPr>
                <w:rFonts w:eastAsiaTheme="minorEastAsia" w:cs="Arial"/>
                <w:color w:val="000000"/>
                <w:szCs w:val="22"/>
              </w:rPr>
              <w:t>9</w:t>
            </w:r>
            <w:r w:rsidR="00B96A2E">
              <w:rPr>
                <w:rFonts w:eastAsiaTheme="minorEastAsia" w:cs="Arial"/>
                <w:color w:val="000000"/>
                <w:szCs w:val="22"/>
              </w:rPr>
              <w:t>%)</w:t>
            </w:r>
          </w:p>
        </w:tc>
      </w:tr>
    </w:tbl>
    <w:p w14:paraId="102612F4" w14:textId="65F21CDC" w:rsidR="00E165D2" w:rsidRPr="00AC5E4E" w:rsidRDefault="0080060E" w:rsidP="00E07F2A">
      <w:pPr>
        <w:spacing w:before="240" w:after="240"/>
      </w:pPr>
      <w:r w:rsidRPr="00D048C7">
        <w:rPr>
          <w:rFonts w:cs="Arial"/>
          <w:color w:val="000000"/>
        </w:rPr>
        <w:t>Note: The percentages for each content area do not add up to 100</w:t>
      </w:r>
      <w:r w:rsidR="00AB6ACE" w:rsidRPr="00D048C7">
        <w:rPr>
          <w:rFonts w:cs="Arial"/>
          <w:color w:val="000000"/>
        </w:rPr>
        <w:t xml:space="preserve"> percent</w:t>
      </w:r>
      <w:r w:rsidRPr="00D048C7">
        <w:rPr>
          <w:rFonts w:cs="Arial"/>
          <w:color w:val="000000"/>
        </w:rPr>
        <w:t xml:space="preserve"> since some </w:t>
      </w:r>
      <w:r w:rsidR="00AB6ACE" w:rsidRPr="00D048C7">
        <w:rPr>
          <w:rFonts w:cs="Arial"/>
          <w:color w:val="000000"/>
        </w:rPr>
        <w:t xml:space="preserve">students </w:t>
      </w:r>
      <w:r w:rsidRPr="00D048C7">
        <w:rPr>
          <w:rFonts w:cs="Arial"/>
          <w:color w:val="000000"/>
        </w:rPr>
        <w:t xml:space="preserve">did not </w:t>
      </w:r>
      <w:r w:rsidR="00546321" w:rsidRPr="00D048C7">
        <w:rPr>
          <w:rFonts w:cs="Arial"/>
          <w:color w:val="000000"/>
        </w:rPr>
        <w:t>take the</w:t>
      </w:r>
      <w:r w:rsidRPr="00D048C7">
        <w:rPr>
          <w:rFonts w:cs="Arial"/>
          <w:color w:val="000000"/>
        </w:rPr>
        <w:t xml:space="preserve"> </w:t>
      </w:r>
      <w:r w:rsidR="00827F68" w:rsidRPr="00D048C7">
        <w:rPr>
          <w:rFonts w:cs="Arial"/>
          <w:color w:val="000000"/>
        </w:rPr>
        <w:t xml:space="preserve">Smarter Balanced </w:t>
      </w:r>
      <w:r w:rsidR="00FE25FC" w:rsidRPr="00D048C7">
        <w:rPr>
          <w:rFonts w:cs="Arial"/>
          <w:color w:val="000000"/>
        </w:rPr>
        <w:t>Summative A</w:t>
      </w:r>
      <w:r w:rsidR="00546321" w:rsidRPr="00D048C7">
        <w:rPr>
          <w:rFonts w:cs="Arial"/>
          <w:color w:val="000000"/>
        </w:rPr>
        <w:t>ssessment</w:t>
      </w:r>
      <w:r w:rsidRPr="00D048C7">
        <w:rPr>
          <w:rFonts w:cs="Arial"/>
          <w:color w:val="000000"/>
        </w:rPr>
        <w:t>.</w:t>
      </w:r>
      <w:r w:rsidR="002275AB" w:rsidRPr="00AC5E4E">
        <w:t xml:space="preserve"> </w:t>
      </w:r>
    </w:p>
    <w:p w14:paraId="54D82974" w14:textId="4F033AC4" w:rsidR="00FE25FC" w:rsidRPr="00AC5E4E" w:rsidRDefault="00BF5656" w:rsidP="00163B5E">
      <w:pPr>
        <w:spacing w:after="240"/>
      </w:pPr>
      <w:r w:rsidRPr="00AC5E4E">
        <w:t xml:space="preserve">Table 1 shows that performance on the Smarter Balanced Summative Assessments </w:t>
      </w:r>
      <w:r w:rsidR="00E165D2" w:rsidRPr="00AC5E4E">
        <w:t xml:space="preserve">positively correlates with performance on </w:t>
      </w:r>
      <w:r w:rsidRPr="00AC5E4E">
        <w:t>other CCI measures. For instance, 91 percent of students who received a score of 3 or higher on two AP exams also met or exceeded the standard for ELA.</w:t>
      </w:r>
    </w:p>
    <w:p w14:paraId="1D6C32F2" w14:textId="720CDCD8" w:rsidR="00073D25" w:rsidRDefault="00E165D2" w:rsidP="00EF4C29">
      <w:pPr>
        <w:spacing w:after="240"/>
      </w:pPr>
      <w:r w:rsidRPr="00AC5E4E">
        <w:lastRenderedPageBreak/>
        <w:t xml:space="preserve">The CDE was also interested in examining the relationship between student success on the AP Spanish </w:t>
      </w:r>
      <w:r w:rsidR="004F2DE1" w:rsidRPr="00AC5E4E">
        <w:t xml:space="preserve">Language </w:t>
      </w:r>
      <w:r w:rsidRPr="00AC5E4E">
        <w:t xml:space="preserve">exam and their performance on the </w:t>
      </w:r>
      <w:r w:rsidR="00FE25FC" w:rsidRPr="00AC5E4E">
        <w:t xml:space="preserve">ELA </w:t>
      </w:r>
      <w:r w:rsidRPr="00AC5E4E">
        <w:t>Smarter Balanced Summative Assessments. The results are shown in Table 2</w:t>
      </w:r>
      <w:r w:rsidR="005B1B0D">
        <w:t xml:space="preserve"> on the following page</w:t>
      </w:r>
      <w:r w:rsidRPr="00AC5E4E">
        <w:t>.</w:t>
      </w:r>
    </w:p>
    <w:p w14:paraId="57D484D7" w14:textId="0EAA7ABF" w:rsidR="00CD0E1D" w:rsidRPr="00AC5E4E" w:rsidRDefault="00E165D2" w:rsidP="00EF4C29">
      <w:pPr>
        <w:spacing w:after="240"/>
        <w:rPr>
          <w:b/>
        </w:rPr>
      </w:pPr>
      <w:r w:rsidRPr="00AC5E4E">
        <w:rPr>
          <w:b/>
        </w:rPr>
        <w:t>Table 2</w:t>
      </w:r>
    </w:p>
    <w:tbl>
      <w:tblPr>
        <w:tblStyle w:val="TableGrid4"/>
        <w:tblW w:w="5000" w:type="pct"/>
        <w:tblLook w:val="04A0" w:firstRow="1" w:lastRow="0" w:firstColumn="1" w:lastColumn="0" w:noHBand="0" w:noVBand="1"/>
        <w:tblDescription w:val="Table showing the results of positive correlation between proficiency in English and Spanish."/>
      </w:tblPr>
      <w:tblGrid>
        <w:gridCol w:w="1901"/>
        <w:gridCol w:w="2635"/>
        <w:gridCol w:w="2635"/>
        <w:gridCol w:w="2179"/>
      </w:tblGrid>
      <w:tr w:rsidR="00ED7B22" w:rsidRPr="00ED7B22" w14:paraId="39F85F5D" w14:textId="77777777" w:rsidTr="00EF4C29">
        <w:trPr>
          <w:tblHeader/>
        </w:trPr>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58431A" w14:textId="729CDA0A" w:rsidR="00ED7B22" w:rsidRPr="00ED7B22" w:rsidRDefault="00ED7B22" w:rsidP="00ED7B22">
            <w:pPr>
              <w:jc w:val="center"/>
              <w:rPr>
                <w:rFonts w:eastAsiaTheme="minorEastAsia" w:cs="Arial"/>
                <w:b/>
                <w:color w:val="000000"/>
                <w:sz w:val="22"/>
                <w:szCs w:val="22"/>
              </w:rPr>
            </w:pPr>
            <w:r w:rsidRPr="00ED7B22">
              <w:rPr>
                <w:rFonts w:eastAsiaTheme="minorEastAsia" w:cs="Arial"/>
                <w:b/>
                <w:color w:val="000000"/>
                <w:sz w:val="22"/>
                <w:szCs w:val="22"/>
              </w:rPr>
              <w:t xml:space="preserve">AP Spanish Language </w:t>
            </w:r>
            <w:r w:rsidR="00073D25">
              <w:rPr>
                <w:rFonts w:eastAsiaTheme="minorEastAsia" w:cs="Arial"/>
                <w:b/>
                <w:color w:val="000000"/>
                <w:sz w:val="22"/>
                <w:szCs w:val="22"/>
              </w:rPr>
              <w:t xml:space="preserve">Exam </w:t>
            </w:r>
            <w:r w:rsidRPr="00ED7B22">
              <w:rPr>
                <w:rFonts w:eastAsiaTheme="minorEastAsia" w:cs="Arial"/>
                <w:b/>
                <w:color w:val="000000"/>
                <w:sz w:val="22"/>
                <w:szCs w:val="22"/>
              </w:rPr>
              <w:t>Score</w:t>
            </w:r>
          </w:p>
        </w:tc>
        <w:tc>
          <w:tcPr>
            <w:tcW w:w="14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12F9BD" w14:textId="77777777" w:rsidR="00ED7B22" w:rsidRPr="00ED7B22" w:rsidRDefault="00ED7B22" w:rsidP="00ED7B22">
            <w:pPr>
              <w:jc w:val="center"/>
              <w:rPr>
                <w:rFonts w:eastAsiaTheme="minorEastAsia" w:cs="Arial"/>
                <w:b/>
                <w:color w:val="000000"/>
                <w:sz w:val="21"/>
                <w:szCs w:val="21"/>
              </w:rPr>
            </w:pPr>
            <w:r w:rsidRPr="00ED7B22">
              <w:rPr>
                <w:rFonts w:eastAsiaTheme="minorEastAsia" w:cs="Arial"/>
                <w:b/>
                <w:color w:val="000000"/>
                <w:sz w:val="21"/>
                <w:szCs w:val="21"/>
              </w:rPr>
              <w:t>ELA:</w:t>
            </w:r>
          </w:p>
          <w:p w14:paraId="40039177" w14:textId="77777777" w:rsidR="00ED7B22" w:rsidRPr="00ED7B22" w:rsidRDefault="00ED7B22" w:rsidP="00ED7B22">
            <w:pPr>
              <w:jc w:val="center"/>
              <w:rPr>
                <w:rFonts w:eastAsiaTheme="minorEastAsia" w:cs="Arial"/>
                <w:b/>
                <w:color w:val="000000"/>
                <w:sz w:val="21"/>
                <w:szCs w:val="21"/>
              </w:rPr>
            </w:pPr>
            <w:r w:rsidRPr="00ED7B22">
              <w:rPr>
                <w:rFonts w:eastAsiaTheme="minorEastAsia" w:cs="Arial"/>
                <w:b/>
                <w:color w:val="000000"/>
                <w:sz w:val="21"/>
                <w:szCs w:val="21"/>
              </w:rPr>
              <w:t>Number &amp; Percent of Students Who Received</w:t>
            </w:r>
          </w:p>
          <w:p w14:paraId="63F058D9" w14:textId="0665AAA5" w:rsidR="00ED7B22" w:rsidRPr="00ED7B22" w:rsidRDefault="00ED7B22" w:rsidP="00073D25">
            <w:pPr>
              <w:jc w:val="center"/>
              <w:rPr>
                <w:rFonts w:eastAsiaTheme="minorEastAsia" w:cs="Arial"/>
                <w:b/>
                <w:color w:val="000000"/>
                <w:sz w:val="21"/>
                <w:szCs w:val="21"/>
              </w:rPr>
            </w:pPr>
            <w:r w:rsidRPr="00ED7B22">
              <w:rPr>
                <w:rFonts w:eastAsiaTheme="minorEastAsia" w:cs="Arial"/>
                <w:b/>
                <w:color w:val="000000"/>
                <w:sz w:val="21"/>
                <w:szCs w:val="21"/>
              </w:rPr>
              <w:t>Level 1 or 2</w:t>
            </w:r>
          </w:p>
        </w:tc>
        <w:tc>
          <w:tcPr>
            <w:tcW w:w="14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8D55C6" w14:textId="77777777" w:rsidR="00ED7B22" w:rsidRPr="00ED7B22" w:rsidRDefault="00ED7B22" w:rsidP="00ED7B22">
            <w:pPr>
              <w:jc w:val="center"/>
              <w:rPr>
                <w:rFonts w:eastAsiaTheme="minorEastAsia" w:cs="Arial"/>
                <w:b/>
                <w:color w:val="000000"/>
                <w:sz w:val="21"/>
                <w:szCs w:val="21"/>
              </w:rPr>
            </w:pPr>
            <w:r w:rsidRPr="00ED7B22">
              <w:rPr>
                <w:rFonts w:eastAsiaTheme="minorEastAsia" w:cs="Arial"/>
                <w:b/>
                <w:color w:val="000000"/>
                <w:sz w:val="21"/>
                <w:szCs w:val="21"/>
              </w:rPr>
              <w:t>ELA:</w:t>
            </w:r>
          </w:p>
          <w:p w14:paraId="472057B5" w14:textId="77777777" w:rsidR="00ED7B22" w:rsidRPr="00ED7B22" w:rsidRDefault="00ED7B22" w:rsidP="00ED7B22">
            <w:pPr>
              <w:jc w:val="center"/>
              <w:rPr>
                <w:rFonts w:eastAsiaTheme="minorEastAsia" w:cs="Arial"/>
                <w:b/>
                <w:color w:val="000000"/>
                <w:sz w:val="21"/>
                <w:szCs w:val="21"/>
              </w:rPr>
            </w:pPr>
            <w:r w:rsidRPr="00ED7B22">
              <w:rPr>
                <w:rFonts w:eastAsiaTheme="minorEastAsia" w:cs="Arial"/>
                <w:b/>
                <w:color w:val="000000"/>
                <w:sz w:val="21"/>
                <w:szCs w:val="21"/>
              </w:rPr>
              <w:t>Number &amp; Percent of Students Who Received</w:t>
            </w:r>
          </w:p>
          <w:p w14:paraId="3ED19F3C" w14:textId="4BA91133" w:rsidR="00ED7B22" w:rsidRPr="00ED7B22" w:rsidRDefault="00ED7B22" w:rsidP="00073D25">
            <w:pPr>
              <w:jc w:val="center"/>
              <w:rPr>
                <w:rFonts w:eastAsiaTheme="minorEastAsia" w:cs="Arial"/>
                <w:b/>
                <w:color w:val="000000"/>
                <w:sz w:val="21"/>
                <w:szCs w:val="21"/>
              </w:rPr>
            </w:pPr>
            <w:r w:rsidRPr="00ED7B22">
              <w:rPr>
                <w:rFonts w:eastAsiaTheme="minorEastAsia" w:cs="Arial"/>
                <w:b/>
                <w:color w:val="000000"/>
                <w:sz w:val="21"/>
                <w:szCs w:val="21"/>
              </w:rPr>
              <w:t>Level 3 or 4</w:t>
            </w:r>
          </w:p>
        </w:tc>
        <w:tc>
          <w:tcPr>
            <w:tcW w:w="11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68A88" w14:textId="421A75CE" w:rsidR="00ED7B22" w:rsidRPr="00ED7B22" w:rsidRDefault="00ED7B22" w:rsidP="00ED7B22">
            <w:pPr>
              <w:jc w:val="center"/>
              <w:rPr>
                <w:rFonts w:eastAsiaTheme="minorEastAsia" w:cs="Arial"/>
                <w:b/>
                <w:color w:val="000000"/>
                <w:sz w:val="21"/>
                <w:szCs w:val="21"/>
              </w:rPr>
            </w:pPr>
            <w:r w:rsidRPr="00ED7B22">
              <w:rPr>
                <w:rFonts w:eastAsiaTheme="minorEastAsia" w:cs="Arial"/>
                <w:b/>
                <w:color w:val="000000"/>
                <w:sz w:val="21"/>
                <w:szCs w:val="21"/>
              </w:rPr>
              <w:t xml:space="preserve">ELA: Number </w:t>
            </w:r>
            <w:r w:rsidR="00073D25">
              <w:rPr>
                <w:rFonts w:eastAsiaTheme="minorEastAsia" w:cs="Arial"/>
                <w:b/>
                <w:color w:val="000000"/>
                <w:sz w:val="21"/>
                <w:szCs w:val="21"/>
              </w:rPr>
              <w:t>&amp;</w:t>
            </w:r>
            <w:r w:rsidRPr="00ED7B22">
              <w:rPr>
                <w:rFonts w:eastAsiaTheme="minorEastAsia" w:cs="Arial"/>
                <w:b/>
                <w:color w:val="000000"/>
                <w:sz w:val="21"/>
                <w:szCs w:val="21"/>
              </w:rPr>
              <w:t xml:space="preserve"> Percent of Students with </w:t>
            </w:r>
          </w:p>
          <w:p w14:paraId="638D2CB1" w14:textId="77777777" w:rsidR="00ED7B22" w:rsidRPr="00ED7B22" w:rsidRDefault="00ED7B22" w:rsidP="00ED7B22">
            <w:pPr>
              <w:jc w:val="center"/>
              <w:rPr>
                <w:rFonts w:eastAsiaTheme="minorEastAsia" w:cs="Arial"/>
                <w:b/>
                <w:color w:val="000000"/>
                <w:sz w:val="21"/>
                <w:szCs w:val="21"/>
              </w:rPr>
            </w:pPr>
            <w:r w:rsidRPr="00ED7B22">
              <w:rPr>
                <w:rFonts w:eastAsiaTheme="minorEastAsia" w:cs="Arial"/>
                <w:b/>
                <w:color w:val="000000"/>
                <w:sz w:val="21"/>
                <w:szCs w:val="21"/>
              </w:rPr>
              <w:t>No Scores</w:t>
            </w:r>
          </w:p>
        </w:tc>
      </w:tr>
      <w:tr w:rsidR="00ED7B22" w:rsidRPr="00ED7B22" w14:paraId="5998EF4F" w14:textId="77777777" w:rsidTr="00EF4C29">
        <w:trPr>
          <w:trHeight w:val="461"/>
        </w:trPr>
        <w:tc>
          <w:tcPr>
            <w:tcW w:w="1017" w:type="pct"/>
            <w:tcBorders>
              <w:top w:val="nil"/>
              <w:left w:val="single" w:sz="4" w:space="0" w:color="auto"/>
              <w:bottom w:val="single" w:sz="4" w:space="0" w:color="auto"/>
              <w:right w:val="single" w:sz="4" w:space="0" w:color="auto"/>
            </w:tcBorders>
            <w:shd w:val="clear" w:color="auto" w:fill="auto"/>
            <w:vAlign w:val="bottom"/>
          </w:tcPr>
          <w:p w14:paraId="086F3D31" w14:textId="77777777" w:rsidR="00ED7B22" w:rsidRPr="00ED7B22" w:rsidRDefault="00ED7B22" w:rsidP="00ED7B22">
            <w:pPr>
              <w:jc w:val="center"/>
              <w:rPr>
                <w:rFonts w:eastAsiaTheme="minorEastAsia" w:cs="Arial"/>
                <w:color w:val="000000"/>
                <w:sz w:val="22"/>
                <w:szCs w:val="22"/>
              </w:rPr>
            </w:pPr>
            <w:r w:rsidRPr="00ED7B22">
              <w:rPr>
                <w:rFonts w:eastAsiaTheme="minorEastAsia" w:cs="Arial"/>
                <w:color w:val="000000"/>
                <w:sz w:val="22"/>
                <w:szCs w:val="22"/>
              </w:rPr>
              <w:t>3</w:t>
            </w:r>
          </w:p>
        </w:tc>
        <w:tc>
          <w:tcPr>
            <w:tcW w:w="1409" w:type="pct"/>
            <w:tcBorders>
              <w:top w:val="single" w:sz="4" w:space="0" w:color="auto"/>
              <w:left w:val="single" w:sz="4" w:space="0" w:color="auto"/>
              <w:bottom w:val="single" w:sz="4" w:space="0" w:color="auto"/>
              <w:right w:val="single" w:sz="4" w:space="0" w:color="auto"/>
            </w:tcBorders>
            <w:shd w:val="clear" w:color="auto" w:fill="auto"/>
            <w:vAlign w:val="center"/>
          </w:tcPr>
          <w:p w14:paraId="2E8B4270" w14:textId="77777777" w:rsidR="00ED7B22" w:rsidRPr="00ED7B22" w:rsidRDefault="00ED7B22" w:rsidP="00ED7B22">
            <w:pPr>
              <w:jc w:val="center"/>
              <w:rPr>
                <w:rFonts w:eastAsiaTheme="minorEastAsia" w:cs="Arial"/>
                <w:color w:val="000000"/>
                <w:sz w:val="22"/>
                <w:szCs w:val="22"/>
              </w:rPr>
            </w:pPr>
            <w:r w:rsidRPr="00ED7B22">
              <w:rPr>
                <w:rFonts w:eastAsiaTheme="minorEastAsia" w:cs="Arial"/>
                <w:color w:val="000000"/>
                <w:sz w:val="22"/>
                <w:szCs w:val="22"/>
              </w:rPr>
              <w:t>3,364 (10%)</w:t>
            </w:r>
          </w:p>
        </w:tc>
        <w:tc>
          <w:tcPr>
            <w:tcW w:w="1409" w:type="pct"/>
            <w:tcBorders>
              <w:top w:val="single" w:sz="4" w:space="0" w:color="auto"/>
              <w:left w:val="single" w:sz="4" w:space="0" w:color="auto"/>
              <w:bottom w:val="single" w:sz="4" w:space="0" w:color="auto"/>
              <w:right w:val="single" w:sz="4" w:space="0" w:color="auto"/>
            </w:tcBorders>
            <w:shd w:val="clear" w:color="auto" w:fill="auto"/>
            <w:vAlign w:val="center"/>
          </w:tcPr>
          <w:p w14:paraId="2F80A106" w14:textId="77777777" w:rsidR="00ED7B22" w:rsidRPr="00ED7B22" w:rsidRDefault="00ED7B22" w:rsidP="00ED7B22">
            <w:pPr>
              <w:jc w:val="center"/>
              <w:rPr>
                <w:rFonts w:eastAsiaTheme="minorEastAsia" w:cs="Arial"/>
                <w:color w:val="000000"/>
                <w:sz w:val="22"/>
                <w:szCs w:val="22"/>
              </w:rPr>
            </w:pPr>
            <w:r w:rsidRPr="00ED7B22">
              <w:rPr>
                <w:rFonts w:eastAsiaTheme="minorEastAsia" w:cs="Arial"/>
                <w:color w:val="000000"/>
                <w:sz w:val="22"/>
                <w:szCs w:val="22"/>
              </w:rPr>
              <w:t>6,262 (19%)</w:t>
            </w:r>
          </w:p>
        </w:tc>
        <w:tc>
          <w:tcPr>
            <w:tcW w:w="1166" w:type="pct"/>
            <w:tcBorders>
              <w:top w:val="single" w:sz="4" w:space="0" w:color="auto"/>
              <w:left w:val="single" w:sz="4" w:space="0" w:color="auto"/>
              <w:bottom w:val="single" w:sz="4" w:space="0" w:color="auto"/>
              <w:right w:val="single" w:sz="4" w:space="0" w:color="auto"/>
            </w:tcBorders>
            <w:vAlign w:val="center"/>
          </w:tcPr>
          <w:p w14:paraId="74AE30F4" w14:textId="77777777" w:rsidR="00ED7B22" w:rsidRPr="00ED7B22" w:rsidRDefault="00ED7B22" w:rsidP="00ED7B22">
            <w:pPr>
              <w:jc w:val="center"/>
              <w:rPr>
                <w:rFonts w:eastAsiaTheme="minorEastAsia" w:cs="Arial"/>
                <w:color w:val="000000"/>
                <w:sz w:val="22"/>
                <w:szCs w:val="22"/>
              </w:rPr>
            </w:pPr>
            <w:r w:rsidRPr="00ED7B22">
              <w:rPr>
                <w:rFonts w:eastAsiaTheme="minorEastAsia" w:cs="Arial"/>
                <w:color w:val="000000"/>
                <w:sz w:val="22"/>
                <w:szCs w:val="22"/>
              </w:rPr>
              <w:t>414 (1%)</w:t>
            </w:r>
          </w:p>
        </w:tc>
      </w:tr>
      <w:tr w:rsidR="00ED7B22" w:rsidRPr="00ED7B22" w14:paraId="70980C3C" w14:textId="77777777" w:rsidTr="00EF4C29">
        <w:trPr>
          <w:trHeight w:val="461"/>
        </w:trPr>
        <w:tc>
          <w:tcPr>
            <w:tcW w:w="1017" w:type="pct"/>
            <w:tcBorders>
              <w:top w:val="nil"/>
              <w:left w:val="single" w:sz="4" w:space="0" w:color="auto"/>
              <w:bottom w:val="single" w:sz="4" w:space="0" w:color="auto"/>
              <w:right w:val="single" w:sz="4" w:space="0" w:color="auto"/>
            </w:tcBorders>
            <w:shd w:val="clear" w:color="auto" w:fill="auto"/>
            <w:vAlign w:val="bottom"/>
          </w:tcPr>
          <w:p w14:paraId="5B218E7A" w14:textId="77777777" w:rsidR="00ED7B22" w:rsidRPr="00ED7B22" w:rsidRDefault="00ED7B22" w:rsidP="00ED7B22">
            <w:pPr>
              <w:jc w:val="center"/>
              <w:rPr>
                <w:rFonts w:eastAsiaTheme="minorEastAsia" w:cs="Arial"/>
                <w:color w:val="000000"/>
                <w:sz w:val="22"/>
                <w:szCs w:val="22"/>
              </w:rPr>
            </w:pPr>
            <w:r w:rsidRPr="00ED7B22">
              <w:rPr>
                <w:rFonts w:eastAsiaTheme="minorEastAsia" w:cs="Arial"/>
                <w:color w:val="000000"/>
                <w:sz w:val="22"/>
                <w:szCs w:val="22"/>
              </w:rPr>
              <w:t>4</w:t>
            </w:r>
          </w:p>
        </w:tc>
        <w:tc>
          <w:tcPr>
            <w:tcW w:w="1409" w:type="pct"/>
            <w:tcBorders>
              <w:top w:val="single" w:sz="4" w:space="0" w:color="auto"/>
              <w:left w:val="single" w:sz="4" w:space="0" w:color="auto"/>
              <w:bottom w:val="single" w:sz="4" w:space="0" w:color="auto"/>
              <w:right w:val="single" w:sz="4" w:space="0" w:color="auto"/>
            </w:tcBorders>
            <w:shd w:val="clear" w:color="auto" w:fill="auto"/>
            <w:vAlign w:val="center"/>
          </w:tcPr>
          <w:p w14:paraId="3163C3ED" w14:textId="77777777" w:rsidR="00ED7B22" w:rsidRPr="00ED7B22" w:rsidRDefault="00ED7B22" w:rsidP="00ED7B22">
            <w:pPr>
              <w:jc w:val="center"/>
              <w:rPr>
                <w:rFonts w:eastAsiaTheme="minorEastAsia" w:cs="Arial"/>
                <w:color w:val="000000"/>
                <w:sz w:val="22"/>
                <w:szCs w:val="22"/>
              </w:rPr>
            </w:pPr>
            <w:r w:rsidRPr="00ED7B22">
              <w:rPr>
                <w:rFonts w:eastAsiaTheme="minorEastAsia" w:cs="Arial"/>
                <w:color w:val="000000"/>
                <w:sz w:val="22"/>
                <w:szCs w:val="22"/>
              </w:rPr>
              <w:t>2,848 (8%)</w:t>
            </w:r>
          </w:p>
        </w:tc>
        <w:tc>
          <w:tcPr>
            <w:tcW w:w="1409" w:type="pct"/>
            <w:tcBorders>
              <w:top w:val="single" w:sz="4" w:space="0" w:color="auto"/>
              <w:left w:val="single" w:sz="4" w:space="0" w:color="auto"/>
              <w:bottom w:val="single" w:sz="4" w:space="0" w:color="auto"/>
              <w:right w:val="single" w:sz="4" w:space="0" w:color="auto"/>
            </w:tcBorders>
            <w:shd w:val="clear" w:color="auto" w:fill="auto"/>
            <w:vAlign w:val="center"/>
          </w:tcPr>
          <w:p w14:paraId="5B601A43" w14:textId="77777777" w:rsidR="00ED7B22" w:rsidRPr="00ED7B22" w:rsidRDefault="00ED7B22" w:rsidP="00ED7B22">
            <w:pPr>
              <w:jc w:val="center"/>
              <w:rPr>
                <w:rFonts w:eastAsiaTheme="minorEastAsia" w:cs="Arial"/>
                <w:color w:val="000000"/>
                <w:sz w:val="22"/>
                <w:szCs w:val="22"/>
              </w:rPr>
            </w:pPr>
            <w:r w:rsidRPr="00ED7B22">
              <w:rPr>
                <w:rFonts w:eastAsiaTheme="minorEastAsia" w:cs="Arial"/>
                <w:color w:val="000000"/>
                <w:sz w:val="22"/>
                <w:szCs w:val="22"/>
              </w:rPr>
              <w:t>10,853 (32%)</w:t>
            </w:r>
          </w:p>
        </w:tc>
        <w:tc>
          <w:tcPr>
            <w:tcW w:w="1166" w:type="pct"/>
            <w:tcBorders>
              <w:top w:val="single" w:sz="4" w:space="0" w:color="auto"/>
              <w:left w:val="single" w:sz="4" w:space="0" w:color="auto"/>
              <w:bottom w:val="single" w:sz="4" w:space="0" w:color="auto"/>
              <w:right w:val="single" w:sz="4" w:space="0" w:color="auto"/>
            </w:tcBorders>
            <w:vAlign w:val="center"/>
          </w:tcPr>
          <w:p w14:paraId="10DC5AE7" w14:textId="77777777" w:rsidR="00ED7B22" w:rsidRPr="00ED7B22" w:rsidRDefault="00ED7B22" w:rsidP="00ED7B22">
            <w:pPr>
              <w:jc w:val="center"/>
              <w:rPr>
                <w:rFonts w:eastAsiaTheme="minorEastAsia" w:cs="Arial"/>
                <w:color w:val="000000"/>
                <w:sz w:val="22"/>
                <w:szCs w:val="22"/>
              </w:rPr>
            </w:pPr>
            <w:r w:rsidRPr="00ED7B22">
              <w:rPr>
                <w:rFonts w:eastAsiaTheme="minorEastAsia" w:cs="Arial"/>
                <w:color w:val="000000"/>
                <w:sz w:val="22"/>
                <w:szCs w:val="22"/>
              </w:rPr>
              <w:t>571 (2%)</w:t>
            </w:r>
          </w:p>
        </w:tc>
      </w:tr>
      <w:tr w:rsidR="00ED7B22" w:rsidRPr="00ED7B22" w14:paraId="0F5E1C79" w14:textId="77777777" w:rsidTr="00EF4C29">
        <w:trPr>
          <w:trHeight w:val="461"/>
        </w:trPr>
        <w:tc>
          <w:tcPr>
            <w:tcW w:w="1017" w:type="pct"/>
            <w:tcBorders>
              <w:top w:val="nil"/>
              <w:left w:val="single" w:sz="4" w:space="0" w:color="auto"/>
              <w:bottom w:val="single" w:sz="4" w:space="0" w:color="auto"/>
              <w:right w:val="single" w:sz="4" w:space="0" w:color="auto"/>
            </w:tcBorders>
            <w:shd w:val="clear" w:color="auto" w:fill="auto"/>
            <w:vAlign w:val="bottom"/>
          </w:tcPr>
          <w:p w14:paraId="141A3C1B" w14:textId="77777777" w:rsidR="00ED7B22" w:rsidRPr="00ED7B22" w:rsidRDefault="00ED7B22" w:rsidP="00ED7B22">
            <w:pPr>
              <w:jc w:val="center"/>
              <w:rPr>
                <w:rFonts w:eastAsiaTheme="minorEastAsia" w:cs="Arial"/>
                <w:color w:val="000000"/>
                <w:sz w:val="22"/>
                <w:szCs w:val="22"/>
              </w:rPr>
            </w:pPr>
            <w:r w:rsidRPr="00ED7B22">
              <w:rPr>
                <w:rFonts w:eastAsiaTheme="minorEastAsia" w:cs="Arial"/>
                <w:color w:val="000000"/>
                <w:sz w:val="22"/>
                <w:szCs w:val="22"/>
              </w:rPr>
              <w:t>5</w:t>
            </w:r>
          </w:p>
        </w:tc>
        <w:tc>
          <w:tcPr>
            <w:tcW w:w="1409" w:type="pct"/>
            <w:tcBorders>
              <w:top w:val="single" w:sz="4" w:space="0" w:color="auto"/>
              <w:left w:val="single" w:sz="4" w:space="0" w:color="auto"/>
              <w:bottom w:val="single" w:sz="4" w:space="0" w:color="auto"/>
              <w:right w:val="single" w:sz="4" w:space="0" w:color="auto"/>
            </w:tcBorders>
            <w:shd w:val="clear" w:color="auto" w:fill="auto"/>
            <w:vAlign w:val="center"/>
          </w:tcPr>
          <w:p w14:paraId="4D809746" w14:textId="77777777" w:rsidR="00ED7B22" w:rsidRPr="00ED7B22" w:rsidRDefault="00ED7B22" w:rsidP="00ED7B22">
            <w:pPr>
              <w:jc w:val="center"/>
              <w:rPr>
                <w:rFonts w:eastAsiaTheme="minorEastAsia" w:cs="Arial"/>
                <w:color w:val="000000"/>
                <w:sz w:val="22"/>
                <w:szCs w:val="22"/>
              </w:rPr>
            </w:pPr>
            <w:r w:rsidRPr="00ED7B22">
              <w:rPr>
                <w:rFonts w:eastAsiaTheme="minorEastAsia" w:cs="Arial"/>
                <w:color w:val="000000"/>
                <w:sz w:val="22"/>
                <w:szCs w:val="22"/>
              </w:rPr>
              <w:t>908 (3%)</w:t>
            </w:r>
          </w:p>
        </w:tc>
        <w:tc>
          <w:tcPr>
            <w:tcW w:w="1409" w:type="pct"/>
            <w:tcBorders>
              <w:top w:val="single" w:sz="4" w:space="0" w:color="auto"/>
              <w:left w:val="single" w:sz="4" w:space="0" w:color="auto"/>
              <w:bottom w:val="single" w:sz="4" w:space="0" w:color="auto"/>
              <w:right w:val="single" w:sz="4" w:space="0" w:color="auto"/>
            </w:tcBorders>
            <w:shd w:val="clear" w:color="auto" w:fill="auto"/>
            <w:vAlign w:val="center"/>
          </w:tcPr>
          <w:p w14:paraId="59382C7F" w14:textId="77777777" w:rsidR="00ED7B22" w:rsidRPr="00ED7B22" w:rsidRDefault="00ED7B22" w:rsidP="00ED7B22">
            <w:pPr>
              <w:jc w:val="center"/>
              <w:rPr>
                <w:rFonts w:eastAsiaTheme="minorEastAsia" w:cs="Arial"/>
                <w:color w:val="000000"/>
                <w:sz w:val="22"/>
                <w:szCs w:val="22"/>
              </w:rPr>
            </w:pPr>
            <w:r w:rsidRPr="00ED7B22">
              <w:rPr>
                <w:rFonts w:eastAsiaTheme="minorEastAsia" w:cs="Arial"/>
                <w:color w:val="000000"/>
                <w:sz w:val="22"/>
                <w:szCs w:val="22"/>
              </w:rPr>
              <w:t>8,167 (24%)</w:t>
            </w:r>
          </w:p>
        </w:tc>
        <w:tc>
          <w:tcPr>
            <w:tcW w:w="1166" w:type="pct"/>
            <w:tcBorders>
              <w:top w:val="single" w:sz="4" w:space="0" w:color="auto"/>
              <w:left w:val="single" w:sz="4" w:space="0" w:color="auto"/>
              <w:bottom w:val="single" w:sz="4" w:space="0" w:color="auto"/>
              <w:right w:val="single" w:sz="4" w:space="0" w:color="auto"/>
            </w:tcBorders>
            <w:vAlign w:val="center"/>
          </w:tcPr>
          <w:p w14:paraId="5B0FFCB2" w14:textId="77777777" w:rsidR="00ED7B22" w:rsidRPr="00ED7B22" w:rsidRDefault="00ED7B22" w:rsidP="00ED7B22">
            <w:pPr>
              <w:jc w:val="center"/>
              <w:rPr>
                <w:rFonts w:eastAsiaTheme="minorEastAsia" w:cs="Arial"/>
                <w:color w:val="000000"/>
                <w:sz w:val="22"/>
                <w:szCs w:val="22"/>
              </w:rPr>
            </w:pPr>
            <w:r w:rsidRPr="00ED7B22">
              <w:rPr>
                <w:rFonts w:eastAsiaTheme="minorEastAsia" w:cs="Arial"/>
                <w:color w:val="000000"/>
                <w:sz w:val="22"/>
                <w:szCs w:val="22"/>
              </w:rPr>
              <w:t>461 (1%)</w:t>
            </w:r>
          </w:p>
        </w:tc>
      </w:tr>
      <w:tr w:rsidR="00ED7B22" w:rsidRPr="00ED7B22" w14:paraId="1EDB74DC" w14:textId="77777777" w:rsidTr="00EF4C29">
        <w:trPr>
          <w:trHeight w:val="461"/>
        </w:trPr>
        <w:tc>
          <w:tcPr>
            <w:tcW w:w="1017" w:type="pct"/>
            <w:tcBorders>
              <w:top w:val="nil"/>
              <w:left w:val="single" w:sz="4" w:space="0" w:color="auto"/>
              <w:bottom w:val="single" w:sz="4" w:space="0" w:color="auto"/>
              <w:right w:val="single" w:sz="4" w:space="0" w:color="auto"/>
            </w:tcBorders>
            <w:shd w:val="clear" w:color="auto" w:fill="auto"/>
            <w:vAlign w:val="center"/>
          </w:tcPr>
          <w:p w14:paraId="2876FF56" w14:textId="77777777" w:rsidR="00ED7B22" w:rsidRPr="00ED7B22" w:rsidRDefault="00ED7B22" w:rsidP="00852F7D">
            <w:pPr>
              <w:rPr>
                <w:rFonts w:eastAsiaTheme="minorEastAsia" w:cs="Arial"/>
                <w:color w:val="000000"/>
                <w:sz w:val="22"/>
                <w:szCs w:val="22"/>
              </w:rPr>
            </w:pPr>
            <w:r w:rsidRPr="00ED7B22">
              <w:rPr>
                <w:rFonts w:eastAsiaTheme="minorEastAsia" w:cs="Arial"/>
                <w:color w:val="000000"/>
                <w:sz w:val="22"/>
                <w:szCs w:val="22"/>
              </w:rPr>
              <w:t>Total</w:t>
            </w:r>
          </w:p>
        </w:tc>
        <w:tc>
          <w:tcPr>
            <w:tcW w:w="1409" w:type="pct"/>
            <w:tcBorders>
              <w:top w:val="single" w:sz="4" w:space="0" w:color="auto"/>
              <w:left w:val="single" w:sz="4" w:space="0" w:color="auto"/>
              <w:bottom w:val="single" w:sz="4" w:space="0" w:color="auto"/>
              <w:right w:val="single" w:sz="4" w:space="0" w:color="auto"/>
            </w:tcBorders>
            <w:shd w:val="clear" w:color="auto" w:fill="auto"/>
            <w:vAlign w:val="center"/>
          </w:tcPr>
          <w:p w14:paraId="782E549D" w14:textId="77777777" w:rsidR="00ED7B22" w:rsidRPr="00ED7B22" w:rsidRDefault="00ED7B22" w:rsidP="00ED7B22">
            <w:pPr>
              <w:jc w:val="center"/>
              <w:rPr>
                <w:rFonts w:eastAsiaTheme="minorEastAsia" w:cs="Arial"/>
                <w:color w:val="000000"/>
                <w:sz w:val="22"/>
                <w:szCs w:val="22"/>
              </w:rPr>
            </w:pPr>
            <w:r w:rsidRPr="00ED7B22">
              <w:rPr>
                <w:rFonts w:eastAsiaTheme="minorEastAsia" w:cs="Arial"/>
                <w:color w:val="000000"/>
                <w:sz w:val="22"/>
                <w:szCs w:val="22"/>
              </w:rPr>
              <w:t>7,120 (21%)</w:t>
            </w:r>
          </w:p>
        </w:tc>
        <w:tc>
          <w:tcPr>
            <w:tcW w:w="1409" w:type="pct"/>
            <w:tcBorders>
              <w:top w:val="single" w:sz="4" w:space="0" w:color="auto"/>
              <w:left w:val="single" w:sz="4" w:space="0" w:color="auto"/>
              <w:bottom w:val="single" w:sz="4" w:space="0" w:color="auto"/>
              <w:right w:val="single" w:sz="4" w:space="0" w:color="auto"/>
            </w:tcBorders>
            <w:shd w:val="clear" w:color="auto" w:fill="auto"/>
            <w:vAlign w:val="center"/>
          </w:tcPr>
          <w:p w14:paraId="24710B17" w14:textId="77777777" w:rsidR="00ED7B22" w:rsidRPr="00ED7B22" w:rsidRDefault="00ED7B22" w:rsidP="00ED7B22">
            <w:pPr>
              <w:jc w:val="center"/>
              <w:rPr>
                <w:rFonts w:eastAsiaTheme="minorEastAsia" w:cs="Arial"/>
                <w:color w:val="000000"/>
                <w:sz w:val="22"/>
                <w:szCs w:val="22"/>
              </w:rPr>
            </w:pPr>
            <w:r w:rsidRPr="00ED7B22">
              <w:rPr>
                <w:rFonts w:eastAsiaTheme="minorEastAsia" w:cs="Arial"/>
                <w:color w:val="000000"/>
                <w:sz w:val="22"/>
                <w:szCs w:val="22"/>
              </w:rPr>
              <w:t>25,282 (75%)</w:t>
            </w:r>
          </w:p>
        </w:tc>
        <w:tc>
          <w:tcPr>
            <w:tcW w:w="1166" w:type="pct"/>
            <w:tcBorders>
              <w:top w:val="single" w:sz="4" w:space="0" w:color="auto"/>
              <w:left w:val="single" w:sz="4" w:space="0" w:color="auto"/>
              <w:bottom w:val="single" w:sz="4" w:space="0" w:color="auto"/>
              <w:right w:val="single" w:sz="4" w:space="0" w:color="auto"/>
            </w:tcBorders>
            <w:vAlign w:val="center"/>
          </w:tcPr>
          <w:p w14:paraId="1FC3352B" w14:textId="77777777" w:rsidR="00ED7B22" w:rsidRPr="00ED7B22" w:rsidRDefault="00ED7B22" w:rsidP="00ED7B22">
            <w:pPr>
              <w:jc w:val="center"/>
              <w:rPr>
                <w:rFonts w:eastAsiaTheme="minorEastAsia" w:cs="Arial"/>
                <w:color w:val="000000"/>
                <w:sz w:val="22"/>
                <w:szCs w:val="22"/>
              </w:rPr>
            </w:pPr>
            <w:r w:rsidRPr="00ED7B22">
              <w:rPr>
                <w:rFonts w:eastAsiaTheme="minorEastAsia" w:cs="Arial"/>
                <w:color w:val="000000"/>
                <w:sz w:val="22"/>
                <w:szCs w:val="22"/>
              </w:rPr>
              <w:t>1,446 (4%)</w:t>
            </w:r>
          </w:p>
        </w:tc>
      </w:tr>
    </w:tbl>
    <w:p w14:paraId="165C710C" w14:textId="3436A697" w:rsidR="00804FD5" w:rsidRPr="00AC5E4E" w:rsidRDefault="002B544E" w:rsidP="00163B5E">
      <w:pPr>
        <w:spacing w:before="240" w:after="240"/>
        <w:rPr>
          <w:rFonts w:cs="Arial"/>
          <w:color w:val="000000"/>
        </w:rPr>
      </w:pPr>
      <w:r w:rsidRPr="00AC5E4E">
        <w:rPr>
          <w:rFonts w:cs="Arial"/>
          <w:color w:val="000000"/>
        </w:rPr>
        <w:t xml:space="preserve">The results in Table 2 show a positive correlation between proficiency in English and Spanish among students who performed at the higher levels on the AP Spanish </w:t>
      </w:r>
      <w:r w:rsidR="004F2DE1" w:rsidRPr="00AC5E4E">
        <w:rPr>
          <w:rFonts w:cs="Arial"/>
          <w:color w:val="000000"/>
        </w:rPr>
        <w:t xml:space="preserve">Language </w:t>
      </w:r>
      <w:r w:rsidRPr="00AC5E4E">
        <w:rPr>
          <w:rFonts w:cs="Arial"/>
          <w:color w:val="000000"/>
        </w:rPr>
        <w:t xml:space="preserve">exam. </w:t>
      </w:r>
      <w:r w:rsidR="00605DB3" w:rsidRPr="00AC5E4E">
        <w:rPr>
          <w:rFonts w:cs="Arial"/>
          <w:color w:val="000000"/>
        </w:rPr>
        <w:t xml:space="preserve">However, it is important to note that students are only counted as </w:t>
      </w:r>
      <w:r w:rsidR="00073D25">
        <w:rPr>
          <w:rFonts w:cs="Arial"/>
          <w:color w:val="000000"/>
        </w:rPr>
        <w:t>“</w:t>
      </w:r>
      <w:r w:rsidR="00605DB3" w:rsidRPr="00AC5E4E">
        <w:rPr>
          <w:rFonts w:cs="Arial"/>
          <w:color w:val="000000"/>
        </w:rPr>
        <w:t>Prepared</w:t>
      </w:r>
      <w:r w:rsidR="00073D25">
        <w:rPr>
          <w:rFonts w:cs="Arial"/>
          <w:color w:val="000000"/>
        </w:rPr>
        <w:t>”</w:t>
      </w:r>
      <w:r w:rsidR="00605DB3" w:rsidRPr="00AC5E4E">
        <w:rPr>
          <w:rFonts w:cs="Arial"/>
          <w:color w:val="000000"/>
        </w:rPr>
        <w:t xml:space="preserve"> if they pass two AP exams.</w:t>
      </w:r>
    </w:p>
    <w:p w14:paraId="3070E131" w14:textId="77777777" w:rsidR="00AC122A" w:rsidRDefault="00EF1C82" w:rsidP="00D048C7">
      <w:pPr>
        <w:sectPr w:rsidR="00AC122A" w:rsidSect="00CD0E1D">
          <w:headerReference w:type="default" r:id="rId24"/>
          <w:pgSz w:w="12240" w:h="15840"/>
          <w:pgMar w:top="720" w:right="1440" w:bottom="1440" w:left="1440" w:header="720" w:footer="720" w:gutter="0"/>
          <w:pgNumType w:start="1"/>
          <w:cols w:space="720"/>
          <w:docGrid w:linePitch="326"/>
        </w:sectPr>
      </w:pPr>
      <w:r w:rsidRPr="00AC5E4E">
        <w:t xml:space="preserve">Of the </w:t>
      </w:r>
      <w:r w:rsidRPr="00AC5E4E">
        <w:rPr>
          <w:rFonts w:cs="Arial"/>
          <w:bCs/>
          <w:iCs/>
        </w:rPr>
        <w:t>7,120 students</w:t>
      </w:r>
      <w:r w:rsidR="008C0AC9" w:rsidRPr="00AC5E4E">
        <w:rPr>
          <w:rFonts w:cs="Arial"/>
          <w:bCs/>
          <w:iCs/>
        </w:rPr>
        <w:t xml:space="preserve"> who passed the AP Spanish </w:t>
      </w:r>
      <w:r w:rsidR="004F2DE1" w:rsidRPr="00AC5E4E">
        <w:rPr>
          <w:rFonts w:cs="Arial"/>
          <w:bCs/>
          <w:iCs/>
        </w:rPr>
        <w:t xml:space="preserve">Language </w:t>
      </w:r>
      <w:r w:rsidR="008C0AC9" w:rsidRPr="00AC5E4E">
        <w:rPr>
          <w:rFonts w:cs="Arial"/>
          <w:bCs/>
          <w:iCs/>
        </w:rPr>
        <w:t>exam and</w:t>
      </w:r>
      <w:r w:rsidRPr="00AC5E4E">
        <w:rPr>
          <w:rFonts w:cs="Arial"/>
          <w:bCs/>
          <w:iCs/>
        </w:rPr>
        <w:t xml:space="preserve"> </w:t>
      </w:r>
      <w:r w:rsidR="009F040F" w:rsidRPr="00AC5E4E">
        <w:t>scored level 1 or 2 on the Smarter Balanced Summative Assessments for ELA</w:t>
      </w:r>
      <w:r w:rsidR="00AB6ACE" w:rsidRPr="00AC5E4E">
        <w:t>, 88.5 percent</w:t>
      </w:r>
      <w:r w:rsidR="008C0AC9" w:rsidRPr="00AC5E4E">
        <w:t xml:space="preserve"> (6,300) of these students only </w:t>
      </w:r>
      <w:r w:rsidR="00AB6ACE" w:rsidRPr="00AC5E4E">
        <w:t>took the Spanish</w:t>
      </w:r>
      <w:r w:rsidR="008C0AC9" w:rsidRPr="00AC5E4E">
        <w:t xml:space="preserve"> </w:t>
      </w:r>
      <w:r w:rsidR="004F2DE1" w:rsidRPr="00AC5E4E">
        <w:t xml:space="preserve">Language </w:t>
      </w:r>
      <w:r w:rsidR="008C0AC9" w:rsidRPr="00AC5E4E">
        <w:t>AP exam</w:t>
      </w:r>
      <w:r w:rsidRPr="00AC5E4E">
        <w:t xml:space="preserve">. </w:t>
      </w:r>
      <w:r w:rsidR="008C0AC9" w:rsidRPr="00AC5E4E">
        <w:t xml:space="preserve">As a result, they were not counted as </w:t>
      </w:r>
      <w:r w:rsidR="00AC5E4E" w:rsidRPr="00AC5E4E">
        <w:t>“</w:t>
      </w:r>
      <w:r w:rsidR="008C0AC9" w:rsidRPr="00AC5E4E">
        <w:t>Prepared</w:t>
      </w:r>
      <w:r w:rsidR="00AC5E4E" w:rsidRPr="00AC5E4E">
        <w:t>”</w:t>
      </w:r>
      <w:r w:rsidR="008C0AC9" w:rsidRPr="00AC5E4E">
        <w:t xml:space="preserve"> </w:t>
      </w:r>
      <w:r w:rsidR="00AC5E4E" w:rsidRPr="00AC5E4E">
        <w:t xml:space="preserve">based solely on the AP measure </w:t>
      </w:r>
      <w:r w:rsidR="008C0AC9" w:rsidRPr="00AC5E4E">
        <w:t>in the CCI.</w:t>
      </w:r>
    </w:p>
    <w:p w14:paraId="76ADD0F6" w14:textId="63E93B61" w:rsidR="00EF1C82" w:rsidRDefault="00AC122A" w:rsidP="00AC122A">
      <w:pPr>
        <w:pStyle w:val="Heading1"/>
        <w:spacing w:after="240"/>
        <w:jc w:val="center"/>
        <w:rPr>
          <w:rFonts w:ascii="Arial" w:hAnsi="Arial" w:cs="Arial"/>
          <w:b/>
          <w:color w:val="auto"/>
          <w:sz w:val="40"/>
        </w:rPr>
      </w:pPr>
      <w:bookmarkStart w:id="0" w:name="_GoBack"/>
      <w:bookmarkEnd w:id="0"/>
      <w:r>
        <w:rPr>
          <w:rFonts w:ascii="Arial" w:hAnsi="Arial" w:cs="Arial"/>
          <w:b/>
          <w:color w:val="auto"/>
          <w:sz w:val="40"/>
        </w:rPr>
        <w:lastRenderedPageBreak/>
        <w:t xml:space="preserve">Appendix A: Detailed Description of the College/Career Indicator Flyer </w:t>
      </w:r>
    </w:p>
    <w:p w14:paraId="00F5772A" w14:textId="52D1B1DE" w:rsidR="00AC122A" w:rsidRDefault="00AC122A" w:rsidP="00AC122A">
      <w:r>
        <w:t xml:space="preserve">This </w:t>
      </w:r>
      <w:r>
        <w:rPr>
          <w:rFonts w:cs="Arial"/>
        </w:rPr>
        <w:t xml:space="preserve">attachment contains the full description of the one-page College/Career Indicator (CCI) flyer </w:t>
      </w:r>
      <w:r w:rsidR="00A368FB">
        <w:rPr>
          <w:rFonts w:cs="Arial"/>
        </w:rPr>
        <w:t xml:space="preserve">displayed on </w:t>
      </w:r>
      <w:r>
        <w:rPr>
          <w:rFonts w:cs="Arial"/>
        </w:rPr>
        <w:t xml:space="preserve">page 2 of this SBE Information Memorandum. This attachment is being provided as required by </w:t>
      </w:r>
      <w:r w:rsidRPr="002E23AC">
        <w:rPr>
          <w:rFonts w:cs="Arial"/>
        </w:rPr>
        <w:t>Section 508 of the fed</w:t>
      </w:r>
      <w:r>
        <w:rPr>
          <w:rFonts w:cs="Arial"/>
        </w:rPr>
        <w:t>eral Rehabilitation Act of 1973.</w:t>
      </w:r>
    </w:p>
    <w:p w14:paraId="4F539E8E" w14:textId="55F69390" w:rsidR="00E36304" w:rsidRDefault="00E36304" w:rsidP="00AC122A">
      <w:pPr>
        <w:pStyle w:val="Heading2"/>
        <w:spacing w:before="240" w:after="240"/>
        <w:rPr>
          <w:sz w:val="28"/>
        </w:rPr>
      </w:pPr>
      <w:r>
        <w:rPr>
          <w:sz w:val="28"/>
        </w:rPr>
        <w:t>College/Career Indicator</w:t>
      </w:r>
    </w:p>
    <w:p w14:paraId="514DF5D4" w14:textId="77777777" w:rsidR="00E36304" w:rsidRDefault="00E36304" w:rsidP="00E36304">
      <w:pPr>
        <w:pStyle w:val="BodyText"/>
        <w:spacing w:before="256" w:line="242" w:lineRule="auto"/>
        <w:ind w:right="829"/>
        <w:jc w:val="both"/>
      </w:pPr>
      <w:r>
        <w:rPr>
          <w:color w:val="231F20"/>
        </w:rPr>
        <w:t>The</w:t>
      </w:r>
      <w:r>
        <w:rPr>
          <w:color w:val="231F20"/>
          <w:spacing w:val="-35"/>
        </w:rPr>
        <w:t xml:space="preserve"> </w:t>
      </w:r>
      <w:r>
        <w:rPr>
          <w:color w:val="231F20"/>
        </w:rPr>
        <w:t>College/Career</w:t>
      </w:r>
      <w:r>
        <w:rPr>
          <w:color w:val="231F20"/>
          <w:spacing w:val="-35"/>
        </w:rPr>
        <w:t xml:space="preserve"> </w:t>
      </w:r>
      <w:r>
        <w:rPr>
          <w:color w:val="231F20"/>
        </w:rPr>
        <w:t>Indicator</w:t>
      </w:r>
      <w:r>
        <w:rPr>
          <w:color w:val="231F20"/>
          <w:spacing w:val="-35"/>
        </w:rPr>
        <w:t xml:space="preserve"> </w:t>
      </w:r>
      <w:r>
        <w:rPr>
          <w:color w:val="231F20"/>
        </w:rPr>
        <w:t>measures</w:t>
      </w:r>
      <w:r>
        <w:rPr>
          <w:color w:val="231F20"/>
          <w:spacing w:val="-35"/>
        </w:rPr>
        <w:t xml:space="preserve"> </w:t>
      </w:r>
      <w:r>
        <w:rPr>
          <w:color w:val="231F20"/>
        </w:rPr>
        <w:t>how</w:t>
      </w:r>
      <w:r>
        <w:rPr>
          <w:color w:val="231F20"/>
          <w:spacing w:val="-35"/>
        </w:rPr>
        <w:t xml:space="preserve"> </w:t>
      </w:r>
      <w:r>
        <w:rPr>
          <w:color w:val="231F20"/>
        </w:rPr>
        <w:t>well</w:t>
      </w:r>
      <w:r>
        <w:rPr>
          <w:color w:val="231F20"/>
          <w:spacing w:val="-35"/>
        </w:rPr>
        <w:t xml:space="preserve"> </w:t>
      </w:r>
      <w:r>
        <w:rPr>
          <w:color w:val="231F20"/>
        </w:rPr>
        <w:t>local</w:t>
      </w:r>
      <w:r>
        <w:rPr>
          <w:color w:val="231F20"/>
          <w:spacing w:val="-35"/>
        </w:rPr>
        <w:t xml:space="preserve"> </w:t>
      </w:r>
      <w:r>
        <w:rPr>
          <w:color w:val="231F20"/>
        </w:rPr>
        <w:t>educational</w:t>
      </w:r>
      <w:r>
        <w:rPr>
          <w:color w:val="231F20"/>
          <w:spacing w:val="-35"/>
        </w:rPr>
        <w:t xml:space="preserve"> </w:t>
      </w:r>
      <w:r>
        <w:rPr>
          <w:color w:val="231F20"/>
        </w:rPr>
        <w:t>agencies</w:t>
      </w:r>
      <w:r>
        <w:rPr>
          <w:color w:val="231F20"/>
          <w:spacing w:val="-35"/>
        </w:rPr>
        <w:t xml:space="preserve"> </w:t>
      </w:r>
      <w:r>
        <w:rPr>
          <w:color w:val="231F20"/>
        </w:rPr>
        <w:t>(LEAs)</w:t>
      </w:r>
      <w:r>
        <w:rPr>
          <w:color w:val="231F20"/>
          <w:spacing w:val="-35"/>
        </w:rPr>
        <w:t xml:space="preserve"> </w:t>
      </w:r>
      <w:r>
        <w:rPr>
          <w:color w:val="231F20"/>
        </w:rPr>
        <w:t>and</w:t>
      </w:r>
      <w:r>
        <w:rPr>
          <w:color w:val="231F20"/>
          <w:spacing w:val="-35"/>
        </w:rPr>
        <w:t xml:space="preserve"> </w:t>
      </w:r>
      <w:r>
        <w:rPr>
          <w:color w:val="231F20"/>
        </w:rPr>
        <w:t>schools</w:t>
      </w:r>
      <w:r>
        <w:rPr>
          <w:color w:val="231F20"/>
          <w:spacing w:val="-35"/>
        </w:rPr>
        <w:t xml:space="preserve"> </w:t>
      </w:r>
      <w:r>
        <w:rPr>
          <w:color w:val="231F20"/>
        </w:rPr>
        <w:t>are</w:t>
      </w:r>
      <w:r>
        <w:rPr>
          <w:color w:val="231F20"/>
          <w:spacing w:val="-35"/>
        </w:rPr>
        <w:t xml:space="preserve"> </w:t>
      </w:r>
      <w:r>
        <w:rPr>
          <w:color w:val="231F20"/>
        </w:rPr>
        <w:t>preparing students</w:t>
      </w:r>
      <w:r>
        <w:rPr>
          <w:color w:val="231F20"/>
          <w:spacing w:val="-31"/>
        </w:rPr>
        <w:t xml:space="preserve"> </w:t>
      </w:r>
      <w:r>
        <w:rPr>
          <w:color w:val="231F20"/>
        </w:rPr>
        <w:t>for</w:t>
      </w:r>
      <w:r>
        <w:rPr>
          <w:color w:val="231F20"/>
          <w:spacing w:val="-31"/>
        </w:rPr>
        <w:t xml:space="preserve"> </w:t>
      </w:r>
      <w:r>
        <w:rPr>
          <w:color w:val="231F20"/>
        </w:rPr>
        <w:t>likely</w:t>
      </w:r>
      <w:r>
        <w:rPr>
          <w:color w:val="231F20"/>
          <w:spacing w:val="-31"/>
        </w:rPr>
        <w:t xml:space="preserve"> </w:t>
      </w:r>
      <w:r>
        <w:rPr>
          <w:color w:val="231F20"/>
        </w:rPr>
        <w:t>success</w:t>
      </w:r>
      <w:r>
        <w:rPr>
          <w:color w:val="231F20"/>
          <w:spacing w:val="-31"/>
        </w:rPr>
        <w:t xml:space="preserve"> </w:t>
      </w:r>
      <w:r>
        <w:rPr>
          <w:color w:val="231F20"/>
        </w:rPr>
        <w:t>after</w:t>
      </w:r>
      <w:r>
        <w:rPr>
          <w:color w:val="231F20"/>
          <w:spacing w:val="-31"/>
        </w:rPr>
        <w:t xml:space="preserve"> </w:t>
      </w:r>
      <w:r>
        <w:rPr>
          <w:color w:val="231F20"/>
        </w:rPr>
        <w:t>graduation.</w:t>
      </w:r>
      <w:r>
        <w:rPr>
          <w:color w:val="231F20"/>
          <w:spacing w:val="-31"/>
        </w:rPr>
        <w:t xml:space="preserve"> </w:t>
      </w:r>
      <w:r>
        <w:rPr>
          <w:color w:val="231F20"/>
        </w:rPr>
        <w:t>Only</w:t>
      </w:r>
      <w:r>
        <w:rPr>
          <w:color w:val="231F20"/>
          <w:spacing w:val="-31"/>
        </w:rPr>
        <w:t xml:space="preserve"> </w:t>
      </w:r>
      <w:r>
        <w:rPr>
          <w:color w:val="231F20"/>
        </w:rPr>
        <w:t>graduates</w:t>
      </w:r>
      <w:r>
        <w:rPr>
          <w:color w:val="231F20"/>
          <w:spacing w:val="-31"/>
        </w:rPr>
        <w:t xml:space="preserve"> </w:t>
      </w:r>
      <w:r>
        <w:rPr>
          <w:color w:val="231F20"/>
        </w:rPr>
        <w:t>can</w:t>
      </w:r>
      <w:r>
        <w:rPr>
          <w:color w:val="231F20"/>
          <w:spacing w:val="-31"/>
        </w:rPr>
        <w:t xml:space="preserve"> </w:t>
      </w:r>
      <w:r>
        <w:rPr>
          <w:color w:val="231F20"/>
        </w:rPr>
        <w:t>be</w:t>
      </w:r>
      <w:r>
        <w:rPr>
          <w:color w:val="231F20"/>
          <w:spacing w:val="-31"/>
        </w:rPr>
        <w:t xml:space="preserve"> </w:t>
      </w:r>
      <w:r>
        <w:rPr>
          <w:color w:val="231F20"/>
        </w:rPr>
        <w:t>classified</w:t>
      </w:r>
      <w:r>
        <w:rPr>
          <w:color w:val="231F20"/>
          <w:spacing w:val="-31"/>
        </w:rPr>
        <w:t xml:space="preserve"> </w:t>
      </w:r>
      <w:r>
        <w:rPr>
          <w:color w:val="231F20"/>
        </w:rPr>
        <w:t>as</w:t>
      </w:r>
      <w:r>
        <w:rPr>
          <w:color w:val="231F20"/>
          <w:spacing w:val="-31"/>
        </w:rPr>
        <w:t xml:space="preserve"> </w:t>
      </w:r>
      <w:r>
        <w:rPr>
          <w:color w:val="231F20"/>
        </w:rPr>
        <w:t>Prepared</w:t>
      </w:r>
      <w:r>
        <w:rPr>
          <w:color w:val="231F20"/>
          <w:spacing w:val="-31"/>
        </w:rPr>
        <w:t xml:space="preserve"> </w:t>
      </w:r>
      <w:r>
        <w:rPr>
          <w:color w:val="231F20"/>
        </w:rPr>
        <w:t>or</w:t>
      </w:r>
      <w:r>
        <w:rPr>
          <w:color w:val="231F20"/>
          <w:spacing w:val="-38"/>
        </w:rPr>
        <w:t xml:space="preserve"> </w:t>
      </w:r>
      <w:r>
        <w:rPr>
          <w:color w:val="231F20"/>
        </w:rPr>
        <w:t>Approaching</w:t>
      </w:r>
      <w:r>
        <w:rPr>
          <w:color w:val="231F20"/>
          <w:spacing w:val="-31"/>
        </w:rPr>
        <w:t xml:space="preserve"> </w:t>
      </w:r>
      <w:r>
        <w:rPr>
          <w:color w:val="231F20"/>
        </w:rPr>
        <w:t>Prepared.</w:t>
      </w:r>
      <w:r>
        <w:rPr>
          <w:color w:val="231F20"/>
          <w:spacing w:val="-31"/>
        </w:rPr>
        <w:t xml:space="preserve"> </w:t>
      </w:r>
      <w:r>
        <w:rPr>
          <w:color w:val="231F20"/>
        </w:rPr>
        <w:t>For</w:t>
      </w:r>
      <w:r>
        <w:rPr>
          <w:color w:val="231F20"/>
          <w:spacing w:val="-31"/>
        </w:rPr>
        <w:t xml:space="preserve"> </w:t>
      </w:r>
      <w:r>
        <w:rPr>
          <w:color w:val="231F20"/>
        </w:rPr>
        <w:t>schools</w:t>
      </w:r>
      <w:r>
        <w:rPr>
          <w:color w:val="231F20"/>
          <w:spacing w:val="-31"/>
        </w:rPr>
        <w:t xml:space="preserve"> </w:t>
      </w:r>
      <w:r>
        <w:rPr>
          <w:color w:val="231F20"/>
        </w:rPr>
        <w:t>and</w:t>
      </w:r>
      <w:r>
        <w:rPr>
          <w:color w:val="231F20"/>
          <w:spacing w:val="-31"/>
        </w:rPr>
        <w:t xml:space="preserve"> </w:t>
      </w:r>
      <w:r>
        <w:rPr>
          <w:color w:val="231F20"/>
        </w:rPr>
        <w:t>LEAs</w:t>
      </w:r>
      <w:r>
        <w:rPr>
          <w:color w:val="231F20"/>
          <w:spacing w:val="-31"/>
        </w:rPr>
        <w:t xml:space="preserve"> </w:t>
      </w:r>
      <w:r>
        <w:rPr>
          <w:color w:val="231F20"/>
        </w:rPr>
        <w:t>to demonstrate</w:t>
      </w:r>
      <w:r>
        <w:rPr>
          <w:color w:val="231F20"/>
          <w:spacing w:val="-29"/>
        </w:rPr>
        <w:t xml:space="preserve"> </w:t>
      </w:r>
      <w:r>
        <w:rPr>
          <w:color w:val="231F20"/>
        </w:rPr>
        <w:t>success</w:t>
      </w:r>
      <w:r>
        <w:rPr>
          <w:color w:val="231F20"/>
          <w:spacing w:val="-29"/>
        </w:rPr>
        <w:t xml:space="preserve"> </w:t>
      </w:r>
      <w:r>
        <w:rPr>
          <w:color w:val="231F20"/>
        </w:rPr>
        <w:t>on</w:t>
      </w:r>
      <w:r>
        <w:rPr>
          <w:color w:val="231F20"/>
          <w:spacing w:val="-29"/>
        </w:rPr>
        <w:t xml:space="preserve"> </w:t>
      </w:r>
      <w:r>
        <w:rPr>
          <w:color w:val="231F20"/>
        </w:rPr>
        <w:t>this</w:t>
      </w:r>
      <w:r>
        <w:rPr>
          <w:color w:val="231F20"/>
          <w:spacing w:val="-29"/>
        </w:rPr>
        <w:t xml:space="preserve"> </w:t>
      </w:r>
      <w:r>
        <w:rPr>
          <w:color w:val="231F20"/>
        </w:rPr>
        <w:t>state</w:t>
      </w:r>
      <w:r>
        <w:rPr>
          <w:color w:val="231F20"/>
          <w:spacing w:val="-29"/>
        </w:rPr>
        <w:t xml:space="preserve"> </w:t>
      </w:r>
      <w:r>
        <w:rPr>
          <w:color w:val="231F20"/>
        </w:rPr>
        <w:t>indicator,</w:t>
      </w:r>
      <w:r>
        <w:rPr>
          <w:color w:val="231F20"/>
          <w:spacing w:val="-29"/>
        </w:rPr>
        <w:t xml:space="preserve"> </w:t>
      </w:r>
      <w:r>
        <w:rPr>
          <w:color w:val="231F20"/>
        </w:rPr>
        <w:t>high</w:t>
      </w:r>
      <w:r>
        <w:rPr>
          <w:color w:val="231F20"/>
          <w:spacing w:val="-29"/>
        </w:rPr>
        <w:t xml:space="preserve"> </w:t>
      </w:r>
      <w:r>
        <w:rPr>
          <w:color w:val="231F20"/>
        </w:rPr>
        <w:t>school</w:t>
      </w:r>
      <w:r>
        <w:rPr>
          <w:color w:val="231F20"/>
          <w:spacing w:val="-29"/>
        </w:rPr>
        <w:t xml:space="preserve"> </w:t>
      </w:r>
      <w:r>
        <w:rPr>
          <w:color w:val="231F20"/>
        </w:rPr>
        <w:t>graduates</w:t>
      </w:r>
      <w:r>
        <w:rPr>
          <w:color w:val="231F20"/>
          <w:spacing w:val="-29"/>
        </w:rPr>
        <w:t xml:space="preserve"> </w:t>
      </w:r>
      <w:r>
        <w:rPr>
          <w:color w:val="231F20"/>
        </w:rPr>
        <w:t>must</w:t>
      </w:r>
      <w:r>
        <w:rPr>
          <w:color w:val="231F20"/>
          <w:spacing w:val="-29"/>
        </w:rPr>
        <w:t xml:space="preserve"> </w:t>
      </w:r>
      <w:r>
        <w:rPr>
          <w:color w:val="231F20"/>
        </w:rPr>
        <w:t>meet</w:t>
      </w:r>
      <w:r>
        <w:rPr>
          <w:color w:val="231F20"/>
          <w:spacing w:val="-29"/>
        </w:rPr>
        <w:t xml:space="preserve"> </w:t>
      </w:r>
      <w:r>
        <w:rPr>
          <w:color w:val="231F20"/>
        </w:rPr>
        <w:t>at</w:t>
      </w:r>
      <w:r>
        <w:rPr>
          <w:color w:val="231F20"/>
          <w:spacing w:val="-29"/>
        </w:rPr>
        <w:t xml:space="preserve"> </w:t>
      </w:r>
      <w:r>
        <w:rPr>
          <w:color w:val="231F20"/>
        </w:rPr>
        <w:t>least</w:t>
      </w:r>
      <w:r>
        <w:rPr>
          <w:color w:val="231F20"/>
          <w:spacing w:val="-29"/>
        </w:rPr>
        <w:t xml:space="preserve"> </w:t>
      </w:r>
      <w:r>
        <w:rPr>
          <w:color w:val="231F20"/>
        </w:rPr>
        <w:t>one</w:t>
      </w:r>
      <w:r>
        <w:rPr>
          <w:color w:val="231F20"/>
          <w:spacing w:val="-29"/>
        </w:rPr>
        <w:t xml:space="preserve"> </w:t>
      </w:r>
      <w:r>
        <w:rPr>
          <w:color w:val="231F20"/>
        </w:rPr>
        <w:t>of</w:t>
      </w:r>
      <w:r>
        <w:rPr>
          <w:color w:val="231F20"/>
          <w:spacing w:val="-29"/>
        </w:rPr>
        <w:t xml:space="preserve"> </w:t>
      </w:r>
      <w:r>
        <w:rPr>
          <w:color w:val="231F20"/>
        </w:rPr>
        <w:t>the</w:t>
      </w:r>
      <w:r>
        <w:rPr>
          <w:color w:val="231F20"/>
          <w:spacing w:val="-29"/>
        </w:rPr>
        <w:t xml:space="preserve"> </w:t>
      </w:r>
      <w:r>
        <w:rPr>
          <w:color w:val="231F20"/>
        </w:rPr>
        <w:t>measures</w:t>
      </w:r>
      <w:r>
        <w:rPr>
          <w:color w:val="231F20"/>
          <w:spacing w:val="-29"/>
        </w:rPr>
        <w:t xml:space="preserve"> </w:t>
      </w:r>
      <w:r>
        <w:rPr>
          <w:color w:val="231F20"/>
        </w:rPr>
        <w:t>in</w:t>
      </w:r>
      <w:r>
        <w:rPr>
          <w:color w:val="231F20"/>
          <w:spacing w:val="-29"/>
        </w:rPr>
        <w:t xml:space="preserve"> </w:t>
      </w:r>
      <w:r>
        <w:rPr>
          <w:color w:val="231F20"/>
        </w:rPr>
        <w:t>the</w:t>
      </w:r>
      <w:r>
        <w:rPr>
          <w:color w:val="231F20"/>
          <w:spacing w:val="-29"/>
        </w:rPr>
        <w:t xml:space="preserve"> </w:t>
      </w:r>
      <w:r>
        <w:rPr>
          <w:color w:val="231F20"/>
        </w:rPr>
        <w:t>prepared</w:t>
      </w:r>
      <w:r>
        <w:rPr>
          <w:color w:val="231F20"/>
          <w:spacing w:val="-29"/>
        </w:rPr>
        <w:t xml:space="preserve"> </w:t>
      </w:r>
      <w:r>
        <w:rPr>
          <w:color w:val="231F20"/>
        </w:rPr>
        <w:t>level.</w:t>
      </w:r>
    </w:p>
    <w:p w14:paraId="272E90C9" w14:textId="77777777" w:rsidR="00AC122A" w:rsidRPr="007C050F" w:rsidRDefault="00AC122A" w:rsidP="00AC122A">
      <w:pPr>
        <w:pStyle w:val="Heading2"/>
        <w:spacing w:before="240" w:after="240"/>
      </w:pPr>
      <w:r w:rsidRPr="00AC122A">
        <w:rPr>
          <w:sz w:val="28"/>
        </w:rPr>
        <w:t>Prepared</w:t>
      </w:r>
    </w:p>
    <w:p w14:paraId="4C431FD2" w14:textId="77777777" w:rsidR="00E36304" w:rsidRPr="00E36304" w:rsidRDefault="00E36304" w:rsidP="00E36304">
      <w:pPr>
        <w:pStyle w:val="ListParagraph"/>
        <w:numPr>
          <w:ilvl w:val="0"/>
          <w:numId w:val="40"/>
        </w:numPr>
        <w:spacing w:before="125" w:line="260" w:lineRule="exact"/>
      </w:pPr>
      <w:r w:rsidRPr="00E36304">
        <w:rPr>
          <w:b/>
          <w:color w:val="231F20"/>
        </w:rPr>
        <w:t xml:space="preserve">Smarter Balanced Summative Assessments: </w:t>
      </w:r>
      <w:r w:rsidRPr="00E36304">
        <w:rPr>
          <w:color w:val="231F20"/>
        </w:rPr>
        <w:t>Score of Level 3 “Standard Met” or higher on both English language arts/literacy (ELA) and mathematics</w:t>
      </w:r>
    </w:p>
    <w:p w14:paraId="719B6ED9" w14:textId="77777777" w:rsidR="00E36304" w:rsidRDefault="00E36304" w:rsidP="00E36304">
      <w:pPr>
        <w:pStyle w:val="ListParagraph"/>
        <w:spacing w:before="125" w:line="260" w:lineRule="exact"/>
      </w:pPr>
    </w:p>
    <w:p w14:paraId="78840121" w14:textId="77777777" w:rsidR="00E36304" w:rsidRPr="00E36304" w:rsidRDefault="00E36304" w:rsidP="00E36304">
      <w:pPr>
        <w:pStyle w:val="ListParagraph"/>
        <w:numPr>
          <w:ilvl w:val="0"/>
          <w:numId w:val="40"/>
        </w:numPr>
        <w:spacing w:before="162"/>
      </w:pPr>
      <w:r w:rsidRPr="00E36304">
        <w:rPr>
          <w:b/>
          <w:color w:val="231F20"/>
        </w:rPr>
        <w:t xml:space="preserve">Advanced Placement (AP) Exams: </w:t>
      </w:r>
      <w:r w:rsidRPr="00E36304">
        <w:rPr>
          <w:color w:val="231F20"/>
        </w:rPr>
        <w:t>Score of 3 or higher on two AP exams</w:t>
      </w:r>
    </w:p>
    <w:p w14:paraId="07F06B40" w14:textId="77777777" w:rsidR="00E36304" w:rsidRDefault="00E36304" w:rsidP="00E36304">
      <w:pPr>
        <w:pStyle w:val="ListParagraph"/>
      </w:pPr>
    </w:p>
    <w:p w14:paraId="7B2C56E8" w14:textId="77777777" w:rsidR="00E36304" w:rsidRDefault="00E36304" w:rsidP="00E36304">
      <w:pPr>
        <w:pStyle w:val="ListParagraph"/>
        <w:numPr>
          <w:ilvl w:val="0"/>
          <w:numId w:val="40"/>
        </w:numPr>
        <w:spacing w:before="164"/>
      </w:pPr>
      <w:r w:rsidRPr="00E36304">
        <w:rPr>
          <w:b/>
          <w:color w:val="231F20"/>
        </w:rPr>
        <w:t xml:space="preserve">International Baccalaureate (IB) Exams: </w:t>
      </w:r>
      <w:r w:rsidRPr="00E36304">
        <w:rPr>
          <w:color w:val="231F20"/>
        </w:rPr>
        <w:t>Score of 4 or higher on two IB exams</w:t>
      </w:r>
    </w:p>
    <w:p w14:paraId="472DF217" w14:textId="77777777" w:rsidR="00E36304" w:rsidRPr="00E36304" w:rsidRDefault="00E36304" w:rsidP="00E36304">
      <w:pPr>
        <w:pStyle w:val="BodyText"/>
        <w:numPr>
          <w:ilvl w:val="0"/>
          <w:numId w:val="40"/>
        </w:numPr>
        <w:spacing w:before="181" w:line="260" w:lineRule="exact"/>
        <w:ind w:right="480"/>
      </w:pPr>
      <w:r>
        <w:rPr>
          <w:b/>
          <w:color w:val="231F20"/>
        </w:rPr>
        <w:t xml:space="preserve">Completion of Dual Enrollment: </w:t>
      </w:r>
      <w:r>
        <w:rPr>
          <w:color w:val="231F20"/>
        </w:rPr>
        <w:t>Two semesters or three quarters of college coursework with a grade of C</w:t>
      </w:r>
      <w:r>
        <w:rPr>
          <w:color w:val="231F20"/>
          <w:position w:val="4"/>
        </w:rPr>
        <w:t xml:space="preserve">- </w:t>
      </w:r>
      <w:r>
        <w:rPr>
          <w:color w:val="231F20"/>
        </w:rPr>
        <w:t>or better in academic/CTE subjects where college credit is awarded</w:t>
      </w:r>
    </w:p>
    <w:p w14:paraId="3FB46335" w14:textId="4F0F53CC" w:rsidR="00E36304" w:rsidRPr="00E36304" w:rsidRDefault="00E36304" w:rsidP="00E36304">
      <w:pPr>
        <w:pStyle w:val="BodyText"/>
        <w:numPr>
          <w:ilvl w:val="0"/>
          <w:numId w:val="40"/>
        </w:numPr>
        <w:spacing w:before="181" w:line="260" w:lineRule="exact"/>
        <w:ind w:right="480"/>
      </w:pPr>
      <w:r w:rsidRPr="00E36304">
        <w:rPr>
          <w:color w:val="231F20"/>
        </w:rPr>
        <w:t>University of California (UC) and California State University (CSU)</w:t>
      </w:r>
      <w:r>
        <w:rPr>
          <w:color w:val="231F20"/>
        </w:rPr>
        <w:t xml:space="preserve"> </w:t>
      </w:r>
      <w:r w:rsidRPr="00E36304">
        <w:rPr>
          <w:b/>
          <w:color w:val="231F20"/>
        </w:rPr>
        <w:t xml:space="preserve">a-g requirements: </w:t>
      </w:r>
      <w:r w:rsidRPr="00E36304">
        <w:rPr>
          <w:color w:val="231F20"/>
        </w:rPr>
        <w:t>Complete a-g course requirements with a grade of C</w:t>
      </w:r>
      <w:r w:rsidRPr="00E36304">
        <w:rPr>
          <w:color w:val="231F20"/>
          <w:position w:val="4"/>
        </w:rPr>
        <w:t xml:space="preserve">- </w:t>
      </w:r>
      <w:r w:rsidRPr="00E36304">
        <w:rPr>
          <w:color w:val="231F20"/>
        </w:rPr>
        <w:t xml:space="preserve">or better plus one of the Additional Criteria </w:t>
      </w:r>
      <w:r>
        <w:rPr>
          <w:color w:val="231F20"/>
        </w:rPr>
        <w:t>below:</w:t>
      </w:r>
    </w:p>
    <w:p w14:paraId="3096D300" w14:textId="064EC026" w:rsidR="00E36304" w:rsidRPr="00E36304" w:rsidRDefault="00E36304" w:rsidP="00E36304">
      <w:pPr>
        <w:pStyle w:val="BodyText"/>
        <w:numPr>
          <w:ilvl w:val="1"/>
          <w:numId w:val="40"/>
        </w:numPr>
        <w:spacing w:before="181" w:line="260" w:lineRule="exact"/>
        <w:ind w:right="480"/>
      </w:pPr>
      <w:r w:rsidRPr="00E36304">
        <w:rPr>
          <w:rFonts w:cs="Arial"/>
        </w:rPr>
        <w:t>CTE Pathway completion,</w:t>
      </w:r>
    </w:p>
    <w:p w14:paraId="2529705B" w14:textId="117DAE6B" w:rsidR="00E36304" w:rsidRPr="00EF4C29" w:rsidRDefault="00E36304" w:rsidP="00E36304">
      <w:pPr>
        <w:pStyle w:val="ListParagraph"/>
        <w:numPr>
          <w:ilvl w:val="1"/>
          <w:numId w:val="41"/>
        </w:numPr>
        <w:spacing w:after="240"/>
        <w:contextualSpacing w:val="0"/>
        <w:rPr>
          <w:rFonts w:cs="Arial"/>
        </w:rPr>
      </w:pPr>
      <w:r w:rsidRPr="00EF4C29">
        <w:rPr>
          <w:rFonts w:cs="Arial"/>
        </w:rPr>
        <w:t xml:space="preserve">Smarter Balanced Summative Assessments: At least a Level 3 </w:t>
      </w:r>
      <w:r w:rsidR="00CF3066">
        <w:rPr>
          <w:rFonts w:cs="Arial"/>
        </w:rPr>
        <w:t xml:space="preserve">in </w:t>
      </w:r>
      <w:r w:rsidRPr="00EF4C29">
        <w:rPr>
          <w:rFonts w:cs="Arial"/>
        </w:rPr>
        <w:t xml:space="preserve">ELA </w:t>
      </w:r>
      <w:r w:rsidR="00CF3066">
        <w:rPr>
          <w:rFonts w:cs="Arial"/>
        </w:rPr>
        <w:t xml:space="preserve">and at least a Level 2 in mathematics, </w:t>
      </w:r>
      <w:r w:rsidRPr="00EF4C29">
        <w:rPr>
          <w:rFonts w:cs="Arial"/>
        </w:rPr>
        <w:t>or</w:t>
      </w:r>
      <w:r w:rsidR="00CF3066">
        <w:rPr>
          <w:rFonts w:cs="Arial"/>
        </w:rPr>
        <w:t xml:space="preserve"> </w:t>
      </w:r>
      <w:r w:rsidR="00D05E83">
        <w:rPr>
          <w:rFonts w:cs="Arial"/>
        </w:rPr>
        <w:t xml:space="preserve">at least a </w:t>
      </w:r>
      <w:r w:rsidR="00CF3066">
        <w:rPr>
          <w:rFonts w:cs="Arial"/>
        </w:rPr>
        <w:t>Level 3 in m</w:t>
      </w:r>
      <w:r w:rsidRPr="00EF4C29">
        <w:rPr>
          <w:rFonts w:cs="Arial"/>
        </w:rPr>
        <w:t xml:space="preserve">athematics and at least a Level 2 </w:t>
      </w:r>
      <w:r w:rsidR="00CF3066">
        <w:rPr>
          <w:rFonts w:cs="Arial"/>
        </w:rPr>
        <w:t>in ELA</w:t>
      </w:r>
      <w:r w:rsidRPr="00EF4C29">
        <w:rPr>
          <w:rFonts w:cs="Arial"/>
        </w:rPr>
        <w:t>,</w:t>
      </w:r>
    </w:p>
    <w:p w14:paraId="41C8263B" w14:textId="77777777" w:rsidR="00E36304" w:rsidRPr="00EF4C29" w:rsidRDefault="00E36304" w:rsidP="00E36304">
      <w:pPr>
        <w:pStyle w:val="ListParagraph"/>
        <w:numPr>
          <w:ilvl w:val="1"/>
          <w:numId w:val="41"/>
        </w:numPr>
        <w:spacing w:after="240"/>
        <w:contextualSpacing w:val="0"/>
        <w:rPr>
          <w:rFonts w:cs="Arial"/>
        </w:rPr>
      </w:pPr>
      <w:r w:rsidRPr="00EF4C29">
        <w:rPr>
          <w:rFonts w:cs="Arial"/>
        </w:rPr>
        <w:t>One semester/two quarters of Dual Enrollment with passing grade (Academic/CTE subjects), or</w:t>
      </w:r>
    </w:p>
    <w:p w14:paraId="366F70BD" w14:textId="77777777" w:rsidR="00E36304" w:rsidRDefault="00E36304" w:rsidP="00E36304">
      <w:pPr>
        <w:pStyle w:val="ListParagraph"/>
        <w:numPr>
          <w:ilvl w:val="1"/>
          <w:numId w:val="41"/>
        </w:numPr>
        <w:spacing w:after="240"/>
        <w:contextualSpacing w:val="0"/>
        <w:rPr>
          <w:rFonts w:cs="Arial"/>
        </w:rPr>
      </w:pPr>
      <w:r w:rsidRPr="007C050F">
        <w:rPr>
          <w:rFonts w:cs="Arial"/>
        </w:rPr>
        <w:t>Passing score on one AP Exam OR on one IB Exam</w:t>
      </w:r>
    </w:p>
    <w:p w14:paraId="45845F4F" w14:textId="4CFAABAE" w:rsidR="00AC122A" w:rsidRPr="00EF4C29" w:rsidRDefault="00E36304" w:rsidP="00E36304">
      <w:pPr>
        <w:pStyle w:val="ListParagraph"/>
        <w:numPr>
          <w:ilvl w:val="0"/>
          <w:numId w:val="44"/>
        </w:numPr>
        <w:spacing w:after="240"/>
        <w:contextualSpacing w:val="0"/>
        <w:rPr>
          <w:rFonts w:cs="Arial"/>
        </w:rPr>
      </w:pPr>
      <w:r>
        <w:rPr>
          <w:b/>
          <w:color w:val="231F20"/>
        </w:rPr>
        <w:t xml:space="preserve">Career Technical Education (CTE) Pathway: </w:t>
      </w:r>
      <w:r>
        <w:rPr>
          <w:color w:val="231F20"/>
        </w:rPr>
        <w:t>Pathway completion with a grade of</w:t>
      </w:r>
      <w:r>
        <w:rPr>
          <w:color w:val="231F20"/>
          <w:spacing w:val="-21"/>
        </w:rPr>
        <w:t xml:space="preserve"> </w:t>
      </w:r>
      <w:r>
        <w:rPr>
          <w:color w:val="231F20"/>
        </w:rPr>
        <w:t>C</w:t>
      </w:r>
      <w:r>
        <w:rPr>
          <w:color w:val="231F20"/>
          <w:position w:val="4"/>
        </w:rPr>
        <w:t xml:space="preserve">- </w:t>
      </w:r>
      <w:r>
        <w:rPr>
          <w:color w:val="231F20"/>
        </w:rPr>
        <w:t>or better in the capstone course plus one of the Additional Criteria below</w:t>
      </w:r>
      <w:r w:rsidR="00AC122A" w:rsidRPr="00EF4C29">
        <w:rPr>
          <w:rFonts w:cs="Arial"/>
        </w:rPr>
        <w:t>:</w:t>
      </w:r>
    </w:p>
    <w:p w14:paraId="2784FF27" w14:textId="77777777" w:rsidR="00D05E83" w:rsidRPr="00EF4C29" w:rsidRDefault="00AC122A" w:rsidP="00D05E83">
      <w:pPr>
        <w:pStyle w:val="ListParagraph"/>
        <w:numPr>
          <w:ilvl w:val="1"/>
          <w:numId w:val="41"/>
        </w:numPr>
        <w:spacing w:after="240"/>
        <w:contextualSpacing w:val="0"/>
        <w:rPr>
          <w:rFonts w:cs="Arial"/>
        </w:rPr>
      </w:pPr>
      <w:r w:rsidRPr="00D05E83">
        <w:rPr>
          <w:rFonts w:cs="Arial"/>
        </w:rPr>
        <w:lastRenderedPageBreak/>
        <w:t xml:space="preserve">Smarter Balanced Summative Assessments: </w:t>
      </w:r>
      <w:r w:rsidR="00D05E83" w:rsidRPr="00EF4C29">
        <w:rPr>
          <w:rFonts w:cs="Arial"/>
        </w:rPr>
        <w:t xml:space="preserve">At least a Level 3 </w:t>
      </w:r>
      <w:r w:rsidR="00D05E83">
        <w:rPr>
          <w:rFonts w:cs="Arial"/>
        </w:rPr>
        <w:t xml:space="preserve">in </w:t>
      </w:r>
      <w:r w:rsidR="00D05E83" w:rsidRPr="00EF4C29">
        <w:rPr>
          <w:rFonts w:cs="Arial"/>
        </w:rPr>
        <w:t xml:space="preserve">ELA </w:t>
      </w:r>
      <w:r w:rsidR="00D05E83">
        <w:rPr>
          <w:rFonts w:cs="Arial"/>
        </w:rPr>
        <w:t xml:space="preserve">and at least a Level 2 in mathematics, </w:t>
      </w:r>
      <w:r w:rsidR="00D05E83" w:rsidRPr="00EF4C29">
        <w:rPr>
          <w:rFonts w:cs="Arial"/>
        </w:rPr>
        <w:t>or</w:t>
      </w:r>
      <w:r w:rsidR="00D05E83">
        <w:rPr>
          <w:rFonts w:cs="Arial"/>
        </w:rPr>
        <w:t xml:space="preserve"> at least a Level 3 in m</w:t>
      </w:r>
      <w:r w:rsidR="00D05E83" w:rsidRPr="00EF4C29">
        <w:rPr>
          <w:rFonts w:cs="Arial"/>
        </w:rPr>
        <w:t xml:space="preserve">athematics and at least a Level 2 </w:t>
      </w:r>
      <w:r w:rsidR="00D05E83">
        <w:rPr>
          <w:rFonts w:cs="Arial"/>
        </w:rPr>
        <w:t>in ELA</w:t>
      </w:r>
      <w:r w:rsidR="00D05E83" w:rsidRPr="00EF4C29">
        <w:rPr>
          <w:rFonts w:cs="Arial"/>
        </w:rPr>
        <w:t>,</w:t>
      </w:r>
    </w:p>
    <w:p w14:paraId="4F2DF114" w14:textId="3594C637" w:rsidR="00AC122A" w:rsidRPr="00D05E83" w:rsidRDefault="00AC122A" w:rsidP="006D72DD">
      <w:pPr>
        <w:pStyle w:val="ListParagraph"/>
        <w:numPr>
          <w:ilvl w:val="1"/>
          <w:numId w:val="42"/>
        </w:numPr>
        <w:spacing w:after="240"/>
        <w:contextualSpacing w:val="0"/>
        <w:rPr>
          <w:rFonts w:cs="Arial"/>
        </w:rPr>
      </w:pPr>
      <w:r w:rsidRPr="00D05E83">
        <w:rPr>
          <w:rFonts w:cs="Arial"/>
        </w:rPr>
        <w:t xml:space="preserve">One semester/two quarters of Dual Enrollment with passing grade </w:t>
      </w:r>
      <w:r w:rsidR="00CF3066" w:rsidRPr="00D05E83">
        <w:rPr>
          <w:rFonts w:cs="Arial"/>
        </w:rPr>
        <w:t xml:space="preserve">of C- or better in </w:t>
      </w:r>
      <w:r w:rsidRPr="00D05E83">
        <w:rPr>
          <w:rFonts w:cs="Arial"/>
        </w:rPr>
        <w:t>Academic/CTE subjects</w:t>
      </w:r>
    </w:p>
    <w:p w14:paraId="466DD2EE" w14:textId="77777777" w:rsidR="00AC122A" w:rsidRPr="00AC122A" w:rsidRDefault="00AC122A" w:rsidP="00AC122A">
      <w:pPr>
        <w:pStyle w:val="Heading2"/>
        <w:spacing w:before="240" w:after="240"/>
        <w:rPr>
          <w:sz w:val="28"/>
        </w:rPr>
      </w:pPr>
      <w:r w:rsidRPr="00AC122A">
        <w:rPr>
          <w:sz w:val="28"/>
        </w:rPr>
        <w:t>Approaching Prepared</w:t>
      </w:r>
    </w:p>
    <w:p w14:paraId="39E82DD0" w14:textId="77777777" w:rsidR="00CF3066" w:rsidRDefault="00CF3066" w:rsidP="00CF3066">
      <w:pPr>
        <w:pStyle w:val="ListParagraph"/>
        <w:numPr>
          <w:ilvl w:val="0"/>
          <w:numId w:val="44"/>
        </w:numPr>
        <w:spacing w:before="116" w:line="260" w:lineRule="exact"/>
        <w:ind w:right="-20"/>
      </w:pPr>
      <w:r w:rsidRPr="00CF3066">
        <w:rPr>
          <w:b/>
          <w:color w:val="231F20"/>
        </w:rPr>
        <w:t xml:space="preserve">Smarter Balanced Summative Assessments: </w:t>
      </w:r>
      <w:r w:rsidRPr="00CF3066">
        <w:rPr>
          <w:color w:val="231F20"/>
        </w:rPr>
        <w:t>Score of Level 2 “Standard Nearly Met” on both ELA and mathematics</w:t>
      </w:r>
    </w:p>
    <w:p w14:paraId="1B32691E" w14:textId="77777777" w:rsidR="00CF3066" w:rsidRDefault="00CF3066" w:rsidP="00CF3066">
      <w:pPr>
        <w:pStyle w:val="BodyText"/>
        <w:numPr>
          <w:ilvl w:val="0"/>
          <w:numId w:val="44"/>
        </w:numPr>
        <w:spacing w:before="180" w:line="260" w:lineRule="exact"/>
        <w:ind w:right="-20"/>
      </w:pPr>
      <w:r>
        <w:rPr>
          <w:b/>
          <w:color w:val="231F20"/>
        </w:rPr>
        <w:t xml:space="preserve">Completion of Dual Enrollment: </w:t>
      </w:r>
      <w:r>
        <w:rPr>
          <w:color w:val="231F20"/>
        </w:rPr>
        <w:t>One semester or two quarters of college coursework with a grade of C</w:t>
      </w:r>
      <w:r>
        <w:rPr>
          <w:color w:val="231F20"/>
          <w:position w:val="2"/>
        </w:rPr>
        <w:t xml:space="preserve">- </w:t>
      </w:r>
      <w:r>
        <w:rPr>
          <w:color w:val="231F20"/>
        </w:rPr>
        <w:t>or better in academic/CTE subjects where college credit is awarded</w:t>
      </w:r>
    </w:p>
    <w:p w14:paraId="77F77498" w14:textId="77777777" w:rsidR="00CF3066" w:rsidRDefault="00CF3066" w:rsidP="00CF3066">
      <w:pPr>
        <w:pStyle w:val="ListParagraph"/>
        <w:numPr>
          <w:ilvl w:val="0"/>
          <w:numId w:val="44"/>
        </w:numPr>
        <w:spacing w:before="180" w:line="260" w:lineRule="exact"/>
        <w:ind w:right="57"/>
      </w:pPr>
      <w:r w:rsidRPr="00CF3066">
        <w:rPr>
          <w:b/>
          <w:color w:val="231F20"/>
        </w:rPr>
        <w:t xml:space="preserve">UC and CSU a-g requirements: </w:t>
      </w:r>
      <w:r w:rsidRPr="00CF3066">
        <w:rPr>
          <w:color w:val="231F20"/>
        </w:rPr>
        <w:t>Complete a-g course requirements with a grade of C</w:t>
      </w:r>
      <w:r w:rsidRPr="00CF3066">
        <w:rPr>
          <w:color w:val="231F20"/>
          <w:position w:val="2"/>
        </w:rPr>
        <w:t xml:space="preserve">- </w:t>
      </w:r>
      <w:r w:rsidRPr="00CF3066">
        <w:rPr>
          <w:color w:val="231F20"/>
        </w:rPr>
        <w:t>or better</w:t>
      </w:r>
    </w:p>
    <w:p w14:paraId="6B40DD1C" w14:textId="52401371" w:rsidR="00CF3066" w:rsidRDefault="00CF3066" w:rsidP="00CF3066">
      <w:pPr>
        <w:pStyle w:val="BodyText"/>
        <w:numPr>
          <w:ilvl w:val="0"/>
          <w:numId w:val="44"/>
        </w:numPr>
        <w:spacing w:before="180" w:line="260" w:lineRule="exact"/>
        <w:ind w:right="143"/>
      </w:pPr>
      <w:r>
        <w:rPr>
          <w:b/>
          <w:color w:val="231F20"/>
        </w:rPr>
        <w:t xml:space="preserve">CTE Pathway: </w:t>
      </w:r>
      <w:r>
        <w:rPr>
          <w:color w:val="231F20"/>
        </w:rPr>
        <w:t>Pathway completion with a grade of C</w:t>
      </w:r>
      <w:r>
        <w:rPr>
          <w:color w:val="231F20"/>
          <w:position w:val="2"/>
        </w:rPr>
        <w:t xml:space="preserve">- </w:t>
      </w:r>
      <w:r>
        <w:rPr>
          <w:color w:val="231F20"/>
        </w:rPr>
        <w:t>or better in the capstone course</w:t>
      </w:r>
    </w:p>
    <w:p w14:paraId="1B685505" w14:textId="77777777" w:rsidR="00AC122A" w:rsidRPr="00AC122A" w:rsidRDefault="00AC122A" w:rsidP="00AC122A">
      <w:pPr>
        <w:pStyle w:val="Heading2"/>
        <w:spacing w:before="240" w:after="240"/>
        <w:rPr>
          <w:sz w:val="28"/>
        </w:rPr>
      </w:pPr>
      <w:r w:rsidRPr="00AC122A">
        <w:rPr>
          <w:sz w:val="28"/>
        </w:rPr>
        <w:t>Not Prepared</w:t>
      </w:r>
    </w:p>
    <w:p w14:paraId="7DAE6A3D" w14:textId="61876227" w:rsidR="00AC122A" w:rsidRPr="00AC122A" w:rsidRDefault="00E36304" w:rsidP="00AC122A">
      <w:r>
        <w:rPr>
          <w:rFonts w:eastAsia="Calibri" w:cs="Arial"/>
          <w:bCs/>
          <w:color w:val="000000"/>
        </w:rPr>
        <w:t xml:space="preserve">The </w:t>
      </w:r>
      <w:r w:rsidR="00AC122A" w:rsidRPr="007C050F">
        <w:rPr>
          <w:rFonts w:eastAsia="Calibri" w:cs="Arial"/>
          <w:bCs/>
          <w:color w:val="000000"/>
        </w:rPr>
        <w:t xml:space="preserve">Student did not meet any </w:t>
      </w:r>
      <w:r>
        <w:rPr>
          <w:rFonts w:eastAsia="Calibri" w:cs="Arial"/>
          <w:bCs/>
          <w:color w:val="000000"/>
        </w:rPr>
        <w:t xml:space="preserve">of the </w:t>
      </w:r>
      <w:r w:rsidR="00AC122A" w:rsidRPr="007C050F">
        <w:rPr>
          <w:rFonts w:eastAsia="Calibri" w:cs="Arial"/>
          <w:bCs/>
          <w:color w:val="000000"/>
        </w:rPr>
        <w:t>measures</w:t>
      </w:r>
      <w:r>
        <w:rPr>
          <w:rFonts w:eastAsia="Calibri" w:cs="Arial"/>
          <w:bCs/>
          <w:color w:val="000000"/>
        </w:rPr>
        <w:t xml:space="preserve"> or did not graduate</w:t>
      </w:r>
      <w:r w:rsidR="00AC122A" w:rsidRPr="007C050F">
        <w:rPr>
          <w:rFonts w:eastAsia="Calibri" w:cs="Arial"/>
          <w:bCs/>
          <w:color w:val="000000"/>
        </w:rPr>
        <w:t>, so considered N</w:t>
      </w:r>
      <w:r w:rsidR="00AC122A">
        <w:rPr>
          <w:rFonts w:eastAsia="Calibri" w:cs="Arial"/>
          <w:bCs/>
          <w:color w:val="000000"/>
        </w:rPr>
        <w:t>ot</w:t>
      </w:r>
      <w:r w:rsidR="00AC122A" w:rsidRPr="007C050F">
        <w:rPr>
          <w:rFonts w:eastAsia="Calibri" w:cs="Arial"/>
          <w:bCs/>
          <w:color w:val="000000"/>
        </w:rPr>
        <w:t xml:space="preserve"> P</w:t>
      </w:r>
      <w:r w:rsidR="00AC122A">
        <w:rPr>
          <w:rFonts w:eastAsia="Calibri" w:cs="Arial"/>
          <w:bCs/>
          <w:color w:val="000000"/>
        </w:rPr>
        <w:t>repared.</w:t>
      </w:r>
    </w:p>
    <w:sectPr w:rsidR="00AC122A" w:rsidRPr="00AC122A" w:rsidSect="00CD0E1D">
      <w:headerReference w:type="default" r:id="rId25"/>
      <w:pgSz w:w="12240" w:h="15840"/>
      <w:pgMar w:top="72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6DDD2" w14:textId="77777777" w:rsidR="001B64EA" w:rsidRDefault="001B64EA" w:rsidP="00A26FD8">
      <w:r>
        <w:separator/>
      </w:r>
    </w:p>
  </w:endnote>
  <w:endnote w:type="continuationSeparator" w:id="0">
    <w:p w14:paraId="16EE37F7" w14:textId="77777777" w:rsidR="001B64EA" w:rsidRDefault="001B64EA" w:rsidP="00A26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9C22C5" w14:textId="77777777" w:rsidR="001B64EA" w:rsidRDefault="001B64EA" w:rsidP="00A26FD8">
      <w:r>
        <w:separator/>
      </w:r>
    </w:p>
  </w:footnote>
  <w:footnote w:type="continuationSeparator" w:id="0">
    <w:p w14:paraId="7ED05908" w14:textId="77777777" w:rsidR="001B64EA" w:rsidRDefault="001B64EA" w:rsidP="00A26F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58219" w14:textId="77777777" w:rsidR="00E36304" w:rsidRDefault="00E36304" w:rsidP="00A26FD8">
    <w:pPr>
      <w:pStyle w:val="Header"/>
      <w:jc w:val="right"/>
      <w:rPr>
        <w:rFonts w:cs="Arial"/>
        <w:color w:val="000000"/>
      </w:rPr>
    </w:pPr>
    <w:proofErr w:type="gramStart"/>
    <w:r>
      <w:rPr>
        <w:rFonts w:cs="Arial"/>
        <w:color w:val="000000"/>
      </w:rPr>
      <w:t>memo-pptb-amard-feb18item02</w:t>
    </w:r>
    <w:proofErr w:type="gramEnd"/>
  </w:p>
  <w:p w14:paraId="08EE05F8" w14:textId="330016EE" w:rsidR="00E36304" w:rsidRDefault="00E36304" w:rsidP="00500458">
    <w:pPr>
      <w:pStyle w:val="Header"/>
      <w:spacing w:after="480"/>
      <w:jc w:val="right"/>
    </w:pPr>
    <w:r>
      <w:rPr>
        <w:rFonts w:cs="Arial"/>
      </w:rPr>
      <w:t xml:space="preserve">Page </w:t>
    </w:r>
    <w:r w:rsidRPr="00F2790E">
      <w:rPr>
        <w:rFonts w:cs="Arial"/>
      </w:rPr>
      <w:fldChar w:fldCharType="begin"/>
    </w:r>
    <w:r w:rsidRPr="00F2790E">
      <w:rPr>
        <w:rFonts w:cs="Arial"/>
      </w:rPr>
      <w:instrText xml:space="preserve"> PAGE   \* MERGEFORMAT </w:instrText>
    </w:r>
    <w:r w:rsidRPr="00F2790E">
      <w:rPr>
        <w:rFonts w:cs="Arial"/>
      </w:rPr>
      <w:fldChar w:fldCharType="separate"/>
    </w:r>
    <w:r w:rsidR="003056FA">
      <w:rPr>
        <w:rFonts w:cs="Arial"/>
        <w:noProof/>
      </w:rPr>
      <w:t>5</w:t>
    </w:r>
    <w:r w:rsidRPr="00F2790E">
      <w:rPr>
        <w:rFonts w:cs="Arial"/>
        <w:noProof/>
      </w:rPr>
      <w:fldChar w:fldCharType="end"/>
    </w:r>
    <w:r>
      <w:rPr>
        <w:rFonts w:cs="Arial"/>
      </w:rPr>
      <w:t xml:space="preserve"> of 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96AC8" w14:textId="77777777" w:rsidR="00E36304" w:rsidRDefault="00E36304" w:rsidP="00A26FD8">
    <w:pPr>
      <w:pStyle w:val="Header"/>
      <w:jc w:val="right"/>
      <w:rPr>
        <w:rFonts w:cs="Arial"/>
        <w:color w:val="000000"/>
      </w:rPr>
    </w:pPr>
    <w:proofErr w:type="gramStart"/>
    <w:r>
      <w:rPr>
        <w:rFonts w:cs="Arial"/>
        <w:color w:val="000000"/>
      </w:rPr>
      <w:t>memo-pptb-amard-feb18item02</w:t>
    </w:r>
    <w:proofErr w:type="gramEnd"/>
  </w:p>
  <w:p w14:paraId="215157EA" w14:textId="77777777" w:rsidR="00E36304" w:rsidRDefault="00E36304" w:rsidP="00FC5BC0">
    <w:pPr>
      <w:pStyle w:val="Header"/>
      <w:jc w:val="right"/>
      <w:rPr>
        <w:rFonts w:cs="Arial"/>
        <w:color w:val="000000"/>
      </w:rPr>
    </w:pPr>
    <w:r>
      <w:rPr>
        <w:rFonts w:cs="Arial"/>
        <w:color w:val="000000"/>
      </w:rPr>
      <w:t>Attachment 1</w:t>
    </w:r>
  </w:p>
  <w:p w14:paraId="7275F19D" w14:textId="2E5E61C9" w:rsidR="00E36304" w:rsidRDefault="00E36304" w:rsidP="00500458">
    <w:pPr>
      <w:pStyle w:val="Header"/>
      <w:spacing w:after="240"/>
      <w:jc w:val="right"/>
    </w:pPr>
    <w:r>
      <w:rPr>
        <w:rFonts w:cs="Arial"/>
      </w:rPr>
      <w:t xml:space="preserve">Page </w:t>
    </w:r>
    <w:r w:rsidRPr="00F2790E">
      <w:rPr>
        <w:rFonts w:cs="Arial"/>
      </w:rPr>
      <w:fldChar w:fldCharType="begin"/>
    </w:r>
    <w:r w:rsidRPr="00F2790E">
      <w:rPr>
        <w:rFonts w:cs="Arial"/>
      </w:rPr>
      <w:instrText xml:space="preserve"> PAGE   \* MERGEFORMAT </w:instrText>
    </w:r>
    <w:r w:rsidRPr="00F2790E">
      <w:rPr>
        <w:rFonts w:cs="Arial"/>
      </w:rPr>
      <w:fldChar w:fldCharType="separate"/>
    </w:r>
    <w:r w:rsidR="003056FA">
      <w:rPr>
        <w:rFonts w:cs="Arial"/>
        <w:noProof/>
      </w:rPr>
      <w:t>5</w:t>
    </w:r>
    <w:r w:rsidRPr="00F2790E">
      <w:rPr>
        <w:rFonts w:cs="Arial"/>
        <w:noProof/>
      </w:rPr>
      <w:fldChar w:fldCharType="end"/>
    </w:r>
    <w:r>
      <w:rPr>
        <w:rFonts w:cs="Arial"/>
      </w:rPr>
      <w:t xml:space="preserve"> of 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7FE8A" w14:textId="77777777" w:rsidR="00E36304" w:rsidRDefault="00E36304" w:rsidP="00A26FD8">
    <w:pPr>
      <w:pStyle w:val="Header"/>
      <w:jc w:val="right"/>
      <w:rPr>
        <w:rFonts w:cs="Arial"/>
        <w:color w:val="000000"/>
      </w:rPr>
    </w:pPr>
    <w:proofErr w:type="gramStart"/>
    <w:r>
      <w:rPr>
        <w:rFonts w:cs="Arial"/>
        <w:color w:val="000000"/>
      </w:rPr>
      <w:t>memo-pptb-amard-feb18item02</w:t>
    </w:r>
    <w:proofErr w:type="gramEnd"/>
  </w:p>
  <w:p w14:paraId="6B9F671F" w14:textId="77777777" w:rsidR="00E36304" w:rsidRDefault="00E36304" w:rsidP="00A26FD8">
    <w:pPr>
      <w:pStyle w:val="Header"/>
      <w:jc w:val="right"/>
      <w:rPr>
        <w:rFonts w:cs="Arial"/>
        <w:color w:val="000000"/>
      </w:rPr>
    </w:pPr>
    <w:r>
      <w:rPr>
        <w:rFonts w:cs="Arial"/>
        <w:color w:val="000000"/>
      </w:rPr>
      <w:t>Attachment 2</w:t>
    </w:r>
  </w:p>
  <w:p w14:paraId="68797FFF" w14:textId="75DA1509" w:rsidR="00E36304" w:rsidRDefault="00E36304" w:rsidP="00500458">
    <w:pPr>
      <w:pStyle w:val="Header"/>
      <w:spacing w:after="240"/>
      <w:jc w:val="right"/>
    </w:pPr>
    <w:r>
      <w:rPr>
        <w:rFonts w:cs="Arial"/>
      </w:rPr>
      <w:t xml:space="preserve">Page </w:t>
    </w:r>
    <w:r w:rsidRPr="00D979EA">
      <w:rPr>
        <w:rFonts w:cs="Arial"/>
      </w:rPr>
      <w:fldChar w:fldCharType="begin"/>
    </w:r>
    <w:r w:rsidRPr="00D979EA">
      <w:rPr>
        <w:rFonts w:cs="Arial"/>
      </w:rPr>
      <w:instrText xml:space="preserve"> PAGE   \* MERGEFORMAT </w:instrText>
    </w:r>
    <w:r w:rsidRPr="00D979EA">
      <w:rPr>
        <w:rFonts w:cs="Arial"/>
      </w:rPr>
      <w:fldChar w:fldCharType="separate"/>
    </w:r>
    <w:r w:rsidR="003056FA">
      <w:rPr>
        <w:rFonts w:cs="Arial"/>
        <w:noProof/>
      </w:rPr>
      <w:t>3</w:t>
    </w:r>
    <w:r w:rsidRPr="00D979EA">
      <w:rPr>
        <w:rFonts w:cs="Arial"/>
        <w:noProof/>
      </w:rPr>
      <w:fldChar w:fldCharType="end"/>
    </w:r>
    <w:r>
      <w:rPr>
        <w:rFonts w:cs="Arial"/>
      </w:rPr>
      <w:t xml:space="preserve"> of 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39307" w14:textId="77777777" w:rsidR="00E36304" w:rsidRDefault="00E36304" w:rsidP="00A26FD8">
    <w:pPr>
      <w:pStyle w:val="Header"/>
      <w:jc w:val="right"/>
      <w:rPr>
        <w:rFonts w:cs="Arial"/>
        <w:color w:val="000000"/>
      </w:rPr>
    </w:pPr>
    <w:proofErr w:type="gramStart"/>
    <w:r>
      <w:rPr>
        <w:rFonts w:cs="Arial"/>
        <w:color w:val="000000"/>
      </w:rPr>
      <w:t>memo-pptb-amard-feb18item02</w:t>
    </w:r>
    <w:proofErr w:type="gramEnd"/>
  </w:p>
  <w:p w14:paraId="6A25D329" w14:textId="77777777" w:rsidR="00E36304" w:rsidRDefault="00E36304" w:rsidP="00A26FD8">
    <w:pPr>
      <w:pStyle w:val="Header"/>
      <w:jc w:val="right"/>
      <w:rPr>
        <w:rFonts w:cs="Arial"/>
        <w:color w:val="000000"/>
      </w:rPr>
    </w:pPr>
    <w:r>
      <w:rPr>
        <w:rFonts w:cs="Arial"/>
        <w:color w:val="000000"/>
      </w:rPr>
      <w:t>Attachment 2</w:t>
    </w:r>
  </w:p>
  <w:p w14:paraId="1558C763" w14:textId="4A66033D" w:rsidR="00E36304" w:rsidRDefault="00E36304" w:rsidP="00500458">
    <w:pPr>
      <w:pStyle w:val="Header"/>
      <w:spacing w:after="240"/>
      <w:jc w:val="right"/>
    </w:pPr>
    <w:r>
      <w:rPr>
        <w:rFonts w:cs="Arial"/>
      </w:rPr>
      <w:t xml:space="preserve">Page </w:t>
    </w:r>
    <w:r w:rsidRPr="00D979EA">
      <w:rPr>
        <w:rFonts w:cs="Arial"/>
      </w:rPr>
      <w:fldChar w:fldCharType="begin"/>
    </w:r>
    <w:r w:rsidRPr="00D979EA">
      <w:rPr>
        <w:rFonts w:cs="Arial"/>
      </w:rPr>
      <w:instrText xml:space="preserve"> PAGE   \* MERGEFORMAT </w:instrText>
    </w:r>
    <w:r w:rsidRPr="00D979EA">
      <w:rPr>
        <w:rFonts w:cs="Arial"/>
      </w:rPr>
      <w:fldChar w:fldCharType="separate"/>
    </w:r>
    <w:r w:rsidR="003056FA">
      <w:rPr>
        <w:rFonts w:cs="Arial"/>
        <w:noProof/>
      </w:rPr>
      <w:t>7</w:t>
    </w:r>
    <w:r w:rsidRPr="00D979EA">
      <w:rPr>
        <w:rFonts w:cs="Arial"/>
        <w:noProof/>
      </w:rPr>
      <w:fldChar w:fldCharType="end"/>
    </w:r>
    <w:r>
      <w:rPr>
        <w:rFonts w:cs="Arial"/>
      </w:rPr>
      <w:t xml:space="preserve"> of 7</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4E8FD" w14:textId="77777777" w:rsidR="00E36304" w:rsidRDefault="00E36304" w:rsidP="00A26FD8">
    <w:pPr>
      <w:pStyle w:val="Header"/>
      <w:jc w:val="right"/>
      <w:rPr>
        <w:rFonts w:cs="Arial"/>
        <w:color w:val="000000"/>
      </w:rPr>
    </w:pPr>
    <w:proofErr w:type="gramStart"/>
    <w:r>
      <w:rPr>
        <w:rFonts w:cs="Arial"/>
        <w:color w:val="000000"/>
      </w:rPr>
      <w:t>memo-pptb-amard-feb18item02</w:t>
    </w:r>
    <w:proofErr w:type="gramEnd"/>
  </w:p>
  <w:p w14:paraId="0FDC0052" w14:textId="77777777" w:rsidR="00E36304" w:rsidRDefault="00E36304" w:rsidP="00A26FD8">
    <w:pPr>
      <w:pStyle w:val="Header"/>
      <w:jc w:val="right"/>
      <w:rPr>
        <w:rFonts w:cs="Arial"/>
        <w:color w:val="000000"/>
      </w:rPr>
    </w:pPr>
    <w:r>
      <w:rPr>
        <w:rFonts w:cs="Arial"/>
        <w:color w:val="000000"/>
      </w:rPr>
      <w:t>Attachment 3</w:t>
    </w:r>
  </w:p>
  <w:p w14:paraId="78A3E937" w14:textId="4697167F" w:rsidR="00E36304" w:rsidRDefault="00E36304" w:rsidP="00500458">
    <w:pPr>
      <w:pStyle w:val="Header"/>
      <w:spacing w:after="240"/>
      <w:jc w:val="right"/>
    </w:pPr>
    <w:r>
      <w:rPr>
        <w:rFonts w:cs="Arial"/>
      </w:rPr>
      <w:t xml:space="preserve">Page </w:t>
    </w:r>
    <w:r w:rsidRPr="00D979EA">
      <w:rPr>
        <w:rFonts w:cs="Arial"/>
      </w:rPr>
      <w:fldChar w:fldCharType="begin"/>
    </w:r>
    <w:r w:rsidRPr="00D979EA">
      <w:rPr>
        <w:rFonts w:cs="Arial"/>
      </w:rPr>
      <w:instrText xml:space="preserve"> PAGE   \* MERGEFORMAT </w:instrText>
    </w:r>
    <w:r w:rsidRPr="00D979EA">
      <w:rPr>
        <w:rFonts w:cs="Arial"/>
      </w:rPr>
      <w:fldChar w:fldCharType="separate"/>
    </w:r>
    <w:r w:rsidR="003056FA">
      <w:rPr>
        <w:rFonts w:cs="Arial"/>
        <w:noProof/>
      </w:rPr>
      <w:t>4</w:t>
    </w:r>
    <w:r w:rsidRPr="00D979EA">
      <w:rPr>
        <w:rFonts w:cs="Arial"/>
        <w:noProof/>
      </w:rPr>
      <w:fldChar w:fldCharType="end"/>
    </w:r>
    <w:r>
      <w:rPr>
        <w:rFonts w:cs="Arial"/>
      </w:rPr>
      <w:t xml:space="preserve"> of 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057D6" w14:textId="77777777" w:rsidR="00E36304" w:rsidRDefault="00E36304" w:rsidP="00A26FD8">
    <w:pPr>
      <w:pStyle w:val="Header"/>
      <w:jc w:val="right"/>
      <w:rPr>
        <w:rFonts w:cs="Arial"/>
        <w:color w:val="000000"/>
      </w:rPr>
    </w:pPr>
    <w:proofErr w:type="gramStart"/>
    <w:r>
      <w:rPr>
        <w:rFonts w:cs="Arial"/>
        <w:color w:val="000000"/>
      </w:rPr>
      <w:t>memo-pptb-amard-feb18item02</w:t>
    </w:r>
    <w:proofErr w:type="gramEnd"/>
  </w:p>
  <w:p w14:paraId="2F16A1EE" w14:textId="08223DBF" w:rsidR="00E36304" w:rsidRDefault="00E36304" w:rsidP="00A26FD8">
    <w:pPr>
      <w:pStyle w:val="Header"/>
      <w:jc w:val="right"/>
      <w:rPr>
        <w:rFonts w:cs="Arial"/>
        <w:color w:val="000000"/>
      </w:rPr>
    </w:pPr>
    <w:r>
      <w:rPr>
        <w:rFonts w:cs="Arial"/>
        <w:color w:val="000000"/>
      </w:rPr>
      <w:t>Appendix A</w:t>
    </w:r>
  </w:p>
  <w:p w14:paraId="7C7032F3" w14:textId="2D46F016" w:rsidR="00E36304" w:rsidRDefault="00E36304" w:rsidP="00500458">
    <w:pPr>
      <w:pStyle w:val="Header"/>
      <w:spacing w:after="240"/>
      <w:jc w:val="right"/>
    </w:pPr>
    <w:r>
      <w:rPr>
        <w:rFonts w:cs="Arial"/>
      </w:rPr>
      <w:t xml:space="preserve">Page </w:t>
    </w:r>
    <w:r w:rsidRPr="00D979EA">
      <w:rPr>
        <w:rFonts w:cs="Arial"/>
      </w:rPr>
      <w:fldChar w:fldCharType="begin"/>
    </w:r>
    <w:r w:rsidRPr="00D979EA">
      <w:rPr>
        <w:rFonts w:cs="Arial"/>
      </w:rPr>
      <w:instrText xml:space="preserve"> PAGE   \* MERGEFORMAT </w:instrText>
    </w:r>
    <w:r w:rsidRPr="00D979EA">
      <w:rPr>
        <w:rFonts w:cs="Arial"/>
      </w:rPr>
      <w:fldChar w:fldCharType="separate"/>
    </w:r>
    <w:r w:rsidR="003056FA">
      <w:rPr>
        <w:rFonts w:cs="Arial"/>
        <w:noProof/>
      </w:rPr>
      <w:t>1</w:t>
    </w:r>
    <w:r w:rsidRPr="00D979EA">
      <w:rPr>
        <w:rFonts w:cs="Arial"/>
        <w:noProof/>
      </w:rPr>
      <w:fldChar w:fldCharType="end"/>
    </w:r>
    <w:r>
      <w:rPr>
        <w:rFonts w:cs="Arial"/>
      </w:rPr>
      <w:t xml:space="preserve"> of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51740"/>
    <w:multiLevelType w:val="hybridMultilevel"/>
    <w:tmpl w:val="88FE0B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20B83"/>
    <w:multiLevelType w:val="hybridMultilevel"/>
    <w:tmpl w:val="BD18DF4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76E98"/>
    <w:multiLevelType w:val="hybridMultilevel"/>
    <w:tmpl w:val="0C5CA446"/>
    <w:lvl w:ilvl="0" w:tplc="04090015">
      <w:start w:val="1"/>
      <w:numFmt w:val="upperLetter"/>
      <w:lvlText w:val="%1."/>
      <w:lvlJc w:val="left"/>
      <w:pPr>
        <w:ind w:left="720" w:hanging="360"/>
      </w:pPr>
    </w:lvl>
    <w:lvl w:ilvl="1" w:tplc="04090003">
      <w:start w:val="1"/>
      <w:numFmt w:val="bullet"/>
      <w:lvlText w:val="o"/>
      <w:lvlJc w:val="left"/>
      <w:pPr>
        <w:ind w:left="1440" w:hanging="360"/>
      </w:pPr>
      <w:rPr>
        <w:rFonts w:ascii="Courier New" w:hAnsi="Courier New" w:cs="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526AB"/>
    <w:multiLevelType w:val="hybridMultilevel"/>
    <w:tmpl w:val="3434FABC"/>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5" w15:restartNumberingAfterBreak="0">
    <w:nsid w:val="0FE60C7B"/>
    <w:multiLevelType w:val="hybridMultilevel"/>
    <w:tmpl w:val="83EC9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C4AFA"/>
    <w:multiLevelType w:val="hybridMultilevel"/>
    <w:tmpl w:val="5C7EE15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70E167C"/>
    <w:multiLevelType w:val="hybridMultilevel"/>
    <w:tmpl w:val="7428B6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94A4D"/>
    <w:multiLevelType w:val="hybridMultilevel"/>
    <w:tmpl w:val="488A48E0"/>
    <w:lvl w:ilvl="0" w:tplc="04090015">
      <w:start w:val="1"/>
      <w:numFmt w:val="upperLetter"/>
      <w:lvlText w:val="%1."/>
      <w:lvlJc w:val="left"/>
      <w:pPr>
        <w:ind w:left="720" w:hanging="360"/>
      </w:pPr>
    </w:lvl>
    <w:lvl w:ilvl="1" w:tplc="3AE02B20">
      <w:numFmt w:val="bullet"/>
      <w:lvlText w:val="-"/>
      <w:lvlJc w:val="left"/>
      <w:pPr>
        <w:ind w:left="1440" w:hanging="360"/>
      </w:pPr>
      <w:rPr>
        <w:rFonts w:ascii="Calibri" w:eastAsia="Calibri"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C048E6"/>
    <w:multiLevelType w:val="hybridMultilevel"/>
    <w:tmpl w:val="D542E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374F1"/>
    <w:multiLevelType w:val="hybridMultilevel"/>
    <w:tmpl w:val="FE6AE028"/>
    <w:lvl w:ilvl="0" w:tplc="04090001">
      <w:start w:val="1"/>
      <w:numFmt w:val="bullet"/>
      <w:lvlText w:val=""/>
      <w:lvlJc w:val="left"/>
      <w:pPr>
        <w:ind w:left="720" w:hanging="360"/>
      </w:pPr>
      <w:rPr>
        <w:rFonts w:ascii="Symbol" w:hAnsi="Symbol" w:hint="default"/>
      </w:rPr>
    </w:lvl>
    <w:lvl w:ilvl="1" w:tplc="3AE02B20">
      <w:numFmt w:val="bullet"/>
      <w:lvlText w:val="-"/>
      <w:lvlJc w:val="left"/>
      <w:pPr>
        <w:ind w:left="1440" w:hanging="360"/>
      </w:pPr>
      <w:rPr>
        <w:rFonts w:ascii="Calibri" w:eastAsia="Calibri"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D6C43"/>
    <w:multiLevelType w:val="hybridMultilevel"/>
    <w:tmpl w:val="3E4E95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1B6275"/>
    <w:multiLevelType w:val="hybridMultilevel"/>
    <w:tmpl w:val="787A6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3F0387"/>
    <w:multiLevelType w:val="hybridMultilevel"/>
    <w:tmpl w:val="14961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402BD1"/>
    <w:multiLevelType w:val="hybridMultilevel"/>
    <w:tmpl w:val="673C0196"/>
    <w:lvl w:ilvl="0" w:tplc="0409000F">
      <w:start w:val="1"/>
      <w:numFmt w:val="decimal"/>
      <w:lvlText w:val="%1."/>
      <w:lvlJc w:val="left"/>
      <w:pPr>
        <w:ind w:left="916" w:hanging="360"/>
      </w:p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15" w15:restartNumberingAfterBreak="0">
    <w:nsid w:val="2A5713D7"/>
    <w:multiLevelType w:val="hybridMultilevel"/>
    <w:tmpl w:val="A802F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3D4D53"/>
    <w:multiLevelType w:val="hybridMultilevel"/>
    <w:tmpl w:val="4F2E1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2257E6"/>
    <w:multiLevelType w:val="hybridMultilevel"/>
    <w:tmpl w:val="9A92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B25DF0"/>
    <w:multiLevelType w:val="hybridMultilevel"/>
    <w:tmpl w:val="357E9D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0734D1"/>
    <w:multiLevelType w:val="hybridMultilevel"/>
    <w:tmpl w:val="A5EAA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4A708D"/>
    <w:multiLevelType w:val="hybridMultilevel"/>
    <w:tmpl w:val="49EA0EC8"/>
    <w:lvl w:ilvl="0" w:tplc="04090003">
      <w:start w:val="1"/>
      <w:numFmt w:val="bullet"/>
      <w:lvlText w:val="o"/>
      <w:lvlJc w:val="left"/>
      <w:pPr>
        <w:ind w:left="720" w:hanging="360"/>
      </w:pPr>
      <w:rPr>
        <w:rFonts w:ascii="Courier New" w:hAnsi="Courier New" w:cs="Symbol" w:hint="default"/>
      </w:rPr>
    </w:lvl>
    <w:lvl w:ilvl="1" w:tplc="3AE02B20">
      <w:numFmt w:val="bullet"/>
      <w:lvlText w:val="-"/>
      <w:lvlJc w:val="left"/>
      <w:pPr>
        <w:ind w:left="1440" w:hanging="360"/>
      </w:pPr>
      <w:rPr>
        <w:rFonts w:ascii="Calibri" w:eastAsia="Calibri"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346E85"/>
    <w:multiLevelType w:val="hybridMultilevel"/>
    <w:tmpl w:val="8A8E0184"/>
    <w:lvl w:ilvl="0" w:tplc="5CEAF8BC">
      <w:start w:val="1"/>
      <w:numFmt w:val="bullet"/>
      <w:lvlText w:val="-"/>
      <w:lvlJc w:val="left"/>
      <w:pPr>
        <w:tabs>
          <w:tab w:val="num" w:pos="720"/>
        </w:tabs>
        <w:ind w:left="720" w:hanging="360"/>
      </w:pPr>
      <w:rPr>
        <w:rFonts w:ascii="Arial" w:hAnsi="Arial" w:hint="default"/>
      </w:rPr>
    </w:lvl>
    <w:lvl w:ilvl="1" w:tplc="D17068CC">
      <w:start w:val="1"/>
      <w:numFmt w:val="bullet"/>
      <w:lvlText w:val="-"/>
      <w:lvlJc w:val="left"/>
      <w:pPr>
        <w:tabs>
          <w:tab w:val="num" w:pos="1440"/>
        </w:tabs>
        <w:ind w:left="1440" w:hanging="360"/>
      </w:pPr>
      <w:rPr>
        <w:rFonts w:ascii="Arial" w:hAnsi="Arial" w:hint="default"/>
      </w:rPr>
    </w:lvl>
    <w:lvl w:ilvl="2" w:tplc="B0C64382" w:tentative="1">
      <w:start w:val="1"/>
      <w:numFmt w:val="bullet"/>
      <w:lvlText w:val="-"/>
      <w:lvlJc w:val="left"/>
      <w:pPr>
        <w:tabs>
          <w:tab w:val="num" w:pos="2160"/>
        </w:tabs>
        <w:ind w:left="2160" w:hanging="360"/>
      </w:pPr>
      <w:rPr>
        <w:rFonts w:ascii="Arial" w:hAnsi="Arial" w:hint="default"/>
      </w:rPr>
    </w:lvl>
    <w:lvl w:ilvl="3" w:tplc="54049316" w:tentative="1">
      <w:start w:val="1"/>
      <w:numFmt w:val="bullet"/>
      <w:lvlText w:val="-"/>
      <w:lvlJc w:val="left"/>
      <w:pPr>
        <w:tabs>
          <w:tab w:val="num" w:pos="2880"/>
        </w:tabs>
        <w:ind w:left="2880" w:hanging="360"/>
      </w:pPr>
      <w:rPr>
        <w:rFonts w:ascii="Arial" w:hAnsi="Arial" w:hint="default"/>
      </w:rPr>
    </w:lvl>
    <w:lvl w:ilvl="4" w:tplc="51E2DE26" w:tentative="1">
      <w:start w:val="1"/>
      <w:numFmt w:val="bullet"/>
      <w:lvlText w:val="-"/>
      <w:lvlJc w:val="left"/>
      <w:pPr>
        <w:tabs>
          <w:tab w:val="num" w:pos="3600"/>
        </w:tabs>
        <w:ind w:left="3600" w:hanging="360"/>
      </w:pPr>
      <w:rPr>
        <w:rFonts w:ascii="Arial" w:hAnsi="Arial" w:hint="default"/>
      </w:rPr>
    </w:lvl>
    <w:lvl w:ilvl="5" w:tplc="E3F6D800" w:tentative="1">
      <w:start w:val="1"/>
      <w:numFmt w:val="bullet"/>
      <w:lvlText w:val="-"/>
      <w:lvlJc w:val="left"/>
      <w:pPr>
        <w:tabs>
          <w:tab w:val="num" w:pos="4320"/>
        </w:tabs>
        <w:ind w:left="4320" w:hanging="360"/>
      </w:pPr>
      <w:rPr>
        <w:rFonts w:ascii="Arial" w:hAnsi="Arial" w:hint="default"/>
      </w:rPr>
    </w:lvl>
    <w:lvl w:ilvl="6" w:tplc="06C6508A" w:tentative="1">
      <w:start w:val="1"/>
      <w:numFmt w:val="bullet"/>
      <w:lvlText w:val="-"/>
      <w:lvlJc w:val="left"/>
      <w:pPr>
        <w:tabs>
          <w:tab w:val="num" w:pos="5040"/>
        </w:tabs>
        <w:ind w:left="5040" w:hanging="360"/>
      </w:pPr>
      <w:rPr>
        <w:rFonts w:ascii="Arial" w:hAnsi="Arial" w:hint="default"/>
      </w:rPr>
    </w:lvl>
    <w:lvl w:ilvl="7" w:tplc="236C69AA" w:tentative="1">
      <w:start w:val="1"/>
      <w:numFmt w:val="bullet"/>
      <w:lvlText w:val="-"/>
      <w:lvlJc w:val="left"/>
      <w:pPr>
        <w:tabs>
          <w:tab w:val="num" w:pos="5760"/>
        </w:tabs>
        <w:ind w:left="5760" w:hanging="360"/>
      </w:pPr>
      <w:rPr>
        <w:rFonts w:ascii="Arial" w:hAnsi="Arial" w:hint="default"/>
      </w:rPr>
    </w:lvl>
    <w:lvl w:ilvl="8" w:tplc="FA2E693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DC02A1E"/>
    <w:multiLevelType w:val="hybridMultilevel"/>
    <w:tmpl w:val="75FE2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E23872"/>
    <w:multiLevelType w:val="hybridMultilevel"/>
    <w:tmpl w:val="5858B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651AA2"/>
    <w:multiLevelType w:val="hybridMultilevel"/>
    <w:tmpl w:val="DFB48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F062CA"/>
    <w:multiLevelType w:val="hybridMultilevel"/>
    <w:tmpl w:val="6CA46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04660B"/>
    <w:multiLevelType w:val="hybridMultilevel"/>
    <w:tmpl w:val="F2960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0359D9"/>
    <w:multiLevelType w:val="hybridMultilevel"/>
    <w:tmpl w:val="578CF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1206FC"/>
    <w:multiLevelType w:val="hybridMultilevel"/>
    <w:tmpl w:val="4866B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76132C"/>
    <w:multiLevelType w:val="hybridMultilevel"/>
    <w:tmpl w:val="8C38D45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0" w15:restartNumberingAfterBreak="0">
    <w:nsid w:val="514D4633"/>
    <w:multiLevelType w:val="hybridMultilevel"/>
    <w:tmpl w:val="C56EB46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1" w15:restartNumberingAfterBreak="0">
    <w:nsid w:val="5570765D"/>
    <w:multiLevelType w:val="hybridMultilevel"/>
    <w:tmpl w:val="77625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82771D"/>
    <w:multiLevelType w:val="hybridMultilevel"/>
    <w:tmpl w:val="B0ECDE2C"/>
    <w:lvl w:ilvl="0" w:tplc="0409000F">
      <w:start w:val="1"/>
      <w:numFmt w:val="decimal"/>
      <w:lvlText w:val="%1."/>
      <w:lvlJc w:val="left"/>
      <w:pPr>
        <w:ind w:left="791" w:hanging="360"/>
      </w:p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33" w15:restartNumberingAfterBreak="0">
    <w:nsid w:val="56913969"/>
    <w:multiLevelType w:val="hybridMultilevel"/>
    <w:tmpl w:val="662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7A07C1"/>
    <w:multiLevelType w:val="hybridMultilevel"/>
    <w:tmpl w:val="337EE04A"/>
    <w:lvl w:ilvl="0" w:tplc="1EDC340A">
      <w:numFmt w:val="bullet"/>
      <w:lvlText w:val="•"/>
      <w:lvlJc w:val="left"/>
      <w:pPr>
        <w:ind w:left="1080" w:hanging="180"/>
      </w:pPr>
      <w:rPr>
        <w:rFonts w:ascii="Arial Narrow" w:eastAsia="Arial Narrow" w:hAnsi="Arial Narrow" w:cs="Arial Narrow" w:hint="default"/>
        <w:color w:val="231F20"/>
        <w:w w:val="99"/>
        <w:sz w:val="24"/>
        <w:szCs w:val="24"/>
      </w:rPr>
    </w:lvl>
    <w:lvl w:ilvl="1" w:tplc="E924AF3C">
      <w:numFmt w:val="bullet"/>
      <w:lvlText w:val="•"/>
      <w:lvlJc w:val="left"/>
      <w:pPr>
        <w:ind w:left="1774" w:hanging="180"/>
      </w:pPr>
      <w:rPr>
        <w:rFonts w:hint="default"/>
      </w:rPr>
    </w:lvl>
    <w:lvl w:ilvl="2" w:tplc="37EA6C18">
      <w:numFmt w:val="bullet"/>
      <w:lvlText w:val="•"/>
      <w:lvlJc w:val="left"/>
      <w:pPr>
        <w:ind w:left="2469" w:hanging="180"/>
      </w:pPr>
      <w:rPr>
        <w:rFonts w:hint="default"/>
      </w:rPr>
    </w:lvl>
    <w:lvl w:ilvl="3" w:tplc="77C2E668">
      <w:numFmt w:val="bullet"/>
      <w:lvlText w:val="•"/>
      <w:lvlJc w:val="left"/>
      <w:pPr>
        <w:ind w:left="3164" w:hanging="180"/>
      </w:pPr>
      <w:rPr>
        <w:rFonts w:hint="default"/>
      </w:rPr>
    </w:lvl>
    <w:lvl w:ilvl="4" w:tplc="E8A45976">
      <w:numFmt w:val="bullet"/>
      <w:lvlText w:val="•"/>
      <w:lvlJc w:val="left"/>
      <w:pPr>
        <w:ind w:left="3859" w:hanging="180"/>
      </w:pPr>
      <w:rPr>
        <w:rFonts w:hint="default"/>
      </w:rPr>
    </w:lvl>
    <w:lvl w:ilvl="5" w:tplc="57942562">
      <w:numFmt w:val="bullet"/>
      <w:lvlText w:val="•"/>
      <w:lvlJc w:val="left"/>
      <w:pPr>
        <w:ind w:left="4554" w:hanging="180"/>
      </w:pPr>
      <w:rPr>
        <w:rFonts w:hint="default"/>
      </w:rPr>
    </w:lvl>
    <w:lvl w:ilvl="6" w:tplc="8E40C97A">
      <w:numFmt w:val="bullet"/>
      <w:lvlText w:val="•"/>
      <w:lvlJc w:val="left"/>
      <w:pPr>
        <w:ind w:left="5248" w:hanging="180"/>
      </w:pPr>
      <w:rPr>
        <w:rFonts w:hint="default"/>
      </w:rPr>
    </w:lvl>
    <w:lvl w:ilvl="7" w:tplc="08D05EDE">
      <w:numFmt w:val="bullet"/>
      <w:lvlText w:val="•"/>
      <w:lvlJc w:val="left"/>
      <w:pPr>
        <w:ind w:left="5943" w:hanging="180"/>
      </w:pPr>
      <w:rPr>
        <w:rFonts w:hint="default"/>
      </w:rPr>
    </w:lvl>
    <w:lvl w:ilvl="8" w:tplc="C67ABC0A">
      <w:numFmt w:val="bullet"/>
      <w:lvlText w:val="•"/>
      <w:lvlJc w:val="left"/>
      <w:pPr>
        <w:ind w:left="6638" w:hanging="180"/>
      </w:pPr>
      <w:rPr>
        <w:rFonts w:hint="default"/>
      </w:rPr>
    </w:lvl>
  </w:abstractNum>
  <w:abstractNum w:abstractNumId="35" w15:restartNumberingAfterBreak="0">
    <w:nsid w:val="5C602447"/>
    <w:multiLevelType w:val="hybridMultilevel"/>
    <w:tmpl w:val="BC9400CA"/>
    <w:lvl w:ilvl="0" w:tplc="04090015">
      <w:start w:val="1"/>
      <w:numFmt w:val="upperLetter"/>
      <w:lvlText w:val="%1."/>
      <w:lvlJc w:val="left"/>
      <w:pPr>
        <w:ind w:left="720" w:hanging="360"/>
      </w:pPr>
    </w:lvl>
    <w:lvl w:ilvl="1" w:tplc="04090003">
      <w:start w:val="1"/>
      <w:numFmt w:val="bullet"/>
      <w:lvlText w:val="o"/>
      <w:lvlJc w:val="left"/>
      <w:pPr>
        <w:ind w:left="1440" w:hanging="360"/>
      </w:pPr>
      <w:rPr>
        <w:rFonts w:ascii="Courier New" w:hAnsi="Courier New" w:cs="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973F5E"/>
    <w:multiLevelType w:val="hybridMultilevel"/>
    <w:tmpl w:val="C3BCA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17721A"/>
    <w:multiLevelType w:val="hybridMultilevel"/>
    <w:tmpl w:val="2E3AB2E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EF25A7"/>
    <w:multiLevelType w:val="hybridMultilevel"/>
    <w:tmpl w:val="4F8E488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9" w15:restartNumberingAfterBreak="0">
    <w:nsid w:val="6B2E026C"/>
    <w:multiLevelType w:val="hybridMultilevel"/>
    <w:tmpl w:val="391EAFC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0" w15:restartNumberingAfterBreak="0">
    <w:nsid w:val="72F74110"/>
    <w:multiLevelType w:val="hybridMultilevel"/>
    <w:tmpl w:val="B0785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9E473A"/>
    <w:multiLevelType w:val="hybridMultilevel"/>
    <w:tmpl w:val="A0DCB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B13656"/>
    <w:multiLevelType w:val="hybridMultilevel"/>
    <w:tmpl w:val="7548E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793088"/>
    <w:multiLevelType w:val="hybridMultilevel"/>
    <w:tmpl w:val="21CAB6EC"/>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44" w15:restartNumberingAfterBreak="0">
    <w:nsid w:val="7BA122E1"/>
    <w:multiLevelType w:val="hybridMultilevel"/>
    <w:tmpl w:val="A8FAF206"/>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num w:numId="1">
    <w:abstractNumId w:val="14"/>
  </w:num>
  <w:num w:numId="2">
    <w:abstractNumId w:val="32"/>
  </w:num>
  <w:num w:numId="3">
    <w:abstractNumId w:val="0"/>
  </w:num>
  <w:num w:numId="4">
    <w:abstractNumId w:val="33"/>
  </w:num>
  <w:num w:numId="5">
    <w:abstractNumId w:val="42"/>
  </w:num>
  <w:num w:numId="6">
    <w:abstractNumId w:val="1"/>
  </w:num>
  <w:num w:numId="7">
    <w:abstractNumId w:val="16"/>
  </w:num>
  <w:num w:numId="8">
    <w:abstractNumId w:val="38"/>
  </w:num>
  <w:num w:numId="9">
    <w:abstractNumId w:val="37"/>
  </w:num>
  <w:num w:numId="10">
    <w:abstractNumId w:val="26"/>
  </w:num>
  <w:num w:numId="11">
    <w:abstractNumId w:val="23"/>
  </w:num>
  <w:num w:numId="12">
    <w:abstractNumId w:val="6"/>
  </w:num>
  <w:num w:numId="13">
    <w:abstractNumId w:val="17"/>
  </w:num>
  <w:num w:numId="14">
    <w:abstractNumId w:val="22"/>
  </w:num>
  <w:num w:numId="15">
    <w:abstractNumId w:val="31"/>
  </w:num>
  <w:num w:numId="16">
    <w:abstractNumId w:val="44"/>
  </w:num>
  <w:num w:numId="17">
    <w:abstractNumId w:val="28"/>
  </w:num>
  <w:num w:numId="18">
    <w:abstractNumId w:val="27"/>
  </w:num>
  <w:num w:numId="19">
    <w:abstractNumId w:val="5"/>
  </w:num>
  <w:num w:numId="20">
    <w:abstractNumId w:val="19"/>
  </w:num>
  <w:num w:numId="21">
    <w:abstractNumId w:val="25"/>
  </w:num>
  <w:num w:numId="22">
    <w:abstractNumId w:val="12"/>
  </w:num>
  <w:num w:numId="23">
    <w:abstractNumId w:val="43"/>
  </w:num>
  <w:num w:numId="24">
    <w:abstractNumId w:val="39"/>
  </w:num>
  <w:num w:numId="25">
    <w:abstractNumId w:val="11"/>
  </w:num>
  <w:num w:numId="26">
    <w:abstractNumId w:val="9"/>
  </w:num>
  <w:num w:numId="27">
    <w:abstractNumId w:val="21"/>
  </w:num>
  <w:num w:numId="28">
    <w:abstractNumId w:val="2"/>
  </w:num>
  <w:num w:numId="29">
    <w:abstractNumId w:val="30"/>
  </w:num>
  <w:num w:numId="30">
    <w:abstractNumId w:val="4"/>
  </w:num>
  <w:num w:numId="31">
    <w:abstractNumId w:val="7"/>
  </w:num>
  <w:num w:numId="32">
    <w:abstractNumId w:val="41"/>
  </w:num>
  <w:num w:numId="33">
    <w:abstractNumId w:val="24"/>
  </w:num>
  <w:num w:numId="34">
    <w:abstractNumId w:val="13"/>
  </w:num>
  <w:num w:numId="35">
    <w:abstractNumId w:val="36"/>
  </w:num>
  <w:num w:numId="36">
    <w:abstractNumId w:val="29"/>
  </w:num>
  <w:num w:numId="37">
    <w:abstractNumId w:val="15"/>
  </w:num>
  <w:num w:numId="38">
    <w:abstractNumId w:val="8"/>
  </w:num>
  <w:num w:numId="39">
    <w:abstractNumId w:val="18"/>
  </w:num>
  <w:num w:numId="40">
    <w:abstractNumId w:val="40"/>
  </w:num>
  <w:num w:numId="41">
    <w:abstractNumId w:val="3"/>
  </w:num>
  <w:num w:numId="42">
    <w:abstractNumId w:val="35"/>
  </w:num>
  <w:num w:numId="43">
    <w:abstractNumId w:val="20"/>
  </w:num>
  <w:num w:numId="44">
    <w:abstractNumId w:val="10"/>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A96"/>
    <w:rsid w:val="000269EA"/>
    <w:rsid w:val="0003429A"/>
    <w:rsid w:val="00034DC1"/>
    <w:rsid w:val="000444C5"/>
    <w:rsid w:val="0004566B"/>
    <w:rsid w:val="00053B2A"/>
    <w:rsid w:val="00055CCC"/>
    <w:rsid w:val="00057A96"/>
    <w:rsid w:val="00070010"/>
    <w:rsid w:val="00070096"/>
    <w:rsid w:val="00073D25"/>
    <w:rsid w:val="0007407C"/>
    <w:rsid w:val="0007463C"/>
    <w:rsid w:val="00077927"/>
    <w:rsid w:val="00081BA5"/>
    <w:rsid w:val="00082814"/>
    <w:rsid w:val="000A2750"/>
    <w:rsid w:val="000B4355"/>
    <w:rsid w:val="000C0DD8"/>
    <w:rsid w:val="000C139F"/>
    <w:rsid w:val="000E43F3"/>
    <w:rsid w:val="00102474"/>
    <w:rsid w:val="00104D88"/>
    <w:rsid w:val="00106EBA"/>
    <w:rsid w:val="00113071"/>
    <w:rsid w:val="001147C7"/>
    <w:rsid w:val="00133659"/>
    <w:rsid w:val="00135492"/>
    <w:rsid w:val="001440BC"/>
    <w:rsid w:val="001600F9"/>
    <w:rsid w:val="0016173B"/>
    <w:rsid w:val="00163B5E"/>
    <w:rsid w:val="001648E9"/>
    <w:rsid w:val="00165B63"/>
    <w:rsid w:val="00177AA7"/>
    <w:rsid w:val="00184DEF"/>
    <w:rsid w:val="00186C28"/>
    <w:rsid w:val="00187387"/>
    <w:rsid w:val="001918DE"/>
    <w:rsid w:val="001946D5"/>
    <w:rsid w:val="00194F5C"/>
    <w:rsid w:val="001B454D"/>
    <w:rsid w:val="001B64EA"/>
    <w:rsid w:val="001C0A83"/>
    <w:rsid w:val="001C108F"/>
    <w:rsid w:val="001C3CF0"/>
    <w:rsid w:val="001D5144"/>
    <w:rsid w:val="001E1898"/>
    <w:rsid w:val="001E2492"/>
    <w:rsid w:val="001E2634"/>
    <w:rsid w:val="001E5E27"/>
    <w:rsid w:val="001F1BB0"/>
    <w:rsid w:val="001F55EB"/>
    <w:rsid w:val="0020372A"/>
    <w:rsid w:val="00210C87"/>
    <w:rsid w:val="00214735"/>
    <w:rsid w:val="00217DEB"/>
    <w:rsid w:val="002271C7"/>
    <w:rsid w:val="002275AB"/>
    <w:rsid w:val="00232192"/>
    <w:rsid w:val="00237F43"/>
    <w:rsid w:val="002408E4"/>
    <w:rsid w:val="002422DB"/>
    <w:rsid w:val="002452D2"/>
    <w:rsid w:val="00254059"/>
    <w:rsid w:val="00267259"/>
    <w:rsid w:val="002811F1"/>
    <w:rsid w:val="00281E35"/>
    <w:rsid w:val="00285998"/>
    <w:rsid w:val="0029286A"/>
    <w:rsid w:val="002A2FA9"/>
    <w:rsid w:val="002A552B"/>
    <w:rsid w:val="002B5059"/>
    <w:rsid w:val="002B544E"/>
    <w:rsid w:val="002C0474"/>
    <w:rsid w:val="002C60BC"/>
    <w:rsid w:val="002D59DD"/>
    <w:rsid w:val="002D5FB7"/>
    <w:rsid w:val="002D6195"/>
    <w:rsid w:val="002E0E6A"/>
    <w:rsid w:val="002F38D3"/>
    <w:rsid w:val="003056FA"/>
    <w:rsid w:val="00314336"/>
    <w:rsid w:val="003216AB"/>
    <w:rsid w:val="00321D49"/>
    <w:rsid w:val="00322C00"/>
    <w:rsid w:val="00325EAA"/>
    <w:rsid w:val="0033616F"/>
    <w:rsid w:val="00364C1F"/>
    <w:rsid w:val="00373FBD"/>
    <w:rsid w:val="003A0019"/>
    <w:rsid w:val="003A40A8"/>
    <w:rsid w:val="003A50A2"/>
    <w:rsid w:val="003B7ADC"/>
    <w:rsid w:val="003D2374"/>
    <w:rsid w:val="003D34CB"/>
    <w:rsid w:val="003E0307"/>
    <w:rsid w:val="003E3B94"/>
    <w:rsid w:val="003F0FC1"/>
    <w:rsid w:val="003F3185"/>
    <w:rsid w:val="003F7997"/>
    <w:rsid w:val="00401E17"/>
    <w:rsid w:val="004033D1"/>
    <w:rsid w:val="00404320"/>
    <w:rsid w:val="00421DE3"/>
    <w:rsid w:val="00431172"/>
    <w:rsid w:val="00431787"/>
    <w:rsid w:val="004320F4"/>
    <w:rsid w:val="00432E3C"/>
    <w:rsid w:val="004340FE"/>
    <w:rsid w:val="004369EC"/>
    <w:rsid w:val="00453E7B"/>
    <w:rsid w:val="00455CA7"/>
    <w:rsid w:val="004727C9"/>
    <w:rsid w:val="00474A2F"/>
    <w:rsid w:val="00481AE3"/>
    <w:rsid w:val="0048305F"/>
    <w:rsid w:val="00484B9C"/>
    <w:rsid w:val="00486911"/>
    <w:rsid w:val="0049606D"/>
    <w:rsid w:val="004A21AF"/>
    <w:rsid w:val="004A3F0A"/>
    <w:rsid w:val="004B2006"/>
    <w:rsid w:val="004B6BDA"/>
    <w:rsid w:val="004C5E04"/>
    <w:rsid w:val="004D68A4"/>
    <w:rsid w:val="004E1144"/>
    <w:rsid w:val="004E121C"/>
    <w:rsid w:val="004E3142"/>
    <w:rsid w:val="004E61E1"/>
    <w:rsid w:val="004E70D6"/>
    <w:rsid w:val="004F2DE1"/>
    <w:rsid w:val="00500458"/>
    <w:rsid w:val="00507DC0"/>
    <w:rsid w:val="0051479B"/>
    <w:rsid w:val="00516D57"/>
    <w:rsid w:val="005229B8"/>
    <w:rsid w:val="005246E4"/>
    <w:rsid w:val="0054334A"/>
    <w:rsid w:val="00546321"/>
    <w:rsid w:val="005464C1"/>
    <w:rsid w:val="00554D78"/>
    <w:rsid w:val="005729B8"/>
    <w:rsid w:val="00580B18"/>
    <w:rsid w:val="00582FBC"/>
    <w:rsid w:val="00593B50"/>
    <w:rsid w:val="00596B98"/>
    <w:rsid w:val="005A12D4"/>
    <w:rsid w:val="005B1325"/>
    <w:rsid w:val="005B1B0D"/>
    <w:rsid w:val="005B56DD"/>
    <w:rsid w:val="005B6A20"/>
    <w:rsid w:val="005C127C"/>
    <w:rsid w:val="005C5A02"/>
    <w:rsid w:val="005D0FE1"/>
    <w:rsid w:val="005D600A"/>
    <w:rsid w:val="005E0955"/>
    <w:rsid w:val="00605DB3"/>
    <w:rsid w:val="00606DFF"/>
    <w:rsid w:val="00611EC4"/>
    <w:rsid w:val="006332BB"/>
    <w:rsid w:val="00637D41"/>
    <w:rsid w:val="00640612"/>
    <w:rsid w:val="006457CC"/>
    <w:rsid w:val="00652AE5"/>
    <w:rsid w:val="0065388D"/>
    <w:rsid w:val="00654A8C"/>
    <w:rsid w:val="006612E9"/>
    <w:rsid w:val="006717EF"/>
    <w:rsid w:val="006725F3"/>
    <w:rsid w:val="006764AC"/>
    <w:rsid w:val="0068105F"/>
    <w:rsid w:val="00681207"/>
    <w:rsid w:val="006978AC"/>
    <w:rsid w:val="006A75ED"/>
    <w:rsid w:val="006B1EBA"/>
    <w:rsid w:val="006B617B"/>
    <w:rsid w:val="006E063A"/>
    <w:rsid w:val="006E1CD1"/>
    <w:rsid w:val="006E41E2"/>
    <w:rsid w:val="006E5A67"/>
    <w:rsid w:val="006F0AE5"/>
    <w:rsid w:val="006F21EF"/>
    <w:rsid w:val="007024D8"/>
    <w:rsid w:val="0071243D"/>
    <w:rsid w:val="00724310"/>
    <w:rsid w:val="00726E76"/>
    <w:rsid w:val="00731B8A"/>
    <w:rsid w:val="00744B93"/>
    <w:rsid w:val="00746C56"/>
    <w:rsid w:val="00752D02"/>
    <w:rsid w:val="00757667"/>
    <w:rsid w:val="007667C4"/>
    <w:rsid w:val="00767175"/>
    <w:rsid w:val="007773D6"/>
    <w:rsid w:val="00777710"/>
    <w:rsid w:val="007811ED"/>
    <w:rsid w:val="0078126A"/>
    <w:rsid w:val="007A0CC6"/>
    <w:rsid w:val="007A2653"/>
    <w:rsid w:val="007A4291"/>
    <w:rsid w:val="007B2D72"/>
    <w:rsid w:val="007B3256"/>
    <w:rsid w:val="007B33B5"/>
    <w:rsid w:val="007B7CE7"/>
    <w:rsid w:val="007C4482"/>
    <w:rsid w:val="007C5D75"/>
    <w:rsid w:val="007D3B30"/>
    <w:rsid w:val="007D4B18"/>
    <w:rsid w:val="007D5325"/>
    <w:rsid w:val="0080060E"/>
    <w:rsid w:val="00804FD5"/>
    <w:rsid w:val="008053F1"/>
    <w:rsid w:val="00805F98"/>
    <w:rsid w:val="0081140E"/>
    <w:rsid w:val="008166D6"/>
    <w:rsid w:val="0082039A"/>
    <w:rsid w:val="008213F2"/>
    <w:rsid w:val="00822AEC"/>
    <w:rsid w:val="00826544"/>
    <w:rsid w:val="00827F68"/>
    <w:rsid w:val="00830DFA"/>
    <w:rsid w:val="0083165C"/>
    <w:rsid w:val="00831A88"/>
    <w:rsid w:val="00841035"/>
    <w:rsid w:val="00841620"/>
    <w:rsid w:val="00852F7D"/>
    <w:rsid w:val="00853E9D"/>
    <w:rsid w:val="00872993"/>
    <w:rsid w:val="00880293"/>
    <w:rsid w:val="00887865"/>
    <w:rsid w:val="00892150"/>
    <w:rsid w:val="008A2EA7"/>
    <w:rsid w:val="008B1135"/>
    <w:rsid w:val="008B2494"/>
    <w:rsid w:val="008B752B"/>
    <w:rsid w:val="008C0AC9"/>
    <w:rsid w:val="008C0D53"/>
    <w:rsid w:val="008C7B60"/>
    <w:rsid w:val="008D0FE2"/>
    <w:rsid w:val="008D2B05"/>
    <w:rsid w:val="008E4AC7"/>
    <w:rsid w:val="008E548A"/>
    <w:rsid w:val="008F4F2B"/>
    <w:rsid w:val="008F6CA0"/>
    <w:rsid w:val="00900BC1"/>
    <w:rsid w:val="00912A32"/>
    <w:rsid w:val="0092648C"/>
    <w:rsid w:val="00934086"/>
    <w:rsid w:val="009342CE"/>
    <w:rsid w:val="0094625D"/>
    <w:rsid w:val="009471FA"/>
    <w:rsid w:val="00957417"/>
    <w:rsid w:val="00961C20"/>
    <w:rsid w:val="00963290"/>
    <w:rsid w:val="00980A68"/>
    <w:rsid w:val="00982A10"/>
    <w:rsid w:val="00983414"/>
    <w:rsid w:val="00983D0E"/>
    <w:rsid w:val="00987995"/>
    <w:rsid w:val="009A1635"/>
    <w:rsid w:val="009B130F"/>
    <w:rsid w:val="009B3DE4"/>
    <w:rsid w:val="009C0C23"/>
    <w:rsid w:val="009C7F50"/>
    <w:rsid w:val="009D54C8"/>
    <w:rsid w:val="009E2596"/>
    <w:rsid w:val="009E4318"/>
    <w:rsid w:val="009F02FD"/>
    <w:rsid w:val="009F040F"/>
    <w:rsid w:val="00A05D80"/>
    <w:rsid w:val="00A10497"/>
    <w:rsid w:val="00A11875"/>
    <w:rsid w:val="00A24661"/>
    <w:rsid w:val="00A26FD8"/>
    <w:rsid w:val="00A2756E"/>
    <w:rsid w:val="00A27E37"/>
    <w:rsid w:val="00A35C73"/>
    <w:rsid w:val="00A368FB"/>
    <w:rsid w:val="00A428FB"/>
    <w:rsid w:val="00A4451E"/>
    <w:rsid w:val="00A5087C"/>
    <w:rsid w:val="00A50C3F"/>
    <w:rsid w:val="00A63443"/>
    <w:rsid w:val="00A77B13"/>
    <w:rsid w:val="00A82CC5"/>
    <w:rsid w:val="00A932D9"/>
    <w:rsid w:val="00A94E7F"/>
    <w:rsid w:val="00A9573E"/>
    <w:rsid w:val="00A97E13"/>
    <w:rsid w:val="00AA135A"/>
    <w:rsid w:val="00AB4C92"/>
    <w:rsid w:val="00AB6ACE"/>
    <w:rsid w:val="00AC122A"/>
    <w:rsid w:val="00AC4726"/>
    <w:rsid w:val="00AC531A"/>
    <w:rsid w:val="00AC5E4E"/>
    <w:rsid w:val="00AC5F22"/>
    <w:rsid w:val="00AD2039"/>
    <w:rsid w:val="00AD3474"/>
    <w:rsid w:val="00AE1294"/>
    <w:rsid w:val="00B0502F"/>
    <w:rsid w:val="00B10D11"/>
    <w:rsid w:val="00B214B6"/>
    <w:rsid w:val="00B22694"/>
    <w:rsid w:val="00B246AB"/>
    <w:rsid w:val="00B33D2D"/>
    <w:rsid w:val="00B372FA"/>
    <w:rsid w:val="00B41563"/>
    <w:rsid w:val="00B45D62"/>
    <w:rsid w:val="00B47344"/>
    <w:rsid w:val="00B62752"/>
    <w:rsid w:val="00B65197"/>
    <w:rsid w:val="00B70D31"/>
    <w:rsid w:val="00B71083"/>
    <w:rsid w:val="00B7362F"/>
    <w:rsid w:val="00B739B1"/>
    <w:rsid w:val="00B8400C"/>
    <w:rsid w:val="00B90342"/>
    <w:rsid w:val="00B912B8"/>
    <w:rsid w:val="00B94FC8"/>
    <w:rsid w:val="00B95D0E"/>
    <w:rsid w:val="00B96A2E"/>
    <w:rsid w:val="00BB18A0"/>
    <w:rsid w:val="00BB36E5"/>
    <w:rsid w:val="00BB7E76"/>
    <w:rsid w:val="00BC16D0"/>
    <w:rsid w:val="00BC3667"/>
    <w:rsid w:val="00BC376B"/>
    <w:rsid w:val="00BD5E71"/>
    <w:rsid w:val="00BE2A9E"/>
    <w:rsid w:val="00BF5656"/>
    <w:rsid w:val="00BF7F32"/>
    <w:rsid w:val="00C23D6E"/>
    <w:rsid w:val="00C25A0D"/>
    <w:rsid w:val="00C34DA1"/>
    <w:rsid w:val="00C368A4"/>
    <w:rsid w:val="00C37EFB"/>
    <w:rsid w:val="00C40F0C"/>
    <w:rsid w:val="00C420BB"/>
    <w:rsid w:val="00C464F1"/>
    <w:rsid w:val="00C553E1"/>
    <w:rsid w:val="00C61052"/>
    <w:rsid w:val="00C61F78"/>
    <w:rsid w:val="00C6264A"/>
    <w:rsid w:val="00C6518B"/>
    <w:rsid w:val="00C77AFD"/>
    <w:rsid w:val="00C863BE"/>
    <w:rsid w:val="00C9158F"/>
    <w:rsid w:val="00C93596"/>
    <w:rsid w:val="00CB3505"/>
    <w:rsid w:val="00CC5474"/>
    <w:rsid w:val="00CD0893"/>
    <w:rsid w:val="00CD0E1D"/>
    <w:rsid w:val="00CD2D58"/>
    <w:rsid w:val="00CD2FB8"/>
    <w:rsid w:val="00CD4998"/>
    <w:rsid w:val="00CE1317"/>
    <w:rsid w:val="00CF3066"/>
    <w:rsid w:val="00CF370D"/>
    <w:rsid w:val="00D048C7"/>
    <w:rsid w:val="00D059F3"/>
    <w:rsid w:val="00D05E83"/>
    <w:rsid w:val="00D11F3A"/>
    <w:rsid w:val="00D13049"/>
    <w:rsid w:val="00D2368F"/>
    <w:rsid w:val="00D33E47"/>
    <w:rsid w:val="00D40DE5"/>
    <w:rsid w:val="00D42168"/>
    <w:rsid w:val="00D453B9"/>
    <w:rsid w:val="00D569B3"/>
    <w:rsid w:val="00D81E7D"/>
    <w:rsid w:val="00D85DFE"/>
    <w:rsid w:val="00D900E3"/>
    <w:rsid w:val="00D979EA"/>
    <w:rsid w:val="00DA4E95"/>
    <w:rsid w:val="00DB54F7"/>
    <w:rsid w:val="00DC4496"/>
    <w:rsid w:val="00DC5FAA"/>
    <w:rsid w:val="00DD0838"/>
    <w:rsid w:val="00DE1739"/>
    <w:rsid w:val="00DF6044"/>
    <w:rsid w:val="00E01BDC"/>
    <w:rsid w:val="00E051AD"/>
    <w:rsid w:val="00E07F2A"/>
    <w:rsid w:val="00E13C54"/>
    <w:rsid w:val="00E165D2"/>
    <w:rsid w:val="00E25BAB"/>
    <w:rsid w:val="00E3257A"/>
    <w:rsid w:val="00E32FDC"/>
    <w:rsid w:val="00E36304"/>
    <w:rsid w:val="00E37564"/>
    <w:rsid w:val="00E47C44"/>
    <w:rsid w:val="00E8165E"/>
    <w:rsid w:val="00E82E68"/>
    <w:rsid w:val="00E86E8A"/>
    <w:rsid w:val="00E879A6"/>
    <w:rsid w:val="00E87D3C"/>
    <w:rsid w:val="00E933CA"/>
    <w:rsid w:val="00E94269"/>
    <w:rsid w:val="00E97474"/>
    <w:rsid w:val="00EA66B0"/>
    <w:rsid w:val="00EB3339"/>
    <w:rsid w:val="00EB749A"/>
    <w:rsid w:val="00EC3FF1"/>
    <w:rsid w:val="00EC5240"/>
    <w:rsid w:val="00EC6CF2"/>
    <w:rsid w:val="00ED65B8"/>
    <w:rsid w:val="00ED7B22"/>
    <w:rsid w:val="00EE31E9"/>
    <w:rsid w:val="00EE5204"/>
    <w:rsid w:val="00EF1C82"/>
    <w:rsid w:val="00EF4C29"/>
    <w:rsid w:val="00F01BD1"/>
    <w:rsid w:val="00F06887"/>
    <w:rsid w:val="00F13659"/>
    <w:rsid w:val="00F2790E"/>
    <w:rsid w:val="00F36D3E"/>
    <w:rsid w:val="00F379E2"/>
    <w:rsid w:val="00F37CA7"/>
    <w:rsid w:val="00F535B9"/>
    <w:rsid w:val="00F5585F"/>
    <w:rsid w:val="00F55C9E"/>
    <w:rsid w:val="00F567D9"/>
    <w:rsid w:val="00F569F5"/>
    <w:rsid w:val="00F651C1"/>
    <w:rsid w:val="00F67433"/>
    <w:rsid w:val="00F8016E"/>
    <w:rsid w:val="00F82E35"/>
    <w:rsid w:val="00F960DB"/>
    <w:rsid w:val="00FA14F5"/>
    <w:rsid w:val="00FA288C"/>
    <w:rsid w:val="00FC0827"/>
    <w:rsid w:val="00FC336A"/>
    <w:rsid w:val="00FC5BC0"/>
    <w:rsid w:val="00FD7CCC"/>
    <w:rsid w:val="00FE164A"/>
    <w:rsid w:val="00FE25FC"/>
    <w:rsid w:val="00FE4EC9"/>
    <w:rsid w:val="00FE644E"/>
    <w:rsid w:val="00FF44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E93B49"/>
  <w15:chartTrackingRefBased/>
  <w15:docId w15:val="{D8193D93-5ABD-436C-9EDD-771A4720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A96"/>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361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7A96"/>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07463C"/>
    <w:pPr>
      <w:keepNext/>
      <w:keepLines/>
      <w:spacing w:before="40"/>
      <w:outlineLvl w:val="2"/>
    </w:pPr>
    <w:rPr>
      <w:rFonts w:eastAsiaTheme="majorEastAsia" w:cstheme="majorBidi"/>
      <w:b/>
      <w:sz w:val="28"/>
    </w:rPr>
  </w:style>
  <w:style w:type="paragraph" w:styleId="Heading4">
    <w:name w:val="heading 4"/>
    <w:basedOn w:val="Normal"/>
    <w:next w:val="Normal"/>
    <w:link w:val="Heading4Char"/>
    <w:uiPriority w:val="9"/>
    <w:unhideWhenUsed/>
    <w:qFormat/>
    <w:rsid w:val="0007463C"/>
    <w:pPr>
      <w:keepNext/>
      <w:keepLines/>
      <w:spacing w:before="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057A96"/>
    <w:rPr>
      <w:rFonts w:ascii="Arial" w:eastAsiaTheme="majorEastAsia" w:hAnsi="Arial" w:cstheme="majorBidi"/>
      <w:b/>
      <w:sz w:val="26"/>
      <w:szCs w:val="26"/>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33616F"/>
    <w:rPr>
      <w:rFonts w:asciiTheme="majorHAnsi" w:eastAsiaTheme="majorEastAsia" w:hAnsiTheme="majorHAnsi" w:cstheme="majorBidi"/>
      <w:color w:val="2E74B5" w:themeColor="accent1" w:themeShade="BF"/>
      <w:sz w:val="32"/>
      <w:szCs w:val="32"/>
    </w:rPr>
  </w:style>
  <w:style w:type="character" w:styleId="Hyperlink">
    <w:name w:val="Hyperlink"/>
    <w:rsid w:val="00217DEB"/>
    <w:rPr>
      <w:color w:val="0000FF"/>
      <w:u w:val="single"/>
    </w:rPr>
  </w:style>
  <w:style w:type="paragraph" w:styleId="ListParagraph">
    <w:name w:val="List Paragraph"/>
    <w:basedOn w:val="Normal"/>
    <w:uiPriority w:val="1"/>
    <w:qFormat/>
    <w:rsid w:val="0092648C"/>
    <w:pPr>
      <w:ind w:left="720"/>
      <w:contextualSpacing/>
    </w:pPr>
  </w:style>
  <w:style w:type="paragraph" w:styleId="Header">
    <w:name w:val="header"/>
    <w:basedOn w:val="Normal"/>
    <w:link w:val="HeaderChar"/>
    <w:unhideWhenUsed/>
    <w:rsid w:val="00A26FD8"/>
    <w:pPr>
      <w:tabs>
        <w:tab w:val="center" w:pos="4680"/>
        <w:tab w:val="right" w:pos="9360"/>
      </w:tabs>
    </w:pPr>
  </w:style>
  <w:style w:type="character" w:customStyle="1" w:styleId="HeaderChar">
    <w:name w:val="Header Char"/>
    <w:basedOn w:val="DefaultParagraphFont"/>
    <w:link w:val="Header"/>
    <w:rsid w:val="00A26FD8"/>
    <w:rPr>
      <w:rFonts w:ascii="Arial" w:eastAsia="Times New Roman" w:hAnsi="Arial" w:cs="Times New Roman"/>
      <w:sz w:val="24"/>
      <w:szCs w:val="24"/>
    </w:rPr>
  </w:style>
  <w:style w:type="paragraph" w:styleId="Footer">
    <w:name w:val="footer"/>
    <w:basedOn w:val="Normal"/>
    <w:link w:val="FooterChar"/>
    <w:uiPriority w:val="99"/>
    <w:unhideWhenUsed/>
    <w:rsid w:val="00A26FD8"/>
    <w:pPr>
      <w:tabs>
        <w:tab w:val="center" w:pos="4680"/>
        <w:tab w:val="right" w:pos="9360"/>
      </w:tabs>
    </w:pPr>
  </w:style>
  <w:style w:type="character" w:customStyle="1" w:styleId="FooterChar">
    <w:name w:val="Footer Char"/>
    <w:basedOn w:val="DefaultParagraphFont"/>
    <w:link w:val="Footer"/>
    <w:uiPriority w:val="99"/>
    <w:rsid w:val="00A26FD8"/>
    <w:rPr>
      <w:rFonts w:ascii="Arial" w:eastAsia="Times New Roman" w:hAnsi="Arial" w:cs="Times New Roman"/>
      <w:sz w:val="24"/>
      <w:szCs w:val="24"/>
    </w:rPr>
  </w:style>
  <w:style w:type="character" w:customStyle="1" w:styleId="Heading3Char">
    <w:name w:val="Heading 3 Char"/>
    <w:basedOn w:val="DefaultParagraphFont"/>
    <w:link w:val="Heading3"/>
    <w:uiPriority w:val="9"/>
    <w:rsid w:val="0007463C"/>
    <w:rPr>
      <w:rFonts w:ascii="Arial" w:eastAsiaTheme="majorEastAsia" w:hAnsi="Arial" w:cstheme="majorBidi"/>
      <w:b/>
      <w:sz w:val="28"/>
      <w:szCs w:val="24"/>
    </w:rPr>
  </w:style>
  <w:style w:type="table" w:styleId="TableGrid">
    <w:name w:val="Table Grid"/>
    <w:basedOn w:val="TableNormal"/>
    <w:uiPriority w:val="39"/>
    <w:rsid w:val="00731B8A"/>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D5325"/>
    <w:rPr>
      <w:color w:val="954F72" w:themeColor="followedHyperlink"/>
      <w:u w:val="single"/>
    </w:rPr>
  </w:style>
  <w:style w:type="character" w:styleId="Emphasis">
    <w:name w:val="Emphasis"/>
    <w:basedOn w:val="DefaultParagraphFont"/>
    <w:uiPriority w:val="20"/>
    <w:qFormat/>
    <w:rsid w:val="0007407C"/>
    <w:rPr>
      <w:b/>
      <w:bCs/>
      <w:i w:val="0"/>
      <w:iCs w:val="0"/>
    </w:rPr>
  </w:style>
  <w:style w:type="character" w:customStyle="1" w:styleId="st1">
    <w:name w:val="st1"/>
    <w:basedOn w:val="DefaultParagraphFont"/>
    <w:rsid w:val="0007407C"/>
  </w:style>
  <w:style w:type="paragraph" w:styleId="NormalWeb">
    <w:name w:val="Normal (Web)"/>
    <w:basedOn w:val="Normal"/>
    <w:uiPriority w:val="99"/>
    <w:unhideWhenUsed/>
    <w:rsid w:val="009D54C8"/>
    <w:pPr>
      <w:ind w:firstLine="200"/>
    </w:pPr>
    <w:rPr>
      <w:rFonts w:ascii="Times New Roman" w:hAnsi="Times New Roman"/>
    </w:rPr>
  </w:style>
  <w:style w:type="paragraph" w:customStyle="1" w:styleId="Default">
    <w:name w:val="Default"/>
    <w:rsid w:val="00F82E35"/>
    <w:pPr>
      <w:autoSpaceDE w:val="0"/>
      <w:autoSpaceDN w:val="0"/>
      <w:adjustRightInd w:val="0"/>
      <w:spacing w:after="0" w:line="240" w:lineRule="auto"/>
    </w:pPr>
    <w:rPr>
      <w:rFonts w:ascii="Arial Narrow" w:hAnsi="Arial Narrow" w:cs="Arial Narrow"/>
      <w:color w:val="000000"/>
      <w:sz w:val="24"/>
      <w:szCs w:val="24"/>
    </w:rPr>
  </w:style>
  <w:style w:type="paragraph" w:styleId="BodyText">
    <w:name w:val="Body Text"/>
    <w:basedOn w:val="Normal"/>
    <w:link w:val="BodyTextChar"/>
    <w:rsid w:val="004320F4"/>
    <w:pPr>
      <w:spacing w:after="120"/>
    </w:pPr>
  </w:style>
  <w:style w:type="character" w:customStyle="1" w:styleId="BodyTextChar">
    <w:name w:val="Body Text Char"/>
    <w:basedOn w:val="DefaultParagraphFont"/>
    <w:link w:val="BodyText"/>
    <w:rsid w:val="004320F4"/>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912A32"/>
    <w:rPr>
      <w:sz w:val="16"/>
      <w:szCs w:val="16"/>
    </w:rPr>
  </w:style>
  <w:style w:type="paragraph" w:styleId="CommentText">
    <w:name w:val="annotation text"/>
    <w:basedOn w:val="Normal"/>
    <w:link w:val="CommentTextChar"/>
    <w:uiPriority w:val="99"/>
    <w:semiHidden/>
    <w:unhideWhenUsed/>
    <w:rsid w:val="00912A32"/>
    <w:rPr>
      <w:sz w:val="20"/>
      <w:szCs w:val="20"/>
    </w:rPr>
  </w:style>
  <w:style w:type="character" w:customStyle="1" w:styleId="CommentTextChar">
    <w:name w:val="Comment Text Char"/>
    <w:basedOn w:val="DefaultParagraphFont"/>
    <w:link w:val="CommentText"/>
    <w:uiPriority w:val="99"/>
    <w:semiHidden/>
    <w:rsid w:val="00912A3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12A32"/>
    <w:rPr>
      <w:b/>
      <w:bCs/>
    </w:rPr>
  </w:style>
  <w:style w:type="character" w:customStyle="1" w:styleId="CommentSubjectChar">
    <w:name w:val="Comment Subject Char"/>
    <w:basedOn w:val="CommentTextChar"/>
    <w:link w:val="CommentSubject"/>
    <w:uiPriority w:val="99"/>
    <w:semiHidden/>
    <w:rsid w:val="00912A32"/>
    <w:rPr>
      <w:rFonts w:ascii="Arial" w:eastAsia="Times New Roman" w:hAnsi="Arial" w:cs="Times New Roman"/>
      <w:b/>
      <w:bCs/>
      <w:sz w:val="20"/>
      <w:szCs w:val="20"/>
    </w:rPr>
  </w:style>
  <w:style w:type="character" w:customStyle="1" w:styleId="normalchar1">
    <w:name w:val="normal__char1"/>
    <w:rsid w:val="00726E76"/>
    <w:rPr>
      <w:rFonts w:ascii="Arial" w:hAnsi="Arial" w:cs="Arial" w:hint="default"/>
      <w:strike w:val="0"/>
      <w:dstrike w:val="0"/>
      <w:sz w:val="20"/>
      <w:szCs w:val="20"/>
      <w:u w:val="none"/>
      <w:effect w:val="none"/>
    </w:rPr>
  </w:style>
  <w:style w:type="character" w:customStyle="1" w:styleId="Heading4Char">
    <w:name w:val="Heading 4 Char"/>
    <w:basedOn w:val="DefaultParagraphFont"/>
    <w:link w:val="Heading4"/>
    <w:uiPriority w:val="9"/>
    <w:rsid w:val="0007463C"/>
    <w:rPr>
      <w:rFonts w:ascii="Arial" w:eastAsiaTheme="majorEastAsia" w:hAnsi="Arial" w:cstheme="majorBidi"/>
      <w:b/>
      <w:iCs/>
      <w:sz w:val="24"/>
      <w:szCs w:val="24"/>
    </w:rPr>
  </w:style>
  <w:style w:type="paragraph" w:styleId="NoSpacing">
    <w:name w:val="No Spacing"/>
    <w:uiPriority w:val="1"/>
    <w:qFormat/>
    <w:rsid w:val="00453E7B"/>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6E063A"/>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B749A"/>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E0955"/>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D7B22"/>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D7B22"/>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417780">
      <w:bodyDiv w:val="1"/>
      <w:marLeft w:val="0"/>
      <w:marRight w:val="0"/>
      <w:marTop w:val="0"/>
      <w:marBottom w:val="0"/>
      <w:divBdr>
        <w:top w:val="none" w:sz="0" w:space="0" w:color="auto"/>
        <w:left w:val="none" w:sz="0" w:space="0" w:color="auto"/>
        <w:bottom w:val="none" w:sz="0" w:space="0" w:color="auto"/>
        <w:right w:val="none" w:sz="0" w:space="0" w:color="auto"/>
      </w:divBdr>
    </w:div>
    <w:div w:id="325596518">
      <w:bodyDiv w:val="1"/>
      <w:marLeft w:val="0"/>
      <w:marRight w:val="0"/>
      <w:marTop w:val="0"/>
      <w:marBottom w:val="0"/>
      <w:divBdr>
        <w:top w:val="none" w:sz="0" w:space="0" w:color="auto"/>
        <w:left w:val="none" w:sz="0" w:space="0" w:color="auto"/>
        <w:bottom w:val="none" w:sz="0" w:space="0" w:color="auto"/>
        <w:right w:val="none" w:sz="0" w:space="0" w:color="auto"/>
      </w:divBdr>
      <w:divsChild>
        <w:div w:id="74866256">
          <w:marLeft w:val="720"/>
          <w:marRight w:val="0"/>
          <w:marTop w:val="0"/>
          <w:marBottom w:val="0"/>
          <w:divBdr>
            <w:top w:val="none" w:sz="0" w:space="0" w:color="auto"/>
            <w:left w:val="none" w:sz="0" w:space="0" w:color="auto"/>
            <w:bottom w:val="none" w:sz="0" w:space="0" w:color="auto"/>
            <w:right w:val="none" w:sz="0" w:space="0" w:color="auto"/>
          </w:divBdr>
        </w:div>
        <w:div w:id="1711690013">
          <w:marLeft w:val="720"/>
          <w:marRight w:val="0"/>
          <w:marTop w:val="0"/>
          <w:marBottom w:val="0"/>
          <w:divBdr>
            <w:top w:val="none" w:sz="0" w:space="0" w:color="auto"/>
            <w:left w:val="none" w:sz="0" w:space="0" w:color="auto"/>
            <w:bottom w:val="none" w:sz="0" w:space="0" w:color="auto"/>
            <w:right w:val="none" w:sz="0" w:space="0" w:color="auto"/>
          </w:divBdr>
        </w:div>
        <w:div w:id="902563911">
          <w:marLeft w:val="720"/>
          <w:marRight w:val="0"/>
          <w:marTop w:val="0"/>
          <w:marBottom w:val="0"/>
          <w:divBdr>
            <w:top w:val="none" w:sz="0" w:space="0" w:color="auto"/>
            <w:left w:val="none" w:sz="0" w:space="0" w:color="auto"/>
            <w:bottom w:val="none" w:sz="0" w:space="0" w:color="auto"/>
            <w:right w:val="none" w:sz="0" w:space="0" w:color="auto"/>
          </w:divBdr>
        </w:div>
        <w:div w:id="1471482874">
          <w:marLeft w:val="720"/>
          <w:marRight w:val="0"/>
          <w:marTop w:val="0"/>
          <w:marBottom w:val="0"/>
          <w:divBdr>
            <w:top w:val="none" w:sz="0" w:space="0" w:color="auto"/>
            <w:left w:val="none" w:sz="0" w:space="0" w:color="auto"/>
            <w:bottom w:val="none" w:sz="0" w:space="0" w:color="auto"/>
            <w:right w:val="none" w:sz="0" w:space="0" w:color="auto"/>
          </w:divBdr>
        </w:div>
      </w:divsChild>
    </w:div>
    <w:div w:id="362244239">
      <w:bodyDiv w:val="1"/>
      <w:marLeft w:val="0"/>
      <w:marRight w:val="0"/>
      <w:marTop w:val="0"/>
      <w:marBottom w:val="0"/>
      <w:divBdr>
        <w:top w:val="none" w:sz="0" w:space="0" w:color="auto"/>
        <w:left w:val="none" w:sz="0" w:space="0" w:color="auto"/>
        <w:bottom w:val="none" w:sz="0" w:space="0" w:color="auto"/>
        <w:right w:val="none" w:sz="0" w:space="0" w:color="auto"/>
      </w:divBdr>
    </w:div>
    <w:div w:id="530070497">
      <w:bodyDiv w:val="1"/>
      <w:marLeft w:val="0"/>
      <w:marRight w:val="0"/>
      <w:marTop w:val="0"/>
      <w:marBottom w:val="0"/>
      <w:divBdr>
        <w:top w:val="none" w:sz="0" w:space="0" w:color="auto"/>
        <w:left w:val="none" w:sz="0" w:space="0" w:color="auto"/>
        <w:bottom w:val="none" w:sz="0" w:space="0" w:color="auto"/>
        <w:right w:val="none" w:sz="0" w:space="0" w:color="auto"/>
      </w:divBdr>
    </w:div>
    <w:div w:id="613175581">
      <w:bodyDiv w:val="1"/>
      <w:marLeft w:val="0"/>
      <w:marRight w:val="0"/>
      <w:marTop w:val="0"/>
      <w:marBottom w:val="0"/>
      <w:divBdr>
        <w:top w:val="none" w:sz="0" w:space="0" w:color="auto"/>
        <w:left w:val="none" w:sz="0" w:space="0" w:color="auto"/>
        <w:bottom w:val="none" w:sz="0" w:space="0" w:color="auto"/>
        <w:right w:val="none" w:sz="0" w:space="0" w:color="auto"/>
      </w:divBdr>
    </w:div>
    <w:div w:id="808086153">
      <w:bodyDiv w:val="1"/>
      <w:marLeft w:val="0"/>
      <w:marRight w:val="0"/>
      <w:marTop w:val="0"/>
      <w:marBottom w:val="0"/>
      <w:divBdr>
        <w:top w:val="none" w:sz="0" w:space="0" w:color="auto"/>
        <w:left w:val="none" w:sz="0" w:space="0" w:color="auto"/>
        <w:bottom w:val="none" w:sz="0" w:space="0" w:color="auto"/>
        <w:right w:val="none" w:sz="0" w:space="0" w:color="auto"/>
      </w:divBdr>
    </w:div>
    <w:div w:id="1495871509">
      <w:bodyDiv w:val="1"/>
      <w:marLeft w:val="0"/>
      <w:marRight w:val="0"/>
      <w:marTop w:val="0"/>
      <w:marBottom w:val="0"/>
      <w:divBdr>
        <w:top w:val="none" w:sz="0" w:space="0" w:color="auto"/>
        <w:left w:val="none" w:sz="0" w:space="0" w:color="auto"/>
        <w:bottom w:val="none" w:sz="0" w:space="0" w:color="auto"/>
        <w:right w:val="none" w:sz="0" w:space="0" w:color="auto"/>
      </w:divBdr>
    </w:div>
    <w:div w:id="1496724130">
      <w:bodyDiv w:val="1"/>
      <w:marLeft w:val="0"/>
      <w:marRight w:val="0"/>
      <w:marTop w:val="0"/>
      <w:marBottom w:val="0"/>
      <w:divBdr>
        <w:top w:val="none" w:sz="0" w:space="0" w:color="auto"/>
        <w:left w:val="none" w:sz="0" w:space="0" w:color="auto"/>
        <w:bottom w:val="none" w:sz="0" w:space="0" w:color="auto"/>
        <w:right w:val="none" w:sz="0" w:space="0" w:color="auto"/>
      </w:divBdr>
    </w:div>
    <w:div w:id="1589995835">
      <w:bodyDiv w:val="1"/>
      <w:marLeft w:val="0"/>
      <w:marRight w:val="0"/>
      <w:marTop w:val="0"/>
      <w:marBottom w:val="0"/>
      <w:divBdr>
        <w:top w:val="none" w:sz="0" w:space="0" w:color="auto"/>
        <w:left w:val="none" w:sz="0" w:space="0" w:color="auto"/>
        <w:bottom w:val="none" w:sz="0" w:space="0" w:color="auto"/>
        <w:right w:val="none" w:sz="0" w:space="0" w:color="auto"/>
      </w:divBdr>
    </w:div>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 w:id="207326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de.ca.gov/ta/ac/cm/"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cde.ca.gov/ta/ac/cm/" TargetMode="External"/><Relationship Id="rId17" Type="http://schemas.openxmlformats.org/officeDocument/2006/relationships/hyperlink" Target="https://www.cde.ca.gov/be/ag/ag/yr16/documents/sep16item01.doc"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www.cde.ca.gov/be/pn/im/documents/memo-dsib-amard-aug16item01.doc" TargetMode="External"/><Relationship Id="rId20" Type="http://schemas.openxmlformats.org/officeDocument/2006/relationships/hyperlink" Target="https://www.cde.ca.gov/be/ag/ag/yr17/documents/sep17item02.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schooldashboard.org/"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w.cde.ca.gov/be/ag/ag/yr15/documents/may15item10.doc" TargetMode="External"/><Relationship Id="rId23" Type="http://schemas.openxmlformats.org/officeDocument/2006/relationships/hyperlink" Target="https://www.cde.ca.gov/be/pn/im/documents/memo-dsib-amard-aug16item01.doc" TargetMode="External"/><Relationship Id="rId10" Type="http://schemas.openxmlformats.org/officeDocument/2006/relationships/image" Target="media/image1.png"/><Relationship Id="rId19" Type="http://schemas.openxmlformats.org/officeDocument/2006/relationships/hyperlink" Target="https://www6.cde.ca.gov/californiamodel/?indicator=cci" TargetMode="External"/><Relationship Id="rId4" Type="http://schemas.openxmlformats.org/officeDocument/2006/relationships/settings" Target="settings.xml"/><Relationship Id="rId9" Type="http://schemas.openxmlformats.org/officeDocument/2006/relationships/hyperlink" Target="https://www.cde.ca.gov/ta/ac/cm/documents/ccidashboardflyer.pdf" TargetMode="External"/><Relationship Id="rId14" Type="http://schemas.openxmlformats.org/officeDocument/2006/relationships/hyperlink" Target="https://www.cde.ca.gov/be/ag/ag/yr16/documents/jul16item02.doc" TargetMode="Externa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B2000-89A8-4201-AAFC-369858243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23</Pages>
  <Words>6347</Words>
  <Characters>35676</Characters>
  <Application>Microsoft Office Word</Application>
  <DocSecurity>0</DocSecurity>
  <Lines>517</Lines>
  <Paragraphs>201</Paragraphs>
  <ScaleCrop>false</ScaleCrop>
  <HeadingPairs>
    <vt:vector size="2" baseType="variant">
      <vt:variant>
        <vt:lpstr>Title</vt:lpstr>
      </vt:variant>
      <vt:variant>
        <vt:i4>1</vt:i4>
      </vt:variant>
    </vt:vector>
  </HeadingPairs>
  <TitlesOfParts>
    <vt:vector size="1" baseType="lpstr">
      <vt:lpstr>February 2018 Agenda Item 2 - Meeting Agendas (CA Dept of Education)</vt:lpstr>
    </vt:vector>
  </TitlesOfParts>
  <Company>California State Board of Education</Company>
  <LinksUpToDate>false</LinksUpToDate>
  <CharactersWithSpaces>41822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2018 Memo PPTB AMARD Item 02 - Information Memorandum (CA State Board of Education)</dc:title>
  <dc:subject>Developing a New State Accountability System: Update on the Implementation of the College/Career Indicator; Including the Expansion of Career Measures and Performance Comparisons for Academic Measures.</dc:subject>
  <dc:creator>Kathleen Souza</dc:creator>
  <cp:keywords/>
  <dc:description/>
  <cp:revision>17</cp:revision>
  <cp:lastPrinted>2018-02-23T19:55:00Z</cp:lastPrinted>
  <dcterms:created xsi:type="dcterms:W3CDTF">2018-02-23T18:10:00Z</dcterms:created>
  <dcterms:modified xsi:type="dcterms:W3CDTF">2018-02-27T00:03:00Z</dcterms:modified>
  <cp:category/>
</cp:coreProperties>
</file>