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51036" w14:textId="497814E4" w:rsidR="003A0CCA" w:rsidRPr="00D51EF6" w:rsidRDefault="008413B2" w:rsidP="00E02F75">
      <w:pPr>
        <w:spacing w:after="240"/>
        <w:rPr>
          <w:rFonts w:cs="Arial"/>
        </w:rPr>
      </w:pPr>
      <w:r w:rsidRPr="00E02F75">
        <w:rPr>
          <w:rFonts w:cs="Arial"/>
        </w:rPr>
        <w:t xml:space="preserve"> </w:t>
      </w:r>
      <w:r w:rsidR="003A0CCA" w:rsidRPr="00D51EF6">
        <w:rPr>
          <w:rFonts w:cs="Arial"/>
          <w:noProof/>
        </w:rPr>
        <w:drawing>
          <wp:inline distT="0" distB="0" distL="0" distR="0" wp14:anchorId="5ED06D92" wp14:editId="7D0865DC">
            <wp:extent cx="1232535" cy="1228725"/>
            <wp:effectExtent l="0" t="0" r="5715" b="9525"/>
            <wp:docPr id="3" name="Picture 3" descr="This is an image of the seal for the California State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1228725"/>
                    </a:xfrm>
                    <a:prstGeom prst="rect">
                      <a:avLst/>
                    </a:prstGeom>
                    <a:noFill/>
                  </pic:spPr>
                </pic:pic>
              </a:graphicData>
            </a:graphic>
          </wp:inline>
        </w:drawing>
      </w:r>
      <w:r w:rsidR="003A0CCA" w:rsidRPr="00D51EF6">
        <w:rPr>
          <w:rFonts w:cs="Arial"/>
        </w:rPr>
        <w:tab/>
      </w:r>
      <w:r w:rsidR="003A0CCA" w:rsidRPr="00D51EF6">
        <w:rPr>
          <w:rFonts w:cs="Arial"/>
        </w:rPr>
        <w:tab/>
      </w:r>
      <w:r w:rsidR="003A0CCA" w:rsidRPr="00D51EF6">
        <w:rPr>
          <w:rFonts w:cs="Arial"/>
        </w:rPr>
        <w:tab/>
      </w:r>
      <w:r w:rsidR="003A0CCA" w:rsidRPr="00D51EF6">
        <w:rPr>
          <w:rFonts w:cs="Arial"/>
          <w:noProof/>
        </w:rPr>
        <w:drawing>
          <wp:inline distT="0" distB="0" distL="0" distR="0" wp14:anchorId="4638915F" wp14:editId="032DCB72">
            <wp:extent cx="1169670" cy="1169670"/>
            <wp:effectExtent l="0" t="0" r="0" b="0"/>
            <wp:docPr id="4" name="Picture 4" descr="This is an image of the seal for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flipV="1">
                      <a:off x="0" y="0"/>
                      <a:ext cx="1169670" cy="1169670"/>
                    </a:xfrm>
                    <a:prstGeom prst="rect">
                      <a:avLst/>
                    </a:prstGeom>
                    <a:noFill/>
                  </pic:spPr>
                </pic:pic>
              </a:graphicData>
            </a:graphic>
          </wp:inline>
        </w:drawing>
      </w:r>
      <w:r w:rsidR="003A0CCA" w:rsidRPr="00D51EF6">
        <w:rPr>
          <w:rFonts w:cs="Arial"/>
        </w:rPr>
        <w:tab/>
      </w:r>
      <w:r w:rsidR="003A0CCA" w:rsidRPr="00D51EF6">
        <w:rPr>
          <w:rFonts w:cs="Arial"/>
        </w:rPr>
        <w:tab/>
      </w:r>
      <w:r w:rsidR="003A0CCA" w:rsidRPr="00D51EF6">
        <w:rPr>
          <w:rFonts w:cs="Arial"/>
        </w:rPr>
        <w:tab/>
      </w:r>
      <w:r w:rsidR="003A0CCA" w:rsidRPr="00D51EF6">
        <w:rPr>
          <w:rFonts w:cs="Arial"/>
          <w:noProof/>
        </w:rPr>
        <w:drawing>
          <wp:inline distT="0" distB="0" distL="0" distR="0" wp14:anchorId="0EE29767" wp14:editId="25D70CBC">
            <wp:extent cx="1169670" cy="1169670"/>
            <wp:effectExtent l="0" t="0" r="0" b="0"/>
            <wp:docPr id="5" name="Picture 5" descr="This is an image of the seal for the California Community Colleges Chancello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pic:spPr>
                </pic:pic>
              </a:graphicData>
            </a:graphic>
          </wp:inline>
        </w:drawing>
      </w:r>
    </w:p>
    <w:p w14:paraId="7F5BE33F" w14:textId="075CE7A3" w:rsidR="003A0CCA" w:rsidRPr="00D51EF6" w:rsidRDefault="003A0CCA" w:rsidP="00E02F75">
      <w:pPr>
        <w:pStyle w:val="Heading1"/>
        <w:spacing w:before="480" w:after="240"/>
        <w:jc w:val="center"/>
        <w:rPr>
          <w:rFonts w:cs="Arial"/>
          <w:sz w:val="40"/>
          <w:szCs w:val="40"/>
        </w:rPr>
      </w:pPr>
      <w:r w:rsidRPr="00D51EF6">
        <w:rPr>
          <w:rFonts w:cs="Arial"/>
          <w:sz w:val="40"/>
          <w:szCs w:val="40"/>
        </w:rPr>
        <w:t>California Workforce Pathways</w:t>
      </w:r>
      <w:r w:rsidRPr="00D51EF6">
        <w:rPr>
          <w:rFonts w:cs="Arial"/>
          <w:sz w:val="40"/>
          <w:szCs w:val="40"/>
        </w:rPr>
        <w:br/>
        <w:t>Joint Advisory Committee</w:t>
      </w:r>
      <w:r w:rsidRPr="00D51EF6">
        <w:rPr>
          <w:rFonts w:cs="Arial"/>
          <w:sz w:val="40"/>
          <w:szCs w:val="40"/>
        </w:rPr>
        <w:br/>
      </w:r>
      <w:r w:rsidR="00937795" w:rsidRPr="00D51EF6">
        <w:rPr>
          <w:rFonts w:cs="Arial"/>
          <w:sz w:val="40"/>
          <w:szCs w:val="40"/>
        </w:rPr>
        <w:t>September 11</w:t>
      </w:r>
      <w:r w:rsidR="00BF61BC" w:rsidRPr="00D51EF6">
        <w:rPr>
          <w:rFonts w:cs="Arial"/>
          <w:sz w:val="40"/>
          <w:szCs w:val="40"/>
        </w:rPr>
        <w:t>, 2026</w:t>
      </w:r>
      <w:r w:rsidRPr="00D51EF6">
        <w:rPr>
          <w:rFonts w:cs="Arial"/>
          <w:sz w:val="40"/>
          <w:szCs w:val="40"/>
        </w:rPr>
        <w:br/>
        <w:t>Agenda Item</w:t>
      </w:r>
      <w:r w:rsidR="00920F1B" w:rsidRPr="00D51EF6">
        <w:rPr>
          <w:rFonts w:cs="Arial"/>
          <w:sz w:val="40"/>
          <w:szCs w:val="40"/>
        </w:rPr>
        <w:t xml:space="preserve"> 0</w:t>
      </w:r>
      <w:r w:rsidR="003E7C45" w:rsidRPr="00D51EF6">
        <w:rPr>
          <w:rFonts w:cs="Arial"/>
          <w:sz w:val="40"/>
          <w:szCs w:val="40"/>
        </w:rPr>
        <w:t>4</w:t>
      </w:r>
    </w:p>
    <w:p w14:paraId="780A5F7F" w14:textId="77777777" w:rsidR="00144DF4" w:rsidRPr="00D51EF6" w:rsidRDefault="00FC1FCE" w:rsidP="00E02F75">
      <w:pPr>
        <w:pStyle w:val="Heading2"/>
        <w:spacing w:before="480" w:after="240"/>
        <w:rPr>
          <w:rFonts w:cs="Arial"/>
          <w:sz w:val="36"/>
          <w:szCs w:val="36"/>
        </w:rPr>
      </w:pPr>
      <w:r w:rsidRPr="00D51EF6">
        <w:rPr>
          <w:rFonts w:cs="Arial"/>
          <w:sz w:val="36"/>
          <w:szCs w:val="36"/>
        </w:rPr>
        <w:t>Subject</w:t>
      </w:r>
    </w:p>
    <w:p w14:paraId="3463F06A" w14:textId="3322C95B" w:rsidR="009B6EEA" w:rsidRPr="00D51EF6" w:rsidRDefault="00FC5751" w:rsidP="00E02F75">
      <w:pPr>
        <w:spacing w:after="240" w:line="276" w:lineRule="auto"/>
        <w:rPr>
          <w:rFonts w:cs="Arial"/>
        </w:rPr>
      </w:pPr>
      <w:r w:rsidRPr="00D51EF6">
        <w:rPr>
          <w:rFonts w:eastAsia="Calibri" w:cs="Arial"/>
        </w:rPr>
        <w:t>The Strengthening Career and Technical Education for the 21st Century Act (Perkins V): A National Data Comparison and California's Standing</w:t>
      </w:r>
    </w:p>
    <w:p w14:paraId="01D53E9B" w14:textId="77777777" w:rsidR="00FC1FCE" w:rsidRPr="00D51EF6" w:rsidRDefault="00FC1FCE" w:rsidP="00E02F75">
      <w:pPr>
        <w:pStyle w:val="Heading2"/>
        <w:spacing w:before="480" w:after="240"/>
        <w:rPr>
          <w:rFonts w:cs="Arial"/>
          <w:sz w:val="36"/>
          <w:szCs w:val="36"/>
        </w:rPr>
      </w:pPr>
      <w:r w:rsidRPr="00D51EF6">
        <w:rPr>
          <w:rFonts w:cs="Arial"/>
          <w:sz w:val="36"/>
          <w:szCs w:val="36"/>
        </w:rPr>
        <w:t>Type of Action</w:t>
      </w:r>
    </w:p>
    <w:p w14:paraId="46D97DAD" w14:textId="77777777" w:rsidR="00F0477A" w:rsidRPr="00D51EF6" w:rsidRDefault="00144DF4" w:rsidP="00E02F75">
      <w:pPr>
        <w:spacing w:after="240"/>
        <w:rPr>
          <w:rFonts w:cs="Arial"/>
          <w:noProof/>
        </w:rPr>
      </w:pPr>
      <w:r w:rsidRPr="00D51EF6">
        <w:rPr>
          <w:rFonts w:cs="Arial"/>
          <w:noProof/>
        </w:rPr>
        <w:t>Information</w:t>
      </w:r>
    </w:p>
    <w:p w14:paraId="6FA7C006" w14:textId="485A2F68" w:rsidR="00FC1FCE" w:rsidRPr="00D51EF6" w:rsidRDefault="00FC1FCE" w:rsidP="00E02F75">
      <w:pPr>
        <w:pStyle w:val="Heading2"/>
        <w:spacing w:before="480" w:after="240"/>
        <w:rPr>
          <w:rFonts w:cs="Arial"/>
          <w:sz w:val="36"/>
          <w:szCs w:val="36"/>
        </w:rPr>
      </w:pPr>
      <w:r w:rsidRPr="00D51EF6">
        <w:rPr>
          <w:rFonts w:cs="Arial"/>
          <w:sz w:val="36"/>
          <w:szCs w:val="36"/>
        </w:rPr>
        <w:t>Summary of the Issue(s)</w:t>
      </w:r>
    </w:p>
    <w:p w14:paraId="521233A1" w14:textId="77777777" w:rsidR="00F3041E" w:rsidRPr="00D51EF6" w:rsidRDefault="00F3041E" w:rsidP="00E02F75">
      <w:pPr>
        <w:spacing w:after="240" w:line="276" w:lineRule="auto"/>
        <w:rPr>
          <w:rFonts w:cs="Arial"/>
        </w:rPr>
      </w:pPr>
      <w:r w:rsidRPr="00D51EF6">
        <w:rPr>
          <w:rFonts w:eastAsia="Calibri" w:cs="Arial"/>
        </w:rPr>
        <w:t>This agenda item compares California's federal Perkins V program to the nation as a whole and to a set of similarly sized peer states: Texas, Florida, and New York, using program year 2023–24, the most recent year with published national data, alongside California's own 2024–25 results where available.</w:t>
      </w:r>
    </w:p>
    <w:p w14:paraId="1F537710" w14:textId="77777777" w:rsidR="00F3041E" w:rsidRPr="00D51EF6" w:rsidRDefault="00F3041E" w:rsidP="00E02F75">
      <w:pPr>
        <w:pStyle w:val="Heading2"/>
        <w:spacing w:before="480" w:after="240"/>
        <w:rPr>
          <w:rFonts w:cs="Arial"/>
          <w:sz w:val="36"/>
          <w:szCs w:val="36"/>
        </w:rPr>
      </w:pPr>
      <w:r w:rsidRPr="00D51EF6">
        <w:rPr>
          <w:rFonts w:cs="Arial"/>
          <w:sz w:val="36"/>
          <w:szCs w:val="36"/>
        </w:rPr>
        <w:t>Background</w:t>
      </w:r>
    </w:p>
    <w:p w14:paraId="600B76E7" w14:textId="77777777" w:rsidR="00F3041E" w:rsidRPr="00D51EF6" w:rsidRDefault="00F3041E" w:rsidP="00E02F75">
      <w:pPr>
        <w:spacing w:after="240" w:line="276" w:lineRule="auto"/>
        <w:rPr>
          <w:rFonts w:cs="Arial"/>
        </w:rPr>
      </w:pPr>
      <w:r w:rsidRPr="00D51EF6">
        <w:rPr>
          <w:rFonts w:eastAsia="Calibri" w:cs="Arial"/>
        </w:rPr>
        <w:t xml:space="preserve">Perkins V (Public Law 115-224) requires all states to submit an annual Consolidated Annual Report (CAR) to the U.S. Department of Education's Office of Career, Technical, and Adult Education (OCTAE). CAR data is reported only by local educational agencies (LEAs) that receive a Perkins subaward, approximately 350 in California's case, so all California figures below reflect Perkins-funded LEAs rather than every LEA statewide. </w:t>
      </w:r>
      <w:r w:rsidRPr="00D51EF6">
        <w:rPr>
          <w:rFonts w:eastAsia="Calibri" w:cs="Arial"/>
        </w:rPr>
        <w:lastRenderedPageBreak/>
        <w:t>This scope applies to all states discussed in this item. Texas, Florida, and New York were selected as comparison points because each has a K-12 and postsecondary enrollment base broadly comparable to California's in scale.</w:t>
      </w:r>
    </w:p>
    <w:p w14:paraId="32DD70CF" w14:textId="77777777" w:rsidR="00F3041E" w:rsidRPr="00D51EF6" w:rsidRDefault="00F3041E" w:rsidP="006E2049">
      <w:pPr>
        <w:pStyle w:val="Heading3"/>
      </w:pPr>
      <w:r w:rsidRPr="00D51EF6">
        <w:t>Perkins V Funding</w:t>
      </w:r>
    </w:p>
    <w:p w14:paraId="743D7675" w14:textId="77777777" w:rsidR="00F3041E" w:rsidRPr="00D51EF6" w:rsidRDefault="00F3041E" w:rsidP="00E02F75">
      <w:pPr>
        <w:spacing w:before="240" w:after="240" w:line="276" w:lineRule="auto"/>
        <w:rPr>
          <w:rFonts w:cs="Arial"/>
        </w:rPr>
      </w:pPr>
      <w:r w:rsidRPr="00D51EF6">
        <w:rPr>
          <w:rFonts w:eastAsia="Calibri" w:cs="Arial"/>
        </w:rPr>
        <w:t>The Perkins V Basic State Grant is the primary source of federal funding for CTE, distributed to states by a formula based largely on population and prior-year funding levels. At least 85 percent of a state's grant must pass through to local recipients, and each state then splits that funding between secondary and postsecondary programs in its own way, which is why the table below compares each state's share of the national total rather than a per-student amount.</w:t>
      </w:r>
    </w:p>
    <w:p w14:paraId="74F66EB8" w14:textId="5AB9539A" w:rsidR="00F3041E" w:rsidRPr="00D51EF6" w:rsidRDefault="00F3041E" w:rsidP="006E2049">
      <w:pPr>
        <w:pStyle w:val="Heading3"/>
      </w:pPr>
      <w:r w:rsidRPr="00D51EF6">
        <w:t>Perkins V Funding Share FY25</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Caption w:val="Table 1: Perkins V Funding Share, FY25"/>
        <w:tblDescription w:val="Table comparing FY25 Perkins V funding allocations and each state's share of the national total for California, Texas, Florida, and New York."/>
      </w:tblPr>
      <w:tblGrid>
        <w:gridCol w:w="3116"/>
        <w:gridCol w:w="3117"/>
        <w:gridCol w:w="3117"/>
      </w:tblGrid>
      <w:tr w:rsidR="00F3041E" w:rsidRPr="00D51EF6" w14:paraId="240A0A40" w14:textId="77777777" w:rsidTr="00B326FD">
        <w:trPr>
          <w:cantSplit/>
          <w:tblHeader/>
        </w:trPr>
        <w:tc>
          <w:tcPr>
            <w:tcW w:w="1650" w:type="pct"/>
            <w:tcMar>
              <w:top w:w="80" w:type="dxa"/>
              <w:left w:w="100" w:type="dxa"/>
              <w:bottom w:w="80" w:type="dxa"/>
              <w:right w:w="100" w:type="dxa"/>
            </w:tcMar>
            <w:vAlign w:val="center"/>
          </w:tcPr>
          <w:p w14:paraId="2D0291BD" w14:textId="77777777" w:rsidR="00F3041E" w:rsidRPr="00D51EF6" w:rsidRDefault="00F3041E" w:rsidP="00E02F75">
            <w:pPr>
              <w:rPr>
                <w:rFonts w:cs="Arial"/>
              </w:rPr>
            </w:pPr>
            <w:r w:rsidRPr="00D51EF6">
              <w:rPr>
                <w:rFonts w:eastAsia="Calibri" w:cs="Arial"/>
                <w:b/>
                <w:bCs/>
              </w:rPr>
              <w:t>State</w:t>
            </w:r>
          </w:p>
        </w:tc>
        <w:tc>
          <w:tcPr>
            <w:tcW w:w="1650" w:type="pct"/>
            <w:tcMar>
              <w:top w:w="80" w:type="dxa"/>
              <w:left w:w="100" w:type="dxa"/>
              <w:bottom w:w="80" w:type="dxa"/>
              <w:right w:w="100" w:type="dxa"/>
            </w:tcMar>
            <w:vAlign w:val="center"/>
          </w:tcPr>
          <w:p w14:paraId="569DD41A" w14:textId="77777777" w:rsidR="00F3041E" w:rsidRPr="00D51EF6" w:rsidRDefault="00F3041E" w:rsidP="00E02F75">
            <w:pPr>
              <w:rPr>
                <w:rFonts w:cs="Arial"/>
              </w:rPr>
            </w:pPr>
            <w:r w:rsidRPr="00D51EF6">
              <w:rPr>
                <w:rFonts w:eastAsia="Calibri" w:cs="Arial"/>
                <w:b/>
                <w:bCs/>
              </w:rPr>
              <w:t>FY25 Allocation</w:t>
            </w:r>
          </w:p>
        </w:tc>
        <w:tc>
          <w:tcPr>
            <w:tcW w:w="1650" w:type="pct"/>
            <w:tcMar>
              <w:top w:w="80" w:type="dxa"/>
              <w:left w:w="100" w:type="dxa"/>
              <w:bottom w:w="80" w:type="dxa"/>
              <w:right w:w="100" w:type="dxa"/>
            </w:tcMar>
            <w:vAlign w:val="center"/>
          </w:tcPr>
          <w:p w14:paraId="7FDEDE7B" w14:textId="77777777" w:rsidR="00F3041E" w:rsidRPr="00D51EF6" w:rsidRDefault="00F3041E" w:rsidP="00E02F75">
            <w:pPr>
              <w:rPr>
                <w:rFonts w:cs="Arial"/>
              </w:rPr>
            </w:pPr>
            <w:r w:rsidRPr="00D51EF6">
              <w:rPr>
                <w:rFonts w:eastAsia="Calibri" w:cs="Arial"/>
                <w:b/>
                <w:bCs/>
              </w:rPr>
              <w:t>Share of National Total</w:t>
            </w:r>
          </w:p>
        </w:tc>
      </w:tr>
      <w:tr w:rsidR="00F3041E" w:rsidRPr="00D51EF6" w14:paraId="46EB8AE7" w14:textId="77777777" w:rsidTr="00B326FD">
        <w:trPr>
          <w:cantSplit/>
        </w:trPr>
        <w:tc>
          <w:tcPr>
            <w:tcW w:w="1650" w:type="pct"/>
            <w:tcMar>
              <w:top w:w="80" w:type="dxa"/>
              <w:left w:w="100" w:type="dxa"/>
              <w:bottom w:w="80" w:type="dxa"/>
              <w:right w:w="100" w:type="dxa"/>
            </w:tcMar>
            <w:vAlign w:val="center"/>
          </w:tcPr>
          <w:p w14:paraId="3037EC94" w14:textId="77777777" w:rsidR="00F3041E" w:rsidRPr="00D51EF6" w:rsidRDefault="00F3041E" w:rsidP="00E02F75">
            <w:pPr>
              <w:rPr>
                <w:rFonts w:cs="Arial"/>
              </w:rPr>
            </w:pPr>
            <w:r w:rsidRPr="00D51EF6">
              <w:rPr>
                <w:rFonts w:eastAsia="Calibri" w:cs="Arial"/>
                <w:b/>
                <w:bCs/>
              </w:rPr>
              <w:t>California</w:t>
            </w:r>
          </w:p>
        </w:tc>
        <w:tc>
          <w:tcPr>
            <w:tcW w:w="1650" w:type="pct"/>
            <w:tcMar>
              <w:top w:w="80" w:type="dxa"/>
              <w:left w:w="100" w:type="dxa"/>
              <w:bottom w:w="80" w:type="dxa"/>
              <w:right w:w="100" w:type="dxa"/>
            </w:tcMar>
            <w:vAlign w:val="center"/>
          </w:tcPr>
          <w:p w14:paraId="6C7BAD80" w14:textId="77777777" w:rsidR="00F3041E" w:rsidRPr="00D51EF6" w:rsidRDefault="00F3041E" w:rsidP="00E02F75">
            <w:pPr>
              <w:rPr>
                <w:rFonts w:cs="Arial"/>
              </w:rPr>
            </w:pPr>
            <w:r w:rsidRPr="00D51EF6">
              <w:rPr>
                <w:rFonts w:eastAsia="Calibri" w:cs="Arial"/>
              </w:rPr>
              <w:t>$142.9 million</w:t>
            </w:r>
          </w:p>
        </w:tc>
        <w:tc>
          <w:tcPr>
            <w:tcW w:w="1650" w:type="pct"/>
            <w:tcMar>
              <w:top w:w="80" w:type="dxa"/>
              <w:left w:w="100" w:type="dxa"/>
              <w:bottom w:w="80" w:type="dxa"/>
              <w:right w:w="100" w:type="dxa"/>
            </w:tcMar>
            <w:vAlign w:val="center"/>
          </w:tcPr>
          <w:p w14:paraId="5FBBE921" w14:textId="77777777" w:rsidR="00F3041E" w:rsidRPr="00D51EF6" w:rsidRDefault="00F3041E" w:rsidP="00E02F75">
            <w:pPr>
              <w:rPr>
                <w:rFonts w:cs="Arial"/>
              </w:rPr>
            </w:pPr>
            <w:r w:rsidRPr="00D51EF6">
              <w:rPr>
                <w:rFonts w:eastAsia="Calibri" w:cs="Arial"/>
              </w:rPr>
              <w:t>10.2%</w:t>
            </w:r>
          </w:p>
        </w:tc>
      </w:tr>
      <w:tr w:rsidR="00F3041E" w:rsidRPr="00D51EF6" w14:paraId="28157C30" w14:textId="77777777" w:rsidTr="00B326FD">
        <w:trPr>
          <w:cantSplit/>
        </w:trPr>
        <w:tc>
          <w:tcPr>
            <w:tcW w:w="1650" w:type="pct"/>
            <w:tcMar>
              <w:top w:w="80" w:type="dxa"/>
              <w:left w:w="100" w:type="dxa"/>
              <w:bottom w:w="80" w:type="dxa"/>
              <w:right w:w="100" w:type="dxa"/>
            </w:tcMar>
            <w:vAlign w:val="center"/>
          </w:tcPr>
          <w:p w14:paraId="553C99AE" w14:textId="77777777" w:rsidR="00F3041E" w:rsidRPr="00D51EF6" w:rsidRDefault="00F3041E" w:rsidP="00E02F75">
            <w:pPr>
              <w:rPr>
                <w:rFonts w:cs="Arial"/>
              </w:rPr>
            </w:pPr>
            <w:r w:rsidRPr="00D51EF6">
              <w:rPr>
                <w:rFonts w:eastAsia="Calibri" w:cs="Arial"/>
                <w:b/>
                <w:bCs/>
              </w:rPr>
              <w:t>Texas</w:t>
            </w:r>
          </w:p>
        </w:tc>
        <w:tc>
          <w:tcPr>
            <w:tcW w:w="1650" w:type="pct"/>
            <w:tcMar>
              <w:top w:w="80" w:type="dxa"/>
              <w:left w:w="100" w:type="dxa"/>
              <w:bottom w:w="80" w:type="dxa"/>
              <w:right w:w="100" w:type="dxa"/>
            </w:tcMar>
            <w:vAlign w:val="center"/>
          </w:tcPr>
          <w:p w14:paraId="10E09948" w14:textId="77777777" w:rsidR="00F3041E" w:rsidRPr="00D51EF6" w:rsidRDefault="00F3041E" w:rsidP="00E02F75">
            <w:pPr>
              <w:rPr>
                <w:rFonts w:cs="Arial"/>
              </w:rPr>
            </w:pPr>
            <w:r w:rsidRPr="00D51EF6">
              <w:rPr>
                <w:rFonts w:eastAsia="Calibri" w:cs="Arial"/>
              </w:rPr>
              <w:t>$129.2 million</w:t>
            </w:r>
          </w:p>
        </w:tc>
        <w:tc>
          <w:tcPr>
            <w:tcW w:w="1650" w:type="pct"/>
            <w:tcMar>
              <w:top w:w="80" w:type="dxa"/>
              <w:left w:w="100" w:type="dxa"/>
              <w:bottom w:w="80" w:type="dxa"/>
              <w:right w:w="100" w:type="dxa"/>
            </w:tcMar>
            <w:vAlign w:val="center"/>
          </w:tcPr>
          <w:p w14:paraId="1365164E" w14:textId="77777777" w:rsidR="00F3041E" w:rsidRPr="00D51EF6" w:rsidRDefault="00F3041E" w:rsidP="00E02F75">
            <w:pPr>
              <w:rPr>
                <w:rFonts w:cs="Arial"/>
              </w:rPr>
            </w:pPr>
            <w:r w:rsidRPr="00D51EF6">
              <w:rPr>
                <w:rFonts w:eastAsia="Calibri" w:cs="Arial"/>
              </w:rPr>
              <w:t>9.2%</w:t>
            </w:r>
          </w:p>
        </w:tc>
      </w:tr>
      <w:tr w:rsidR="00F3041E" w:rsidRPr="00D51EF6" w14:paraId="334BFB66" w14:textId="77777777" w:rsidTr="00B326FD">
        <w:trPr>
          <w:cantSplit/>
        </w:trPr>
        <w:tc>
          <w:tcPr>
            <w:tcW w:w="1650" w:type="pct"/>
            <w:tcMar>
              <w:top w:w="80" w:type="dxa"/>
              <w:left w:w="100" w:type="dxa"/>
              <w:bottom w:w="80" w:type="dxa"/>
              <w:right w:w="100" w:type="dxa"/>
            </w:tcMar>
            <w:vAlign w:val="center"/>
          </w:tcPr>
          <w:p w14:paraId="5B4A0CB6" w14:textId="77777777" w:rsidR="00F3041E" w:rsidRPr="00D51EF6" w:rsidRDefault="00F3041E" w:rsidP="00E02F75">
            <w:pPr>
              <w:rPr>
                <w:rFonts w:cs="Arial"/>
              </w:rPr>
            </w:pPr>
            <w:r w:rsidRPr="00D51EF6">
              <w:rPr>
                <w:rFonts w:eastAsia="Calibri" w:cs="Arial"/>
                <w:b/>
                <w:bCs/>
              </w:rPr>
              <w:t>Florida</w:t>
            </w:r>
          </w:p>
        </w:tc>
        <w:tc>
          <w:tcPr>
            <w:tcW w:w="1650" w:type="pct"/>
            <w:tcMar>
              <w:top w:w="80" w:type="dxa"/>
              <w:left w:w="100" w:type="dxa"/>
              <w:bottom w:w="80" w:type="dxa"/>
              <w:right w:w="100" w:type="dxa"/>
            </w:tcMar>
            <w:vAlign w:val="center"/>
          </w:tcPr>
          <w:p w14:paraId="42D682B3" w14:textId="77777777" w:rsidR="00F3041E" w:rsidRPr="00D51EF6" w:rsidRDefault="00F3041E" w:rsidP="00E02F75">
            <w:pPr>
              <w:rPr>
                <w:rFonts w:cs="Arial"/>
              </w:rPr>
            </w:pPr>
            <w:r w:rsidRPr="00D51EF6">
              <w:rPr>
                <w:rFonts w:eastAsia="Calibri" w:cs="Arial"/>
              </w:rPr>
              <w:t>$83.2 million</w:t>
            </w:r>
          </w:p>
        </w:tc>
        <w:tc>
          <w:tcPr>
            <w:tcW w:w="1650" w:type="pct"/>
            <w:tcMar>
              <w:top w:w="80" w:type="dxa"/>
              <w:left w:w="100" w:type="dxa"/>
              <w:bottom w:w="80" w:type="dxa"/>
              <w:right w:w="100" w:type="dxa"/>
            </w:tcMar>
            <w:vAlign w:val="center"/>
          </w:tcPr>
          <w:p w14:paraId="3A60EC09" w14:textId="77777777" w:rsidR="00F3041E" w:rsidRPr="00D51EF6" w:rsidRDefault="00F3041E" w:rsidP="00E02F75">
            <w:pPr>
              <w:rPr>
                <w:rFonts w:cs="Arial"/>
              </w:rPr>
            </w:pPr>
            <w:r w:rsidRPr="00D51EF6">
              <w:rPr>
                <w:rFonts w:eastAsia="Calibri" w:cs="Arial"/>
              </w:rPr>
              <w:t>5.9%</w:t>
            </w:r>
          </w:p>
        </w:tc>
      </w:tr>
      <w:tr w:rsidR="00F3041E" w:rsidRPr="00D51EF6" w14:paraId="5F10C112" w14:textId="77777777" w:rsidTr="00B326FD">
        <w:trPr>
          <w:cantSplit/>
        </w:trPr>
        <w:tc>
          <w:tcPr>
            <w:tcW w:w="1650" w:type="pct"/>
            <w:tcMar>
              <w:top w:w="80" w:type="dxa"/>
              <w:left w:w="100" w:type="dxa"/>
              <w:bottom w:w="80" w:type="dxa"/>
              <w:right w:w="100" w:type="dxa"/>
            </w:tcMar>
            <w:vAlign w:val="center"/>
          </w:tcPr>
          <w:p w14:paraId="04F841A3" w14:textId="77777777" w:rsidR="00F3041E" w:rsidRPr="00D51EF6" w:rsidRDefault="00F3041E" w:rsidP="00E02F75">
            <w:pPr>
              <w:rPr>
                <w:rFonts w:cs="Arial"/>
              </w:rPr>
            </w:pPr>
            <w:r w:rsidRPr="00D51EF6">
              <w:rPr>
                <w:rFonts w:eastAsia="Calibri" w:cs="Arial"/>
                <w:b/>
                <w:bCs/>
              </w:rPr>
              <w:t>New York</w:t>
            </w:r>
          </w:p>
        </w:tc>
        <w:tc>
          <w:tcPr>
            <w:tcW w:w="1650" w:type="pct"/>
            <w:tcMar>
              <w:top w:w="80" w:type="dxa"/>
              <w:left w:w="100" w:type="dxa"/>
              <w:bottom w:w="80" w:type="dxa"/>
              <w:right w:w="100" w:type="dxa"/>
            </w:tcMar>
            <w:vAlign w:val="center"/>
          </w:tcPr>
          <w:p w14:paraId="42FACBED" w14:textId="77777777" w:rsidR="00F3041E" w:rsidRPr="00D51EF6" w:rsidRDefault="00F3041E" w:rsidP="00E02F75">
            <w:pPr>
              <w:rPr>
                <w:rFonts w:cs="Arial"/>
              </w:rPr>
            </w:pPr>
            <w:r w:rsidRPr="00D51EF6">
              <w:rPr>
                <w:rFonts w:eastAsia="Calibri" w:cs="Arial"/>
              </w:rPr>
              <w:t>$64.4 million</w:t>
            </w:r>
          </w:p>
        </w:tc>
        <w:tc>
          <w:tcPr>
            <w:tcW w:w="1650" w:type="pct"/>
            <w:tcMar>
              <w:top w:w="80" w:type="dxa"/>
              <w:left w:w="100" w:type="dxa"/>
              <w:bottom w:w="80" w:type="dxa"/>
              <w:right w:w="100" w:type="dxa"/>
            </w:tcMar>
            <w:vAlign w:val="center"/>
          </w:tcPr>
          <w:p w14:paraId="2A6E2867" w14:textId="77777777" w:rsidR="00F3041E" w:rsidRPr="00D51EF6" w:rsidRDefault="00F3041E" w:rsidP="00E02F75">
            <w:pPr>
              <w:rPr>
                <w:rFonts w:cs="Arial"/>
              </w:rPr>
            </w:pPr>
            <w:r w:rsidRPr="00D51EF6">
              <w:rPr>
                <w:rFonts w:eastAsia="Calibri" w:cs="Arial"/>
              </w:rPr>
              <w:t>4.6%</w:t>
            </w:r>
          </w:p>
        </w:tc>
      </w:tr>
    </w:tbl>
    <w:p w14:paraId="435B3B50" w14:textId="77777777" w:rsidR="00F3041E" w:rsidRPr="00D51EF6" w:rsidRDefault="00F3041E" w:rsidP="006E2049">
      <w:pPr>
        <w:pStyle w:val="Heading3"/>
      </w:pPr>
      <w:r w:rsidRPr="00D51EF6">
        <w:t>CTE Participants</w:t>
      </w:r>
    </w:p>
    <w:p w14:paraId="1DFF3618" w14:textId="77777777" w:rsidR="00F3041E" w:rsidRPr="00D51EF6" w:rsidRDefault="00F3041E" w:rsidP="00E02F75">
      <w:pPr>
        <w:spacing w:after="240" w:line="276" w:lineRule="auto"/>
        <w:rPr>
          <w:rFonts w:cs="Arial"/>
        </w:rPr>
      </w:pPr>
      <w:r w:rsidRPr="00D51EF6">
        <w:rPr>
          <w:rFonts w:eastAsia="Calibri" w:cs="Arial"/>
        </w:rPr>
        <w:t>A CTE participant is any student who takes at least one CTE course, the broadest measure of CTE involvement Perkins V tracks.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Caption w:val="Table 2: CTE Participants"/>
        <w:tblDescription w:val="Table showing the number of secondary and postsecondary CTE participants for the national total and each peer state in 2023-24, plus California's 2024-25 figures."/>
      </w:tblPr>
      <w:tblGrid>
        <w:gridCol w:w="3116"/>
        <w:gridCol w:w="3117"/>
        <w:gridCol w:w="3117"/>
      </w:tblGrid>
      <w:tr w:rsidR="00F3041E" w:rsidRPr="00D51EF6" w14:paraId="34AACE6E" w14:textId="77777777" w:rsidTr="00B326FD">
        <w:trPr>
          <w:cantSplit/>
          <w:tblHeader/>
        </w:trPr>
        <w:tc>
          <w:tcPr>
            <w:tcW w:w="1650" w:type="pct"/>
            <w:tcMar>
              <w:top w:w="80" w:type="dxa"/>
              <w:left w:w="100" w:type="dxa"/>
              <w:bottom w:w="80" w:type="dxa"/>
              <w:right w:w="100" w:type="dxa"/>
            </w:tcMar>
            <w:vAlign w:val="center"/>
          </w:tcPr>
          <w:p w14:paraId="62CAFBE0" w14:textId="77777777" w:rsidR="00F3041E" w:rsidRPr="00D51EF6" w:rsidRDefault="00F3041E" w:rsidP="00E02F75">
            <w:pPr>
              <w:rPr>
                <w:rFonts w:cs="Arial"/>
              </w:rPr>
            </w:pPr>
            <w:r w:rsidRPr="00D51EF6">
              <w:rPr>
                <w:rFonts w:eastAsia="Calibri" w:cs="Arial"/>
                <w:b/>
                <w:bCs/>
              </w:rPr>
              <w:t>State / Year</w:t>
            </w:r>
          </w:p>
        </w:tc>
        <w:tc>
          <w:tcPr>
            <w:tcW w:w="1650" w:type="pct"/>
            <w:tcMar>
              <w:top w:w="80" w:type="dxa"/>
              <w:left w:w="100" w:type="dxa"/>
              <w:bottom w:w="80" w:type="dxa"/>
              <w:right w:w="100" w:type="dxa"/>
            </w:tcMar>
            <w:vAlign w:val="center"/>
          </w:tcPr>
          <w:p w14:paraId="202DB351" w14:textId="77777777" w:rsidR="00F3041E" w:rsidRPr="00D51EF6" w:rsidRDefault="00F3041E" w:rsidP="00E02F75">
            <w:pPr>
              <w:rPr>
                <w:rFonts w:cs="Arial"/>
              </w:rPr>
            </w:pPr>
            <w:r w:rsidRPr="00D51EF6">
              <w:rPr>
                <w:rFonts w:eastAsia="Calibri" w:cs="Arial"/>
                <w:b/>
                <w:bCs/>
              </w:rPr>
              <w:t>Secondary</w:t>
            </w:r>
          </w:p>
        </w:tc>
        <w:tc>
          <w:tcPr>
            <w:tcW w:w="1650" w:type="pct"/>
            <w:tcMar>
              <w:top w:w="80" w:type="dxa"/>
              <w:left w:w="100" w:type="dxa"/>
              <w:bottom w:w="80" w:type="dxa"/>
              <w:right w:w="100" w:type="dxa"/>
            </w:tcMar>
            <w:vAlign w:val="center"/>
          </w:tcPr>
          <w:p w14:paraId="1444F655" w14:textId="77777777" w:rsidR="00F3041E" w:rsidRPr="00D51EF6" w:rsidRDefault="00F3041E" w:rsidP="00E02F75">
            <w:pPr>
              <w:rPr>
                <w:rFonts w:cs="Arial"/>
              </w:rPr>
            </w:pPr>
            <w:r w:rsidRPr="00D51EF6">
              <w:rPr>
                <w:rFonts w:eastAsia="Calibri" w:cs="Arial"/>
                <w:b/>
                <w:bCs/>
              </w:rPr>
              <w:t>Postsecondary</w:t>
            </w:r>
          </w:p>
        </w:tc>
      </w:tr>
      <w:tr w:rsidR="00F3041E" w:rsidRPr="00D51EF6" w14:paraId="604E3B6F" w14:textId="77777777" w:rsidTr="00B326FD">
        <w:trPr>
          <w:cantSplit/>
        </w:trPr>
        <w:tc>
          <w:tcPr>
            <w:tcW w:w="1650" w:type="pct"/>
            <w:tcMar>
              <w:top w:w="80" w:type="dxa"/>
              <w:left w:w="100" w:type="dxa"/>
              <w:bottom w:w="80" w:type="dxa"/>
              <w:right w:w="100" w:type="dxa"/>
            </w:tcMar>
            <w:vAlign w:val="center"/>
          </w:tcPr>
          <w:p w14:paraId="17BE2A9B" w14:textId="77777777" w:rsidR="00F3041E" w:rsidRPr="00D51EF6" w:rsidRDefault="00F3041E" w:rsidP="00E02F75">
            <w:pPr>
              <w:rPr>
                <w:rFonts w:cs="Arial"/>
              </w:rPr>
            </w:pPr>
            <w:r w:rsidRPr="00D51EF6">
              <w:rPr>
                <w:rFonts w:eastAsia="Calibri" w:cs="Arial"/>
                <w:b/>
                <w:bCs/>
              </w:rPr>
              <w:t>National, 2023–24</w:t>
            </w:r>
          </w:p>
        </w:tc>
        <w:tc>
          <w:tcPr>
            <w:tcW w:w="1650" w:type="pct"/>
            <w:tcMar>
              <w:top w:w="80" w:type="dxa"/>
              <w:left w:w="100" w:type="dxa"/>
              <w:bottom w:w="80" w:type="dxa"/>
              <w:right w:w="100" w:type="dxa"/>
            </w:tcMar>
            <w:vAlign w:val="center"/>
          </w:tcPr>
          <w:p w14:paraId="75752B36" w14:textId="77777777" w:rsidR="00F3041E" w:rsidRPr="00D51EF6" w:rsidRDefault="00F3041E" w:rsidP="00E02F75">
            <w:pPr>
              <w:rPr>
                <w:rFonts w:cs="Arial"/>
              </w:rPr>
            </w:pPr>
            <w:r w:rsidRPr="00D51EF6">
              <w:rPr>
                <w:rFonts w:eastAsia="Calibri" w:cs="Arial"/>
              </w:rPr>
              <w:t>8,600,000</w:t>
            </w:r>
          </w:p>
        </w:tc>
        <w:tc>
          <w:tcPr>
            <w:tcW w:w="1650" w:type="pct"/>
            <w:tcMar>
              <w:top w:w="80" w:type="dxa"/>
              <w:left w:w="100" w:type="dxa"/>
              <w:bottom w:w="80" w:type="dxa"/>
              <w:right w:w="100" w:type="dxa"/>
            </w:tcMar>
            <w:vAlign w:val="center"/>
          </w:tcPr>
          <w:p w14:paraId="2B07AB95" w14:textId="77777777" w:rsidR="00F3041E" w:rsidRPr="00D51EF6" w:rsidRDefault="00F3041E" w:rsidP="00E02F75">
            <w:pPr>
              <w:rPr>
                <w:rFonts w:cs="Arial"/>
              </w:rPr>
            </w:pPr>
            <w:r w:rsidRPr="00D51EF6">
              <w:rPr>
                <w:rFonts w:eastAsia="Calibri" w:cs="Arial"/>
              </w:rPr>
              <w:t>3,300,000</w:t>
            </w:r>
          </w:p>
        </w:tc>
      </w:tr>
      <w:tr w:rsidR="00F3041E" w:rsidRPr="00D51EF6" w14:paraId="0D3410D3" w14:textId="77777777" w:rsidTr="00B326FD">
        <w:trPr>
          <w:cantSplit/>
        </w:trPr>
        <w:tc>
          <w:tcPr>
            <w:tcW w:w="1650" w:type="pct"/>
            <w:tcMar>
              <w:top w:w="80" w:type="dxa"/>
              <w:left w:w="100" w:type="dxa"/>
              <w:bottom w:w="80" w:type="dxa"/>
              <w:right w:w="100" w:type="dxa"/>
            </w:tcMar>
            <w:vAlign w:val="center"/>
          </w:tcPr>
          <w:p w14:paraId="344AF607" w14:textId="77777777" w:rsidR="00F3041E" w:rsidRPr="00D51EF6" w:rsidRDefault="00F3041E" w:rsidP="00E02F75">
            <w:pPr>
              <w:rPr>
                <w:rFonts w:cs="Arial"/>
              </w:rPr>
            </w:pPr>
            <w:r w:rsidRPr="00D51EF6">
              <w:rPr>
                <w:rFonts w:eastAsia="Calibri" w:cs="Arial"/>
                <w:b/>
                <w:bCs/>
              </w:rPr>
              <w:t>California, 2023–24</w:t>
            </w:r>
          </w:p>
        </w:tc>
        <w:tc>
          <w:tcPr>
            <w:tcW w:w="1650" w:type="pct"/>
            <w:tcMar>
              <w:top w:w="80" w:type="dxa"/>
              <w:left w:w="100" w:type="dxa"/>
              <w:bottom w:w="80" w:type="dxa"/>
              <w:right w:w="100" w:type="dxa"/>
            </w:tcMar>
            <w:vAlign w:val="center"/>
          </w:tcPr>
          <w:p w14:paraId="3ACD492E" w14:textId="77777777" w:rsidR="00F3041E" w:rsidRPr="00D51EF6" w:rsidRDefault="00F3041E" w:rsidP="00E02F75">
            <w:pPr>
              <w:rPr>
                <w:rFonts w:cs="Arial"/>
              </w:rPr>
            </w:pPr>
            <w:r w:rsidRPr="00D51EF6">
              <w:rPr>
                <w:rFonts w:eastAsia="Calibri" w:cs="Arial"/>
              </w:rPr>
              <w:t>675,929</w:t>
            </w:r>
          </w:p>
        </w:tc>
        <w:tc>
          <w:tcPr>
            <w:tcW w:w="1650" w:type="pct"/>
            <w:tcMar>
              <w:top w:w="80" w:type="dxa"/>
              <w:left w:w="100" w:type="dxa"/>
              <w:bottom w:w="80" w:type="dxa"/>
              <w:right w:w="100" w:type="dxa"/>
            </w:tcMar>
            <w:vAlign w:val="center"/>
          </w:tcPr>
          <w:p w14:paraId="707D2CFE" w14:textId="77777777" w:rsidR="00F3041E" w:rsidRPr="00D51EF6" w:rsidRDefault="00F3041E" w:rsidP="00E02F75">
            <w:pPr>
              <w:rPr>
                <w:rFonts w:cs="Arial"/>
              </w:rPr>
            </w:pPr>
            <w:r w:rsidRPr="00D51EF6">
              <w:rPr>
                <w:rFonts w:eastAsia="Calibri" w:cs="Arial"/>
              </w:rPr>
              <w:t>766,035</w:t>
            </w:r>
          </w:p>
        </w:tc>
      </w:tr>
      <w:tr w:rsidR="00F3041E" w:rsidRPr="00D51EF6" w14:paraId="18D4AFE8" w14:textId="77777777" w:rsidTr="00B326FD">
        <w:trPr>
          <w:cantSplit/>
        </w:trPr>
        <w:tc>
          <w:tcPr>
            <w:tcW w:w="1650" w:type="pct"/>
            <w:tcMar>
              <w:top w:w="80" w:type="dxa"/>
              <w:left w:w="100" w:type="dxa"/>
              <w:bottom w:w="80" w:type="dxa"/>
              <w:right w:w="100" w:type="dxa"/>
            </w:tcMar>
            <w:vAlign w:val="center"/>
          </w:tcPr>
          <w:p w14:paraId="21762E92" w14:textId="77777777" w:rsidR="00F3041E" w:rsidRPr="00D51EF6" w:rsidRDefault="00F3041E" w:rsidP="00E02F75">
            <w:pPr>
              <w:rPr>
                <w:rFonts w:cs="Arial"/>
              </w:rPr>
            </w:pPr>
            <w:r w:rsidRPr="00D51EF6">
              <w:rPr>
                <w:rFonts w:eastAsia="Calibri" w:cs="Arial"/>
                <w:b/>
                <w:bCs/>
              </w:rPr>
              <w:t>Texas, 2023–24</w:t>
            </w:r>
          </w:p>
        </w:tc>
        <w:tc>
          <w:tcPr>
            <w:tcW w:w="1650" w:type="pct"/>
            <w:tcMar>
              <w:top w:w="80" w:type="dxa"/>
              <w:left w:w="100" w:type="dxa"/>
              <w:bottom w:w="80" w:type="dxa"/>
              <w:right w:w="100" w:type="dxa"/>
            </w:tcMar>
            <w:vAlign w:val="center"/>
          </w:tcPr>
          <w:p w14:paraId="4DE54831" w14:textId="77777777" w:rsidR="00F3041E" w:rsidRPr="00D51EF6" w:rsidRDefault="00F3041E" w:rsidP="00E02F75">
            <w:pPr>
              <w:rPr>
                <w:rFonts w:cs="Arial"/>
              </w:rPr>
            </w:pPr>
            <w:r w:rsidRPr="00D51EF6">
              <w:rPr>
                <w:rFonts w:eastAsia="Calibri" w:cs="Arial"/>
              </w:rPr>
              <w:t>1,189,533</w:t>
            </w:r>
          </w:p>
        </w:tc>
        <w:tc>
          <w:tcPr>
            <w:tcW w:w="1650" w:type="pct"/>
            <w:tcMar>
              <w:top w:w="80" w:type="dxa"/>
              <w:left w:w="100" w:type="dxa"/>
              <w:bottom w:w="80" w:type="dxa"/>
              <w:right w:w="100" w:type="dxa"/>
            </w:tcMar>
            <w:vAlign w:val="center"/>
          </w:tcPr>
          <w:p w14:paraId="700F5FA2" w14:textId="77777777" w:rsidR="00F3041E" w:rsidRPr="00D51EF6" w:rsidRDefault="00F3041E" w:rsidP="00E02F75">
            <w:pPr>
              <w:rPr>
                <w:rFonts w:cs="Arial"/>
              </w:rPr>
            </w:pPr>
            <w:r w:rsidRPr="00D51EF6">
              <w:rPr>
                <w:rFonts w:eastAsia="Calibri" w:cs="Arial"/>
              </w:rPr>
              <w:t>177,934</w:t>
            </w:r>
          </w:p>
        </w:tc>
      </w:tr>
      <w:tr w:rsidR="00F3041E" w:rsidRPr="00D51EF6" w14:paraId="196BEAC2" w14:textId="77777777" w:rsidTr="00B326FD">
        <w:trPr>
          <w:cantSplit/>
        </w:trPr>
        <w:tc>
          <w:tcPr>
            <w:tcW w:w="1650" w:type="pct"/>
            <w:tcMar>
              <w:top w:w="80" w:type="dxa"/>
              <w:left w:w="100" w:type="dxa"/>
              <w:bottom w:w="80" w:type="dxa"/>
              <w:right w:w="100" w:type="dxa"/>
            </w:tcMar>
            <w:vAlign w:val="center"/>
          </w:tcPr>
          <w:p w14:paraId="326D1A0B" w14:textId="77777777" w:rsidR="00F3041E" w:rsidRPr="00D51EF6" w:rsidRDefault="00F3041E" w:rsidP="00E02F75">
            <w:pPr>
              <w:rPr>
                <w:rFonts w:cs="Arial"/>
              </w:rPr>
            </w:pPr>
            <w:r w:rsidRPr="00D51EF6">
              <w:rPr>
                <w:rFonts w:eastAsia="Calibri" w:cs="Arial"/>
                <w:b/>
                <w:bCs/>
              </w:rPr>
              <w:t>Florida, 2023–24</w:t>
            </w:r>
          </w:p>
        </w:tc>
        <w:tc>
          <w:tcPr>
            <w:tcW w:w="1650" w:type="pct"/>
            <w:tcMar>
              <w:top w:w="80" w:type="dxa"/>
              <w:left w:w="100" w:type="dxa"/>
              <w:bottom w:w="80" w:type="dxa"/>
              <w:right w:w="100" w:type="dxa"/>
            </w:tcMar>
            <w:vAlign w:val="center"/>
          </w:tcPr>
          <w:p w14:paraId="1E8CEBC5" w14:textId="77777777" w:rsidR="00F3041E" w:rsidRPr="00D51EF6" w:rsidRDefault="00F3041E" w:rsidP="00E02F75">
            <w:pPr>
              <w:rPr>
                <w:rFonts w:cs="Arial"/>
              </w:rPr>
            </w:pPr>
            <w:r w:rsidRPr="00D51EF6">
              <w:rPr>
                <w:rFonts w:eastAsia="Calibri" w:cs="Arial"/>
              </w:rPr>
              <w:t>359,636</w:t>
            </w:r>
          </w:p>
        </w:tc>
        <w:tc>
          <w:tcPr>
            <w:tcW w:w="1650" w:type="pct"/>
            <w:tcMar>
              <w:top w:w="80" w:type="dxa"/>
              <w:left w:w="100" w:type="dxa"/>
              <w:bottom w:w="80" w:type="dxa"/>
              <w:right w:w="100" w:type="dxa"/>
            </w:tcMar>
            <w:vAlign w:val="center"/>
          </w:tcPr>
          <w:p w14:paraId="1F3D9AE4" w14:textId="77777777" w:rsidR="00F3041E" w:rsidRPr="00D51EF6" w:rsidRDefault="00F3041E" w:rsidP="00E02F75">
            <w:pPr>
              <w:rPr>
                <w:rFonts w:cs="Arial"/>
              </w:rPr>
            </w:pPr>
            <w:r w:rsidRPr="00D51EF6">
              <w:rPr>
                <w:rFonts w:eastAsia="Calibri" w:cs="Arial"/>
              </w:rPr>
              <w:t>156,320</w:t>
            </w:r>
          </w:p>
        </w:tc>
      </w:tr>
      <w:tr w:rsidR="00F3041E" w:rsidRPr="00D51EF6" w14:paraId="66B1B9A2" w14:textId="77777777" w:rsidTr="00B326FD">
        <w:trPr>
          <w:cantSplit/>
        </w:trPr>
        <w:tc>
          <w:tcPr>
            <w:tcW w:w="1650" w:type="pct"/>
            <w:tcMar>
              <w:top w:w="80" w:type="dxa"/>
              <w:left w:w="100" w:type="dxa"/>
              <w:bottom w:w="80" w:type="dxa"/>
              <w:right w:w="100" w:type="dxa"/>
            </w:tcMar>
            <w:vAlign w:val="center"/>
          </w:tcPr>
          <w:p w14:paraId="5C19C45B" w14:textId="77777777" w:rsidR="00F3041E" w:rsidRPr="00D51EF6" w:rsidRDefault="00F3041E" w:rsidP="00E02F75">
            <w:pPr>
              <w:rPr>
                <w:rFonts w:cs="Arial"/>
              </w:rPr>
            </w:pPr>
            <w:r w:rsidRPr="00D51EF6">
              <w:rPr>
                <w:rFonts w:eastAsia="Calibri" w:cs="Arial"/>
                <w:b/>
                <w:bCs/>
              </w:rPr>
              <w:t>New York, 2023–24</w:t>
            </w:r>
          </w:p>
        </w:tc>
        <w:tc>
          <w:tcPr>
            <w:tcW w:w="1650" w:type="pct"/>
            <w:tcMar>
              <w:top w:w="80" w:type="dxa"/>
              <w:left w:w="100" w:type="dxa"/>
              <w:bottom w:w="80" w:type="dxa"/>
              <w:right w:w="100" w:type="dxa"/>
            </w:tcMar>
            <w:vAlign w:val="center"/>
          </w:tcPr>
          <w:p w14:paraId="638EB385" w14:textId="77777777" w:rsidR="00F3041E" w:rsidRPr="00D51EF6" w:rsidRDefault="00F3041E" w:rsidP="00E02F75">
            <w:pPr>
              <w:rPr>
                <w:rFonts w:cs="Arial"/>
              </w:rPr>
            </w:pPr>
            <w:r w:rsidRPr="00D51EF6">
              <w:rPr>
                <w:rFonts w:eastAsia="Calibri" w:cs="Arial"/>
              </w:rPr>
              <w:t>96,575</w:t>
            </w:r>
          </w:p>
        </w:tc>
        <w:tc>
          <w:tcPr>
            <w:tcW w:w="1650" w:type="pct"/>
            <w:tcMar>
              <w:top w:w="80" w:type="dxa"/>
              <w:left w:w="100" w:type="dxa"/>
              <w:bottom w:w="80" w:type="dxa"/>
              <w:right w:w="100" w:type="dxa"/>
            </w:tcMar>
            <w:vAlign w:val="center"/>
          </w:tcPr>
          <w:p w14:paraId="7489D4B2" w14:textId="77777777" w:rsidR="00F3041E" w:rsidRPr="00D51EF6" w:rsidRDefault="00F3041E" w:rsidP="00E02F75">
            <w:pPr>
              <w:rPr>
                <w:rFonts w:cs="Arial"/>
              </w:rPr>
            </w:pPr>
            <w:r w:rsidRPr="00D51EF6">
              <w:rPr>
                <w:rFonts w:eastAsia="Calibri" w:cs="Arial"/>
              </w:rPr>
              <w:t>109,777</w:t>
            </w:r>
          </w:p>
        </w:tc>
      </w:tr>
      <w:tr w:rsidR="00F3041E" w:rsidRPr="00D51EF6" w14:paraId="57D1741D" w14:textId="77777777" w:rsidTr="00B326FD">
        <w:trPr>
          <w:cantSplit/>
        </w:trPr>
        <w:tc>
          <w:tcPr>
            <w:tcW w:w="1650" w:type="pct"/>
            <w:tcMar>
              <w:top w:w="80" w:type="dxa"/>
              <w:left w:w="100" w:type="dxa"/>
              <w:bottom w:w="80" w:type="dxa"/>
              <w:right w:w="100" w:type="dxa"/>
            </w:tcMar>
            <w:vAlign w:val="center"/>
          </w:tcPr>
          <w:p w14:paraId="4B2B5730" w14:textId="77777777" w:rsidR="00F3041E" w:rsidRPr="00D51EF6" w:rsidRDefault="00F3041E" w:rsidP="00E02F75">
            <w:pPr>
              <w:rPr>
                <w:rFonts w:cs="Arial"/>
              </w:rPr>
            </w:pPr>
            <w:r w:rsidRPr="00D51EF6">
              <w:rPr>
                <w:rFonts w:eastAsia="Calibri" w:cs="Arial"/>
                <w:b/>
                <w:bCs/>
              </w:rPr>
              <w:t>California, 2024–25</w:t>
            </w:r>
          </w:p>
        </w:tc>
        <w:tc>
          <w:tcPr>
            <w:tcW w:w="1650" w:type="pct"/>
            <w:tcMar>
              <w:top w:w="80" w:type="dxa"/>
              <w:left w:w="100" w:type="dxa"/>
              <w:bottom w:w="80" w:type="dxa"/>
              <w:right w:w="100" w:type="dxa"/>
            </w:tcMar>
            <w:vAlign w:val="center"/>
          </w:tcPr>
          <w:p w14:paraId="58BCB663" w14:textId="77777777" w:rsidR="00F3041E" w:rsidRPr="00D51EF6" w:rsidRDefault="00F3041E" w:rsidP="00E02F75">
            <w:pPr>
              <w:rPr>
                <w:rFonts w:cs="Arial"/>
              </w:rPr>
            </w:pPr>
            <w:r w:rsidRPr="00D51EF6">
              <w:rPr>
                <w:rFonts w:eastAsia="Calibri" w:cs="Arial"/>
              </w:rPr>
              <w:t>680,034</w:t>
            </w:r>
          </w:p>
        </w:tc>
        <w:tc>
          <w:tcPr>
            <w:tcW w:w="1650" w:type="pct"/>
            <w:tcMar>
              <w:top w:w="80" w:type="dxa"/>
              <w:left w:w="100" w:type="dxa"/>
              <w:bottom w:w="80" w:type="dxa"/>
              <w:right w:w="100" w:type="dxa"/>
            </w:tcMar>
            <w:vAlign w:val="center"/>
          </w:tcPr>
          <w:p w14:paraId="5AADC7A9" w14:textId="77777777" w:rsidR="00F3041E" w:rsidRPr="00D51EF6" w:rsidRDefault="00F3041E" w:rsidP="00E02F75">
            <w:pPr>
              <w:rPr>
                <w:rFonts w:cs="Arial"/>
              </w:rPr>
            </w:pPr>
            <w:r w:rsidRPr="00D51EF6">
              <w:rPr>
                <w:rFonts w:eastAsia="Calibri" w:cs="Arial"/>
              </w:rPr>
              <w:t>799,824</w:t>
            </w:r>
          </w:p>
        </w:tc>
      </w:tr>
    </w:tbl>
    <w:p w14:paraId="19604E96" w14:textId="77777777" w:rsidR="00F3041E" w:rsidRPr="00D51EF6" w:rsidRDefault="00F3041E" w:rsidP="00E02F75">
      <w:pPr>
        <w:spacing w:after="240" w:line="260" w:lineRule="auto"/>
        <w:rPr>
          <w:rFonts w:cs="Arial"/>
        </w:rPr>
      </w:pPr>
      <w:r w:rsidRPr="00D51EF6">
        <w:rPr>
          <w:rFonts w:eastAsia="Calibri" w:cs="Arial"/>
          <w:i/>
          <w:iCs/>
        </w:rPr>
        <w:t>National and peer-state figures for 2024–25 are not yet published. Because the number of Perkins-funded LEAs per state is not publicly available, these are raw counts, not a participation rate, and state-to-state comparison should be treated with caution.</w:t>
      </w:r>
    </w:p>
    <w:p w14:paraId="1EB38000" w14:textId="77777777" w:rsidR="00F3041E" w:rsidRPr="00D51EF6" w:rsidRDefault="00F3041E" w:rsidP="006E2049">
      <w:pPr>
        <w:pStyle w:val="Heading3"/>
      </w:pPr>
      <w:r w:rsidRPr="00D51EF6">
        <w:lastRenderedPageBreak/>
        <w:t>CTE Concentrators</w:t>
      </w:r>
    </w:p>
    <w:p w14:paraId="6742399E" w14:textId="73CE11A8" w:rsidR="00F3041E" w:rsidRPr="00D51EF6" w:rsidRDefault="00F3041E" w:rsidP="00E02F75">
      <w:pPr>
        <w:spacing w:after="240" w:line="276" w:lineRule="auto"/>
        <w:rPr>
          <w:rFonts w:cs="Arial"/>
        </w:rPr>
      </w:pPr>
      <w:r w:rsidRPr="00D51EF6">
        <w:rPr>
          <w:rFonts w:eastAsia="Calibri" w:cs="Arial"/>
        </w:rPr>
        <w:t>A secondary concentrator completes at least two courses in a single CTE program; a postsecondary concentrator earns at least 12 credits in a program, or completes it if shorter.</w:t>
      </w:r>
      <w:r w:rsidR="00E02F75" w:rsidRPr="00D51EF6">
        <w:rPr>
          <w:rFonts w:eastAsia="Calibri" w:cs="Arial"/>
        </w:rPr>
        <w:t xml:space="preserve"> Currently California is capturing only those students who have completed a CTE pathway.</w:t>
      </w:r>
      <w:r w:rsidR="0014505F" w:rsidRPr="00D51EF6">
        <w:rPr>
          <w:rFonts w:eastAsia="Calibri" w:cs="Arial"/>
        </w:rPr>
        <w:t xml:space="preserve"> As a result, California's reported concentrator counts are likely understated relative to states that apply the broader federal definition, and this should be kept in mind when comparing California's concentrator figures to those of peer states, which may include students who completed the required courses or credits without completing a full pathway. California is in the process of updating their data collection to be solely Concentrators for this indicator.</w:t>
      </w:r>
    </w:p>
    <w:tbl>
      <w:tblPr>
        <w:tblW w:w="5078"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Caption w:val="Table 3: CTE Concentrators"/>
        <w:tblDescription w:val="Table showing the number of secondary and postsecondary CTE concentrators for the national total and each peer state in 2023-24, plus California's 2024-25 figures."/>
      </w:tblPr>
      <w:tblGrid>
        <w:gridCol w:w="3168"/>
        <w:gridCol w:w="3164"/>
        <w:gridCol w:w="3164"/>
      </w:tblGrid>
      <w:tr w:rsidR="00F3041E" w:rsidRPr="00D51EF6" w14:paraId="4BDE476D" w14:textId="77777777" w:rsidTr="00B326FD">
        <w:trPr>
          <w:cantSplit/>
          <w:tblHeader/>
        </w:trPr>
        <w:tc>
          <w:tcPr>
            <w:tcW w:w="1668" w:type="pct"/>
            <w:tcMar>
              <w:top w:w="80" w:type="dxa"/>
              <w:left w:w="100" w:type="dxa"/>
              <w:bottom w:w="80" w:type="dxa"/>
              <w:right w:w="100" w:type="dxa"/>
            </w:tcMar>
            <w:vAlign w:val="center"/>
          </w:tcPr>
          <w:p w14:paraId="72A95662" w14:textId="77777777" w:rsidR="00F3041E" w:rsidRPr="00D51EF6" w:rsidRDefault="00F3041E" w:rsidP="00E02F75">
            <w:pPr>
              <w:rPr>
                <w:rFonts w:cs="Arial"/>
              </w:rPr>
            </w:pPr>
            <w:r w:rsidRPr="00D51EF6">
              <w:rPr>
                <w:rFonts w:eastAsia="Calibri" w:cs="Arial"/>
                <w:b/>
                <w:bCs/>
              </w:rPr>
              <w:t>State / Year</w:t>
            </w:r>
          </w:p>
        </w:tc>
        <w:tc>
          <w:tcPr>
            <w:tcW w:w="1666" w:type="pct"/>
            <w:tcMar>
              <w:top w:w="80" w:type="dxa"/>
              <w:left w:w="100" w:type="dxa"/>
              <w:bottom w:w="80" w:type="dxa"/>
              <w:right w:w="100" w:type="dxa"/>
            </w:tcMar>
            <w:vAlign w:val="center"/>
          </w:tcPr>
          <w:p w14:paraId="6563F4B2" w14:textId="77777777" w:rsidR="00F3041E" w:rsidRPr="00D51EF6" w:rsidRDefault="00F3041E" w:rsidP="00E02F75">
            <w:pPr>
              <w:rPr>
                <w:rFonts w:cs="Arial"/>
              </w:rPr>
            </w:pPr>
            <w:r w:rsidRPr="00D51EF6">
              <w:rPr>
                <w:rFonts w:eastAsia="Calibri" w:cs="Arial"/>
                <w:b/>
                <w:bCs/>
              </w:rPr>
              <w:t>Secondary</w:t>
            </w:r>
          </w:p>
        </w:tc>
        <w:tc>
          <w:tcPr>
            <w:tcW w:w="1666" w:type="pct"/>
            <w:tcMar>
              <w:top w:w="80" w:type="dxa"/>
              <w:left w:w="100" w:type="dxa"/>
              <w:bottom w:w="80" w:type="dxa"/>
              <w:right w:w="100" w:type="dxa"/>
            </w:tcMar>
            <w:vAlign w:val="center"/>
          </w:tcPr>
          <w:p w14:paraId="46AF3DAF" w14:textId="77777777" w:rsidR="00F3041E" w:rsidRPr="00D51EF6" w:rsidRDefault="00F3041E" w:rsidP="00E02F75">
            <w:pPr>
              <w:rPr>
                <w:rFonts w:cs="Arial"/>
              </w:rPr>
            </w:pPr>
            <w:r w:rsidRPr="00D51EF6">
              <w:rPr>
                <w:rFonts w:eastAsia="Calibri" w:cs="Arial"/>
                <w:b/>
                <w:bCs/>
              </w:rPr>
              <w:t>Postsecondary</w:t>
            </w:r>
          </w:p>
        </w:tc>
      </w:tr>
      <w:tr w:rsidR="00F3041E" w:rsidRPr="00D51EF6" w14:paraId="7BADF28D" w14:textId="77777777" w:rsidTr="00B326FD">
        <w:trPr>
          <w:cantSplit/>
        </w:trPr>
        <w:tc>
          <w:tcPr>
            <w:tcW w:w="1668" w:type="pct"/>
            <w:tcMar>
              <w:top w:w="80" w:type="dxa"/>
              <w:left w:w="100" w:type="dxa"/>
              <w:bottom w:w="80" w:type="dxa"/>
              <w:right w:w="100" w:type="dxa"/>
            </w:tcMar>
            <w:vAlign w:val="center"/>
          </w:tcPr>
          <w:p w14:paraId="29670D2C" w14:textId="77777777" w:rsidR="00F3041E" w:rsidRPr="00D51EF6" w:rsidRDefault="00F3041E" w:rsidP="00E02F75">
            <w:pPr>
              <w:rPr>
                <w:rFonts w:cs="Arial"/>
              </w:rPr>
            </w:pPr>
            <w:r w:rsidRPr="00D51EF6">
              <w:rPr>
                <w:rFonts w:eastAsia="Calibri" w:cs="Arial"/>
                <w:b/>
                <w:bCs/>
              </w:rPr>
              <w:t>National 2023–24</w:t>
            </w:r>
          </w:p>
        </w:tc>
        <w:tc>
          <w:tcPr>
            <w:tcW w:w="1666" w:type="pct"/>
            <w:tcMar>
              <w:top w:w="80" w:type="dxa"/>
              <w:left w:w="100" w:type="dxa"/>
              <w:bottom w:w="80" w:type="dxa"/>
              <w:right w:w="100" w:type="dxa"/>
            </w:tcMar>
            <w:vAlign w:val="center"/>
          </w:tcPr>
          <w:p w14:paraId="71710C06" w14:textId="77777777" w:rsidR="00F3041E" w:rsidRPr="00D51EF6" w:rsidRDefault="00F3041E" w:rsidP="00E02F75">
            <w:pPr>
              <w:rPr>
                <w:rFonts w:cs="Arial"/>
              </w:rPr>
            </w:pPr>
            <w:r w:rsidRPr="00D51EF6">
              <w:rPr>
                <w:rFonts w:eastAsia="Calibri" w:cs="Arial"/>
              </w:rPr>
              <w:t>3,800,000</w:t>
            </w:r>
          </w:p>
        </w:tc>
        <w:tc>
          <w:tcPr>
            <w:tcW w:w="1666" w:type="pct"/>
            <w:tcMar>
              <w:top w:w="80" w:type="dxa"/>
              <w:left w:w="100" w:type="dxa"/>
              <w:bottom w:w="80" w:type="dxa"/>
              <w:right w:w="100" w:type="dxa"/>
            </w:tcMar>
            <w:vAlign w:val="center"/>
          </w:tcPr>
          <w:p w14:paraId="18E7477B" w14:textId="77777777" w:rsidR="00F3041E" w:rsidRPr="00D51EF6" w:rsidRDefault="00F3041E" w:rsidP="00E02F75">
            <w:pPr>
              <w:rPr>
                <w:rFonts w:cs="Arial"/>
              </w:rPr>
            </w:pPr>
            <w:r w:rsidRPr="00D51EF6">
              <w:rPr>
                <w:rFonts w:eastAsia="Calibri" w:cs="Arial"/>
              </w:rPr>
              <w:t>1,800,000</w:t>
            </w:r>
          </w:p>
        </w:tc>
      </w:tr>
      <w:tr w:rsidR="00F3041E" w:rsidRPr="00D51EF6" w14:paraId="5F27D285" w14:textId="77777777" w:rsidTr="00B326FD">
        <w:trPr>
          <w:cantSplit/>
        </w:trPr>
        <w:tc>
          <w:tcPr>
            <w:tcW w:w="1668" w:type="pct"/>
            <w:tcMar>
              <w:top w:w="80" w:type="dxa"/>
              <w:left w:w="100" w:type="dxa"/>
              <w:bottom w:w="80" w:type="dxa"/>
              <w:right w:w="100" w:type="dxa"/>
            </w:tcMar>
            <w:vAlign w:val="center"/>
          </w:tcPr>
          <w:p w14:paraId="5B3F0641" w14:textId="77777777" w:rsidR="00F3041E" w:rsidRPr="00D51EF6" w:rsidRDefault="00F3041E" w:rsidP="00E02F75">
            <w:pPr>
              <w:rPr>
                <w:rFonts w:cs="Arial"/>
              </w:rPr>
            </w:pPr>
            <w:r w:rsidRPr="00D51EF6">
              <w:rPr>
                <w:rFonts w:eastAsia="Calibri" w:cs="Arial"/>
                <w:b/>
                <w:bCs/>
              </w:rPr>
              <w:t>California 2023–24</w:t>
            </w:r>
          </w:p>
        </w:tc>
        <w:tc>
          <w:tcPr>
            <w:tcW w:w="1666" w:type="pct"/>
            <w:tcMar>
              <w:top w:w="80" w:type="dxa"/>
              <w:left w:w="100" w:type="dxa"/>
              <w:bottom w:w="80" w:type="dxa"/>
              <w:right w:w="100" w:type="dxa"/>
            </w:tcMar>
            <w:vAlign w:val="center"/>
          </w:tcPr>
          <w:p w14:paraId="1BDFCF58" w14:textId="77777777" w:rsidR="00F3041E" w:rsidRPr="00D51EF6" w:rsidRDefault="00F3041E" w:rsidP="00E02F75">
            <w:pPr>
              <w:rPr>
                <w:rFonts w:cs="Arial"/>
              </w:rPr>
            </w:pPr>
            <w:r w:rsidRPr="00D51EF6">
              <w:rPr>
                <w:rFonts w:eastAsia="Calibri" w:cs="Arial"/>
              </w:rPr>
              <w:t>114,175</w:t>
            </w:r>
          </w:p>
        </w:tc>
        <w:tc>
          <w:tcPr>
            <w:tcW w:w="1666" w:type="pct"/>
            <w:tcMar>
              <w:top w:w="80" w:type="dxa"/>
              <w:left w:w="100" w:type="dxa"/>
              <w:bottom w:w="80" w:type="dxa"/>
              <w:right w:w="100" w:type="dxa"/>
            </w:tcMar>
            <w:vAlign w:val="center"/>
          </w:tcPr>
          <w:p w14:paraId="742233BD" w14:textId="77777777" w:rsidR="00F3041E" w:rsidRPr="00D51EF6" w:rsidRDefault="00F3041E" w:rsidP="00E02F75">
            <w:pPr>
              <w:rPr>
                <w:rFonts w:cs="Arial"/>
              </w:rPr>
            </w:pPr>
            <w:r w:rsidRPr="00D51EF6">
              <w:rPr>
                <w:rFonts w:eastAsia="Calibri" w:cs="Arial"/>
              </w:rPr>
              <w:t>233,252</w:t>
            </w:r>
          </w:p>
        </w:tc>
      </w:tr>
      <w:tr w:rsidR="00F3041E" w:rsidRPr="00D51EF6" w14:paraId="345EF52A" w14:textId="77777777" w:rsidTr="00B326FD">
        <w:trPr>
          <w:cantSplit/>
        </w:trPr>
        <w:tc>
          <w:tcPr>
            <w:tcW w:w="1668" w:type="pct"/>
            <w:tcMar>
              <w:top w:w="80" w:type="dxa"/>
              <w:left w:w="100" w:type="dxa"/>
              <w:bottom w:w="80" w:type="dxa"/>
              <w:right w:w="100" w:type="dxa"/>
            </w:tcMar>
            <w:vAlign w:val="center"/>
          </w:tcPr>
          <w:p w14:paraId="15C411B5" w14:textId="77777777" w:rsidR="00F3041E" w:rsidRPr="00D51EF6" w:rsidRDefault="00F3041E" w:rsidP="00E02F75">
            <w:pPr>
              <w:rPr>
                <w:rFonts w:cs="Arial"/>
              </w:rPr>
            </w:pPr>
            <w:r w:rsidRPr="00D51EF6">
              <w:rPr>
                <w:rFonts w:eastAsia="Calibri" w:cs="Arial"/>
                <w:b/>
                <w:bCs/>
              </w:rPr>
              <w:t>Texas 2023–24</w:t>
            </w:r>
          </w:p>
        </w:tc>
        <w:tc>
          <w:tcPr>
            <w:tcW w:w="1666" w:type="pct"/>
            <w:tcMar>
              <w:top w:w="80" w:type="dxa"/>
              <w:left w:w="100" w:type="dxa"/>
              <w:bottom w:w="80" w:type="dxa"/>
              <w:right w:w="100" w:type="dxa"/>
            </w:tcMar>
            <w:vAlign w:val="center"/>
          </w:tcPr>
          <w:p w14:paraId="1DE81AFB" w14:textId="77777777" w:rsidR="00F3041E" w:rsidRPr="00D51EF6" w:rsidRDefault="00F3041E" w:rsidP="00E02F75">
            <w:pPr>
              <w:rPr>
                <w:rFonts w:cs="Arial"/>
              </w:rPr>
            </w:pPr>
            <w:r w:rsidRPr="00D51EF6">
              <w:rPr>
                <w:rFonts w:eastAsia="Calibri" w:cs="Arial"/>
              </w:rPr>
              <w:t>1,180,579</w:t>
            </w:r>
          </w:p>
        </w:tc>
        <w:tc>
          <w:tcPr>
            <w:tcW w:w="1666" w:type="pct"/>
            <w:tcMar>
              <w:top w:w="80" w:type="dxa"/>
              <w:left w:w="100" w:type="dxa"/>
              <w:bottom w:w="80" w:type="dxa"/>
              <w:right w:w="100" w:type="dxa"/>
            </w:tcMar>
            <w:vAlign w:val="center"/>
          </w:tcPr>
          <w:p w14:paraId="6C5FDAEF" w14:textId="77777777" w:rsidR="00F3041E" w:rsidRPr="00D51EF6" w:rsidRDefault="00F3041E" w:rsidP="00E02F75">
            <w:pPr>
              <w:rPr>
                <w:rFonts w:cs="Arial"/>
              </w:rPr>
            </w:pPr>
            <w:r w:rsidRPr="00D51EF6">
              <w:rPr>
                <w:rFonts w:eastAsia="Calibri" w:cs="Arial"/>
              </w:rPr>
              <w:t>142,156</w:t>
            </w:r>
          </w:p>
        </w:tc>
      </w:tr>
      <w:tr w:rsidR="00F3041E" w:rsidRPr="00D51EF6" w14:paraId="64DA958D" w14:textId="77777777" w:rsidTr="00B326FD">
        <w:trPr>
          <w:cantSplit/>
        </w:trPr>
        <w:tc>
          <w:tcPr>
            <w:tcW w:w="1668" w:type="pct"/>
            <w:tcMar>
              <w:top w:w="80" w:type="dxa"/>
              <w:left w:w="100" w:type="dxa"/>
              <w:bottom w:w="80" w:type="dxa"/>
              <w:right w:w="100" w:type="dxa"/>
            </w:tcMar>
            <w:vAlign w:val="center"/>
          </w:tcPr>
          <w:p w14:paraId="39F02D4A" w14:textId="77777777" w:rsidR="00F3041E" w:rsidRPr="00D51EF6" w:rsidRDefault="00F3041E" w:rsidP="00E02F75">
            <w:pPr>
              <w:rPr>
                <w:rFonts w:cs="Arial"/>
              </w:rPr>
            </w:pPr>
            <w:r w:rsidRPr="00D51EF6">
              <w:rPr>
                <w:rFonts w:eastAsia="Calibri" w:cs="Arial"/>
                <w:b/>
                <w:bCs/>
              </w:rPr>
              <w:t>Florida 2023–24</w:t>
            </w:r>
          </w:p>
        </w:tc>
        <w:tc>
          <w:tcPr>
            <w:tcW w:w="1666" w:type="pct"/>
            <w:tcMar>
              <w:top w:w="80" w:type="dxa"/>
              <w:left w:w="100" w:type="dxa"/>
              <w:bottom w:w="80" w:type="dxa"/>
              <w:right w:w="100" w:type="dxa"/>
            </w:tcMar>
            <w:vAlign w:val="center"/>
          </w:tcPr>
          <w:p w14:paraId="4E065257" w14:textId="77777777" w:rsidR="00F3041E" w:rsidRPr="00D51EF6" w:rsidRDefault="00F3041E" w:rsidP="00E02F75">
            <w:pPr>
              <w:rPr>
                <w:rFonts w:cs="Arial"/>
              </w:rPr>
            </w:pPr>
            <w:r w:rsidRPr="00D51EF6">
              <w:rPr>
                <w:rFonts w:eastAsia="Calibri" w:cs="Arial"/>
              </w:rPr>
              <w:t>204,450</w:t>
            </w:r>
          </w:p>
        </w:tc>
        <w:tc>
          <w:tcPr>
            <w:tcW w:w="1666" w:type="pct"/>
            <w:tcMar>
              <w:top w:w="80" w:type="dxa"/>
              <w:left w:w="100" w:type="dxa"/>
              <w:bottom w:w="80" w:type="dxa"/>
              <w:right w:w="100" w:type="dxa"/>
            </w:tcMar>
            <w:vAlign w:val="center"/>
          </w:tcPr>
          <w:p w14:paraId="6391A101" w14:textId="77777777" w:rsidR="00F3041E" w:rsidRPr="00D51EF6" w:rsidRDefault="00F3041E" w:rsidP="00E02F75">
            <w:pPr>
              <w:rPr>
                <w:rFonts w:cs="Arial"/>
              </w:rPr>
            </w:pPr>
            <w:r w:rsidRPr="00D51EF6">
              <w:rPr>
                <w:rFonts w:eastAsia="Calibri" w:cs="Arial"/>
              </w:rPr>
              <w:t>130,449</w:t>
            </w:r>
          </w:p>
        </w:tc>
      </w:tr>
      <w:tr w:rsidR="00F3041E" w:rsidRPr="00D51EF6" w14:paraId="69C5DD13" w14:textId="77777777" w:rsidTr="00B326FD">
        <w:trPr>
          <w:cantSplit/>
        </w:trPr>
        <w:tc>
          <w:tcPr>
            <w:tcW w:w="1668" w:type="pct"/>
            <w:tcMar>
              <w:top w:w="80" w:type="dxa"/>
              <w:left w:w="100" w:type="dxa"/>
              <w:bottom w:w="80" w:type="dxa"/>
              <w:right w:w="100" w:type="dxa"/>
            </w:tcMar>
            <w:vAlign w:val="center"/>
          </w:tcPr>
          <w:p w14:paraId="30A83B88" w14:textId="77777777" w:rsidR="00F3041E" w:rsidRPr="00D51EF6" w:rsidRDefault="00F3041E" w:rsidP="00E02F75">
            <w:pPr>
              <w:rPr>
                <w:rFonts w:cs="Arial"/>
              </w:rPr>
            </w:pPr>
            <w:r w:rsidRPr="00D51EF6">
              <w:rPr>
                <w:rFonts w:eastAsia="Calibri" w:cs="Arial"/>
                <w:b/>
                <w:bCs/>
              </w:rPr>
              <w:t>New York 2023–24</w:t>
            </w:r>
          </w:p>
        </w:tc>
        <w:tc>
          <w:tcPr>
            <w:tcW w:w="1666" w:type="pct"/>
            <w:tcMar>
              <w:top w:w="80" w:type="dxa"/>
              <w:left w:w="100" w:type="dxa"/>
              <w:bottom w:w="80" w:type="dxa"/>
              <w:right w:w="100" w:type="dxa"/>
            </w:tcMar>
            <w:vAlign w:val="center"/>
          </w:tcPr>
          <w:p w14:paraId="4100AD2B" w14:textId="77777777" w:rsidR="00F3041E" w:rsidRPr="00D51EF6" w:rsidRDefault="00F3041E" w:rsidP="00E02F75">
            <w:pPr>
              <w:rPr>
                <w:rFonts w:cs="Arial"/>
              </w:rPr>
            </w:pPr>
            <w:r w:rsidRPr="00D51EF6">
              <w:rPr>
                <w:rFonts w:eastAsia="Calibri" w:cs="Arial"/>
              </w:rPr>
              <w:t>50,064</w:t>
            </w:r>
          </w:p>
        </w:tc>
        <w:tc>
          <w:tcPr>
            <w:tcW w:w="1666" w:type="pct"/>
            <w:tcMar>
              <w:top w:w="80" w:type="dxa"/>
              <w:left w:w="100" w:type="dxa"/>
              <w:bottom w:w="80" w:type="dxa"/>
              <w:right w:w="100" w:type="dxa"/>
            </w:tcMar>
            <w:vAlign w:val="center"/>
          </w:tcPr>
          <w:p w14:paraId="52001F84" w14:textId="77777777" w:rsidR="00F3041E" w:rsidRPr="00D51EF6" w:rsidRDefault="00F3041E" w:rsidP="00E02F75">
            <w:pPr>
              <w:rPr>
                <w:rFonts w:cs="Arial"/>
              </w:rPr>
            </w:pPr>
            <w:r w:rsidRPr="00D51EF6">
              <w:rPr>
                <w:rFonts w:eastAsia="Calibri" w:cs="Arial"/>
              </w:rPr>
              <w:t>94,494</w:t>
            </w:r>
          </w:p>
        </w:tc>
      </w:tr>
      <w:tr w:rsidR="00F3041E" w:rsidRPr="00D51EF6" w14:paraId="761B1E6B" w14:textId="77777777" w:rsidTr="00B326FD">
        <w:trPr>
          <w:cantSplit/>
        </w:trPr>
        <w:tc>
          <w:tcPr>
            <w:tcW w:w="1668" w:type="pct"/>
            <w:tcMar>
              <w:top w:w="80" w:type="dxa"/>
              <w:left w:w="100" w:type="dxa"/>
              <w:bottom w:w="80" w:type="dxa"/>
              <w:right w:w="100" w:type="dxa"/>
            </w:tcMar>
            <w:vAlign w:val="center"/>
          </w:tcPr>
          <w:p w14:paraId="66BEFEBD" w14:textId="77777777" w:rsidR="00F3041E" w:rsidRPr="00D51EF6" w:rsidRDefault="00F3041E" w:rsidP="00E02F75">
            <w:pPr>
              <w:rPr>
                <w:rFonts w:cs="Arial"/>
              </w:rPr>
            </w:pPr>
            <w:r w:rsidRPr="00D51EF6">
              <w:rPr>
                <w:rFonts w:eastAsia="Calibri" w:cs="Arial"/>
                <w:b/>
                <w:bCs/>
              </w:rPr>
              <w:t>California 2024–25</w:t>
            </w:r>
          </w:p>
        </w:tc>
        <w:tc>
          <w:tcPr>
            <w:tcW w:w="1666" w:type="pct"/>
            <w:tcMar>
              <w:top w:w="80" w:type="dxa"/>
              <w:left w:w="100" w:type="dxa"/>
              <w:bottom w:w="80" w:type="dxa"/>
              <w:right w:w="100" w:type="dxa"/>
            </w:tcMar>
            <w:vAlign w:val="center"/>
          </w:tcPr>
          <w:p w14:paraId="483F7486" w14:textId="77777777" w:rsidR="00F3041E" w:rsidRPr="00D51EF6" w:rsidRDefault="00F3041E" w:rsidP="00E02F75">
            <w:pPr>
              <w:rPr>
                <w:rFonts w:cs="Arial"/>
              </w:rPr>
            </w:pPr>
            <w:r w:rsidRPr="00D51EF6">
              <w:rPr>
                <w:rFonts w:eastAsia="Calibri" w:cs="Arial"/>
              </w:rPr>
              <w:t>127,466</w:t>
            </w:r>
          </w:p>
        </w:tc>
        <w:tc>
          <w:tcPr>
            <w:tcW w:w="1666" w:type="pct"/>
            <w:tcMar>
              <w:top w:w="80" w:type="dxa"/>
              <w:left w:w="100" w:type="dxa"/>
              <w:bottom w:w="80" w:type="dxa"/>
              <w:right w:w="100" w:type="dxa"/>
            </w:tcMar>
            <w:vAlign w:val="center"/>
          </w:tcPr>
          <w:p w14:paraId="456606AE" w14:textId="77777777" w:rsidR="00F3041E" w:rsidRPr="00D51EF6" w:rsidRDefault="00F3041E" w:rsidP="00E02F75">
            <w:pPr>
              <w:rPr>
                <w:rFonts w:cs="Arial"/>
              </w:rPr>
            </w:pPr>
            <w:r w:rsidRPr="00D51EF6">
              <w:rPr>
                <w:rFonts w:eastAsia="Calibri" w:cs="Arial"/>
              </w:rPr>
              <w:t>222,903</w:t>
            </w:r>
          </w:p>
        </w:tc>
      </w:tr>
    </w:tbl>
    <w:p w14:paraId="096AED94" w14:textId="77777777" w:rsidR="00F3041E" w:rsidRPr="00D51EF6" w:rsidRDefault="00F3041E" w:rsidP="00E02F75">
      <w:pPr>
        <w:spacing w:after="240" w:line="260" w:lineRule="auto"/>
        <w:rPr>
          <w:rFonts w:cs="Arial"/>
        </w:rPr>
      </w:pPr>
      <w:r w:rsidRPr="00D51EF6">
        <w:rPr>
          <w:rFonts w:eastAsia="Calibri" w:cs="Arial"/>
          <w:i/>
          <w:iCs/>
        </w:rPr>
        <w:t>California's secondary concentrator count rose between 2023–24 and 2024–25, while its postsecondary count declined slightly.</w:t>
      </w:r>
    </w:p>
    <w:p w14:paraId="6629003C" w14:textId="77777777" w:rsidR="00F3041E" w:rsidRPr="00D51EF6" w:rsidRDefault="00F3041E" w:rsidP="006E2049">
      <w:pPr>
        <w:pStyle w:val="Heading3"/>
      </w:pPr>
      <w:r w:rsidRPr="00D51EF6">
        <w:t>National Comparison Indicators</w:t>
      </w:r>
    </w:p>
    <w:p w14:paraId="4DFAE3D9" w14:textId="77777777" w:rsidR="00F3041E" w:rsidRPr="00D51EF6" w:rsidRDefault="00F3041E" w:rsidP="00E02F75">
      <w:pPr>
        <w:spacing w:after="240" w:line="276" w:lineRule="auto"/>
        <w:rPr>
          <w:rFonts w:cs="Arial"/>
        </w:rPr>
      </w:pPr>
      <w:r w:rsidRPr="00D51EF6">
        <w:rPr>
          <w:rFonts w:eastAsia="Calibri" w:cs="Arial"/>
        </w:rPr>
        <w:t>Indicator 1P1, the postsecondary placement rate, measures the share of postsecondary CTE concentrators employed, in further education or training, or in the military in the second quarter after exiting their program. Indicator 1S1, the secondary graduation rate, measures the four-year adjusted cohort graduation rate for CTE concentrators. Each state sets its own target for these indicators, called a State Determined Level of Performance, so the national rate is a point of reference rather than a fixed bar.</w:t>
      </w:r>
    </w:p>
    <w:tbl>
      <w:tblPr>
        <w:tblW w:w="4696"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Caption w:val="Table 4: National Comparison Indicators"/>
        <w:tblDescription w:val="Table comparing California to the national rate on two federal performance indicators, postsecondary placement and secondary graduation rate, for 2023-24, with California's 2024-25 results also shown."/>
      </w:tblPr>
      <w:tblGrid>
        <w:gridCol w:w="4465"/>
        <w:gridCol w:w="1440"/>
        <w:gridCol w:w="1437"/>
        <w:gridCol w:w="1440"/>
      </w:tblGrid>
      <w:tr w:rsidR="00F3041E" w:rsidRPr="00D51EF6" w14:paraId="51D7E4A8" w14:textId="77777777" w:rsidTr="00B326FD">
        <w:trPr>
          <w:cantSplit/>
          <w:tblHeader/>
        </w:trPr>
        <w:tc>
          <w:tcPr>
            <w:tcW w:w="2542" w:type="pct"/>
            <w:tcMar>
              <w:top w:w="80" w:type="dxa"/>
              <w:left w:w="100" w:type="dxa"/>
              <w:bottom w:w="80" w:type="dxa"/>
              <w:right w:w="100" w:type="dxa"/>
            </w:tcMar>
            <w:vAlign w:val="center"/>
          </w:tcPr>
          <w:p w14:paraId="2D03E4CF" w14:textId="77777777" w:rsidR="00F3041E" w:rsidRPr="00D51EF6" w:rsidRDefault="00F3041E" w:rsidP="00E02F75">
            <w:pPr>
              <w:rPr>
                <w:rFonts w:cs="Arial"/>
              </w:rPr>
            </w:pPr>
            <w:r w:rsidRPr="00D51EF6">
              <w:rPr>
                <w:rFonts w:eastAsia="Calibri" w:cs="Arial"/>
                <w:b/>
                <w:bCs/>
              </w:rPr>
              <w:t>Indicator</w:t>
            </w:r>
          </w:p>
        </w:tc>
        <w:tc>
          <w:tcPr>
            <w:tcW w:w="820" w:type="pct"/>
            <w:tcMar>
              <w:top w:w="80" w:type="dxa"/>
              <w:left w:w="100" w:type="dxa"/>
              <w:bottom w:w="80" w:type="dxa"/>
              <w:right w:w="100" w:type="dxa"/>
            </w:tcMar>
            <w:vAlign w:val="center"/>
          </w:tcPr>
          <w:p w14:paraId="096D9F09" w14:textId="77777777" w:rsidR="00F3041E" w:rsidRPr="00D51EF6" w:rsidRDefault="00F3041E" w:rsidP="00E02F75">
            <w:pPr>
              <w:rPr>
                <w:rFonts w:cs="Arial"/>
              </w:rPr>
            </w:pPr>
            <w:r w:rsidRPr="00D51EF6">
              <w:rPr>
                <w:rFonts w:eastAsia="Calibri" w:cs="Arial"/>
                <w:b/>
                <w:bCs/>
              </w:rPr>
              <w:t>National (2023–24)</w:t>
            </w:r>
          </w:p>
        </w:tc>
        <w:tc>
          <w:tcPr>
            <w:tcW w:w="818" w:type="pct"/>
            <w:tcMar>
              <w:top w:w="80" w:type="dxa"/>
              <w:left w:w="100" w:type="dxa"/>
              <w:bottom w:w="80" w:type="dxa"/>
              <w:right w:w="100" w:type="dxa"/>
            </w:tcMar>
            <w:vAlign w:val="center"/>
          </w:tcPr>
          <w:p w14:paraId="4D7ADAD6" w14:textId="77777777" w:rsidR="00F3041E" w:rsidRPr="00D51EF6" w:rsidRDefault="00F3041E" w:rsidP="00E02F75">
            <w:pPr>
              <w:rPr>
                <w:rFonts w:cs="Arial"/>
              </w:rPr>
            </w:pPr>
            <w:r w:rsidRPr="00D51EF6">
              <w:rPr>
                <w:rFonts w:eastAsia="Calibri" w:cs="Arial"/>
                <w:b/>
                <w:bCs/>
              </w:rPr>
              <w:t>California (2023–24)</w:t>
            </w:r>
          </w:p>
        </w:tc>
        <w:tc>
          <w:tcPr>
            <w:tcW w:w="820" w:type="pct"/>
            <w:tcMar>
              <w:top w:w="80" w:type="dxa"/>
              <w:left w:w="100" w:type="dxa"/>
              <w:bottom w:w="80" w:type="dxa"/>
              <w:right w:w="100" w:type="dxa"/>
            </w:tcMar>
            <w:vAlign w:val="center"/>
          </w:tcPr>
          <w:p w14:paraId="7D2A10EA" w14:textId="77777777" w:rsidR="00F3041E" w:rsidRPr="00D51EF6" w:rsidRDefault="00F3041E" w:rsidP="00E02F75">
            <w:pPr>
              <w:rPr>
                <w:rFonts w:cs="Arial"/>
              </w:rPr>
            </w:pPr>
            <w:r w:rsidRPr="00D51EF6">
              <w:rPr>
                <w:rFonts w:eastAsia="Calibri" w:cs="Arial"/>
                <w:b/>
                <w:bCs/>
              </w:rPr>
              <w:t>California (2024–25)</w:t>
            </w:r>
          </w:p>
        </w:tc>
      </w:tr>
      <w:tr w:rsidR="00F3041E" w:rsidRPr="00D51EF6" w14:paraId="7D4FF90F" w14:textId="77777777" w:rsidTr="00B326FD">
        <w:trPr>
          <w:cantSplit/>
        </w:trPr>
        <w:tc>
          <w:tcPr>
            <w:tcW w:w="2542" w:type="pct"/>
            <w:tcMar>
              <w:top w:w="80" w:type="dxa"/>
              <w:left w:w="100" w:type="dxa"/>
              <w:bottom w:w="80" w:type="dxa"/>
              <w:right w:w="100" w:type="dxa"/>
            </w:tcMar>
            <w:vAlign w:val="center"/>
          </w:tcPr>
          <w:p w14:paraId="626BE06A" w14:textId="77777777" w:rsidR="00F3041E" w:rsidRPr="00D51EF6" w:rsidRDefault="00F3041E" w:rsidP="00E02F75">
            <w:pPr>
              <w:rPr>
                <w:rFonts w:cs="Arial"/>
              </w:rPr>
            </w:pPr>
            <w:r w:rsidRPr="00D51EF6">
              <w:rPr>
                <w:rFonts w:eastAsia="Calibri" w:cs="Arial"/>
                <w:b/>
                <w:bCs/>
              </w:rPr>
              <w:t>Postsecondary Placement Rate (1P1)</w:t>
            </w:r>
          </w:p>
        </w:tc>
        <w:tc>
          <w:tcPr>
            <w:tcW w:w="820" w:type="pct"/>
            <w:tcMar>
              <w:top w:w="80" w:type="dxa"/>
              <w:left w:w="100" w:type="dxa"/>
              <w:bottom w:w="80" w:type="dxa"/>
              <w:right w:w="100" w:type="dxa"/>
            </w:tcMar>
            <w:vAlign w:val="center"/>
          </w:tcPr>
          <w:p w14:paraId="5F8D251D" w14:textId="77777777" w:rsidR="00F3041E" w:rsidRPr="00D51EF6" w:rsidRDefault="00F3041E" w:rsidP="00E02F75">
            <w:pPr>
              <w:rPr>
                <w:rFonts w:cs="Arial"/>
              </w:rPr>
            </w:pPr>
            <w:r w:rsidRPr="00D51EF6">
              <w:rPr>
                <w:rFonts w:eastAsia="Calibri" w:cs="Arial"/>
              </w:rPr>
              <w:t>81.5%</w:t>
            </w:r>
          </w:p>
        </w:tc>
        <w:tc>
          <w:tcPr>
            <w:tcW w:w="818" w:type="pct"/>
            <w:tcMar>
              <w:top w:w="80" w:type="dxa"/>
              <w:left w:w="100" w:type="dxa"/>
              <w:bottom w:w="80" w:type="dxa"/>
              <w:right w:w="100" w:type="dxa"/>
            </w:tcMar>
            <w:vAlign w:val="center"/>
          </w:tcPr>
          <w:p w14:paraId="44D5A4DF" w14:textId="77777777" w:rsidR="00F3041E" w:rsidRPr="00D51EF6" w:rsidRDefault="00F3041E" w:rsidP="00E02F75">
            <w:pPr>
              <w:rPr>
                <w:rFonts w:cs="Arial"/>
              </w:rPr>
            </w:pPr>
            <w:r w:rsidRPr="00D51EF6">
              <w:rPr>
                <w:rFonts w:eastAsia="Calibri" w:cs="Arial"/>
              </w:rPr>
              <w:t>95.8%</w:t>
            </w:r>
          </w:p>
        </w:tc>
        <w:tc>
          <w:tcPr>
            <w:tcW w:w="820" w:type="pct"/>
            <w:tcMar>
              <w:top w:w="80" w:type="dxa"/>
              <w:left w:w="100" w:type="dxa"/>
              <w:bottom w:w="80" w:type="dxa"/>
              <w:right w:w="100" w:type="dxa"/>
            </w:tcMar>
            <w:vAlign w:val="center"/>
          </w:tcPr>
          <w:p w14:paraId="5322E8F6" w14:textId="77777777" w:rsidR="00F3041E" w:rsidRPr="00D51EF6" w:rsidRDefault="00F3041E" w:rsidP="00E02F75">
            <w:pPr>
              <w:rPr>
                <w:rFonts w:cs="Arial"/>
              </w:rPr>
            </w:pPr>
            <w:r w:rsidRPr="00D51EF6">
              <w:rPr>
                <w:rFonts w:eastAsia="Calibri" w:cs="Arial"/>
              </w:rPr>
              <w:t>96.2%</w:t>
            </w:r>
          </w:p>
        </w:tc>
      </w:tr>
      <w:tr w:rsidR="00F3041E" w:rsidRPr="00D51EF6" w14:paraId="5C25DF34" w14:textId="77777777" w:rsidTr="00B326FD">
        <w:trPr>
          <w:cantSplit/>
        </w:trPr>
        <w:tc>
          <w:tcPr>
            <w:tcW w:w="2542" w:type="pct"/>
            <w:tcMar>
              <w:top w:w="80" w:type="dxa"/>
              <w:left w:w="100" w:type="dxa"/>
              <w:bottom w:w="80" w:type="dxa"/>
              <w:right w:w="100" w:type="dxa"/>
            </w:tcMar>
            <w:vAlign w:val="center"/>
          </w:tcPr>
          <w:p w14:paraId="0012B089" w14:textId="77777777" w:rsidR="00F3041E" w:rsidRPr="00D51EF6" w:rsidRDefault="00F3041E" w:rsidP="00E02F75">
            <w:pPr>
              <w:rPr>
                <w:rFonts w:cs="Arial"/>
              </w:rPr>
            </w:pPr>
            <w:r w:rsidRPr="00D51EF6">
              <w:rPr>
                <w:rFonts w:eastAsia="Calibri" w:cs="Arial"/>
                <w:b/>
                <w:bCs/>
              </w:rPr>
              <w:t>Secondary Graduation Rate (1S1)</w:t>
            </w:r>
          </w:p>
        </w:tc>
        <w:tc>
          <w:tcPr>
            <w:tcW w:w="820" w:type="pct"/>
            <w:tcMar>
              <w:top w:w="80" w:type="dxa"/>
              <w:left w:w="100" w:type="dxa"/>
              <w:bottom w:w="80" w:type="dxa"/>
              <w:right w:w="100" w:type="dxa"/>
            </w:tcMar>
            <w:vAlign w:val="center"/>
          </w:tcPr>
          <w:p w14:paraId="680B2373" w14:textId="77777777" w:rsidR="00F3041E" w:rsidRPr="00D51EF6" w:rsidRDefault="00F3041E" w:rsidP="00E02F75">
            <w:pPr>
              <w:rPr>
                <w:rFonts w:cs="Arial"/>
              </w:rPr>
            </w:pPr>
            <w:r w:rsidRPr="00D51EF6">
              <w:rPr>
                <w:rFonts w:eastAsia="Calibri" w:cs="Arial"/>
              </w:rPr>
              <w:t>97.3%</w:t>
            </w:r>
          </w:p>
        </w:tc>
        <w:tc>
          <w:tcPr>
            <w:tcW w:w="818" w:type="pct"/>
            <w:tcMar>
              <w:top w:w="80" w:type="dxa"/>
              <w:left w:w="100" w:type="dxa"/>
              <w:bottom w:w="80" w:type="dxa"/>
              <w:right w:w="100" w:type="dxa"/>
            </w:tcMar>
            <w:vAlign w:val="center"/>
          </w:tcPr>
          <w:p w14:paraId="0E5BEF03" w14:textId="77777777" w:rsidR="00F3041E" w:rsidRPr="00D51EF6" w:rsidRDefault="00F3041E" w:rsidP="00E02F75">
            <w:pPr>
              <w:rPr>
                <w:rFonts w:cs="Arial"/>
              </w:rPr>
            </w:pPr>
            <w:r w:rsidRPr="00D51EF6">
              <w:rPr>
                <w:rFonts w:eastAsia="Calibri" w:cs="Arial"/>
              </w:rPr>
              <w:t>99.2%</w:t>
            </w:r>
          </w:p>
        </w:tc>
        <w:tc>
          <w:tcPr>
            <w:tcW w:w="820" w:type="pct"/>
            <w:tcMar>
              <w:top w:w="80" w:type="dxa"/>
              <w:left w:w="100" w:type="dxa"/>
              <w:bottom w:w="80" w:type="dxa"/>
              <w:right w:w="100" w:type="dxa"/>
            </w:tcMar>
            <w:vAlign w:val="center"/>
          </w:tcPr>
          <w:p w14:paraId="77ED0D58" w14:textId="77777777" w:rsidR="00F3041E" w:rsidRPr="00D51EF6" w:rsidRDefault="00F3041E" w:rsidP="00E02F75">
            <w:pPr>
              <w:rPr>
                <w:rFonts w:cs="Arial"/>
              </w:rPr>
            </w:pPr>
            <w:r w:rsidRPr="00D51EF6">
              <w:rPr>
                <w:rFonts w:eastAsia="Calibri" w:cs="Arial"/>
              </w:rPr>
              <w:t>99.5%</w:t>
            </w:r>
          </w:p>
        </w:tc>
      </w:tr>
    </w:tbl>
    <w:p w14:paraId="33F0C002" w14:textId="77777777" w:rsidR="00F3041E" w:rsidRPr="00D51EF6" w:rsidRDefault="00F3041E" w:rsidP="00E02F75">
      <w:pPr>
        <w:spacing w:after="240" w:line="260" w:lineRule="auto"/>
        <w:rPr>
          <w:rFonts w:cs="Arial"/>
        </w:rPr>
      </w:pPr>
      <w:r w:rsidRPr="00D51EF6">
        <w:rPr>
          <w:rFonts w:eastAsia="Calibri" w:cs="Arial"/>
          <w:i/>
          <w:iCs/>
        </w:rPr>
        <w:t>California's own target for 1S1 is 91.1 percent, exceeded in both years.</w:t>
      </w:r>
    </w:p>
    <w:p w14:paraId="3602D8B4" w14:textId="77777777" w:rsidR="00F3041E" w:rsidRPr="00D51EF6" w:rsidRDefault="00F3041E" w:rsidP="006E2049">
      <w:pPr>
        <w:pStyle w:val="Heading3"/>
      </w:pPr>
      <w:r w:rsidRPr="00D51EF6">
        <w:lastRenderedPageBreak/>
        <w:t>Nontraditional Program Participation</w:t>
      </w:r>
    </w:p>
    <w:p w14:paraId="26405246" w14:textId="77777777" w:rsidR="00F3041E" w:rsidRPr="00D51EF6" w:rsidRDefault="00F3041E" w:rsidP="00E02F75">
      <w:pPr>
        <w:spacing w:after="240" w:line="276" w:lineRule="auto"/>
        <w:rPr>
          <w:rFonts w:cs="Arial"/>
        </w:rPr>
      </w:pPr>
      <w:r w:rsidRPr="00D51EF6">
        <w:rPr>
          <w:rFonts w:eastAsia="Calibri" w:cs="Arial"/>
        </w:rPr>
        <w:t>This equity indicator measures the share of CTE concentrators enrolled in a program considered nontraditional for their gender, reported separately for secondary (Indicator 4S1) and postsecondary (Indicator 3P1) concentrators.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Caption w:val="Table 5: Nontraditional Program Participation Rate"/>
        <w:tblDescription w:val="Table showing the nontraditional program participation rate, a Perkins V equity indicator, for California, Texas, Florida, and New York in 2023-24, plus California's 2024-25 figures."/>
      </w:tblPr>
      <w:tblGrid>
        <w:gridCol w:w="3116"/>
        <w:gridCol w:w="3117"/>
        <w:gridCol w:w="3117"/>
      </w:tblGrid>
      <w:tr w:rsidR="00F3041E" w:rsidRPr="00D51EF6" w14:paraId="35058B8D" w14:textId="77777777" w:rsidTr="00B326FD">
        <w:trPr>
          <w:cantSplit/>
          <w:tblHeader/>
        </w:trPr>
        <w:tc>
          <w:tcPr>
            <w:tcW w:w="1650" w:type="pct"/>
            <w:tcMar>
              <w:top w:w="80" w:type="dxa"/>
              <w:left w:w="100" w:type="dxa"/>
              <w:bottom w:w="80" w:type="dxa"/>
              <w:right w:w="100" w:type="dxa"/>
            </w:tcMar>
            <w:vAlign w:val="center"/>
          </w:tcPr>
          <w:p w14:paraId="0CA11BF4" w14:textId="77777777" w:rsidR="00F3041E" w:rsidRPr="00D51EF6" w:rsidRDefault="00F3041E" w:rsidP="00E02F75">
            <w:pPr>
              <w:rPr>
                <w:rFonts w:cs="Arial"/>
              </w:rPr>
            </w:pPr>
            <w:r w:rsidRPr="00D51EF6">
              <w:rPr>
                <w:rFonts w:eastAsia="Calibri" w:cs="Arial"/>
                <w:b/>
                <w:bCs/>
              </w:rPr>
              <w:t>State / Year</w:t>
            </w:r>
          </w:p>
        </w:tc>
        <w:tc>
          <w:tcPr>
            <w:tcW w:w="1650" w:type="pct"/>
            <w:tcMar>
              <w:top w:w="80" w:type="dxa"/>
              <w:left w:w="100" w:type="dxa"/>
              <w:bottom w:w="80" w:type="dxa"/>
              <w:right w:w="100" w:type="dxa"/>
            </w:tcMar>
            <w:vAlign w:val="center"/>
          </w:tcPr>
          <w:p w14:paraId="1BBA0EEC" w14:textId="77777777" w:rsidR="00F3041E" w:rsidRPr="00D51EF6" w:rsidRDefault="00F3041E" w:rsidP="00E02F75">
            <w:pPr>
              <w:rPr>
                <w:rFonts w:cs="Arial"/>
              </w:rPr>
            </w:pPr>
            <w:r w:rsidRPr="00D51EF6">
              <w:rPr>
                <w:rFonts w:eastAsia="Calibri" w:cs="Arial"/>
                <w:b/>
                <w:bCs/>
              </w:rPr>
              <w:t>Secondary</w:t>
            </w:r>
          </w:p>
        </w:tc>
        <w:tc>
          <w:tcPr>
            <w:tcW w:w="1650" w:type="pct"/>
            <w:tcMar>
              <w:top w:w="80" w:type="dxa"/>
              <w:left w:w="100" w:type="dxa"/>
              <w:bottom w:w="80" w:type="dxa"/>
              <w:right w:w="100" w:type="dxa"/>
            </w:tcMar>
            <w:vAlign w:val="center"/>
          </w:tcPr>
          <w:p w14:paraId="4BDB3ED0" w14:textId="77777777" w:rsidR="00F3041E" w:rsidRPr="00D51EF6" w:rsidRDefault="00F3041E" w:rsidP="00E02F75">
            <w:pPr>
              <w:rPr>
                <w:rFonts w:cs="Arial"/>
              </w:rPr>
            </w:pPr>
            <w:r w:rsidRPr="00D51EF6">
              <w:rPr>
                <w:rFonts w:eastAsia="Calibri" w:cs="Arial"/>
                <w:b/>
                <w:bCs/>
              </w:rPr>
              <w:t>Postsecondary</w:t>
            </w:r>
          </w:p>
        </w:tc>
      </w:tr>
      <w:tr w:rsidR="00F3041E" w:rsidRPr="00D51EF6" w14:paraId="7A933DAC" w14:textId="77777777" w:rsidTr="00B326FD">
        <w:trPr>
          <w:cantSplit/>
        </w:trPr>
        <w:tc>
          <w:tcPr>
            <w:tcW w:w="1650" w:type="pct"/>
            <w:tcMar>
              <w:top w:w="80" w:type="dxa"/>
              <w:left w:w="100" w:type="dxa"/>
              <w:bottom w:w="80" w:type="dxa"/>
              <w:right w:w="100" w:type="dxa"/>
            </w:tcMar>
            <w:vAlign w:val="center"/>
          </w:tcPr>
          <w:p w14:paraId="30C77FD5" w14:textId="77777777" w:rsidR="00F3041E" w:rsidRPr="00D51EF6" w:rsidRDefault="00F3041E" w:rsidP="00E02F75">
            <w:pPr>
              <w:rPr>
                <w:rFonts w:cs="Arial"/>
              </w:rPr>
            </w:pPr>
            <w:r w:rsidRPr="00D51EF6">
              <w:rPr>
                <w:rFonts w:eastAsia="Calibri" w:cs="Arial"/>
                <w:b/>
                <w:bCs/>
              </w:rPr>
              <w:t>California 2023–24</w:t>
            </w:r>
          </w:p>
        </w:tc>
        <w:tc>
          <w:tcPr>
            <w:tcW w:w="1650" w:type="pct"/>
            <w:tcMar>
              <w:top w:w="80" w:type="dxa"/>
              <w:left w:w="100" w:type="dxa"/>
              <w:bottom w:w="80" w:type="dxa"/>
              <w:right w:w="100" w:type="dxa"/>
            </w:tcMar>
            <w:vAlign w:val="center"/>
          </w:tcPr>
          <w:p w14:paraId="707FDF86" w14:textId="77777777" w:rsidR="00F3041E" w:rsidRPr="00D51EF6" w:rsidRDefault="00F3041E" w:rsidP="00E02F75">
            <w:pPr>
              <w:rPr>
                <w:rFonts w:cs="Arial"/>
              </w:rPr>
            </w:pPr>
            <w:r w:rsidRPr="00D51EF6">
              <w:rPr>
                <w:rFonts w:eastAsia="Calibri" w:cs="Arial"/>
              </w:rPr>
              <w:t>30.6%</w:t>
            </w:r>
          </w:p>
        </w:tc>
        <w:tc>
          <w:tcPr>
            <w:tcW w:w="1650" w:type="pct"/>
            <w:tcMar>
              <w:top w:w="80" w:type="dxa"/>
              <w:left w:w="100" w:type="dxa"/>
              <w:bottom w:w="80" w:type="dxa"/>
              <w:right w:w="100" w:type="dxa"/>
            </w:tcMar>
            <w:vAlign w:val="center"/>
          </w:tcPr>
          <w:p w14:paraId="74AF0D04" w14:textId="77777777" w:rsidR="00F3041E" w:rsidRPr="00D51EF6" w:rsidRDefault="00F3041E" w:rsidP="00E02F75">
            <w:pPr>
              <w:rPr>
                <w:rFonts w:cs="Arial"/>
              </w:rPr>
            </w:pPr>
            <w:r w:rsidRPr="00D51EF6">
              <w:rPr>
                <w:rFonts w:eastAsia="Calibri" w:cs="Arial"/>
              </w:rPr>
              <w:t>28.3%</w:t>
            </w:r>
          </w:p>
        </w:tc>
      </w:tr>
      <w:tr w:rsidR="00F3041E" w:rsidRPr="00D51EF6" w14:paraId="13866C81" w14:textId="77777777" w:rsidTr="00B326FD">
        <w:trPr>
          <w:cantSplit/>
        </w:trPr>
        <w:tc>
          <w:tcPr>
            <w:tcW w:w="1650" w:type="pct"/>
            <w:tcMar>
              <w:top w:w="80" w:type="dxa"/>
              <w:left w:w="100" w:type="dxa"/>
              <w:bottom w:w="80" w:type="dxa"/>
              <w:right w:w="100" w:type="dxa"/>
            </w:tcMar>
            <w:vAlign w:val="center"/>
          </w:tcPr>
          <w:p w14:paraId="7DB1ECFC" w14:textId="77777777" w:rsidR="00F3041E" w:rsidRPr="00D51EF6" w:rsidRDefault="00F3041E" w:rsidP="00E02F75">
            <w:pPr>
              <w:rPr>
                <w:rFonts w:cs="Arial"/>
              </w:rPr>
            </w:pPr>
            <w:r w:rsidRPr="00D51EF6">
              <w:rPr>
                <w:rFonts w:eastAsia="Calibri" w:cs="Arial"/>
                <w:b/>
                <w:bCs/>
              </w:rPr>
              <w:t>Texas 2023–24</w:t>
            </w:r>
          </w:p>
        </w:tc>
        <w:tc>
          <w:tcPr>
            <w:tcW w:w="1650" w:type="pct"/>
            <w:tcMar>
              <w:top w:w="80" w:type="dxa"/>
              <w:left w:w="100" w:type="dxa"/>
              <w:bottom w:w="80" w:type="dxa"/>
              <w:right w:w="100" w:type="dxa"/>
            </w:tcMar>
            <w:vAlign w:val="center"/>
          </w:tcPr>
          <w:p w14:paraId="2DDD8957" w14:textId="77777777" w:rsidR="00F3041E" w:rsidRPr="00D51EF6" w:rsidRDefault="00F3041E" w:rsidP="00E02F75">
            <w:pPr>
              <w:rPr>
                <w:rFonts w:cs="Arial"/>
              </w:rPr>
            </w:pPr>
            <w:r w:rsidRPr="00D51EF6">
              <w:rPr>
                <w:rFonts w:eastAsia="Calibri" w:cs="Arial"/>
              </w:rPr>
              <w:t>21.6%</w:t>
            </w:r>
          </w:p>
        </w:tc>
        <w:tc>
          <w:tcPr>
            <w:tcW w:w="1650" w:type="pct"/>
            <w:tcMar>
              <w:top w:w="80" w:type="dxa"/>
              <w:left w:w="100" w:type="dxa"/>
              <w:bottom w:w="80" w:type="dxa"/>
              <w:right w:w="100" w:type="dxa"/>
            </w:tcMar>
            <w:vAlign w:val="center"/>
          </w:tcPr>
          <w:p w14:paraId="26EAA9F2" w14:textId="77777777" w:rsidR="00F3041E" w:rsidRPr="00D51EF6" w:rsidRDefault="00F3041E" w:rsidP="00E02F75">
            <w:pPr>
              <w:rPr>
                <w:rFonts w:cs="Arial"/>
              </w:rPr>
            </w:pPr>
            <w:r w:rsidRPr="00D51EF6">
              <w:rPr>
                <w:rFonts w:eastAsia="Calibri" w:cs="Arial"/>
              </w:rPr>
              <w:t>17.3%</w:t>
            </w:r>
          </w:p>
        </w:tc>
      </w:tr>
      <w:tr w:rsidR="00F3041E" w:rsidRPr="00D51EF6" w14:paraId="4FC6D8AC" w14:textId="77777777" w:rsidTr="00B326FD">
        <w:trPr>
          <w:cantSplit/>
        </w:trPr>
        <w:tc>
          <w:tcPr>
            <w:tcW w:w="1650" w:type="pct"/>
            <w:tcMar>
              <w:top w:w="80" w:type="dxa"/>
              <w:left w:w="100" w:type="dxa"/>
              <w:bottom w:w="80" w:type="dxa"/>
              <w:right w:w="100" w:type="dxa"/>
            </w:tcMar>
            <w:vAlign w:val="center"/>
          </w:tcPr>
          <w:p w14:paraId="26FD3E32" w14:textId="77777777" w:rsidR="00F3041E" w:rsidRPr="00D51EF6" w:rsidRDefault="00F3041E" w:rsidP="00E02F75">
            <w:pPr>
              <w:rPr>
                <w:rFonts w:cs="Arial"/>
              </w:rPr>
            </w:pPr>
            <w:r w:rsidRPr="00D51EF6">
              <w:rPr>
                <w:rFonts w:eastAsia="Calibri" w:cs="Arial"/>
                <w:b/>
                <w:bCs/>
              </w:rPr>
              <w:t>Florida 2023 – 2 4</w:t>
            </w:r>
          </w:p>
        </w:tc>
        <w:tc>
          <w:tcPr>
            <w:tcW w:w="1650" w:type="pct"/>
            <w:tcMar>
              <w:top w:w="80" w:type="dxa"/>
              <w:left w:w="100" w:type="dxa"/>
              <w:bottom w:w="80" w:type="dxa"/>
              <w:right w:w="100" w:type="dxa"/>
            </w:tcMar>
            <w:vAlign w:val="center"/>
          </w:tcPr>
          <w:p w14:paraId="5C47D9E1" w14:textId="77777777" w:rsidR="00F3041E" w:rsidRPr="00D51EF6" w:rsidRDefault="00F3041E" w:rsidP="00E02F75">
            <w:pPr>
              <w:rPr>
                <w:rFonts w:cs="Arial"/>
              </w:rPr>
            </w:pPr>
            <w:r w:rsidRPr="00D51EF6">
              <w:rPr>
                <w:rFonts w:eastAsia="Calibri" w:cs="Arial"/>
              </w:rPr>
              <w:t>14.6%</w:t>
            </w:r>
          </w:p>
        </w:tc>
        <w:tc>
          <w:tcPr>
            <w:tcW w:w="1650" w:type="pct"/>
            <w:tcMar>
              <w:top w:w="80" w:type="dxa"/>
              <w:left w:w="100" w:type="dxa"/>
              <w:bottom w:w="80" w:type="dxa"/>
              <w:right w:w="100" w:type="dxa"/>
            </w:tcMar>
            <w:vAlign w:val="center"/>
          </w:tcPr>
          <w:p w14:paraId="4B7E8526" w14:textId="77777777" w:rsidR="00F3041E" w:rsidRPr="00D51EF6" w:rsidRDefault="00F3041E" w:rsidP="00E02F75">
            <w:pPr>
              <w:rPr>
                <w:rFonts w:cs="Arial"/>
              </w:rPr>
            </w:pPr>
            <w:r w:rsidRPr="00D51EF6">
              <w:rPr>
                <w:rFonts w:eastAsia="Calibri" w:cs="Arial"/>
              </w:rPr>
              <w:t>18.7%</w:t>
            </w:r>
          </w:p>
        </w:tc>
      </w:tr>
      <w:tr w:rsidR="00F3041E" w:rsidRPr="00D51EF6" w14:paraId="44483DD9" w14:textId="77777777" w:rsidTr="00B326FD">
        <w:trPr>
          <w:cantSplit/>
        </w:trPr>
        <w:tc>
          <w:tcPr>
            <w:tcW w:w="1650" w:type="pct"/>
            <w:tcMar>
              <w:top w:w="80" w:type="dxa"/>
              <w:left w:w="100" w:type="dxa"/>
              <w:bottom w:w="80" w:type="dxa"/>
              <w:right w:w="100" w:type="dxa"/>
            </w:tcMar>
            <w:vAlign w:val="center"/>
          </w:tcPr>
          <w:p w14:paraId="1A731E78" w14:textId="77777777" w:rsidR="00F3041E" w:rsidRPr="00D51EF6" w:rsidRDefault="00F3041E" w:rsidP="00E02F75">
            <w:pPr>
              <w:rPr>
                <w:rFonts w:cs="Arial"/>
              </w:rPr>
            </w:pPr>
            <w:r w:rsidRPr="00D51EF6">
              <w:rPr>
                <w:rFonts w:eastAsia="Calibri" w:cs="Arial"/>
                <w:b/>
                <w:bCs/>
              </w:rPr>
              <w:t>New York 2023–24</w:t>
            </w:r>
          </w:p>
        </w:tc>
        <w:tc>
          <w:tcPr>
            <w:tcW w:w="1650" w:type="pct"/>
            <w:tcMar>
              <w:top w:w="80" w:type="dxa"/>
              <w:left w:w="100" w:type="dxa"/>
              <w:bottom w:w="80" w:type="dxa"/>
              <w:right w:w="100" w:type="dxa"/>
            </w:tcMar>
            <w:vAlign w:val="center"/>
          </w:tcPr>
          <w:p w14:paraId="4D64AF38" w14:textId="77777777" w:rsidR="00F3041E" w:rsidRPr="00D51EF6" w:rsidRDefault="00F3041E" w:rsidP="00E02F75">
            <w:pPr>
              <w:rPr>
                <w:rFonts w:cs="Arial"/>
              </w:rPr>
            </w:pPr>
            <w:r w:rsidRPr="00D51EF6">
              <w:rPr>
                <w:rFonts w:eastAsia="Calibri" w:cs="Arial"/>
              </w:rPr>
              <w:t>9.3%</w:t>
            </w:r>
          </w:p>
        </w:tc>
        <w:tc>
          <w:tcPr>
            <w:tcW w:w="1650" w:type="pct"/>
            <w:tcMar>
              <w:top w:w="80" w:type="dxa"/>
              <w:left w:w="100" w:type="dxa"/>
              <w:bottom w:w="80" w:type="dxa"/>
              <w:right w:w="100" w:type="dxa"/>
            </w:tcMar>
            <w:vAlign w:val="center"/>
          </w:tcPr>
          <w:p w14:paraId="2AA2D814" w14:textId="77777777" w:rsidR="00F3041E" w:rsidRPr="00D51EF6" w:rsidRDefault="00F3041E" w:rsidP="00E02F75">
            <w:pPr>
              <w:rPr>
                <w:rFonts w:cs="Arial"/>
              </w:rPr>
            </w:pPr>
            <w:r w:rsidRPr="00D51EF6">
              <w:rPr>
                <w:rFonts w:eastAsia="Calibri" w:cs="Arial"/>
              </w:rPr>
              <w:t>69.0%</w:t>
            </w:r>
          </w:p>
        </w:tc>
      </w:tr>
      <w:tr w:rsidR="00F3041E" w:rsidRPr="00D51EF6" w14:paraId="09682CEA" w14:textId="77777777" w:rsidTr="00B326FD">
        <w:trPr>
          <w:cantSplit/>
        </w:trPr>
        <w:tc>
          <w:tcPr>
            <w:tcW w:w="1650" w:type="pct"/>
            <w:tcMar>
              <w:top w:w="80" w:type="dxa"/>
              <w:left w:w="100" w:type="dxa"/>
              <w:bottom w:w="80" w:type="dxa"/>
              <w:right w:w="100" w:type="dxa"/>
            </w:tcMar>
            <w:vAlign w:val="center"/>
          </w:tcPr>
          <w:p w14:paraId="22798BB8" w14:textId="77777777" w:rsidR="00F3041E" w:rsidRPr="00D51EF6" w:rsidRDefault="00F3041E" w:rsidP="00E02F75">
            <w:pPr>
              <w:rPr>
                <w:rFonts w:cs="Arial"/>
              </w:rPr>
            </w:pPr>
            <w:r w:rsidRPr="00D51EF6">
              <w:rPr>
                <w:rFonts w:eastAsia="Calibri" w:cs="Arial"/>
                <w:b/>
                <w:bCs/>
              </w:rPr>
              <w:t>California 2024–25</w:t>
            </w:r>
          </w:p>
        </w:tc>
        <w:tc>
          <w:tcPr>
            <w:tcW w:w="1650" w:type="pct"/>
            <w:tcMar>
              <w:top w:w="80" w:type="dxa"/>
              <w:left w:w="100" w:type="dxa"/>
              <w:bottom w:w="80" w:type="dxa"/>
              <w:right w:w="100" w:type="dxa"/>
            </w:tcMar>
            <w:vAlign w:val="center"/>
          </w:tcPr>
          <w:p w14:paraId="2BF1DC2D" w14:textId="77777777" w:rsidR="00F3041E" w:rsidRPr="00D51EF6" w:rsidRDefault="00F3041E" w:rsidP="00E02F75">
            <w:pPr>
              <w:rPr>
                <w:rFonts w:cs="Arial"/>
              </w:rPr>
            </w:pPr>
            <w:r w:rsidRPr="00D51EF6">
              <w:rPr>
                <w:rFonts w:eastAsia="Calibri" w:cs="Arial"/>
              </w:rPr>
              <w:t>31.3%</w:t>
            </w:r>
          </w:p>
        </w:tc>
        <w:tc>
          <w:tcPr>
            <w:tcW w:w="1650" w:type="pct"/>
            <w:tcMar>
              <w:top w:w="80" w:type="dxa"/>
              <w:left w:w="100" w:type="dxa"/>
              <w:bottom w:w="80" w:type="dxa"/>
              <w:right w:w="100" w:type="dxa"/>
            </w:tcMar>
            <w:vAlign w:val="center"/>
          </w:tcPr>
          <w:p w14:paraId="78986503" w14:textId="77777777" w:rsidR="00F3041E" w:rsidRPr="00D51EF6" w:rsidRDefault="00F3041E" w:rsidP="00E02F75">
            <w:pPr>
              <w:rPr>
                <w:rFonts w:cs="Arial"/>
              </w:rPr>
            </w:pPr>
            <w:r w:rsidRPr="00D51EF6">
              <w:rPr>
                <w:rFonts w:eastAsia="Calibri" w:cs="Arial"/>
              </w:rPr>
              <w:t>28.0%</w:t>
            </w:r>
          </w:p>
        </w:tc>
      </w:tr>
    </w:tbl>
    <w:p w14:paraId="7C8FB431" w14:textId="77777777" w:rsidR="00F3041E" w:rsidRPr="00D51EF6" w:rsidRDefault="00F3041E" w:rsidP="00E02F75">
      <w:pPr>
        <w:spacing w:after="240" w:line="260" w:lineRule="auto"/>
        <w:rPr>
          <w:rFonts w:cs="Arial"/>
        </w:rPr>
      </w:pPr>
      <w:r w:rsidRPr="00D51EF6">
        <w:rPr>
          <w:rFonts w:eastAsia="Calibri" w:cs="Arial"/>
          <w:i/>
          <w:iCs/>
        </w:rPr>
        <w:t>California's figures are drawn directly from its own CAR submission. Peer-state figures are drawn from a third-party aggregator and have not been independently verified against each state's own CAR data.</w:t>
      </w:r>
    </w:p>
    <w:p w14:paraId="3000BBEE" w14:textId="77777777" w:rsidR="00F3041E" w:rsidRPr="00D51EF6" w:rsidRDefault="00F3041E" w:rsidP="006E2049">
      <w:pPr>
        <w:pStyle w:val="Heading3"/>
      </w:pPr>
      <w:r w:rsidRPr="00D51EF6">
        <w:t>California's Complete Set of CAR Performance Indicators</w:t>
      </w:r>
    </w:p>
    <w:p w14:paraId="438B1D44" w14:textId="77777777" w:rsidR="004C4B3E" w:rsidRPr="00D51EF6" w:rsidRDefault="004C4B3E" w:rsidP="00900614">
      <w:pPr>
        <w:spacing w:after="200" w:line="276" w:lineRule="auto"/>
        <w:rPr>
          <w:rFonts w:cs="Arial"/>
        </w:rPr>
      </w:pPr>
      <w:r w:rsidRPr="00D51EF6">
        <w:rPr>
          <w:rFonts w:eastAsia="Calibri" w:cs="Arial"/>
        </w:rPr>
        <w:t>In addition to the funding, participant, and concentrator counts above, Perkins V requires states to report ten core performance indicators annually as part of the CAR: seven at the secondary level and three at the postsecondary level. Each indicator has a numerator and denominator defined in federal regulation, and each state sets its own target for each indicator, called a State Determined Level of Performance.</w:t>
      </w:r>
    </w:p>
    <w:p w14:paraId="4AEE8861" w14:textId="77777777" w:rsidR="004C4B3E" w:rsidRPr="00D51EF6" w:rsidRDefault="004C4B3E" w:rsidP="00900614">
      <w:pPr>
        <w:spacing w:after="200" w:line="276" w:lineRule="auto"/>
        <w:rPr>
          <w:rFonts w:cs="Arial"/>
        </w:rPr>
      </w:pPr>
      <w:r w:rsidRPr="00D51EF6">
        <w:rPr>
          <w:rFonts w:eastAsia="Calibri" w:cs="Arial"/>
        </w:rPr>
        <w:t>For a small number of these indicators, most notably program quality and post-program placement, federal regulation gives states some latitude in exactly how the measure is defined and collected. States choose among several different program quality measures, for example, and post-program placement is typically based on a state-administered follow-up survey with its own response-rate characteristics. Because of this flexibility, and because each state's data systems and reporting practices differ, the same indicator can look meaningfully different across states even when underlying program performance is similar. Some of the larger gaps between states are therefore likely to reflect differences in how the data is defined or collected, rather than differences in student outcomes alone.</w:t>
      </w:r>
    </w:p>
    <w:p w14:paraId="3BF2C070" w14:textId="08B5FE54" w:rsidR="004C4B3E" w:rsidRPr="00D51EF6" w:rsidRDefault="004C4B3E" w:rsidP="00900614">
      <w:pPr>
        <w:spacing w:after="160" w:line="260" w:lineRule="auto"/>
        <w:rPr>
          <w:rFonts w:cs="Arial"/>
        </w:rPr>
      </w:pPr>
      <w:r w:rsidRPr="00D51EF6">
        <w:rPr>
          <w:rFonts w:eastAsia="Calibri" w:cs="Arial"/>
          <w:b/>
          <w:bCs/>
        </w:rPr>
        <w:t xml:space="preserve">1S1: Four-Year Graduation Rate: </w:t>
      </w:r>
      <w:r w:rsidRPr="00D51EF6">
        <w:rPr>
          <w:rFonts w:eastAsia="Calibri" w:cs="Arial"/>
        </w:rPr>
        <w:t>the share of CTE concentrators included in the state's four-year adjusted cohort graduation rate under ESSA who graduated on time.</w:t>
      </w:r>
    </w:p>
    <w:p w14:paraId="6ACD624D" w14:textId="6B801678" w:rsidR="004C4B3E" w:rsidRPr="00D51EF6" w:rsidRDefault="004C4B3E" w:rsidP="00900614">
      <w:pPr>
        <w:spacing w:after="160" w:line="260" w:lineRule="auto"/>
        <w:rPr>
          <w:rFonts w:cs="Arial"/>
        </w:rPr>
      </w:pPr>
      <w:r w:rsidRPr="00D51EF6">
        <w:rPr>
          <w:rFonts w:eastAsia="Calibri" w:cs="Arial"/>
          <w:b/>
          <w:bCs/>
        </w:rPr>
        <w:t xml:space="preserve">2S1: Academic Proficiency in Reading/Language Arts: </w:t>
      </w:r>
      <w:r w:rsidRPr="00D51EF6">
        <w:rPr>
          <w:rFonts w:eastAsia="Calibri" w:cs="Arial"/>
        </w:rPr>
        <w:t>the share of CTE concentrators who met proficiency on their state's high school reading and language arts assessment.</w:t>
      </w:r>
    </w:p>
    <w:p w14:paraId="6441071A" w14:textId="6DBD989D" w:rsidR="004C4B3E" w:rsidRPr="00D51EF6" w:rsidRDefault="004C4B3E" w:rsidP="00900614">
      <w:pPr>
        <w:spacing w:after="160" w:line="260" w:lineRule="auto"/>
        <w:rPr>
          <w:rFonts w:cs="Arial"/>
        </w:rPr>
      </w:pPr>
      <w:r w:rsidRPr="00D51EF6">
        <w:rPr>
          <w:rFonts w:eastAsia="Calibri" w:cs="Arial"/>
          <w:b/>
          <w:bCs/>
        </w:rPr>
        <w:lastRenderedPageBreak/>
        <w:t xml:space="preserve">2S2: Academic Proficiency in Mathematics: </w:t>
      </w:r>
      <w:r w:rsidRPr="00D51EF6">
        <w:rPr>
          <w:rFonts w:eastAsia="Calibri" w:cs="Arial"/>
        </w:rPr>
        <w:t>the share of CTE concentrators who met proficiency on their state's high school mathematics assessment.</w:t>
      </w:r>
    </w:p>
    <w:p w14:paraId="2DBA5646" w14:textId="6C938ED6" w:rsidR="004C4B3E" w:rsidRPr="00D51EF6" w:rsidRDefault="004C4B3E" w:rsidP="00900614">
      <w:pPr>
        <w:spacing w:after="160" w:line="260" w:lineRule="auto"/>
        <w:rPr>
          <w:rFonts w:cs="Arial"/>
        </w:rPr>
      </w:pPr>
      <w:r w:rsidRPr="00D51EF6">
        <w:rPr>
          <w:rFonts w:eastAsia="Calibri" w:cs="Arial"/>
          <w:b/>
          <w:bCs/>
        </w:rPr>
        <w:t xml:space="preserve">2S3: Academic Proficiency in Science: </w:t>
      </w:r>
      <w:r w:rsidRPr="00D51EF6">
        <w:rPr>
          <w:rFonts w:eastAsia="Calibri" w:cs="Arial"/>
        </w:rPr>
        <w:t>the share of CTE concentrators who met proficiency on their state's high school science assessment.</w:t>
      </w:r>
    </w:p>
    <w:p w14:paraId="608C8F7F" w14:textId="49EF8174" w:rsidR="004C4B3E" w:rsidRPr="00D51EF6" w:rsidRDefault="004C4B3E" w:rsidP="00900614">
      <w:pPr>
        <w:spacing w:after="160" w:line="260" w:lineRule="auto"/>
        <w:rPr>
          <w:rFonts w:cs="Arial"/>
        </w:rPr>
      </w:pPr>
      <w:r w:rsidRPr="00D51EF6">
        <w:rPr>
          <w:rFonts w:eastAsia="Calibri" w:cs="Arial"/>
          <w:b/>
          <w:bCs/>
        </w:rPr>
        <w:t xml:space="preserve">3S1: Post-Program Placement: </w:t>
      </w:r>
      <w:r w:rsidRPr="00D51EF6">
        <w:rPr>
          <w:rFonts w:eastAsia="Calibri" w:cs="Arial"/>
        </w:rPr>
        <w:t>the share of CTE concentrators who, in the second quarter after leaving secondary education, were enrolled in postsecondary education or training, serving in the military, or employed, typically determined through a post-graduation follow-up survey.</w:t>
      </w:r>
    </w:p>
    <w:p w14:paraId="0B69F3B3" w14:textId="77777777" w:rsidR="004C4B3E" w:rsidRPr="00D51EF6" w:rsidRDefault="004C4B3E" w:rsidP="00900614">
      <w:pPr>
        <w:spacing w:after="160" w:line="260" w:lineRule="auto"/>
        <w:rPr>
          <w:rFonts w:cs="Arial"/>
        </w:rPr>
      </w:pPr>
      <w:r w:rsidRPr="00D51EF6">
        <w:rPr>
          <w:rFonts w:eastAsia="Calibri" w:cs="Arial"/>
          <w:b/>
          <w:bCs/>
        </w:rPr>
        <w:t xml:space="preserve">4S1: Nontraditional Program Concentration (Secondary): </w:t>
      </w:r>
      <w:r w:rsidRPr="00D51EF6">
        <w:rPr>
          <w:rFonts w:eastAsia="Calibri" w:cs="Arial"/>
        </w:rPr>
        <w:t>the share of secondary CTE concentrators enrolled in a program considered nontraditional for their gender.</w:t>
      </w:r>
    </w:p>
    <w:p w14:paraId="7AB6D777" w14:textId="77777777" w:rsidR="004C4B3E" w:rsidRPr="00D51EF6" w:rsidRDefault="004C4B3E" w:rsidP="00900614">
      <w:pPr>
        <w:spacing w:after="160" w:line="260" w:lineRule="auto"/>
        <w:rPr>
          <w:rFonts w:cs="Arial"/>
        </w:rPr>
      </w:pPr>
      <w:r w:rsidRPr="00D51EF6">
        <w:rPr>
          <w:rFonts w:eastAsia="Calibri" w:cs="Arial"/>
          <w:b/>
          <w:bCs/>
        </w:rPr>
        <w:t xml:space="preserve">5S2: Program Quality, Attained Postsecondary Credits: </w:t>
      </w:r>
      <w:r w:rsidRPr="00D51EF6">
        <w:rPr>
          <w:rFonts w:eastAsia="Calibri" w:cs="Arial"/>
        </w:rPr>
        <w:t>the share of secondary CTE concentrators who earned postsecondary credit, such as through dual enrollment, while still in high school. This is one of several program quality measures states may choose to report.</w:t>
      </w:r>
    </w:p>
    <w:p w14:paraId="5374EE55" w14:textId="77777777" w:rsidR="004C4B3E" w:rsidRPr="00D51EF6" w:rsidRDefault="004C4B3E" w:rsidP="00900614">
      <w:pPr>
        <w:spacing w:after="160" w:line="260" w:lineRule="auto"/>
        <w:rPr>
          <w:rFonts w:cs="Arial"/>
        </w:rPr>
      </w:pPr>
      <w:r w:rsidRPr="00D51EF6">
        <w:rPr>
          <w:rFonts w:eastAsia="Calibri" w:cs="Arial"/>
          <w:b/>
          <w:bCs/>
        </w:rPr>
        <w:t xml:space="preserve">1P1: Postsecondary Placement: </w:t>
      </w:r>
      <w:r w:rsidRPr="00D51EF6">
        <w:rPr>
          <w:rFonts w:eastAsia="Calibri" w:cs="Arial"/>
        </w:rPr>
        <w:t>the share of postsecondary CTE concentrators who, in the second quarter after exiting their program, remained enrolled in education, were in advanced training or military service, or were employed.</w:t>
      </w:r>
    </w:p>
    <w:p w14:paraId="47E827B1" w14:textId="134703AF" w:rsidR="004C4B3E" w:rsidRPr="00D51EF6" w:rsidRDefault="004C4B3E" w:rsidP="00900614">
      <w:pPr>
        <w:spacing w:after="160" w:line="260" w:lineRule="auto"/>
        <w:rPr>
          <w:rFonts w:cs="Arial"/>
        </w:rPr>
      </w:pPr>
      <w:r w:rsidRPr="00D51EF6">
        <w:rPr>
          <w:rFonts w:eastAsia="Calibri" w:cs="Arial"/>
          <w:b/>
          <w:bCs/>
        </w:rPr>
        <w:t xml:space="preserve">2P1: Earned Recognized Postsecondary Credential: </w:t>
      </w:r>
      <w:r w:rsidRPr="00D51EF6">
        <w:rPr>
          <w:rFonts w:eastAsia="Calibri" w:cs="Arial"/>
        </w:rPr>
        <w:t>the share of postsecondary CTE concentrators who earned an industry-recognized credential, certificate, or degree during or within one year of completing their program.</w:t>
      </w:r>
    </w:p>
    <w:p w14:paraId="304791F6" w14:textId="0B0607A9" w:rsidR="004C4B3E" w:rsidRPr="00D51EF6" w:rsidRDefault="004C4B3E" w:rsidP="00900614">
      <w:pPr>
        <w:spacing w:after="160" w:line="260" w:lineRule="auto"/>
        <w:rPr>
          <w:rFonts w:cs="Arial"/>
        </w:rPr>
      </w:pPr>
      <w:r w:rsidRPr="00D51EF6">
        <w:rPr>
          <w:rFonts w:eastAsia="Calibri" w:cs="Arial"/>
          <w:b/>
          <w:bCs/>
        </w:rPr>
        <w:t xml:space="preserve">3P1: Nontraditional Program Concentration (Postsecondary): </w:t>
      </w:r>
      <w:r w:rsidRPr="00D51EF6">
        <w:rPr>
          <w:rFonts w:eastAsia="Calibri" w:cs="Arial"/>
        </w:rPr>
        <w:t>the share of postsecondary CTE concentrators enrolled in a program considered nontraditional for their gender.</w:t>
      </w:r>
    </w:p>
    <w:p w14:paraId="44B749FB" w14:textId="77777777" w:rsidR="004C4B3E" w:rsidRPr="00D51EF6" w:rsidRDefault="004C4B3E" w:rsidP="004C4B3E">
      <w:pPr>
        <w:spacing w:after="200" w:line="276" w:lineRule="auto"/>
        <w:rPr>
          <w:rFonts w:cs="Arial"/>
        </w:rPr>
      </w:pPr>
      <w:r w:rsidRPr="00D51EF6">
        <w:rPr>
          <w:rFonts w:eastAsia="Calibri" w:cs="Arial"/>
        </w:rPr>
        <w:t>California improved year over year on 8 of these 10 indicators between 2023–24 and 2024–25. Reading/ELA and math proficiency both grew, continuing to close the gap toward the state's own targets. Credential attainment was the one indicator that declined meaningfully between the two years, falling below its own target for the first time, and is worth further inquiry.</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Caption w:val="Table 6: California's Complete Set of CAR Performance Indicators"/>
        <w:tblDescription w:val="Table listing all ten federal CAR performance indicators for California with 2023-24 results, targets, 2024-25 results, the point difference between years, and 2024-25 status."/>
      </w:tblPr>
      <w:tblGrid>
        <w:gridCol w:w="2260"/>
        <w:gridCol w:w="1143"/>
        <w:gridCol w:w="1144"/>
        <w:gridCol w:w="1168"/>
        <w:gridCol w:w="1374"/>
        <w:gridCol w:w="2261"/>
      </w:tblGrid>
      <w:tr w:rsidR="00F3041E" w:rsidRPr="00D51EF6" w14:paraId="3CDE249F" w14:textId="77777777" w:rsidTr="00E02F75">
        <w:trPr>
          <w:cantSplit/>
          <w:tblHeader/>
        </w:trPr>
        <w:tc>
          <w:tcPr>
            <w:tcW w:w="1211" w:type="pct"/>
            <w:tcMar>
              <w:top w:w="80" w:type="dxa"/>
              <w:left w:w="100" w:type="dxa"/>
              <w:bottom w:w="80" w:type="dxa"/>
              <w:right w:w="100" w:type="dxa"/>
            </w:tcMar>
            <w:vAlign w:val="center"/>
          </w:tcPr>
          <w:p w14:paraId="6CB33C82" w14:textId="77777777" w:rsidR="00F3041E" w:rsidRPr="00D51EF6" w:rsidRDefault="00F3041E" w:rsidP="00E02F75">
            <w:pPr>
              <w:rPr>
                <w:rFonts w:cs="Arial"/>
              </w:rPr>
            </w:pPr>
            <w:r w:rsidRPr="00D51EF6">
              <w:rPr>
                <w:rFonts w:eastAsia="Calibri" w:cs="Arial"/>
                <w:b/>
                <w:bCs/>
              </w:rPr>
              <w:t>Indicator</w:t>
            </w:r>
          </w:p>
        </w:tc>
        <w:tc>
          <w:tcPr>
            <w:tcW w:w="614" w:type="pct"/>
            <w:tcMar>
              <w:top w:w="80" w:type="dxa"/>
              <w:left w:w="100" w:type="dxa"/>
              <w:bottom w:w="80" w:type="dxa"/>
              <w:right w:w="100" w:type="dxa"/>
            </w:tcMar>
            <w:vAlign w:val="center"/>
          </w:tcPr>
          <w:p w14:paraId="33253333" w14:textId="77777777" w:rsidR="00F3041E" w:rsidRPr="00D51EF6" w:rsidRDefault="00F3041E" w:rsidP="00E02F75">
            <w:pPr>
              <w:rPr>
                <w:rFonts w:cs="Arial"/>
              </w:rPr>
            </w:pPr>
            <w:r w:rsidRPr="00D51EF6">
              <w:rPr>
                <w:rFonts w:eastAsia="Calibri" w:cs="Arial"/>
                <w:b/>
                <w:bCs/>
              </w:rPr>
              <w:t>2023–24</w:t>
            </w:r>
          </w:p>
        </w:tc>
        <w:tc>
          <w:tcPr>
            <w:tcW w:w="614" w:type="pct"/>
            <w:tcMar>
              <w:top w:w="80" w:type="dxa"/>
              <w:left w:w="100" w:type="dxa"/>
              <w:bottom w:w="80" w:type="dxa"/>
              <w:right w:w="100" w:type="dxa"/>
            </w:tcMar>
            <w:vAlign w:val="center"/>
          </w:tcPr>
          <w:p w14:paraId="3529FBA0" w14:textId="77777777" w:rsidR="00F3041E" w:rsidRPr="00D51EF6" w:rsidRDefault="00F3041E" w:rsidP="00E02F75">
            <w:pPr>
              <w:rPr>
                <w:rFonts w:cs="Arial"/>
              </w:rPr>
            </w:pPr>
            <w:r w:rsidRPr="00D51EF6">
              <w:rPr>
                <w:rFonts w:eastAsia="Calibri" w:cs="Arial"/>
                <w:b/>
                <w:bCs/>
              </w:rPr>
              <w:t>Target</w:t>
            </w:r>
          </w:p>
        </w:tc>
        <w:tc>
          <w:tcPr>
            <w:tcW w:w="627" w:type="pct"/>
            <w:tcMar>
              <w:top w:w="80" w:type="dxa"/>
              <w:left w:w="100" w:type="dxa"/>
              <w:bottom w:w="80" w:type="dxa"/>
              <w:right w:w="100" w:type="dxa"/>
            </w:tcMar>
            <w:vAlign w:val="center"/>
          </w:tcPr>
          <w:p w14:paraId="26A709A2" w14:textId="77777777" w:rsidR="00F3041E" w:rsidRPr="00D51EF6" w:rsidRDefault="00F3041E" w:rsidP="00E02F75">
            <w:pPr>
              <w:rPr>
                <w:rFonts w:cs="Arial"/>
              </w:rPr>
            </w:pPr>
            <w:r w:rsidRPr="00D51EF6">
              <w:rPr>
                <w:rFonts w:eastAsia="Calibri" w:cs="Arial"/>
                <w:b/>
                <w:bCs/>
              </w:rPr>
              <w:t>2024–25</w:t>
            </w:r>
          </w:p>
        </w:tc>
        <w:tc>
          <w:tcPr>
            <w:tcW w:w="722" w:type="pct"/>
            <w:tcMar>
              <w:top w:w="80" w:type="dxa"/>
              <w:left w:w="100" w:type="dxa"/>
              <w:bottom w:w="80" w:type="dxa"/>
              <w:right w:w="100" w:type="dxa"/>
            </w:tcMar>
            <w:vAlign w:val="center"/>
          </w:tcPr>
          <w:p w14:paraId="712963E4" w14:textId="77777777" w:rsidR="00F3041E" w:rsidRPr="00D51EF6" w:rsidRDefault="00F3041E" w:rsidP="00E02F75">
            <w:pPr>
              <w:rPr>
                <w:rFonts w:cs="Arial"/>
              </w:rPr>
            </w:pPr>
            <w:r w:rsidRPr="00D51EF6">
              <w:rPr>
                <w:rFonts w:eastAsia="Calibri" w:cs="Arial"/>
                <w:b/>
                <w:bCs/>
              </w:rPr>
              <w:t>Difference</w:t>
            </w:r>
          </w:p>
        </w:tc>
        <w:tc>
          <w:tcPr>
            <w:tcW w:w="1211" w:type="pct"/>
            <w:tcMar>
              <w:top w:w="80" w:type="dxa"/>
              <w:left w:w="100" w:type="dxa"/>
              <w:bottom w:w="80" w:type="dxa"/>
              <w:right w:w="100" w:type="dxa"/>
            </w:tcMar>
            <w:vAlign w:val="center"/>
          </w:tcPr>
          <w:p w14:paraId="5BEA0C13" w14:textId="77777777" w:rsidR="00F3041E" w:rsidRPr="00D51EF6" w:rsidRDefault="00F3041E" w:rsidP="00E02F75">
            <w:pPr>
              <w:rPr>
                <w:rFonts w:cs="Arial"/>
              </w:rPr>
            </w:pPr>
            <w:r w:rsidRPr="00D51EF6">
              <w:rPr>
                <w:rFonts w:eastAsia="Calibri" w:cs="Arial"/>
                <w:b/>
                <w:bCs/>
              </w:rPr>
              <w:t>2024–25 Status</w:t>
            </w:r>
          </w:p>
        </w:tc>
      </w:tr>
      <w:tr w:rsidR="00F3041E" w:rsidRPr="00D51EF6" w14:paraId="4995428A" w14:textId="77777777" w:rsidTr="00E02F75">
        <w:trPr>
          <w:cantSplit/>
        </w:trPr>
        <w:tc>
          <w:tcPr>
            <w:tcW w:w="1211" w:type="pct"/>
            <w:tcMar>
              <w:top w:w="80" w:type="dxa"/>
              <w:left w:w="100" w:type="dxa"/>
              <w:bottom w:w="80" w:type="dxa"/>
              <w:right w:w="100" w:type="dxa"/>
            </w:tcMar>
            <w:vAlign w:val="center"/>
          </w:tcPr>
          <w:p w14:paraId="312FBAEF" w14:textId="77777777" w:rsidR="00F3041E" w:rsidRPr="00D51EF6" w:rsidRDefault="00F3041E" w:rsidP="00E02F75">
            <w:pPr>
              <w:rPr>
                <w:rFonts w:cs="Arial"/>
              </w:rPr>
            </w:pPr>
            <w:r w:rsidRPr="00D51EF6">
              <w:rPr>
                <w:rFonts w:eastAsia="Calibri" w:cs="Arial"/>
                <w:b/>
                <w:bCs/>
              </w:rPr>
              <w:t>1S1 Graduation Rate</w:t>
            </w:r>
          </w:p>
        </w:tc>
        <w:tc>
          <w:tcPr>
            <w:tcW w:w="614" w:type="pct"/>
            <w:tcMar>
              <w:top w:w="80" w:type="dxa"/>
              <w:left w:w="100" w:type="dxa"/>
              <w:bottom w:w="80" w:type="dxa"/>
              <w:right w:w="100" w:type="dxa"/>
            </w:tcMar>
            <w:vAlign w:val="center"/>
          </w:tcPr>
          <w:p w14:paraId="0F232E21" w14:textId="77777777" w:rsidR="00F3041E" w:rsidRPr="00D51EF6" w:rsidRDefault="00F3041E" w:rsidP="00E02F75">
            <w:pPr>
              <w:rPr>
                <w:rFonts w:cs="Arial"/>
              </w:rPr>
            </w:pPr>
            <w:r w:rsidRPr="00D51EF6">
              <w:rPr>
                <w:rFonts w:eastAsia="Calibri" w:cs="Arial"/>
              </w:rPr>
              <w:t>99.2%</w:t>
            </w:r>
          </w:p>
        </w:tc>
        <w:tc>
          <w:tcPr>
            <w:tcW w:w="614" w:type="pct"/>
            <w:tcMar>
              <w:top w:w="80" w:type="dxa"/>
              <w:left w:w="100" w:type="dxa"/>
              <w:bottom w:w="80" w:type="dxa"/>
              <w:right w:w="100" w:type="dxa"/>
            </w:tcMar>
            <w:vAlign w:val="center"/>
          </w:tcPr>
          <w:p w14:paraId="53AD7085" w14:textId="77777777" w:rsidR="00F3041E" w:rsidRPr="00D51EF6" w:rsidRDefault="00F3041E" w:rsidP="00E02F75">
            <w:pPr>
              <w:rPr>
                <w:rFonts w:cs="Arial"/>
              </w:rPr>
            </w:pPr>
            <w:r w:rsidRPr="00D51EF6">
              <w:rPr>
                <w:rFonts w:eastAsia="Calibri" w:cs="Arial"/>
              </w:rPr>
              <w:t>91.1%</w:t>
            </w:r>
          </w:p>
        </w:tc>
        <w:tc>
          <w:tcPr>
            <w:tcW w:w="627" w:type="pct"/>
            <w:tcMar>
              <w:top w:w="80" w:type="dxa"/>
              <w:left w:w="100" w:type="dxa"/>
              <w:bottom w:w="80" w:type="dxa"/>
              <w:right w:w="100" w:type="dxa"/>
            </w:tcMar>
            <w:vAlign w:val="center"/>
          </w:tcPr>
          <w:p w14:paraId="3FC27190" w14:textId="77777777" w:rsidR="00F3041E" w:rsidRPr="00D51EF6" w:rsidRDefault="00F3041E" w:rsidP="00E02F75">
            <w:pPr>
              <w:rPr>
                <w:rFonts w:cs="Arial"/>
              </w:rPr>
            </w:pPr>
            <w:r w:rsidRPr="00D51EF6">
              <w:rPr>
                <w:rFonts w:eastAsia="Calibri" w:cs="Arial"/>
              </w:rPr>
              <w:t>99.5%</w:t>
            </w:r>
          </w:p>
        </w:tc>
        <w:tc>
          <w:tcPr>
            <w:tcW w:w="722" w:type="pct"/>
            <w:tcMar>
              <w:top w:w="80" w:type="dxa"/>
              <w:left w:w="100" w:type="dxa"/>
              <w:bottom w:w="80" w:type="dxa"/>
              <w:right w:w="100" w:type="dxa"/>
            </w:tcMar>
            <w:vAlign w:val="center"/>
          </w:tcPr>
          <w:p w14:paraId="218B7396" w14:textId="77777777" w:rsidR="00F3041E" w:rsidRPr="00D51EF6" w:rsidRDefault="00F3041E" w:rsidP="00E02F75">
            <w:pPr>
              <w:rPr>
                <w:rFonts w:cs="Arial"/>
              </w:rPr>
            </w:pPr>
            <w:r w:rsidRPr="00D51EF6">
              <w:rPr>
                <w:rFonts w:eastAsia="Calibri" w:cs="Arial"/>
              </w:rPr>
              <w:t>+0.3</w:t>
            </w:r>
          </w:p>
        </w:tc>
        <w:tc>
          <w:tcPr>
            <w:tcW w:w="1211" w:type="pct"/>
            <w:tcMar>
              <w:top w:w="80" w:type="dxa"/>
              <w:left w:w="100" w:type="dxa"/>
              <w:bottom w:w="80" w:type="dxa"/>
              <w:right w:w="100" w:type="dxa"/>
            </w:tcMar>
            <w:vAlign w:val="center"/>
          </w:tcPr>
          <w:p w14:paraId="7DDE05E6" w14:textId="77777777" w:rsidR="00F3041E" w:rsidRPr="00D51EF6" w:rsidRDefault="00F3041E" w:rsidP="00E02F75">
            <w:pPr>
              <w:rPr>
                <w:rFonts w:cs="Arial"/>
              </w:rPr>
            </w:pPr>
            <w:r w:rsidRPr="00D51EF6">
              <w:rPr>
                <w:rFonts w:eastAsia="Calibri" w:cs="Arial"/>
              </w:rPr>
              <w:t>Above target</w:t>
            </w:r>
          </w:p>
        </w:tc>
      </w:tr>
      <w:tr w:rsidR="00F3041E" w:rsidRPr="00D51EF6" w14:paraId="1ECFA171" w14:textId="77777777" w:rsidTr="00E02F75">
        <w:trPr>
          <w:cantSplit/>
        </w:trPr>
        <w:tc>
          <w:tcPr>
            <w:tcW w:w="1211" w:type="pct"/>
            <w:tcMar>
              <w:top w:w="80" w:type="dxa"/>
              <w:left w:w="100" w:type="dxa"/>
              <w:bottom w:w="80" w:type="dxa"/>
              <w:right w:w="100" w:type="dxa"/>
            </w:tcMar>
            <w:vAlign w:val="center"/>
          </w:tcPr>
          <w:p w14:paraId="7E2676E1" w14:textId="77777777" w:rsidR="00F3041E" w:rsidRPr="00D51EF6" w:rsidRDefault="00F3041E" w:rsidP="00E02F75">
            <w:pPr>
              <w:rPr>
                <w:rFonts w:cs="Arial"/>
              </w:rPr>
            </w:pPr>
            <w:r w:rsidRPr="00D51EF6">
              <w:rPr>
                <w:rFonts w:eastAsia="Calibri" w:cs="Arial"/>
                <w:b/>
                <w:bCs/>
              </w:rPr>
              <w:t>2S1 Reading/ELA Proficiency</w:t>
            </w:r>
          </w:p>
        </w:tc>
        <w:tc>
          <w:tcPr>
            <w:tcW w:w="614" w:type="pct"/>
            <w:tcMar>
              <w:top w:w="80" w:type="dxa"/>
              <w:left w:w="100" w:type="dxa"/>
              <w:bottom w:w="80" w:type="dxa"/>
              <w:right w:w="100" w:type="dxa"/>
            </w:tcMar>
            <w:vAlign w:val="center"/>
          </w:tcPr>
          <w:p w14:paraId="24AB9245" w14:textId="77777777" w:rsidR="00F3041E" w:rsidRPr="00D51EF6" w:rsidRDefault="00F3041E" w:rsidP="00E02F75">
            <w:pPr>
              <w:rPr>
                <w:rFonts w:cs="Arial"/>
              </w:rPr>
            </w:pPr>
            <w:r w:rsidRPr="00D51EF6">
              <w:rPr>
                <w:rFonts w:eastAsia="Calibri" w:cs="Arial"/>
              </w:rPr>
              <w:t>60.9%</w:t>
            </w:r>
          </w:p>
        </w:tc>
        <w:tc>
          <w:tcPr>
            <w:tcW w:w="614" w:type="pct"/>
            <w:tcMar>
              <w:top w:w="80" w:type="dxa"/>
              <w:left w:w="100" w:type="dxa"/>
              <w:bottom w:w="80" w:type="dxa"/>
              <w:right w:w="100" w:type="dxa"/>
            </w:tcMar>
            <w:vAlign w:val="center"/>
          </w:tcPr>
          <w:p w14:paraId="651736B5" w14:textId="77777777" w:rsidR="00F3041E" w:rsidRPr="00D51EF6" w:rsidRDefault="00F3041E" w:rsidP="00E02F75">
            <w:pPr>
              <w:rPr>
                <w:rFonts w:cs="Arial"/>
              </w:rPr>
            </w:pPr>
            <w:r w:rsidRPr="00D51EF6">
              <w:rPr>
                <w:rFonts w:eastAsia="Calibri" w:cs="Arial"/>
              </w:rPr>
              <w:t>63.4%</w:t>
            </w:r>
          </w:p>
        </w:tc>
        <w:tc>
          <w:tcPr>
            <w:tcW w:w="627" w:type="pct"/>
            <w:tcMar>
              <w:top w:w="80" w:type="dxa"/>
              <w:left w:w="100" w:type="dxa"/>
              <w:bottom w:w="80" w:type="dxa"/>
              <w:right w:w="100" w:type="dxa"/>
            </w:tcMar>
            <w:vAlign w:val="center"/>
          </w:tcPr>
          <w:p w14:paraId="469AAF32" w14:textId="77777777" w:rsidR="00F3041E" w:rsidRPr="00D51EF6" w:rsidRDefault="00F3041E" w:rsidP="00E02F75">
            <w:pPr>
              <w:rPr>
                <w:rFonts w:cs="Arial"/>
              </w:rPr>
            </w:pPr>
            <w:r w:rsidRPr="00D51EF6">
              <w:rPr>
                <w:rFonts w:eastAsia="Calibri" w:cs="Arial"/>
              </w:rPr>
              <w:t>62.1%</w:t>
            </w:r>
          </w:p>
        </w:tc>
        <w:tc>
          <w:tcPr>
            <w:tcW w:w="722" w:type="pct"/>
            <w:tcMar>
              <w:top w:w="80" w:type="dxa"/>
              <w:left w:w="100" w:type="dxa"/>
              <w:bottom w:w="80" w:type="dxa"/>
              <w:right w:w="100" w:type="dxa"/>
            </w:tcMar>
            <w:vAlign w:val="center"/>
          </w:tcPr>
          <w:p w14:paraId="373FEB27" w14:textId="77777777" w:rsidR="00F3041E" w:rsidRPr="00D51EF6" w:rsidRDefault="00F3041E" w:rsidP="00E02F75">
            <w:pPr>
              <w:rPr>
                <w:rFonts w:cs="Arial"/>
              </w:rPr>
            </w:pPr>
            <w:r w:rsidRPr="00D51EF6">
              <w:rPr>
                <w:rFonts w:eastAsia="Calibri" w:cs="Arial"/>
              </w:rPr>
              <w:t>+1.2</w:t>
            </w:r>
          </w:p>
        </w:tc>
        <w:tc>
          <w:tcPr>
            <w:tcW w:w="1211" w:type="pct"/>
            <w:tcMar>
              <w:top w:w="80" w:type="dxa"/>
              <w:left w:w="100" w:type="dxa"/>
              <w:bottom w:w="80" w:type="dxa"/>
              <w:right w:w="100" w:type="dxa"/>
            </w:tcMar>
            <w:vAlign w:val="center"/>
          </w:tcPr>
          <w:p w14:paraId="2A2D16C7" w14:textId="77777777" w:rsidR="00F3041E" w:rsidRPr="00D51EF6" w:rsidRDefault="00F3041E" w:rsidP="00E02F75">
            <w:pPr>
              <w:rPr>
                <w:rFonts w:cs="Arial"/>
              </w:rPr>
            </w:pPr>
            <w:r w:rsidRPr="00D51EF6">
              <w:rPr>
                <w:rFonts w:eastAsia="Calibri" w:cs="Arial"/>
              </w:rPr>
              <w:t>Growing, approaching target</w:t>
            </w:r>
          </w:p>
        </w:tc>
      </w:tr>
      <w:tr w:rsidR="00F3041E" w:rsidRPr="00D51EF6" w14:paraId="78171153" w14:textId="77777777" w:rsidTr="00E02F75">
        <w:trPr>
          <w:cantSplit/>
        </w:trPr>
        <w:tc>
          <w:tcPr>
            <w:tcW w:w="1211" w:type="pct"/>
            <w:tcMar>
              <w:top w:w="80" w:type="dxa"/>
              <w:left w:w="100" w:type="dxa"/>
              <w:bottom w:w="80" w:type="dxa"/>
              <w:right w:w="100" w:type="dxa"/>
            </w:tcMar>
            <w:vAlign w:val="center"/>
          </w:tcPr>
          <w:p w14:paraId="1E713B07" w14:textId="77777777" w:rsidR="00F3041E" w:rsidRPr="00D51EF6" w:rsidRDefault="00F3041E" w:rsidP="00E02F75">
            <w:pPr>
              <w:rPr>
                <w:rFonts w:cs="Arial"/>
              </w:rPr>
            </w:pPr>
            <w:r w:rsidRPr="00D51EF6">
              <w:rPr>
                <w:rFonts w:eastAsia="Calibri" w:cs="Arial"/>
                <w:b/>
                <w:bCs/>
              </w:rPr>
              <w:t>2S2 Math Proficiency</w:t>
            </w:r>
          </w:p>
        </w:tc>
        <w:tc>
          <w:tcPr>
            <w:tcW w:w="614" w:type="pct"/>
            <w:tcMar>
              <w:top w:w="80" w:type="dxa"/>
              <w:left w:w="100" w:type="dxa"/>
              <w:bottom w:w="80" w:type="dxa"/>
              <w:right w:w="100" w:type="dxa"/>
            </w:tcMar>
            <w:vAlign w:val="center"/>
          </w:tcPr>
          <w:p w14:paraId="78F24040" w14:textId="77777777" w:rsidR="00F3041E" w:rsidRPr="00D51EF6" w:rsidRDefault="00F3041E" w:rsidP="00E02F75">
            <w:pPr>
              <w:rPr>
                <w:rFonts w:cs="Arial"/>
              </w:rPr>
            </w:pPr>
            <w:r w:rsidRPr="00D51EF6">
              <w:rPr>
                <w:rFonts w:eastAsia="Calibri" w:cs="Arial"/>
              </w:rPr>
              <w:t>29.9%</w:t>
            </w:r>
          </w:p>
        </w:tc>
        <w:tc>
          <w:tcPr>
            <w:tcW w:w="614" w:type="pct"/>
            <w:tcMar>
              <w:top w:w="80" w:type="dxa"/>
              <w:left w:w="100" w:type="dxa"/>
              <w:bottom w:w="80" w:type="dxa"/>
              <w:right w:w="100" w:type="dxa"/>
            </w:tcMar>
            <w:vAlign w:val="center"/>
          </w:tcPr>
          <w:p w14:paraId="0097C6BF" w14:textId="77777777" w:rsidR="00F3041E" w:rsidRPr="00D51EF6" w:rsidRDefault="00F3041E" w:rsidP="00E02F75">
            <w:pPr>
              <w:rPr>
                <w:rFonts w:cs="Arial"/>
              </w:rPr>
            </w:pPr>
            <w:r w:rsidRPr="00D51EF6">
              <w:rPr>
                <w:rFonts w:eastAsia="Calibri" w:cs="Arial"/>
              </w:rPr>
              <w:t>36.5%</w:t>
            </w:r>
          </w:p>
        </w:tc>
        <w:tc>
          <w:tcPr>
            <w:tcW w:w="627" w:type="pct"/>
            <w:tcMar>
              <w:top w:w="80" w:type="dxa"/>
              <w:left w:w="100" w:type="dxa"/>
              <w:bottom w:w="80" w:type="dxa"/>
              <w:right w:w="100" w:type="dxa"/>
            </w:tcMar>
            <w:vAlign w:val="center"/>
          </w:tcPr>
          <w:p w14:paraId="59B04BA7" w14:textId="77777777" w:rsidR="00F3041E" w:rsidRPr="00D51EF6" w:rsidRDefault="00F3041E" w:rsidP="00E02F75">
            <w:pPr>
              <w:rPr>
                <w:rFonts w:cs="Arial"/>
              </w:rPr>
            </w:pPr>
            <w:r w:rsidRPr="00D51EF6">
              <w:rPr>
                <w:rFonts w:eastAsia="Calibri" w:cs="Arial"/>
              </w:rPr>
              <w:t>30.2%</w:t>
            </w:r>
          </w:p>
        </w:tc>
        <w:tc>
          <w:tcPr>
            <w:tcW w:w="722" w:type="pct"/>
            <w:tcMar>
              <w:top w:w="80" w:type="dxa"/>
              <w:left w:w="100" w:type="dxa"/>
              <w:bottom w:w="80" w:type="dxa"/>
              <w:right w:w="100" w:type="dxa"/>
            </w:tcMar>
            <w:vAlign w:val="center"/>
          </w:tcPr>
          <w:p w14:paraId="5B531D55" w14:textId="77777777" w:rsidR="00F3041E" w:rsidRPr="00D51EF6" w:rsidRDefault="00F3041E" w:rsidP="00E02F75">
            <w:pPr>
              <w:rPr>
                <w:rFonts w:cs="Arial"/>
              </w:rPr>
            </w:pPr>
            <w:r w:rsidRPr="00D51EF6">
              <w:rPr>
                <w:rFonts w:eastAsia="Calibri" w:cs="Arial"/>
              </w:rPr>
              <w:t>+0.3</w:t>
            </w:r>
          </w:p>
        </w:tc>
        <w:tc>
          <w:tcPr>
            <w:tcW w:w="1211" w:type="pct"/>
            <w:tcMar>
              <w:top w:w="80" w:type="dxa"/>
              <w:left w:w="100" w:type="dxa"/>
              <w:bottom w:w="80" w:type="dxa"/>
              <w:right w:w="100" w:type="dxa"/>
            </w:tcMar>
            <w:vAlign w:val="center"/>
          </w:tcPr>
          <w:p w14:paraId="1E993F1E" w14:textId="77777777" w:rsidR="00F3041E" w:rsidRPr="00D51EF6" w:rsidRDefault="00F3041E" w:rsidP="00E02F75">
            <w:pPr>
              <w:rPr>
                <w:rFonts w:cs="Arial"/>
              </w:rPr>
            </w:pPr>
            <w:r w:rsidRPr="00D51EF6">
              <w:rPr>
                <w:rFonts w:eastAsia="Calibri" w:cs="Arial"/>
              </w:rPr>
              <w:t>Growing, approaching target</w:t>
            </w:r>
          </w:p>
        </w:tc>
      </w:tr>
      <w:tr w:rsidR="00F3041E" w:rsidRPr="00D51EF6" w14:paraId="0E1F1470" w14:textId="77777777" w:rsidTr="00E02F75">
        <w:trPr>
          <w:cantSplit/>
        </w:trPr>
        <w:tc>
          <w:tcPr>
            <w:tcW w:w="1211" w:type="pct"/>
            <w:tcMar>
              <w:top w:w="80" w:type="dxa"/>
              <w:left w:w="100" w:type="dxa"/>
              <w:bottom w:w="80" w:type="dxa"/>
              <w:right w:w="100" w:type="dxa"/>
            </w:tcMar>
            <w:vAlign w:val="center"/>
          </w:tcPr>
          <w:p w14:paraId="28009C88" w14:textId="77777777" w:rsidR="00F3041E" w:rsidRPr="00D51EF6" w:rsidRDefault="00F3041E" w:rsidP="00E02F75">
            <w:pPr>
              <w:rPr>
                <w:rFonts w:cs="Arial"/>
              </w:rPr>
            </w:pPr>
            <w:r w:rsidRPr="00D51EF6">
              <w:rPr>
                <w:rFonts w:eastAsia="Calibri" w:cs="Arial"/>
                <w:b/>
                <w:bCs/>
              </w:rPr>
              <w:lastRenderedPageBreak/>
              <w:t>2S3 Science Proficiency</w:t>
            </w:r>
          </w:p>
        </w:tc>
        <w:tc>
          <w:tcPr>
            <w:tcW w:w="614" w:type="pct"/>
            <w:tcMar>
              <w:top w:w="80" w:type="dxa"/>
              <w:left w:w="100" w:type="dxa"/>
              <w:bottom w:w="80" w:type="dxa"/>
              <w:right w:w="100" w:type="dxa"/>
            </w:tcMar>
            <w:vAlign w:val="center"/>
          </w:tcPr>
          <w:p w14:paraId="3A81DF27" w14:textId="77777777" w:rsidR="00F3041E" w:rsidRPr="00D51EF6" w:rsidRDefault="00F3041E" w:rsidP="00E02F75">
            <w:pPr>
              <w:rPr>
                <w:rFonts w:cs="Arial"/>
              </w:rPr>
            </w:pPr>
            <w:r w:rsidRPr="00D51EF6">
              <w:rPr>
                <w:rFonts w:eastAsia="Calibri" w:cs="Arial"/>
              </w:rPr>
              <w:t>32.8%</w:t>
            </w:r>
          </w:p>
        </w:tc>
        <w:tc>
          <w:tcPr>
            <w:tcW w:w="614" w:type="pct"/>
            <w:tcMar>
              <w:top w:w="80" w:type="dxa"/>
              <w:left w:w="100" w:type="dxa"/>
              <w:bottom w:w="80" w:type="dxa"/>
              <w:right w:w="100" w:type="dxa"/>
            </w:tcMar>
            <w:vAlign w:val="center"/>
          </w:tcPr>
          <w:p w14:paraId="235ABB87" w14:textId="77777777" w:rsidR="00F3041E" w:rsidRPr="00D51EF6" w:rsidRDefault="00F3041E" w:rsidP="00E02F75">
            <w:pPr>
              <w:rPr>
                <w:rFonts w:cs="Arial"/>
              </w:rPr>
            </w:pPr>
            <w:r w:rsidRPr="00D51EF6">
              <w:rPr>
                <w:rFonts w:eastAsia="Calibri" w:cs="Arial"/>
              </w:rPr>
              <w:t>31.2%</w:t>
            </w:r>
          </w:p>
        </w:tc>
        <w:tc>
          <w:tcPr>
            <w:tcW w:w="627" w:type="pct"/>
            <w:tcMar>
              <w:top w:w="80" w:type="dxa"/>
              <w:left w:w="100" w:type="dxa"/>
              <w:bottom w:w="80" w:type="dxa"/>
              <w:right w:w="100" w:type="dxa"/>
            </w:tcMar>
            <w:vAlign w:val="center"/>
          </w:tcPr>
          <w:p w14:paraId="6AD8F425" w14:textId="77777777" w:rsidR="00F3041E" w:rsidRPr="00D51EF6" w:rsidRDefault="00F3041E" w:rsidP="00E02F75">
            <w:pPr>
              <w:rPr>
                <w:rFonts w:cs="Arial"/>
              </w:rPr>
            </w:pPr>
            <w:r w:rsidRPr="00D51EF6">
              <w:rPr>
                <w:rFonts w:eastAsia="Calibri" w:cs="Arial"/>
              </w:rPr>
              <w:t>33.7%</w:t>
            </w:r>
          </w:p>
        </w:tc>
        <w:tc>
          <w:tcPr>
            <w:tcW w:w="722" w:type="pct"/>
            <w:tcMar>
              <w:top w:w="80" w:type="dxa"/>
              <w:left w:w="100" w:type="dxa"/>
              <w:bottom w:w="80" w:type="dxa"/>
              <w:right w:w="100" w:type="dxa"/>
            </w:tcMar>
            <w:vAlign w:val="center"/>
          </w:tcPr>
          <w:p w14:paraId="201B21EF" w14:textId="77777777" w:rsidR="00F3041E" w:rsidRPr="00D51EF6" w:rsidRDefault="00F3041E" w:rsidP="00E02F75">
            <w:pPr>
              <w:rPr>
                <w:rFonts w:cs="Arial"/>
              </w:rPr>
            </w:pPr>
            <w:r w:rsidRPr="00D51EF6">
              <w:rPr>
                <w:rFonts w:eastAsia="Calibri" w:cs="Arial"/>
              </w:rPr>
              <w:t>+0.9</w:t>
            </w:r>
          </w:p>
        </w:tc>
        <w:tc>
          <w:tcPr>
            <w:tcW w:w="1211" w:type="pct"/>
            <w:tcMar>
              <w:top w:w="80" w:type="dxa"/>
              <w:left w:w="100" w:type="dxa"/>
              <w:bottom w:w="80" w:type="dxa"/>
              <w:right w:w="100" w:type="dxa"/>
            </w:tcMar>
            <w:vAlign w:val="center"/>
          </w:tcPr>
          <w:p w14:paraId="4BF19648" w14:textId="77777777" w:rsidR="00F3041E" w:rsidRPr="00D51EF6" w:rsidRDefault="00F3041E" w:rsidP="00E02F75">
            <w:pPr>
              <w:rPr>
                <w:rFonts w:cs="Arial"/>
              </w:rPr>
            </w:pPr>
            <w:r w:rsidRPr="00D51EF6">
              <w:rPr>
                <w:rFonts w:eastAsia="Calibri" w:cs="Arial"/>
              </w:rPr>
              <w:t>Above target</w:t>
            </w:r>
          </w:p>
        </w:tc>
      </w:tr>
      <w:tr w:rsidR="00F3041E" w:rsidRPr="00D51EF6" w14:paraId="6266653E" w14:textId="77777777" w:rsidTr="00E02F75">
        <w:trPr>
          <w:cantSplit/>
        </w:trPr>
        <w:tc>
          <w:tcPr>
            <w:tcW w:w="1211" w:type="pct"/>
            <w:tcMar>
              <w:top w:w="80" w:type="dxa"/>
              <w:left w:w="100" w:type="dxa"/>
              <w:bottom w:w="80" w:type="dxa"/>
              <w:right w:w="100" w:type="dxa"/>
            </w:tcMar>
            <w:vAlign w:val="center"/>
          </w:tcPr>
          <w:p w14:paraId="595FBCB7" w14:textId="77777777" w:rsidR="00F3041E" w:rsidRPr="00D51EF6" w:rsidRDefault="00F3041E" w:rsidP="00E02F75">
            <w:pPr>
              <w:rPr>
                <w:rFonts w:cs="Arial"/>
              </w:rPr>
            </w:pPr>
            <w:r w:rsidRPr="00D51EF6">
              <w:rPr>
                <w:rFonts w:eastAsia="Calibri" w:cs="Arial"/>
                <w:b/>
                <w:bCs/>
              </w:rPr>
              <w:t>3S1 Post-Program Placement</w:t>
            </w:r>
          </w:p>
        </w:tc>
        <w:tc>
          <w:tcPr>
            <w:tcW w:w="614" w:type="pct"/>
            <w:tcMar>
              <w:top w:w="80" w:type="dxa"/>
              <w:left w:w="100" w:type="dxa"/>
              <w:bottom w:w="80" w:type="dxa"/>
              <w:right w:w="100" w:type="dxa"/>
            </w:tcMar>
            <w:vAlign w:val="center"/>
          </w:tcPr>
          <w:p w14:paraId="48D7A2E1" w14:textId="77777777" w:rsidR="00F3041E" w:rsidRPr="00D51EF6" w:rsidRDefault="00F3041E" w:rsidP="00E02F75">
            <w:pPr>
              <w:rPr>
                <w:rFonts w:cs="Arial"/>
              </w:rPr>
            </w:pPr>
            <w:r w:rsidRPr="00D51EF6">
              <w:rPr>
                <w:rFonts w:eastAsia="Calibri" w:cs="Arial"/>
              </w:rPr>
              <w:t>39.2%</w:t>
            </w:r>
          </w:p>
        </w:tc>
        <w:tc>
          <w:tcPr>
            <w:tcW w:w="614" w:type="pct"/>
            <w:tcMar>
              <w:top w:w="80" w:type="dxa"/>
              <w:left w:w="100" w:type="dxa"/>
              <w:bottom w:w="80" w:type="dxa"/>
              <w:right w:w="100" w:type="dxa"/>
            </w:tcMar>
            <w:vAlign w:val="center"/>
          </w:tcPr>
          <w:p w14:paraId="139068E2" w14:textId="77777777" w:rsidR="00F3041E" w:rsidRPr="00D51EF6" w:rsidRDefault="00F3041E" w:rsidP="00E02F75">
            <w:pPr>
              <w:rPr>
                <w:rFonts w:cs="Arial"/>
              </w:rPr>
            </w:pPr>
            <w:r w:rsidRPr="00D51EF6">
              <w:rPr>
                <w:rFonts w:eastAsia="Calibri" w:cs="Arial"/>
              </w:rPr>
              <w:t>69.4%</w:t>
            </w:r>
          </w:p>
        </w:tc>
        <w:tc>
          <w:tcPr>
            <w:tcW w:w="627" w:type="pct"/>
            <w:tcMar>
              <w:top w:w="80" w:type="dxa"/>
              <w:left w:w="100" w:type="dxa"/>
              <w:bottom w:w="80" w:type="dxa"/>
              <w:right w:w="100" w:type="dxa"/>
            </w:tcMar>
            <w:vAlign w:val="center"/>
          </w:tcPr>
          <w:p w14:paraId="26146318" w14:textId="77777777" w:rsidR="00F3041E" w:rsidRPr="00D51EF6" w:rsidRDefault="00F3041E" w:rsidP="00E02F75">
            <w:pPr>
              <w:rPr>
                <w:rFonts w:cs="Arial"/>
              </w:rPr>
            </w:pPr>
            <w:r w:rsidRPr="00D51EF6">
              <w:rPr>
                <w:rFonts w:eastAsia="Calibri" w:cs="Arial"/>
              </w:rPr>
              <w:t>40.1%</w:t>
            </w:r>
          </w:p>
        </w:tc>
        <w:tc>
          <w:tcPr>
            <w:tcW w:w="722" w:type="pct"/>
            <w:tcMar>
              <w:top w:w="80" w:type="dxa"/>
              <w:left w:w="100" w:type="dxa"/>
              <w:bottom w:w="80" w:type="dxa"/>
              <w:right w:w="100" w:type="dxa"/>
            </w:tcMar>
            <w:vAlign w:val="center"/>
          </w:tcPr>
          <w:p w14:paraId="772A6403" w14:textId="77777777" w:rsidR="00F3041E" w:rsidRPr="00D51EF6" w:rsidRDefault="00F3041E" w:rsidP="00E02F75">
            <w:pPr>
              <w:rPr>
                <w:rFonts w:cs="Arial"/>
              </w:rPr>
            </w:pPr>
            <w:r w:rsidRPr="00D51EF6">
              <w:rPr>
                <w:rFonts w:eastAsia="Calibri" w:cs="Arial"/>
              </w:rPr>
              <w:t>+0.9</w:t>
            </w:r>
          </w:p>
        </w:tc>
        <w:tc>
          <w:tcPr>
            <w:tcW w:w="1211" w:type="pct"/>
            <w:tcMar>
              <w:top w:w="80" w:type="dxa"/>
              <w:left w:w="100" w:type="dxa"/>
              <w:bottom w:w="80" w:type="dxa"/>
              <w:right w:w="100" w:type="dxa"/>
            </w:tcMar>
            <w:vAlign w:val="center"/>
          </w:tcPr>
          <w:p w14:paraId="304BAE31" w14:textId="77777777" w:rsidR="00F3041E" w:rsidRPr="00D51EF6" w:rsidRDefault="00F3041E" w:rsidP="00E02F75">
            <w:pPr>
              <w:rPr>
                <w:rFonts w:cs="Arial"/>
              </w:rPr>
            </w:pPr>
            <w:r w:rsidRPr="00D51EF6">
              <w:rPr>
                <w:rFonts w:eastAsia="Calibri" w:cs="Arial"/>
              </w:rPr>
              <w:t>Growing, below target</w:t>
            </w:r>
          </w:p>
        </w:tc>
      </w:tr>
      <w:tr w:rsidR="00F3041E" w:rsidRPr="00D51EF6" w14:paraId="28A5F615" w14:textId="77777777" w:rsidTr="00E02F75">
        <w:trPr>
          <w:cantSplit/>
        </w:trPr>
        <w:tc>
          <w:tcPr>
            <w:tcW w:w="1211" w:type="pct"/>
            <w:tcMar>
              <w:top w:w="80" w:type="dxa"/>
              <w:left w:w="100" w:type="dxa"/>
              <w:bottom w:w="80" w:type="dxa"/>
              <w:right w:w="100" w:type="dxa"/>
            </w:tcMar>
            <w:vAlign w:val="center"/>
          </w:tcPr>
          <w:p w14:paraId="0D46D464" w14:textId="77777777" w:rsidR="00F3041E" w:rsidRPr="00D51EF6" w:rsidRDefault="00F3041E" w:rsidP="00E02F75">
            <w:pPr>
              <w:rPr>
                <w:rFonts w:cs="Arial"/>
              </w:rPr>
            </w:pPr>
            <w:r w:rsidRPr="00D51EF6">
              <w:rPr>
                <w:rFonts w:eastAsia="Calibri" w:cs="Arial"/>
                <w:b/>
                <w:bCs/>
              </w:rPr>
              <w:t>4S1 Nontraditional Participation</w:t>
            </w:r>
          </w:p>
        </w:tc>
        <w:tc>
          <w:tcPr>
            <w:tcW w:w="614" w:type="pct"/>
            <w:tcMar>
              <w:top w:w="80" w:type="dxa"/>
              <w:left w:w="100" w:type="dxa"/>
              <w:bottom w:w="80" w:type="dxa"/>
              <w:right w:w="100" w:type="dxa"/>
            </w:tcMar>
            <w:vAlign w:val="center"/>
          </w:tcPr>
          <w:p w14:paraId="714EC423" w14:textId="77777777" w:rsidR="00F3041E" w:rsidRPr="00D51EF6" w:rsidRDefault="00F3041E" w:rsidP="00E02F75">
            <w:pPr>
              <w:rPr>
                <w:rFonts w:cs="Arial"/>
              </w:rPr>
            </w:pPr>
            <w:r w:rsidRPr="00D51EF6">
              <w:rPr>
                <w:rFonts w:eastAsia="Calibri" w:cs="Arial"/>
              </w:rPr>
              <w:t>30.6%</w:t>
            </w:r>
          </w:p>
        </w:tc>
        <w:tc>
          <w:tcPr>
            <w:tcW w:w="614" w:type="pct"/>
            <w:tcMar>
              <w:top w:w="80" w:type="dxa"/>
              <w:left w:w="100" w:type="dxa"/>
              <w:bottom w:w="80" w:type="dxa"/>
              <w:right w:w="100" w:type="dxa"/>
            </w:tcMar>
            <w:vAlign w:val="center"/>
          </w:tcPr>
          <w:p w14:paraId="75C75B50" w14:textId="77777777" w:rsidR="00F3041E" w:rsidRPr="00D51EF6" w:rsidRDefault="00F3041E" w:rsidP="00E02F75">
            <w:pPr>
              <w:rPr>
                <w:rFonts w:cs="Arial"/>
              </w:rPr>
            </w:pPr>
            <w:r w:rsidRPr="00D51EF6">
              <w:rPr>
                <w:rFonts w:eastAsia="Calibri" w:cs="Arial"/>
              </w:rPr>
              <w:t>21.0%</w:t>
            </w:r>
          </w:p>
        </w:tc>
        <w:tc>
          <w:tcPr>
            <w:tcW w:w="627" w:type="pct"/>
            <w:tcMar>
              <w:top w:w="80" w:type="dxa"/>
              <w:left w:w="100" w:type="dxa"/>
              <w:bottom w:w="80" w:type="dxa"/>
              <w:right w:w="100" w:type="dxa"/>
            </w:tcMar>
            <w:vAlign w:val="center"/>
          </w:tcPr>
          <w:p w14:paraId="7C06FBC7" w14:textId="77777777" w:rsidR="00F3041E" w:rsidRPr="00D51EF6" w:rsidRDefault="00F3041E" w:rsidP="00E02F75">
            <w:pPr>
              <w:rPr>
                <w:rFonts w:cs="Arial"/>
              </w:rPr>
            </w:pPr>
            <w:r w:rsidRPr="00D51EF6">
              <w:rPr>
                <w:rFonts w:eastAsia="Calibri" w:cs="Arial"/>
              </w:rPr>
              <w:t>31.3%</w:t>
            </w:r>
          </w:p>
        </w:tc>
        <w:tc>
          <w:tcPr>
            <w:tcW w:w="722" w:type="pct"/>
            <w:tcMar>
              <w:top w:w="80" w:type="dxa"/>
              <w:left w:w="100" w:type="dxa"/>
              <w:bottom w:w="80" w:type="dxa"/>
              <w:right w:w="100" w:type="dxa"/>
            </w:tcMar>
            <w:vAlign w:val="center"/>
          </w:tcPr>
          <w:p w14:paraId="32F5FAE7" w14:textId="77777777" w:rsidR="00F3041E" w:rsidRPr="00D51EF6" w:rsidRDefault="00F3041E" w:rsidP="00E02F75">
            <w:pPr>
              <w:rPr>
                <w:rFonts w:cs="Arial"/>
              </w:rPr>
            </w:pPr>
            <w:r w:rsidRPr="00D51EF6">
              <w:rPr>
                <w:rFonts w:eastAsia="Calibri" w:cs="Arial"/>
              </w:rPr>
              <w:t>+0.7</w:t>
            </w:r>
          </w:p>
        </w:tc>
        <w:tc>
          <w:tcPr>
            <w:tcW w:w="1211" w:type="pct"/>
            <w:tcMar>
              <w:top w:w="80" w:type="dxa"/>
              <w:left w:w="100" w:type="dxa"/>
              <w:bottom w:w="80" w:type="dxa"/>
              <w:right w:w="100" w:type="dxa"/>
            </w:tcMar>
            <w:vAlign w:val="center"/>
          </w:tcPr>
          <w:p w14:paraId="21A74244" w14:textId="77777777" w:rsidR="00F3041E" w:rsidRPr="00D51EF6" w:rsidRDefault="00F3041E" w:rsidP="00E02F75">
            <w:pPr>
              <w:rPr>
                <w:rFonts w:cs="Arial"/>
              </w:rPr>
            </w:pPr>
            <w:r w:rsidRPr="00D51EF6">
              <w:rPr>
                <w:rFonts w:eastAsia="Calibri" w:cs="Arial"/>
              </w:rPr>
              <w:t>Above target</w:t>
            </w:r>
          </w:p>
        </w:tc>
      </w:tr>
      <w:tr w:rsidR="00F3041E" w:rsidRPr="00D51EF6" w14:paraId="512841E6" w14:textId="77777777" w:rsidTr="00E02F75">
        <w:trPr>
          <w:cantSplit/>
        </w:trPr>
        <w:tc>
          <w:tcPr>
            <w:tcW w:w="1211" w:type="pct"/>
            <w:tcMar>
              <w:top w:w="80" w:type="dxa"/>
              <w:left w:w="100" w:type="dxa"/>
              <w:bottom w:w="80" w:type="dxa"/>
              <w:right w:w="100" w:type="dxa"/>
            </w:tcMar>
            <w:vAlign w:val="center"/>
          </w:tcPr>
          <w:p w14:paraId="01DE5322" w14:textId="77777777" w:rsidR="00F3041E" w:rsidRPr="00D51EF6" w:rsidRDefault="00F3041E" w:rsidP="00E02F75">
            <w:pPr>
              <w:rPr>
                <w:rFonts w:cs="Arial"/>
              </w:rPr>
            </w:pPr>
            <w:r w:rsidRPr="00D51EF6">
              <w:rPr>
                <w:rFonts w:eastAsia="Calibri" w:cs="Arial"/>
                <w:b/>
                <w:bCs/>
              </w:rPr>
              <w:t>5S2 Postsecondary Credit Attainment</w:t>
            </w:r>
          </w:p>
        </w:tc>
        <w:tc>
          <w:tcPr>
            <w:tcW w:w="614" w:type="pct"/>
            <w:tcMar>
              <w:top w:w="80" w:type="dxa"/>
              <w:left w:w="100" w:type="dxa"/>
              <w:bottom w:w="80" w:type="dxa"/>
              <w:right w:w="100" w:type="dxa"/>
            </w:tcMar>
            <w:vAlign w:val="center"/>
          </w:tcPr>
          <w:p w14:paraId="4927E81D" w14:textId="77777777" w:rsidR="00F3041E" w:rsidRPr="00D51EF6" w:rsidRDefault="00F3041E" w:rsidP="00E02F75">
            <w:pPr>
              <w:rPr>
                <w:rFonts w:cs="Arial"/>
              </w:rPr>
            </w:pPr>
            <w:r w:rsidRPr="00D51EF6">
              <w:rPr>
                <w:rFonts w:eastAsia="Calibri" w:cs="Arial"/>
              </w:rPr>
              <w:t>27.2%</w:t>
            </w:r>
          </w:p>
        </w:tc>
        <w:tc>
          <w:tcPr>
            <w:tcW w:w="614" w:type="pct"/>
            <w:tcMar>
              <w:top w:w="80" w:type="dxa"/>
              <w:left w:w="100" w:type="dxa"/>
              <w:bottom w:w="80" w:type="dxa"/>
              <w:right w:w="100" w:type="dxa"/>
            </w:tcMar>
            <w:vAlign w:val="center"/>
          </w:tcPr>
          <w:p w14:paraId="1B007330" w14:textId="77777777" w:rsidR="00F3041E" w:rsidRPr="00D51EF6" w:rsidRDefault="00F3041E" w:rsidP="00E02F75">
            <w:pPr>
              <w:rPr>
                <w:rFonts w:cs="Arial"/>
              </w:rPr>
            </w:pPr>
            <w:r w:rsidRPr="00D51EF6">
              <w:rPr>
                <w:rFonts w:eastAsia="Calibri" w:cs="Arial"/>
              </w:rPr>
              <w:t>26.2%</w:t>
            </w:r>
          </w:p>
        </w:tc>
        <w:tc>
          <w:tcPr>
            <w:tcW w:w="627" w:type="pct"/>
            <w:tcMar>
              <w:top w:w="80" w:type="dxa"/>
              <w:left w:w="100" w:type="dxa"/>
              <w:bottom w:w="80" w:type="dxa"/>
              <w:right w:w="100" w:type="dxa"/>
            </w:tcMar>
            <w:vAlign w:val="center"/>
          </w:tcPr>
          <w:p w14:paraId="7B4FA9F6" w14:textId="77777777" w:rsidR="00F3041E" w:rsidRPr="00D51EF6" w:rsidRDefault="00F3041E" w:rsidP="00E02F75">
            <w:pPr>
              <w:rPr>
                <w:rFonts w:cs="Arial"/>
              </w:rPr>
            </w:pPr>
            <w:r w:rsidRPr="00D51EF6">
              <w:rPr>
                <w:rFonts w:eastAsia="Calibri" w:cs="Arial"/>
              </w:rPr>
              <w:t>31.9%</w:t>
            </w:r>
          </w:p>
        </w:tc>
        <w:tc>
          <w:tcPr>
            <w:tcW w:w="722" w:type="pct"/>
            <w:tcMar>
              <w:top w:w="80" w:type="dxa"/>
              <w:left w:w="100" w:type="dxa"/>
              <w:bottom w:w="80" w:type="dxa"/>
              <w:right w:w="100" w:type="dxa"/>
            </w:tcMar>
            <w:vAlign w:val="center"/>
          </w:tcPr>
          <w:p w14:paraId="3A38450B" w14:textId="77777777" w:rsidR="00F3041E" w:rsidRPr="00D51EF6" w:rsidRDefault="00F3041E" w:rsidP="00E02F75">
            <w:pPr>
              <w:rPr>
                <w:rFonts w:cs="Arial"/>
              </w:rPr>
            </w:pPr>
            <w:r w:rsidRPr="00D51EF6">
              <w:rPr>
                <w:rFonts w:eastAsia="Calibri" w:cs="Arial"/>
              </w:rPr>
              <w:t>+4.7</w:t>
            </w:r>
          </w:p>
        </w:tc>
        <w:tc>
          <w:tcPr>
            <w:tcW w:w="1211" w:type="pct"/>
            <w:tcMar>
              <w:top w:w="80" w:type="dxa"/>
              <w:left w:w="100" w:type="dxa"/>
              <w:bottom w:w="80" w:type="dxa"/>
              <w:right w:w="100" w:type="dxa"/>
            </w:tcMar>
            <w:vAlign w:val="center"/>
          </w:tcPr>
          <w:p w14:paraId="1BBD8872" w14:textId="77777777" w:rsidR="00F3041E" w:rsidRPr="00D51EF6" w:rsidRDefault="00F3041E" w:rsidP="00E02F75">
            <w:pPr>
              <w:rPr>
                <w:rFonts w:cs="Arial"/>
              </w:rPr>
            </w:pPr>
            <w:r w:rsidRPr="00D51EF6">
              <w:rPr>
                <w:rFonts w:eastAsia="Calibri" w:cs="Arial"/>
              </w:rPr>
              <w:t>Above target</w:t>
            </w:r>
          </w:p>
        </w:tc>
      </w:tr>
      <w:tr w:rsidR="00F3041E" w:rsidRPr="00D51EF6" w14:paraId="718531DA" w14:textId="77777777" w:rsidTr="00E02F75">
        <w:trPr>
          <w:cantSplit/>
        </w:trPr>
        <w:tc>
          <w:tcPr>
            <w:tcW w:w="1211" w:type="pct"/>
            <w:tcMar>
              <w:top w:w="80" w:type="dxa"/>
              <w:left w:w="100" w:type="dxa"/>
              <w:bottom w:w="80" w:type="dxa"/>
              <w:right w:w="100" w:type="dxa"/>
            </w:tcMar>
            <w:vAlign w:val="center"/>
          </w:tcPr>
          <w:p w14:paraId="1074EF25" w14:textId="77777777" w:rsidR="00F3041E" w:rsidRPr="00D51EF6" w:rsidRDefault="00F3041E" w:rsidP="00E02F75">
            <w:pPr>
              <w:rPr>
                <w:rFonts w:cs="Arial"/>
              </w:rPr>
            </w:pPr>
            <w:r w:rsidRPr="00D51EF6">
              <w:rPr>
                <w:rFonts w:eastAsia="Calibri" w:cs="Arial"/>
                <w:b/>
                <w:bCs/>
              </w:rPr>
              <w:t>1P1 Postsecondary Placement</w:t>
            </w:r>
          </w:p>
        </w:tc>
        <w:tc>
          <w:tcPr>
            <w:tcW w:w="614" w:type="pct"/>
            <w:tcMar>
              <w:top w:w="80" w:type="dxa"/>
              <w:left w:w="100" w:type="dxa"/>
              <w:bottom w:w="80" w:type="dxa"/>
              <w:right w:w="100" w:type="dxa"/>
            </w:tcMar>
            <w:vAlign w:val="center"/>
          </w:tcPr>
          <w:p w14:paraId="71072911" w14:textId="77777777" w:rsidR="00F3041E" w:rsidRPr="00D51EF6" w:rsidRDefault="00F3041E" w:rsidP="00E02F75">
            <w:pPr>
              <w:rPr>
                <w:rFonts w:cs="Arial"/>
              </w:rPr>
            </w:pPr>
            <w:r w:rsidRPr="00D51EF6">
              <w:rPr>
                <w:rFonts w:eastAsia="Calibri" w:cs="Arial"/>
              </w:rPr>
              <w:t>95.8%</w:t>
            </w:r>
          </w:p>
        </w:tc>
        <w:tc>
          <w:tcPr>
            <w:tcW w:w="614" w:type="pct"/>
            <w:tcMar>
              <w:top w:w="80" w:type="dxa"/>
              <w:left w:w="100" w:type="dxa"/>
              <w:bottom w:w="80" w:type="dxa"/>
              <w:right w:w="100" w:type="dxa"/>
            </w:tcMar>
            <w:vAlign w:val="center"/>
          </w:tcPr>
          <w:p w14:paraId="3ABF6E15" w14:textId="77777777" w:rsidR="00F3041E" w:rsidRPr="00D51EF6" w:rsidRDefault="00F3041E" w:rsidP="00E02F75">
            <w:pPr>
              <w:rPr>
                <w:rFonts w:cs="Arial"/>
              </w:rPr>
            </w:pPr>
            <w:r w:rsidRPr="00D51EF6">
              <w:rPr>
                <w:rFonts w:eastAsia="Calibri" w:cs="Arial"/>
              </w:rPr>
              <w:t>76.0%</w:t>
            </w:r>
          </w:p>
        </w:tc>
        <w:tc>
          <w:tcPr>
            <w:tcW w:w="627" w:type="pct"/>
            <w:tcMar>
              <w:top w:w="80" w:type="dxa"/>
              <w:left w:w="100" w:type="dxa"/>
              <w:bottom w:w="80" w:type="dxa"/>
              <w:right w:w="100" w:type="dxa"/>
            </w:tcMar>
            <w:vAlign w:val="center"/>
          </w:tcPr>
          <w:p w14:paraId="5CEEEDAD" w14:textId="77777777" w:rsidR="00F3041E" w:rsidRPr="00D51EF6" w:rsidRDefault="00F3041E" w:rsidP="00E02F75">
            <w:pPr>
              <w:rPr>
                <w:rFonts w:cs="Arial"/>
              </w:rPr>
            </w:pPr>
            <w:r w:rsidRPr="00D51EF6">
              <w:rPr>
                <w:rFonts w:eastAsia="Calibri" w:cs="Arial"/>
              </w:rPr>
              <w:t>96.2%</w:t>
            </w:r>
          </w:p>
        </w:tc>
        <w:tc>
          <w:tcPr>
            <w:tcW w:w="722" w:type="pct"/>
            <w:tcMar>
              <w:top w:w="80" w:type="dxa"/>
              <w:left w:w="100" w:type="dxa"/>
              <w:bottom w:w="80" w:type="dxa"/>
              <w:right w:w="100" w:type="dxa"/>
            </w:tcMar>
            <w:vAlign w:val="center"/>
          </w:tcPr>
          <w:p w14:paraId="5520DBB7" w14:textId="77777777" w:rsidR="00F3041E" w:rsidRPr="00D51EF6" w:rsidRDefault="00F3041E" w:rsidP="00E02F75">
            <w:pPr>
              <w:rPr>
                <w:rFonts w:cs="Arial"/>
              </w:rPr>
            </w:pPr>
            <w:r w:rsidRPr="00D51EF6">
              <w:rPr>
                <w:rFonts w:eastAsia="Calibri" w:cs="Arial"/>
              </w:rPr>
              <w:t>+0.4</w:t>
            </w:r>
          </w:p>
        </w:tc>
        <w:tc>
          <w:tcPr>
            <w:tcW w:w="1211" w:type="pct"/>
            <w:tcMar>
              <w:top w:w="80" w:type="dxa"/>
              <w:left w:w="100" w:type="dxa"/>
              <w:bottom w:w="80" w:type="dxa"/>
              <w:right w:w="100" w:type="dxa"/>
            </w:tcMar>
            <w:vAlign w:val="center"/>
          </w:tcPr>
          <w:p w14:paraId="6899DB76" w14:textId="77777777" w:rsidR="00F3041E" w:rsidRPr="00D51EF6" w:rsidRDefault="00F3041E" w:rsidP="00E02F75">
            <w:pPr>
              <w:rPr>
                <w:rFonts w:cs="Arial"/>
              </w:rPr>
            </w:pPr>
            <w:r w:rsidRPr="00D51EF6">
              <w:rPr>
                <w:rFonts w:eastAsia="Calibri" w:cs="Arial"/>
              </w:rPr>
              <w:t>Above target</w:t>
            </w:r>
          </w:p>
        </w:tc>
      </w:tr>
      <w:tr w:rsidR="00F3041E" w:rsidRPr="00D51EF6" w14:paraId="3070FB66" w14:textId="77777777" w:rsidTr="00E02F75">
        <w:trPr>
          <w:cantSplit/>
        </w:trPr>
        <w:tc>
          <w:tcPr>
            <w:tcW w:w="1211" w:type="pct"/>
            <w:tcMar>
              <w:top w:w="80" w:type="dxa"/>
              <w:left w:w="100" w:type="dxa"/>
              <w:bottom w:w="80" w:type="dxa"/>
              <w:right w:w="100" w:type="dxa"/>
            </w:tcMar>
            <w:vAlign w:val="center"/>
          </w:tcPr>
          <w:p w14:paraId="1DD67F4B" w14:textId="77777777" w:rsidR="00F3041E" w:rsidRPr="00D51EF6" w:rsidRDefault="00F3041E" w:rsidP="00E02F75">
            <w:pPr>
              <w:rPr>
                <w:rFonts w:cs="Arial"/>
              </w:rPr>
            </w:pPr>
            <w:r w:rsidRPr="00D51EF6">
              <w:rPr>
                <w:rFonts w:eastAsia="Calibri" w:cs="Arial"/>
                <w:b/>
                <w:bCs/>
              </w:rPr>
              <w:t>2P1 Credential Attainment</w:t>
            </w:r>
          </w:p>
        </w:tc>
        <w:tc>
          <w:tcPr>
            <w:tcW w:w="614" w:type="pct"/>
            <w:tcMar>
              <w:top w:w="80" w:type="dxa"/>
              <w:left w:w="100" w:type="dxa"/>
              <w:bottom w:w="80" w:type="dxa"/>
              <w:right w:w="100" w:type="dxa"/>
            </w:tcMar>
            <w:vAlign w:val="center"/>
          </w:tcPr>
          <w:p w14:paraId="48DE26E7" w14:textId="77777777" w:rsidR="00F3041E" w:rsidRPr="00D51EF6" w:rsidRDefault="00F3041E" w:rsidP="00E02F75">
            <w:pPr>
              <w:rPr>
                <w:rFonts w:cs="Arial"/>
              </w:rPr>
            </w:pPr>
            <w:r w:rsidRPr="00D51EF6">
              <w:rPr>
                <w:rFonts w:eastAsia="Calibri" w:cs="Arial"/>
              </w:rPr>
              <w:t>87.0%</w:t>
            </w:r>
          </w:p>
        </w:tc>
        <w:tc>
          <w:tcPr>
            <w:tcW w:w="614" w:type="pct"/>
            <w:tcMar>
              <w:top w:w="80" w:type="dxa"/>
              <w:left w:w="100" w:type="dxa"/>
              <w:bottom w:w="80" w:type="dxa"/>
              <w:right w:w="100" w:type="dxa"/>
            </w:tcMar>
            <w:vAlign w:val="center"/>
          </w:tcPr>
          <w:p w14:paraId="0D8750C6" w14:textId="77777777" w:rsidR="00F3041E" w:rsidRPr="00D51EF6" w:rsidRDefault="00F3041E" w:rsidP="00E02F75">
            <w:pPr>
              <w:rPr>
                <w:rFonts w:cs="Arial"/>
              </w:rPr>
            </w:pPr>
            <w:r w:rsidRPr="00D51EF6">
              <w:rPr>
                <w:rFonts w:eastAsia="Calibri" w:cs="Arial"/>
              </w:rPr>
              <w:t>82.7%</w:t>
            </w:r>
          </w:p>
        </w:tc>
        <w:tc>
          <w:tcPr>
            <w:tcW w:w="627" w:type="pct"/>
            <w:tcMar>
              <w:top w:w="80" w:type="dxa"/>
              <w:left w:w="100" w:type="dxa"/>
              <w:bottom w:w="80" w:type="dxa"/>
              <w:right w:w="100" w:type="dxa"/>
            </w:tcMar>
            <w:vAlign w:val="center"/>
          </w:tcPr>
          <w:p w14:paraId="1B328224" w14:textId="77777777" w:rsidR="00F3041E" w:rsidRPr="00D51EF6" w:rsidRDefault="00F3041E" w:rsidP="00E02F75">
            <w:pPr>
              <w:rPr>
                <w:rFonts w:cs="Arial"/>
              </w:rPr>
            </w:pPr>
            <w:r w:rsidRPr="00D51EF6">
              <w:rPr>
                <w:rFonts w:eastAsia="Calibri" w:cs="Arial"/>
              </w:rPr>
              <w:t>78.0%</w:t>
            </w:r>
          </w:p>
        </w:tc>
        <w:tc>
          <w:tcPr>
            <w:tcW w:w="722" w:type="pct"/>
            <w:tcMar>
              <w:top w:w="80" w:type="dxa"/>
              <w:left w:w="100" w:type="dxa"/>
              <w:bottom w:w="80" w:type="dxa"/>
              <w:right w:w="100" w:type="dxa"/>
            </w:tcMar>
            <w:vAlign w:val="center"/>
          </w:tcPr>
          <w:p w14:paraId="7BB75A1E" w14:textId="77777777" w:rsidR="00F3041E" w:rsidRPr="00D51EF6" w:rsidRDefault="00F3041E" w:rsidP="00E02F75">
            <w:pPr>
              <w:rPr>
                <w:rFonts w:cs="Arial"/>
              </w:rPr>
            </w:pPr>
            <w:r w:rsidRPr="00D51EF6">
              <w:rPr>
                <w:rFonts w:eastAsia="Calibri" w:cs="Arial"/>
              </w:rPr>
              <w:t>-9.0</w:t>
            </w:r>
          </w:p>
        </w:tc>
        <w:tc>
          <w:tcPr>
            <w:tcW w:w="1211" w:type="pct"/>
            <w:tcMar>
              <w:top w:w="80" w:type="dxa"/>
              <w:left w:w="100" w:type="dxa"/>
              <w:bottom w:w="80" w:type="dxa"/>
              <w:right w:w="100" w:type="dxa"/>
            </w:tcMar>
            <w:vAlign w:val="center"/>
          </w:tcPr>
          <w:p w14:paraId="44093632" w14:textId="77777777" w:rsidR="00F3041E" w:rsidRPr="00D51EF6" w:rsidRDefault="00F3041E" w:rsidP="00E02F75">
            <w:pPr>
              <w:rPr>
                <w:rFonts w:cs="Arial"/>
              </w:rPr>
            </w:pPr>
            <w:r w:rsidRPr="00D51EF6">
              <w:rPr>
                <w:rFonts w:eastAsia="Calibri" w:cs="Arial"/>
              </w:rPr>
              <w:t>Below target</w:t>
            </w:r>
          </w:p>
        </w:tc>
      </w:tr>
      <w:tr w:rsidR="00F3041E" w:rsidRPr="00D51EF6" w14:paraId="7BA82478" w14:textId="77777777" w:rsidTr="00E02F75">
        <w:trPr>
          <w:cantSplit/>
        </w:trPr>
        <w:tc>
          <w:tcPr>
            <w:tcW w:w="1211" w:type="pct"/>
            <w:tcMar>
              <w:top w:w="80" w:type="dxa"/>
              <w:left w:w="100" w:type="dxa"/>
              <w:bottom w:w="80" w:type="dxa"/>
              <w:right w:w="100" w:type="dxa"/>
            </w:tcMar>
            <w:vAlign w:val="center"/>
          </w:tcPr>
          <w:p w14:paraId="79694CB8" w14:textId="77777777" w:rsidR="00F3041E" w:rsidRPr="00D51EF6" w:rsidRDefault="00F3041E" w:rsidP="00E02F75">
            <w:pPr>
              <w:rPr>
                <w:rFonts w:cs="Arial"/>
              </w:rPr>
            </w:pPr>
            <w:r w:rsidRPr="00D51EF6">
              <w:rPr>
                <w:rFonts w:eastAsia="Calibri" w:cs="Arial"/>
                <w:b/>
                <w:bCs/>
              </w:rPr>
              <w:t>3P1 Nontraditional Participation</w:t>
            </w:r>
          </w:p>
        </w:tc>
        <w:tc>
          <w:tcPr>
            <w:tcW w:w="614" w:type="pct"/>
            <w:tcMar>
              <w:top w:w="80" w:type="dxa"/>
              <w:left w:w="100" w:type="dxa"/>
              <w:bottom w:w="80" w:type="dxa"/>
              <w:right w:w="100" w:type="dxa"/>
            </w:tcMar>
            <w:vAlign w:val="center"/>
          </w:tcPr>
          <w:p w14:paraId="57B138C9" w14:textId="77777777" w:rsidR="00F3041E" w:rsidRPr="00D51EF6" w:rsidRDefault="00F3041E" w:rsidP="00E02F75">
            <w:pPr>
              <w:rPr>
                <w:rFonts w:cs="Arial"/>
              </w:rPr>
            </w:pPr>
            <w:r w:rsidRPr="00D51EF6">
              <w:rPr>
                <w:rFonts w:eastAsia="Calibri" w:cs="Arial"/>
              </w:rPr>
              <w:t>28.3%</w:t>
            </w:r>
          </w:p>
        </w:tc>
        <w:tc>
          <w:tcPr>
            <w:tcW w:w="614" w:type="pct"/>
            <w:tcMar>
              <w:top w:w="80" w:type="dxa"/>
              <w:left w:w="100" w:type="dxa"/>
              <w:bottom w:w="80" w:type="dxa"/>
              <w:right w:w="100" w:type="dxa"/>
            </w:tcMar>
            <w:vAlign w:val="center"/>
          </w:tcPr>
          <w:p w14:paraId="44DC604B" w14:textId="77777777" w:rsidR="00F3041E" w:rsidRPr="00D51EF6" w:rsidRDefault="00F3041E" w:rsidP="00E02F75">
            <w:pPr>
              <w:rPr>
                <w:rFonts w:cs="Arial"/>
              </w:rPr>
            </w:pPr>
            <w:r w:rsidRPr="00D51EF6">
              <w:rPr>
                <w:rFonts w:eastAsia="Calibri" w:cs="Arial"/>
              </w:rPr>
              <w:t>26.0%</w:t>
            </w:r>
          </w:p>
        </w:tc>
        <w:tc>
          <w:tcPr>
            <w:tcW w:w="627" w:type="pct"/>
            <w:tcMar>
              <w:top w:w="80" w:type="dxa"/>
              <w:left w:w="100" w:type="dxa"/>
              <w:bottom w:w="80" w:type="dxa"/>
              <w:right w:w="100" w:type="dxa"/>
            </w:tcMar>
            <w:vAlign w:val="center"/>
          </w:tcPr>
          <w:p w14:paraId="5566FEF4" w14:textId="77777777" w:rsidR="00F3041E" w:rsidRPr="00D51EF6" w:rsidRDefault="00F3041E" w:rsidP="00E02F75">
            <w:pPr>
              <w:rPr>
                <w:rFonts w:cs="Arial"/>
              </w:rPr>
            </w:pPr>
            <w:r w:rsidRPr="00D51EF6">
              <w:rPr>
                <w:rFonts w:eastAsia="Calibri" w:cs="Arial"/>
              </w:rPr>
              <w:t>28.0%</w:t>
            </w:r>
          </w:p>
        </w:tc>
        <w:tc>
          <w:tcPr>
            <w:tcW w:w="722" w:type="pct"/>
            <w:tcMar>
              <w:top w:w="80" w:type="dxa"/>
              <w:left w:w="100" w:type="dxa"/>
              <w:bottom w:w="80" w:type="dxa"/>
              <w:right w:w="100" w:type="dxa"/>
            </w:tcMar>
            <w:vAlign w:val="center"/>
          </w:tcPr>
          <w:p w14:paraId="6B4FAB15" w14:textId="77777777" w:rsidR="00F3041E" w:rsidRPr="00D51EF6" w:rsidRDefault="00F3041E" w:rsidP="00E02F75">
            <w:pPr>
              <w:rPr>
                <w:rFonts w:cs="Arial"/>
              </w:rPr>
            </w:pPr>
            <w:r w:rsidRPr="00D51EF6">
              <w:rPr>
                <w:rFonts w:eastAsia="Calibri" w:cs="Arial"/>
              </w:rPr>
              <w:t>-0.3</w:t>
            </w:r>
          </w:p>
        </w:tc>
        <w:tc>
          <w:tcPr>
            <w:tcW w:w="1211" w:type="pct"/>
            <w:tcMar>
              <w:top w:w="80" w:type="dxa"/>
              <w:left w:w="100" w:type="dxa"/>
              <w:bottom w:w="80" w:type="dxa"/>
              <w:right w:w="100" w:type="dxa"/>
            </w:tcMar>
            <w:vAlign w:val="center"/>
          </w:tcPr>
          <w:p w14:paraId="6A6339AA" w14:textId="77777777" w:rsidR="00F3041E" w:rsidRPr="00D51EF6" w:rsidRDefault="00F3041E" w:rsidP="00E02F75">
            <w:pPr>
              <w:rPr>
                <w:rFonts w:cs="Arial"/>
              </w:rPr>
            </w:pPr>
            <w:r w:rsidRPr="00D51EF6">
              <w:rPr>
                <w:rFonts w:eastAsia="Calibri" w:cs="Arial"/>
              </w:rPr>
              <w:t>Above target</w:t>
            </w:r>
          </w:p>
        </w:tc>
      </w:tr>
    </w:tbl>
    <w:p w14:paraId="7C8BF724" w14:textId="2D807007" w:rsidR="00F3041E" w:rsidRPr="00D51EF6" w:rsidRDefault="00F3041E" w:rsidP="00E02F75">
      <w:pPr>
        <w:spacing w:after="240" w:line="260" w:lineRule="auto"/>
        <w:rPr>
          <w:rFonts w:cs="Arial"/>
        </w:rPr>
      </w:pPr>
      <w:r w:rsidRPr="00D51EF6">
        <w:rPr>
          <w:rFonts w:eastAsia="Calibri" w:cs="Arial"/>
          <w:i/>
          <w:iCs/>
        </w:rPr>
        <w:t>Post-program placement (3S1) is based on a post-graduation student survey; students who do not respond count against the rate under this measure's methodology.</w:t>
      </w:r>
    </w:p>
    <w:p w14:paraId="4E6352D0" w14:textId="77777777" w:rsidR="00E02F75" w:rsidRPr="00D51EF6" w:rsidRDefault="00E02F75" w:rsidP="006E2049">
      <w:pPr>
        <w:pStyle w:val="Heading3"/>
      </w:pPr>
      <w:r w:rsidRPr="00D51EF6">
        <w:t>Comparative States Summary</w:t>
      </w:r>
    </w:p>
    <w:p w14:paraId="536CE32F" w14:textId="77777777" w:rsidR="00E02F75" w:rsidRPr="00D51EF6" w:rsidRDefault="00E02F75" w:rsidP="00E02F75">
      <w:pPr>
        <w:spacing w:after="240" w:line="276" w:lineRule="auto"/>
        <w:rPr>
          <w:rFonts w:cs="Arial"/>
        </w:rPr>
      </w:pPr>
      <w:r w:rsidRPr="00D51EF6">
        <w:rPr>
          <w:rFonts w:eastAsia="Calibri" w:cs="Arial"/>
        </w:rPr>
        <w:t>On the 10 core Perkins V performance indicators, California's actual results compare favorably to Texas, Florida, and New York in some areas and trail them in others. California reports the highest postsecondary placement rate (95.8 percent), the highest postsecondary credential attainment rate (87.0 percent), and the highest secondary graduation rate (99.2 percent) among the four states. Texas, Florida, and New York each report higher academic proficiency percentages than California in reading/language arts, mathematics, and science, with math proficiency notably higher in all three peer states. Texas and Florida also report higher secondary post-program placement percentages than California, while New York's postsecondary placement rate (49.0 percent) is notably lower than the other three states. Because academic proficiency percentages are based on each state's own assessment, and states have some latitude in how a few indicators are defined and collected, not every comparison is a precise apples-to-apples measure. Full indicator-by-indicator detail for each state is provided in the accompanying presentation.</w:t>
      </w:r>
    </w:p>
    <w:p w14:paraId="28564659" w14:textId="77777777" w:rsidR="00E02F75" w:rsidRPr="00D51EF6" w:rsidRDefault="00E02F75" w:rsidP="006E2049">
      <w:pPr>
        <w:pStyle w:val="Heading3"/>
      </w:pPr>
      <w:r w:rsidRPr="00D51EF6">
        <w:lastRenderedPageBreak/>
        <w:t>Overall Data Summary</w:t>
      </w:r>
    </w:p>
    <w:p w14:paraId="527BAACD" w14:textId="2DEE4192" w:rsidR="00F3041E" w:rsidRPr="00E02F75" w:rsidRDefault="00F3041E" w:rsidP="00E02F75">
      <w:pPr>
        <w:spacing w:before="240" w:after="240" w:line="276" w:lineRule="auto"/>
        <w:rPr>
          <w:rFonts w:cs="Arial"/>
        </w:rPr>
      </w:pPr>
      <w:r w:rsidRPr="00D51EF6">
        <w:rPr>
          <w:rFonts w:cs="Arial"/>
        </w:rPr>
        <w:t>Taken together, this data shows California's federal Perkins V program comparing favorably to national trends and to similarly sized peer states, particularly in postsecondary placement, graduation outcomes, and equity participation, while also surfacing areas such as credential attainment and academic proficiency where continued attention is warranted. CDE staff intend to bring this type of national comparison to the Committee on an ongoing basis to track California's progress against national benchmarks over time.</w:t>
      </w:r>
    </w:p>
    <w:sectPr w:rsidR="00F3041E" w:rsidRPr="00E02F75" w:rsidSect="00E12B59">
      <w:headerReference w:type="even" r:id="rId11"/>
      <w:headerReference w:type="default" r:id="rId12"/>
      <w:headerReference w:type="first" r:id="rId13"/>
      <w:type w:val="continuous"/>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7B09" w14:textId="77777777" w:rsidR="007C013F" w:rsidRDefault="007C013F" w:rsidP="000E09DC">
      <w:r>
        <w:separator/>
      </w:r>
    </w:p>
  </w:endnote>
  <w:endnote w:type="continuationSeparator" w:id="0">
    <w:p w14:paraId="54D5EAFA" w14:textId="77777777" w:rsidR="007C013F" w:rsidRDefault="007C013F" w:rsidP="000E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6846" w14:textId="77777777" w:rsidR="007C013F" w:rsidRDefault="007C013F" w:rsidP="000E09DC">
      <w:r>
        <w:separator/>
      </w:r>
    </w:p>
  </w:footnote>
  <w:footnote w:type="continuationSeparator" w:id="0">
    <w:p w14:paraId="7EFBBC9B" w14:textId="77777777" w:rsidR="007C013F" w:rsidRDefault="007C013F" w:rsidP="000E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AC5B" w14:textId="77777777" w:rsidR="00937C6E" w:rsidRPr="00AA6EC1" w:rsidRDefault="00937C6E" w:rsidP="00E12B59">
    <w:pPr>
      <w:pStyle w:val="Header"/>
      <w:jc w:val="right"/>
      <w:rPr>
        <w:rFonts w:cs="Arial"/>
      </w:rPr>
    </w:pPr>
    <w:r>
      <w:rPr>
        <w:rFonts w:cs="Arial"/>
      </w:rPr>
      <w:t>cwpjac-nov20item02</w:t>
    </w:r>
  </w:p>
  <w:p w14:paraId="3877EA4A" w14:textId="77777777" w:rsidR="00937C6E" w:rsidRDefault="00937C6E" w:rsidP="00E12B59">
    <w:pPr>
      <w:pStyle w:val="Header"/>
      <w:spacing w:after="120"/>
      <w:jc w:val="right"/>
    </w:pPr>
    <w:r w:rsidRPr="00CB2B58">
      <w:rPr>
        <w:rFonts w:cs="Arial"/>
      </w:rPr>
      <w:t xml:space="preserve">Page </w:t>
    </w:r>
    <w:r w:rsidRPr="00CB2B58">
      <w:rPr>
        <w:rFonts w:cs="Arial"/>
        <w:bCs/>
      </w:rPr>
      <w:fldChar w:fldCharType="begin"/>
    </w:r>
    <w:r w:rsidRPr="00CB2B58">
      <w:rPr>
        <w:rFonts w:cs="Arial"/>
        <w:bCs/>
      </w:rPr>
      <w:instrText xml:space="preserve"> PAGE  \* Arabic  \* MERGEFORMAT </w:instrText>
    </w:r>
    <w:r w:rsidRPr="00CB2B58">
      <w:rPr>
        <w:rFonts w:cs="Arial"/>
        <w:bCs/>
      </w:rPr>
      <w:fldChar w:fldCharType="separate"/>
    </w:r>
    <w:r>
      <w:rPr>
        <w:rFonts w:cs="Arial"/>
        <w:bCs/>
      </w:rPr>
      <w:t>1</w:t>
    </w:r>
    <w:r w:rsidRPr="00CB2B58">
      <w:rPr>
        <w:rFonts w:cs="Arial"/>
        <w:bCs/>
      </w:rPr>
      <w:fldChar w:fldCharType="end"/>
    </w:r>
    <w:r w:rsidRPr="00CB2B58">
      <w:rPr>
        <w:rFonts w:cs="Arial"/>
      </w:rPr>
      <w:t xml:space="preserve"> of </w:t>
    </w:r>
    <w:r w:rsidRPr="00CB2B58">
      <w:rPr>
        <w:rFonts w:cs="Arial"/>
        <w:bCs/>
      </w:rPr>
      <w:fldChar w:fldCharType="begin"/>
    </w:r>
    <w:r w:rsidRPr="00CB2B58">
      <w:rPr>
        <w:rFonts w:cs="Arial"/>
        <w:bCs/>
      </w:rPr>
      <w:instrText xml:space="preserve"> NUMPAGES  \* Arabic  \* MERGEFORMAT </w:instrText>
    </w:r>
    <w:r w:rsidRPr="00CB2B58">
      <w:rPr>
        <w:rFonts w:cs="Arial"/>
        <w:bCs/>
      </w:rPr>
      <w:fldChar w:fldCharType="separate"/>
    </w:r>
    <w:r>
      <w:rPr>
        <w:rFonts w:cs="Arial"/>
        <w:bCs/>
      </w:rPr>
      <w:t>11</w:t>
    </w:r>
    <w:r w:rsidRPr="00CB2B58">
      <w:rPr>
        <w:rFonts w:cs="Arial"/>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9713" w14:textId="0921094A" w:rsidR="00937C6E" w:rsidRPr="001A50A1" w:rsidRDefault="00937C6E" w:rsidP="00E12B59">
    <w:pPr>
      <w:pStyle w:val="Header"/>
      <w:jc w:val="right"/>
      <w:rPr>
        <w:rFonts w:cs="Arial"/>
      </w:rPr>
    </w:pPr>
    <w:r w:rsidRPr="001A50A1">
      <w:rPr>
        <w:rFonts w:cs="Arial"/>
      </w:rPr>
      <w:t>cwpjac-</w:t>
    </w:r>
    <w:r w:rsidR="00896A4C">
      <w:rPr>
        <w:rFonts w:cs="Arial"/>
      </w:rPr>
      <w:t>sep</w:t>
    </w:r>
    <w:r w:rsidR="00EB1B7C">
      <w:rPr>
        <w:rFonts w:cs="Arial"/>
      </w:rPr>
      <w:t>2</w:t>
    </w:r>
    <w:r w:rsidR="0097603F">
      <w:rPr>
        <w:rFonts w:cs="Arial"/>
      </w:rPr>
      <w:t>5</w:t>
    </w:r>
    <w:r w:rsidRPr="001A50A1">
      <w:rPr>
        <w:rFonts w:cs="Arial"/>
      </w:rPr>
      <w:t>item0</w:t>
    </w:r>
    <w:r w:rsidR="00E3794B">
      <w:rPr>
        <w:rFonts w:cs="Arial"/>
      </w:rPr>
      <w:t>4</w:t>
    </w:r>
  </w:p>
  <w:p w14:paraId="53DAAD0F" w14:textId="77777777" w:rsidR="00937C6E" w:rsidRPr="001A50A1" w:rsidRDefault="00937C6E" w:rsidP="00E12B59">
    <w:pPr>
      <w:pStyle w:val="Header"/>
      <w:spacing w:after="120"/>
      <w:jc w:val="right"/>
    </w:pPr>
    <w:r w:rsidRPr="001A50A1">
      <w:rPr>
        <w:rFonts w:cs="Arial"/>
      </w:rPr>
      <w:t xml:space="preserve">Page </w:t>
    </w:r>
    <w:r w:rsidRPr="001A50A1">
      <w:rPr>
        <w:rFonts w:cs="Arial"/>
        <w:bCs/>
      </w:rPr>
      <w:fldChar w:fldCharType="begin"/>
    </w:r>
    <w:r w:rsidRPr="001A50A1">
      <w:rPr>
        <w:rFonts w:cs="Arial"/>
        <w:bCs/>
      </w:rPr>
      <w:instrText xml:space="preserve"> PAGE  \* Arabic  \* MERGEFORMAT </w:instrText>
    </w:r>
    <w:r w:rsidRPr="001A50A1">
      <w:rPr>
        <w:rFonts w:cs="Arial"/>
        <w:bCs/>
      </w:rPr>
      <w:fldChar w:fldCharType="separate"/>
    </w:r>
    <w:r>
      <w:rPr>
        <w:rFonts w:cs="Arial"/>
        <w:bCs/>
        <w:noProof/>
      </w:rPr>
      <w:t>4</w:t>
    </w:r>
    <w:r w:rsidRPr="001A50A1">
      <w:rPr>
        <w:rFonts w:cs="Arial"/>
        <w:bCs/>
      </w:rPr>
      <w:fldChar w:fldCharType="end"/>
    </w:r>
    <w:r w:rsidRPr="001A50A1">
      <w:rPr>
        <w:rFonts w:cs="Arial"/>
      </w:rPr>
      <w:t xml:space="preserve"> of </w:t>
    </w:r>
    <w:r w:rsidRPr="001A50A1">
      <w:rPr>
        <w:rFonts w:cs="Arial"/>
        <w:bCs/>
      </w:rPr>
      <w:fldChar w:fldCharType="begin"/>
    </w:r>
    <w:r w:rsidRPr="001A50A1">
      <w:rPr>
        <w:rFonts w:cs="Arial"/>
        <w:bCs/>
      </w:rPr>
      <w:instrText xml:space="preserve"> NUMPAGES  \* Arabic  \* MERGEFORMAT </w:instrText>
    </w:r>
    <w:r w:rsidRPr="001A50A1">
      <w:rPr>
        <w:rFonts w:cs="Arial"/>
        <w:bCs/>
      </w:rPr>
      <w:fldChar w:fldCharType="separate"/>
    </w:r>
    <w:r>
      <w:rPr>
        <w:rFonts w:cs="Arial"/>
        <w:bCs/>
        <w:noProof/>
      </w:rPr>
      <w:t>4</w:t>
    </w:r>
    <w:r w:rsidRPr="001A50A1">
      <w:rPr>
        <w:rFonts w:cs="Arial"/>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E33A" w14:textId="77777777" w:rsidR="00937C6E" w:rsidRPr="001A50A1" w:rsidRDefault="00937C6E" w:rsidP="003A0CCA">
    <w:pPr>
      <w:pStyle w:val="Header"/>
      <w:jc w:val="right"/>
      <w:rPr>
        <w:rFonts w:cs="Arial"/>
      </w:rPr>
    </w:pPr>
    <w:r w:rsidRPr="001A50A1">
      <w:rPr>
        <w:rFonts w:cs="Arial"/>
      </w:rPr>
      <w:t>California Workforce Pathways Joint Advisory Committee</w:t>
    </w:r>
  </w:p>
  <w:p w14:paraId="0C7227C2" w14:textId="20119778" w:rsidR="00BF61BC" w:rsidRPr="001A50A1" w:rsidRDefault="00937C6E" w:rsidP="00BF61BC">
    <w:pPr>
      <w:pStyle w:val="Header"/>
      <w:jc w:val="right"/>
      <w:rPr>
        <w:rFonts w:cs="Arial"/>
      </w:rPr>
    </w:pPr>
    <w:r w:rsidRPr="001A50A1">
      <w:rPr>
        <w:rFonts w:cs="Arial"/>
      </w:rPr>
      <w:t>cwpjac-</w:t>
    </w:r>
    <w:r w:rsidR="00937795">
      <w:rPr>
        <w:rFonts w:cs="Arial"/>
      </w:rPr>
      <w:t>sep</w:t>
    </w:r>
    <w:r w:rsidR="00BF61BC">
      <w:rPr>
        <w:rFonts w:cs="Arial"/>
      </w:rPr>
      <w:t>26</w:t>
    </w:r>
    <w:r w:rsidRPr="001A50A1">
      <w:rPr>
        <w:rFonts w:cs="Arial"/>
      </w:rPr>
      <w:t>item0</w:t>
    </w:r>
    <w:r w:rsidR="003E7C45">
      <w:rPr>
        <w:rFonts w:cs="Arial"/>
      </w:rPr>
      <w:t>4</w:t>
    </w:r>
  </w:p>
  <w:p w14:paraId="41757142" w14:textId="77777777" w:rsidR="00937C6E" w:rsidRPr="001A50A1" w:rsidRDefault="00937C6E" w:rsidP="003A0CCA">
    <w:pPr>
      <w:pStyle w:val="Header"/>
      <w:spacing w:after="120"/>
      <w:jc w:val="right"/>
      <w:rPr>
        <w:rFonts w:cs="Arial"/>
      </w:rPr>
    </w:pPr>
    <w:r w:rsidRPr="001A50A1">
      <w:rPr>
        <w:rFonts w:cs="Arial"/>
      </w:rPr>
      <w:t xml:space="preserve">Page </w:t>
    </w:r>
    <w:r w:rsidRPr="001A50A1">
      <w:rPr>
        <w:rFonts w:cs="Arial"/>
        <w:bCs/>
      </w:rPr>
      <w:fldChar w:fldCharType="begin"/>
    </w:r>
    <w:r w:rsidRPr="001A50A1">
      <w:rPr>
        <w:rFonts w:cs="Arial"/>
        <w:bCs/>
      </w:rPr>
      <w:instrText xml:space="preserve"> PAGE  \* Arabic  \* MERGEFORMAT </w:instrText>
    </w:r>
    <w:r w:rsidRPr="001A50A1">
      <w:rPr>
        <w:rFonts w:cs="Arial"/>
        <w:bCs/>
      </w:rPr>
      <w:fldChar w:fldCharType="separate"/>
    </w:r>
    <w:r>
      <w:rPr>
        <w:rFonts w:cs="Arial"/>
        <w:bCs/>
        <w:noProof/>
      </w:rPr>
      <w:t>1</w:t>
    </w:r>
    <w:r w:rsidRPr="001A50A1">
      <w:rPr>
        <w:rFonts w:cs="Arial"/>
        <w:bCs/>
      </w:rPr>
      <w:fldChar w:fldCharType="end"/>
    </w:r>
    <w:r w:rsidRPr="001A50A1">
      <w:rPr>
        <w:rFonts w:cs="Arial"/>
      </w:rPr>
      <w:t xml:space="preserve"> of </w:t>
    </w:r>
    <w:r w:rsidRPr="001A50A1">
      <w:rPr>
        <w:rFonts w:cs="Arial"/>
        <w:bCs/>
      </w:rPr>
      <w:fldChar w:fldCharType="begin"/>
    </w:r>
    <w:r w:rsidRPr="001A50A1">
      <w:rPr>
        <w:rFonts w:cs="Arial"/>
        <w:bCs/>
      </w:rPr>
      <w:instrText xml:space="preserve"> NUMPAGES  \* Arabic  \* MERGEFORMAT </w:instrText>
    </w:r>
    <w:r w:rsidRPr="001A50A1">
      <w:rPr>
        <w:rFonts w:cs="Arial"/>
        <w:bCs/>
      </w:rPr>
      <w:fldChar w:fldCharType="separate"/>
    </w:r>
    <w:r>
      <w:rPr>
        <w:rFonts w:cs="Arial"/>
        <w:bCs/>
        <w:noProof/>
      </w:rPr>
      <w:t>4</w:t>
    </w:r>
    <w:r w:rsidRPr="001A50A1">
      <w:rPr>
        <w:rFonts w:cs="Arial"/>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42C"/>
    <w:multiLevelType w:val="multilevel"/>
    <w:tmpl w:val="C602E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C147F"/>
    <w:multiLevelType w:val="hybridMultilevel"/>
    <w:tmpl w:val="BD78250C"/>
    <w:lvl w:ilvl="0" w:tplc="A760A598">
      <w:start w:val="1"/>
      <w:numFmt w:val="upperRoman"/>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B64A94"/>
    <w:multiLevelType w:val="hybridMultilevel"/>
    <w:tmpl w:val="BFBC2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5A68D0"/>
    <w:multiLevelType w:val="hybridMultilevel"/>
    <w:tmpl w:val="3482ED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170D3"/>
    <w:multiLevelType w:val="hybridMultilevel"/>
    <w:tmpl w:val="490836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10B"/>
    <w:multiLevelType w:val="multilevel"/>
    <w:tmpl w:val="CBD43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298"/>
    <w:multiLevelType w:val="hybridMultilevel"/>
    <w:tmpl w:val="F056C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F3DDB"/>
    <w:multiLevelType w:val="hybridMultilevel"/>
    <w:tmpl w:val="549E8DC4"/>
    <w:lvl w:ilvl="0" w:tplc="342ABD4C">
      <w:start w:val="1"/>
      <w:numFmt w:val="bullet"/>
      <w:lvlText w:val="•"/>
      <w:lvlJc w:val="left"/>
      <w:pPr>
        <w:tabs>
          <w:tab w:val="num" w:pos="720"/>
        </w:tabs>
        <w:ind w:left="720" w:hanging="360"/>
      </w:pPr>
      <w:rPr>
        <w:rFonts w:ascii="Arial" w:hAnsi="Arial" w:hint="default"/>
      </w:rPr>
    </w:lvl>
    <w:lvl w:ilvl="1" w:tplc="B47435D8" w:tentative="1">
      <w:start w:val="1"/>
      <w:numFmt w:val="bullet"/>
      <w:lvlText w:val="•"/>
      <w:lvlJc w:val="left"/>
      <w:pPr>
        <w:tabs>
          <w:tab w:val="num" w:pos="1440"/>
        </w:tabs>
        <w:ind w:left="1440" w:hanging="360"/>
      </w:pPr>
      <w:rPr>
        <w:rFonts w:ascii="Arial" w:hAnsi="Arial" w:hint="default"/>
      </w:rPr>
    </w:lvl>
    <w:lvl w:ilvl="2" w:tplc="0972D80A" w:tentative="1">
      <w:start w:val="1"/>
      <w:numFmt w:val="bullet"/>
      <w:lvlText w:val="•"/>
      <w:lvlJc w:val="left"/>
      <w:pPr>
        <w:tabs>
          <w:tab w:val="num" w:pos="2160"/>
        </w:tabs>
        <w:ind w:left="2160" w:hanging="360"/>
      </w:pPr>
      <w:rPr>
        <w:rFonts w:ascii="Arial" w:hAnsi="Arial" w:hint="default"/>
      </w:rPr>
    </w:lvl>
    <w:lvl w:ilvl="3" w:tplc="8F286F4C" w:tentative="1">
      <w:start w:val="1"/>
      <w:numFmt w:val="bullet"/>
      <w:lvlText w:val="•"/>
      <w:lvlJc w:val="left"/>
      <w:pPr>
        <w:tabs>
          <w:tab w:val="num" w:pos="2880"/>
        </w:tabs>
        <w:ind w:left="2880" w:hanging="360"/>
      </w:pPr>
      <w:rPr>
        <w:rFonts w:ascii="Arial" w:hAnsi="Arial" w:hint="default"/>
      </w:rPr>
    </w:lvl>
    <w:lvl w:ilvl="4" w:tplc="105C0982" w:tentative="1">
      <w:start w:val="1"/>
      <w:numFmt w:val="bullet"/>
      <w:lvlText w:val="•"/>
      <w:lvlJc w:val="left"/>
      <w:pPr>
        <w:tabs>
          <w:tab w:val="num" w:pos="3600"/>
        </w:tabs>
        <w:ind w:left="3600" w:hanging="360"/>
      </w:pPr>
      <w:rPr>
        <w:rFonts w:ascii="Arial" w:hAnsi="Arial" w:hint="default"/>
      </w:rPr>
    </w:lvl>
    <w:lvl w:ilvl="5" w:tplc="2D52EF04" w:tentative="1">
      <w:start w:val="1"/>
      <w:numFmt w:val="bullet"/>
      <w:lvlText w:val="•"/>
      <w:lvlJc w:val="left"/>
      <w:pPr>
        <w:tabs>
          <w:tab w:val="num" w:pos="4320"/>
        </w:tabs>
        <w:ind w:left="4320" w:hanging="360"/>
      </w:pPr>
      <w:rPr>
        <w:rFonts w:ascii="Arial" w:hAnsi="Arial" w:hint="default"/>
      </w:rPr>
    </w:lvl>
    <w:lvl w:ilvl="6" w:tplc="25AA5252" w:tentative="1">
      <w:start w:val="1"/>
      <w:numFmt w:val="bullet"/>
      <w:lvlText w:val="•"/>
      <w:lvlJc w:val="left"/>
      <w:pPr>
        <w:tabs>
          <w:tab w:val="num" w:pos="5040"/>
        </w:tabs>
        <w:ind w:left="5040" w:hanging="360"/>
      </w:pPr>
      <w:rPr>
        <w:rFonts w:ascii="Arial" w:hAnsi="Arial" w:hint="default"/>
      </w:rPr>
    </w:lvl>
    <w:lvl w:ilvl="7" w:tplc="6E204614" w:tentative="1">
      <w:start w:val="1"/>
      <w:numFmt w:val="bullet"/>
      <w:lvlText w:val="•"/>
      <w:lvlJc w:val="left"/>
      <w:pPr>
        <w:tabs>
          <w:tab w:val="num" w:pos="5760"/>
        </w:tabs>
        <w:ind w:left="5760" w:hanging="360"/>
      </w:pPr>
      <w:rPr>
        <w:rFonts w:ascii="Arial" w:hAnsi="Arial" w:hint="default"/>
      </w:rPr>
    </w:lvl>
    <w:lvl w:ilvl="8" w:tplc="E16C92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A96C8F"/>
    <w:multiLevelType w:val="hybridMultilevel"/>
    <w:tmpl w:val="4F446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E01AC5"/>
    <w:multiLevelType w:val="multilevel"/>
    <w:tmpl w:val="65D4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93E33"/>
    <w:multiLevelType w:val="hybridMultilevel"/>
    <w:tmpl w:val="D7BE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915EC"/>
    <w:multiLevelType w:val="hybridMultilevel"/>
    <w:tmpl w:val="7832948E"/>
    <w:lvl w:ilvl="0" w:tplc="DAFC7E8C">
      <w:start w:val="1"/>
      <w:numFmt w:val="lowerRoman"/>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BA71C9"/>
    <w:multiLevelType w:val="hybridMultilevel"/>
    <w:tmpl w:val="1EAAB9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1EB787E"/>
    <w:multiLevelType w:val="hybridMultilevel"/>
    <w:tmpl w:val="766E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0857D9"/>
    <w:multiLevelType w:val="hybridMultilevel"/>
    <w:tmpl w:val="BCCA4B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7CC09C1"/>
    <w:multiLevelType w:val="multilevel"/>
    <w:tmpl w:val="B0BE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610B9"/>
    <w:multiLevelType w:val="hybridMultilevel"/>
    <w:tmpl w:val="73EA7A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7E25DD"/>
    <w:multiLevelType w:val="hybridMultilevel"/>
    <w:tmpl w:val="B556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A774B8"/>
    <w:multiLevelType w:val="hybridMultilevel"/>
    <w:tmpl w:val="F6CCB5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830344"/>
    <w:multiLevelType w:val="multilevel"/>
    <w:tmpl w:val="F01C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6C4B5A"/>
    <w:multiLevelType w:val="hybridMultilevel"/>
    <w:tmpl w:val="A5289E18"/>
    <w:lvl w:ilvl="0" w:tplc="542EBE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8F7B42"/>
    <w:multiLevelType w:val="hybridMultilevel"/>
    <w:tmpl w:val="E3C2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FD3FA6"/>
    <w:multiLevelType w:val="hybridMultilevel"/>
    <w:tmpl w:val="AE102D88"/>
    <w:lvl w:ilvl="0" w:tplc="E592B9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0A59A6"/>
    <w:multiLevelType w:val="hybridMultilevel"/>
    <w:tmpl w:val="9A845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7E5E8A"/>
    <w:multiLevelType w:val="hybridMultilevel"/>
    <w:tmpl w:val="30CA08E0"/>
    <w:lvl w:ilvl="0" w:tplc="DAFC7E8C">
      <w:start w:val="1"/>
      <w:numFmt w:val="lowerRoman"/>
      <w:lvlText w:val="(%1)"/>
      <w:lvlJc w:val="left"/>
      <w:pPr>
        <w:ind w:left="1440" w:hanging="360"/>
      </w:pPr>
      <w:rPr>
        <w:rFonts w:hint="default"/>
      </w:rPr>
    </w:lvl>
    <w:lvl w:ilvl="1" w:tplc="946A4082">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B46E82"/>
    <w:multiLevelType w:val="hybridMultilevel"/>
    <w:tmpl w:val="5CE2DBFA"/>
    <w:lvl w:ilvl="0" w:tplc="91C01568">
      <w:start w:val="1"/>
      <w:numFmt w:val="bullet"/>
      <w:lvlText w:val="•"/>
      <w:lvlJc w:val="left"/>
      <w:pPr>
        <w:tabs>
          <w:tab w:val="num" w:pos="360"/>
        </w:tabs>
        <w:ind w:left="360" w:hanging="360"/>
      </w:pPr>
      <w:rPr>
        <w:rFonts w:ascii="Arial" w:hAnsi="Arial" w:hint="default"/>
      </w:rPr>
    </w:lvl>
    <w:lvl w:ilvl="1" w:tplc="BA807616">
      <w:start w:val="1"/>
      <w:numFmt w:val="bullet"/>
      <w:lvlText w:val="•"/>
      <w:lvlJc w:val="left"/>
      <w:pPr>
        <w:tabs>
          <w:tab w:val="num" w:pos="1080"/>
        </w:tabs>
        <w:ind w:left="1080" w:hanging="360"/>
      </w:pPr>
      <w:rPr>
        <w:rFonts w:ascii="Arial" w:hAnsi="Arial" w:hint="default"/>
      </w:rPr>
    </w:lvl>
    <w:lvl w:ilvl="2" w:tplc="B4FA6A0C" w:tentative="1">
      <w:start w:val="1"/>
      <w:numFmt w:val="bullet"/>
      <w:lvlText w:val="•"/>
      <w:lvlJc w:val="left"/>
      <w:pPr>
        <w:tabs>
          <w:tab w:val="num" w:pos="1800"/>
        </w:tabs>
        <w:ind w:left="1800" w:hanging="360"/>
      </w:pPr>
      <w:rPr>
        <w:rFonts w:ascii="Arial" w:hAnsi="Arial" w:hint="default"/>
      </w:rPr>
    </w:lvl>
    <w:lvl w:ilvl="3" w:tplc="AE2C78B0" w:tentative="1">
      <w:start w:val="1"/>
      <w:numFmt w:val="bullet"/>
      <w:lvlText w:val="•"/>
      <w:lvlJc w:val="left"/>
      <w:pPr>
        <w:tabs>
          <w:tab w:val="num" w:pos="2520"/>
        </w:tabs>
        <w:ind w:left="2520" w:hanging="360"/>
      </w:pPr>
      <w:rPr>
        <w:rFonts w:ascii="Arial" w:hAnsi="Arial" w:hint="default"/>
      </w:rPr>
    </w:lvl>
    <w:lvl w:ilvl="4" w:tplc="566021CC" w:tentative="1">
      <w:start w:val="1"/>
      <w:numFmt w:val="bullet"/>
      <w:lvlText w:val="•"/>
      <w:lvlJc w:val="left"/>
      <w:pPr>
        <w:tabs>
          <w:tab w:val="num" w:pos="3240"/>
        </w:tabs>
        <w:ind w:left="3240" w:hanging="360"/>
      </w:pPr>
      <w:rPr>
        <w:rFonts w:ascii="Arial" w:hAnsi="Arial" w:hint="default"/>
      </w:rPr>
    </w:lvl>
    <w:lvl w:ilvl="5" w:tplc="113A3E08" w:tentative="1">
      <w:start w:val="1"/>
      <w:numFmt w:val="bullet"/>
      <w:lvlText w:val="•"/>
      <w:lvlJc w:val="left"/>
      <w:pPr>
        <w:tabs>
          <w:tab w:val="num" w:pos="3960"/>
        </w:tabs>
        <w:ind w:left="3960" w:hanging="360"/>
      </w:pPr>
      <w:rPr>
        <w:rFonts w:ascii="Arial" w:hAnsi="Arial" w:hint="default"/>
      </w:rPr>
    </w:lvl>
    <w:lvl w:ilvl="6" w:tplc="311EA7CC" w:tentative="1">
      <w:start w:val="1"/>
      <w:numFmt w:val="bullet"/>
      <w:lvlText w:val="•"/>
      <w:lvlJc w:val="left"/>
      <w:pPr>
        <w:tabs>
          <w:tab w:val="num" w:pos="4680"/>
        </w:tabs>
        <w:ind w:left="4680" w:hanging="360"/>
      </w:pPr>
      <w:rPr>
        <w:rFonts w:ascii="Arial" w:hAnsi="Arial" w:hint="default"/>
      </w:rPr>
    </w:lvl>
    <w:lvl w:ilvl="7" w:tplc="D444BC70" w:tentative="1">
      <w:start w:val="1"/>
      <w:numFmt w:val="bullet"/>
      <w:lvlText w:val="•"/>
      <w:lvlJc w:val="left"/>
      <w:pPr>
        <w:tabs>
          <w:tab w:val="num" w:pos="5400"/>
        </w:tabs>
        <w:ind w:left="5400" w:hanging="360"/>
      </w:pPr>
      <w:rPr>
        <w:rFonts w:ascii="Arial" w:hAnsi="Arial" w:hint="default"/>
      </w:rPr>
    </w:lvl>
    <w:lvl w:ilvl="8" w:tplc="B33EDB16"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6F730A3"/>
    <w:multiLevelType w:val="hybridMultilevel"/>
    <w:tmpl w:val="3CBAF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A0E61"/>
    <w:multiLevelType w:val="hybridMultilevel"/>
    <w:tmpl w:val="C854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9B338C"/>
    <w:multiLevelType w:val="hybridMultilevel"/>
    <w:tmpl w:val="72FE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16285"/>
    <w:multiLevelType w:val="hybridMultilevel"/>
    <w:tmpl w:val="718ED5FA"/>
    <w:lvl w:ilvl="0" w:tplc="A01CC4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D27830"/>
    <w:multiLevelType w:val="hybridMultilevel"/>
    <w:tmpl w:val="3F9E13FE"/>
    <w:lvl w:ilvl="0" w:tplc="617C39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F96AEF"/>
    <w:multiLevelType w:val="hybridMultilevel"/>
    <w:tmpl w:val="47D8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C6D11"/>
    <w:multiLevelType w:val="hybridMultilevel"/>
    <w:tmpl w:val="5322A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2730D"/>
    <w:multiLevelType w:val="hybridMultilevel"/>
    <w:tmpl w:val="63D8CF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BF087C"/>
    <w:multiLevelType w:val="multilevel"/>
    <w:tmpl w:val="6A1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EE6712"/>
    <w:multiLevelType w:val="hybridMultilevel"/>
    <w:tmpl w:val="CD1E6FF4"/>
    <w:lvl w:ilvl="0" w:tplc="851043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2229CA"/>
    <w:multiLevelType w:val="hybridMultilevel"/>
    <w:tmpl w:val="27425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B366A3"/>
    <w:multiLevelType w:val="hybridMultilevel"/>
    <w:tmpl w:val="83B090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5366AE9"/>
    <w:multiLevelType w:val="hybridMultilevel"/>
    <w:tmpl w:val="9A72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05DE0"/>
    <w:multiLevelType w:val="multilevel"/>
    <w:tmpl w:val="4AC6F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4624671">
    <w:abstractNumId w:val="20"/>
  </w:num>
  <w:num w:numId="2" w16cid:durableId="395789302">
    <w:abstractNumId w:val="33"/>
  </w:num>
  <w:num w:numId="3" w16cid:durableId="2140762161">
    <w:abstractNumId w:val="13"/>
  </w:num>
  <w:num w:numId="4" w16cid:durableId="536624650">
    <w:abstractNumId w:val="28"/>
  </w:num>
  <w:num w:numId="5" w16cid:durableId="590548576">
    <w:abstractNumId w:val="31"/>
  </w:num>
  <w:num w:numId="6" w16cid:durableId="1282346288">
    <w:abstractNumId w:val="4"/>
  </w:num>
  <w:num w:numId="7" w16cid:durableId="1640458497">
    <w:abstractNumId w:val="17"/>
  </w:num>
  <w:num w:numId="8" w16cid:durableId="929855516">
    <w:abstractNumId w:val="6"/>
  </w:num>
  <w:num w:numId="9" w16cid:durableId="1565067665">
    <w:abstractNumId w:val="36"/>
  </w:num>
  <w:num w:numId="10" w16cid:durableId="1591769797">
    <w:abstractNumId w:val="37"/>
  </w:num>
  <w:num w:numId="11" w16cid:durableId="1635477005">
    <w:abstractNumId w:val="12"/>
  </w:num>
  <w:num w:numId="12" w16cid:durableId="736242173">
    <w:abstractNumId w:val="10"/>
  </w:num>
  <w:num w:numId="13" w16cid:durableId="1777795516">
    <w:abstractNumId w:val="8"/>
  </w:num>
  <w:num w:numId="14" w16cid:durableId="1379626266">
    <w:abstractNumId w:val="21"/>
  </w:num>
  <w:num w:numId="15" w16cid:durableId="8221775">
    <w:abstractNumId w:val="16"/>
  </w:num>
  <w:num w:numId="16" w16cid:durableId="723866890">
    <w:abstractNumId w:val="23"/>
  </w:num>
  <w:num w:numId="17" w16cid:durableId="1757895608">
    <w:abstractNumId w:val="38"/>
  </w:num>
  <w:num w:numId="18" w16cid:durableId="721179071">
    <w:abstractNumId w:val="29"/>
  </w:num>
  <w:num w:numId="19" w16cid:durableId="1676036637">
    <w:abstractNumId w:val="14"/>
  </w:num>
  <w:num w:numId="20" w16cid:durableId="717125285">
    <w:abstractNumId w:val="1"/>
  </w:num>
  <w:num w:numId="21" w16cid:durableId="598606562">
    <w:abstractNumId w:val="7"/>
  </w:num>
  <w:num w:numId="22" w16cid:durableId="1803688211">
    <w:abstractNumId w:val="11"/>
  </w:num>
  <w:num w:numId="23" w16cid:durableId="1077705233">
    <w:abstractNumId w:val="24"/>
  </w:num>
  <w:num w:numId="24" w16cid:durableId="1585140441">
    <w:abstractNumId w:val="30"/>
  </w:num>
  <w:num w:numId="25" w16cid:durableId="946810510">
    <w:abstractNumId w:val="32"/>
  </w:num>
  <w:num w:numId="26" w16cid:durableId="553322363">
    <w:abstractNumId w:val="22"/>
  </w:num>
  <w:num w:numId="27" w16cid:durableId="689838830">
    <w:abstractNumId w:val="2"/>
  </w:num>
  <w:num w:numId="28" w16cid:durableId="1490093039">
    <w:abstractNumId w:val="25"/>
  </w:num>
  <w:num w:numId="29" w16cid:durableId="691297377">
    <w:abstractNumId w:val="26"/>
  </w:num>
  <w:num w:numId="30" w16cid:durableId="1996370843">
    <w:abstractNumId w:val="39"/>
  </w:num>
  <w:num w:numId="31" w16cid:durableId="890072544">
    <w:abstractNumId w:val="15"/>
  </w:num>
  <w:num w:numId="32" w16cid:durableId="683095566">
    <w:abstractNumId w:val="0"/>
  </w:num>
  <w:num w:numId="33" w16cid:durableId="110638974">
    <w:abstractNumId w:val="34"/>
  </w:num>
  <w:num w:numId="34" w16cid:durableId="1998221707">
    <w:abstractNumId w:val="19"/>
  </w:num>
  <w:num w:numId="35" w16cid:durableId="1083181129">
    <w:abstractNumId w:val="5"/>
  </w:num>
  <w:num w:numId="36" w16cid:durableId="723025442">
    <w:abstractNumId w:val="9"/>
  </w:num>
  <w:num w:numId="37" w16cid:durableId="1070426864">
    <w:abstractNumId w:val="35"/>
  </w:num>
  <w:num w:numId="38" w16cid:durableId="24253952">
    <w:abstractNumId w:val="3"/>
  </w:num>
  <w:num w:numId="39" w16cid:durableId="2061441718">
    <w:abstractNumId w:val="18"/>
  </w:num>
  <w:num w:numId="40" w16cid:durableId="20474840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7B"/>
    <w:rsid w:val="00000D53"/>
    <w:rsid w:val="000027EE"/>
    <w:rsid w:val="00002A89"/>
    <w:rsid w:val="000040D5"/>
    <w:rsid w:val="00006186"/>
    <w:rsid w:val="000067A8"/>
    <w:rsid w:val="0001303B"/>
    <w:rsid w:val="00014370"/>
    <w:rsid w:val="00016526"/>
    <w:rsid w:val="00020B59"/>
    <w:rsid w:val="0002235C"/>
    <w:rsid w:val="00027234"/>
    <w:rsid w:val="000324AD"/>
    <w:rsid w:val="0003321E"/>
    <w:rsid w:val="000334CD"/>
    <w:rsid w:val="000401C9"/>
    <w:rsid w:val="00043279"/>
    <w:rsid w:val="000435B8"/>
    <w:rsid w:val="00043B71"/>
    <w:rsid w:val="00044A2D"/>
    <w:rsid w:val="00046EE9"/>
    <w:rsid w:val="00055143"/>
    <w:rsid w:val="000578FF"/>
    <w:rsid w:val="00060DE8"/>
    <w:rsid w:val="000617FE"/>
    <w:rsid w:val="000621AF"/>
    <w:rsid w:val="00062765"/>
    <w:rsid w:val="00062D3F"/>
    <w:rsid w:val="00063275"/>
    <w:rsid w:val="00067290"/>
    <w:rsid w:val="00067ED7"/>
    <w:rsid w:val="000705E1"/>
    <w:rsid w:val="000705EA"/>
    <w:rsid w:val="00070F31"/>
    <w:rsid w:val="00073372"/>
    <w:rsid w:val="00074805"/>
    <w:rsid w:val="000835D3"/>
    <w:rsid w:val="00086B7F"/>
    <w:rsid w:val="00091E91"/>
    <w:rsid w:val="00093974"/>
    <w:rsid w:val="00093BF4"/>
    <w:rsid w:val="00094714"/>
    <w:rsid w:val="00096CA8"/>
    <w:rsid w:val="00096E4E"/>
    <w:rsid w:val="00097B08"/>
    <w:rsid w:val="000A05A6"/>
    <w:rsid w:val="000A136F"/>
    <w:rsid w:val="000A15D7"/>
    <w:rsid w:val="000A2787"/>
    <w:rsid w:val="000A49CA"/>
    <w:rsid w:val="000A6BB8"/>
    <w:rsid w:val="000A746C"/>
    <w:rsid w:val="000B0905"/>
    <w:rsid w:val="000B1226"/>
    <w:rsid w:val="000B3903"/>
    <w:rsid w:val="000B42BD"/>
    <w:rsid w:val="000B5C2B"/>
    <w:rsid w:val="000B7883"/>
    <w:rsid w:val="000C1D49"/>
    <w:rsid w:val="000C3068"/>
    <w:rsid w:val="000C5DCF"/>
    <w:rsid w:val="000C63B6"/>
    <w:rsid w:val="000C69C4"/>
    <w:rsid w:val="000C6E48"/>
    <w:rsid w:val="000D09FC"/>
    <w:rsid w:val="000D35C8"/>
    <w:rsid w:val="000D5ED9"/>
    <w:rsid w:val="000E09DC"/>
    <w:rsid w:val="000E11D9"/>
    <w:rsid w:val="000E2BCD"/>
    <w:rsid w:val="000E57F5"/>
    <w:rsid w:val="000E7F74"/>
    <w:rsid w:val="000F0270"/>
    <w:rsid w:val="000F03CE"/>
    <w:rsid w:val="000F225D"/>
    <w:rsid w:val="000F2A7C"/>
    <w:rsid w:val="000F3DCA"/>
    <w:rsid w:val="000F4F6F"/>
    <w:rsid w:val="000F7B5E"/>
    <w:rsid w:val="00101CBB"/>
    <w:rsid w:val="001048F3"/>
    <w:rsid w:val="0010668C"/>
    <w:rsid w:val="00106AFB"/>
    <w:rsid w:val="00112E7B"/>
    <w:rsid w:val="00115A04"/>
    <w:rsid w:val="001170AB"/>
    <w:rsid w:val="00121964"/>
    <w:rsid w:val="00126663"/>
    <w:rsid w:val="00130059"/>
    <w:rsid w:val="001329B0"/>
    <w:rsid w:val="00135768"/>
    <w:rsid w:val="00137F11"/>
    <w:rsid w:val="00140E69"/>
    <w:rsid w:val="0014120C"/>
    <w:rsid w:val="00141C23"/>
    <w:rsid w:val="00143D14"/>
    <w:rsid w:val="00144DF4"/>
    <w:rsid w:val="0014505F"/>
    <w:rsid w:val="00146E01"/>
    <w:rsid w:val="001472F4"/>
    <w:rsid w:val="00157690"/>
    <w:rsid w:val="001626F1"/>
    <w:rsid w:val="00164061"/>
    <w:rsid w:val="00164C5A"/>
    <w:rsid w:val="00167017"/>
    <w:rsid w:val="00167142"/>
    <w:rsid w:val="00167E35"/>
    <w:rsid w:val="0017037E"/>
    <w:rsid w:val="001721C9"/>
    <w:rsid w:val="00172323"/>
    <w:rsid w:val="00172D7F"/>
    <w:rsid w:val="001731F3"/>
    <w:rsid w:val="0017400C"/>
    <w:rsid w:val="00174E98"/>
    <w:rsid w:val="00180C36"/>
    <w:rsid w:val="0018148D"/>
    <w:rsid w:val="001814FC"/>
    <w:rsid w:val="001825ED"/>
    <w:rsid w:val="0018266E"/>
    <w:rsid w:val="001828D0"/>
    <w:rsid w:val="0018691F"/>
    <w:rsid w:val="00191480"/>
    <w:rsid w:val="00191509"/>
    <w:rsid w:val="00194775"/>
    <w:rsid w:val="00194D47"/>
    <w:rsid w:val="00195E52"/>
    <w:rsid w:val="001974C8"/>
    <w:rsid w:val="001A0CA5"/>
    <w:rsid w:val="001A12B0"/>
    <w:rsid w:val="001A1398"/>
    <w:rsid w:val="001A1458"/>
    <w:rsid w:val="001A25BC"/>
    <w:rsid w:val="001A50A1"/>
    <w:rsid w:val="001A53C0"/>
    <w:rsid w:val="001B0EF5"/>
    <w:rsid w:val="001B33BC"/>
    <w:rsid w:val="001B3958"/>
    <w:rsid w:val="001B67DD"/>
    <w:rsid w:val="001C27A1"/>
    <w:rsid w:val="001C280A"/>
    <w:rsid w:val="001C3DC0"/>
    <w:rsid w:val="001C48C1"/>
    <w:rsid w:val="001C4C02"/>
    <w:rsid w:val="001C4D24"/>
    <w:rsid w:val="001C644F"/>
    <w:rsid w:val="001D0408"/>
    <w:rsid w:val="001D138A"/>
    <w:rsid w:val="001D1BCA"/>
    <w:rsid w:val="001D5632"/>
    <w:rsid w:val="001D6903"/>
    <w:rsid w:val="001E01E9"/>
    <w:rsid w:val="001E1929"/>
    <w:rsid w:val="001E269E"/>
    <w:rsid w:val="001E28E8"/>
    <w:rsid w:val="001F0B57"/>
    <w:rsid w:val="001F3D3F"/>
    <w:rsid w:val="001F7E45"/>
    <w:rsid w:val="00202B99"/>
    <w:rsid w:val="0020468C"/>
    <w:rsid w:val="00205533"/>
    <w:rsid w:val="00210872"/>
    <w:rsid w:val="00210D0F"/>
    <w:rsid w:val="00212525"/>
    <w:rsid w:val="00217419"/>
    <w:rsid w:val="00217FC3"/>
    <w:rsid w:val="0022016E"/>
    <w:rsid w:val="002204BB"/>
    <w:rsid w:val="00221598"/>
    <w:rsid w:val="002219C8"/>
    <w:rsid w:val="00223112"/>
    <w:rsid w:val="0022495E"/>
    <w:rsid w:val="002256AC"/>
    <w:rsid w:val="00225A48"/>
    <w:rsid w:val="00227FDF"/>
    <w:rsid w:val="00231862"/>
    <w:rsid w:val="0023256F"/>
    <w:rsid w:val="00232AD0"/>
    <w:rsid w:val="00240B26"/>
    <w:rsid w:val="0024129C"/>
    <w:rsid w:val="00243C5F"/>
    <w:rsid w:val="00245750"/>
    <w:rsid w:val="00246406"/>
    <w:rsid w:val="0025363B"/>
    <w:rsid w:val="00254056"/>
    <w:rsid w:val="0026062D"/>
    <w:rsid w:val="00260A67"/>
    <w:rsid w:val="00261782"/>
    <w:rsid w:val="00261992"/>
    <w:rsid w:val="00267499"/>
    <w:rsid w:val="00267828"/>
    <w:rsid w:val="002717C0"/>
    <w:rsid w:val="002722A8"/>
    <w:rsid w:val="0028059B"/>
    <w:rsid w:val="00285492"/>
    <w:rsid w:val="00285BBA"/>
    <w:rsid w:val="00285DA0"/>
    <w:rsid w:val="00285DA3"/>
    <w:rsid w:val="002867FD"/>
    <w:rsid w:val="00286F20"/>
    <w:rsid w:val="00290809"/>
    <w:rsid w:val="00290E57"/>
    <w:rsid w:val="00293EAB"/>
    <w:rsid w:val="00294379"/>
    <w:rsid w:val="00296542"/>
    <w:rsid w:val="00297C98"/>
    <w:rsid w:val="002A02CB"/>
    <w:rsid w:val="002A0728"/>
    <w:rsid w:val="002A666E"/>
    <w:rsid w:val="002A7086"/>
    <w:rsid w:val="002B0B00"/>
    <w:rsid w:val="002B1D31"/>
    <w:rsid w:val="002B278B"/>
    <w:rsid w:val="002B4B14"/>
    <w:rsid w:val="002B72C5"/>
    <w:rsid w:val="002C5BE9"/>
    <w:rsid w:val="002C68E1"/>
    <w:rsid w:val="002C6CF7"/>
    <w:rsid w:val="002C7F6C"/>
    <w:rsid w:val="002D13AD"/>
    <w:rsid w:val="002D1A82"/>
    <w:rsid w:val="002D7947"/>
    <w:rsid w:val="002D7DA4"/>
    <w:rsid w:val="002E0B94"/>
    <w:rsid w:val="002E1B69"/>
    <w:rsid w:val="002E30CC"/>
    <w:rsid w:val="002E4CB5"/>
    <w:rsid w:val="002E54A3"/>
    <w:rsid w:val="002E6FCA"/>
    <w:rsid w:val="002F1DAE"/>
    <w:rsid w:val="002F279B"/>
    <w:rsid w:val="002F3981"/>
    <w:rsid w:val="00302521"/>
    <w:rsid w:val="00303123"/>
    <w:rsid w:val="00304C3F"/>
    <w:rsid w:val="00311725"/>
    <w:rsid w:val="00311776"/>
    <w:rsid w:val="003140AF"/>
    <w:rsid w:val="003141EF"/>
    <w:rsid w:val="00315131"/>
    <w:rsid w:val="0031775D"/>
    <w:rsid w:val="00322932"/>
    <w:rsid w:val="00323795"/>
    <w:rsid w:val="00324A30"/>
    <w:rsid w:val="00324B8B"/>
    <w:rsid w:val="00325F59"/>
    <w:rsid w:val="00327179"/>
    <w:rsid w:val="00330624"/>
    <w:rsid w:val="003311CD"/>
    <w:rsid w:val="00331A2F"/>
    <w:rsid w:val="00332A74"/>
    <w:rsid w:val="00333888"/>
    <w:rsid w:val="00335D04"/>
    <w:rsid w:val="003365B6"/>
    <w:rsid w:val="00337F11"/>
    <w:rsid w:val="00341CE3"/>
    <w:rsid w:val="00342AB5"/>
    <w:rsid w:val="00342F94"/>
    <w:rsid w:val="00343E81"/>
    <w:rsid w:val="00346E58"/>
    <w:rsid w:val="00347FBF"/>
    <w:rsid w:val="00360CC0"/>
    <w:rsid w:val="003627EA"/>
    <w:rsid w:val="00362E36"/>
    <w:rsid w:val="00363520"/>
    <w:rsid w:val="00364387"/>
    <w:rsid w:val="0036578A"/>
    <w:rsid w:val="003666D8"/>
    <w:rsid w:val="00366CE0"/>
    <w:rsid w:val="003705FC"/>
    <w:rsid w:val="00371ED1"/>
    <w:rsid w:val="0037413D"/>
    <w:rsid w:val="00382CE5"/>
    <w:rsid w:val="00383464"/>
    <w:rsid w:val="00383A23"/>
    <w:rsid w:val="00384ACF"/>
    <w:rsid w:val="00384B74"/>
    <w:rsid w:val="00386532"/>
    <w:rsid w:val="00386C2E"/>
    <w:rsid w:val="00387218"/>
    <w:rsid w:val="003942E6"/>
    <w:rsid w:val="0039556E"/>
    <w:rsid w:val="00395743"/>
    <w:rsid w:val="00396705"/>
    <w:rsid w:val="003A0CCA"/>
    <w:rsid w:val="003A1558"/>
    <w:rsid w:val="003A3BDD"/>
    <w:rsid w:val="003A4F10"/>
    <w:rsid w:val="003A60F9"/>
    <w:rsid w:val="003A6482"/>
    <w:rsid w:val="003A6A84"/>
    <w:rsid w:val="003A74FC"/>
    <w:rsid w:val="003A7FA8"/>
    <w:rsid w:val="003B0B17"/>
    <w:rsid w:val="003B101D"/>
    <w:rsid w:val="003B11CA"/>
    <w:rsid w:val="003B37A0"/>
    <w:rsid w:val="003B4154"/>
    <w:rsid w:val="003B485C"/>
    <w:rsid w:val="003B6254"/>
    <w:rsid w:val="003C2049"/>
    <w:rsid w:val="003C3CB6"/>
    <w:rsid w:val="003C79E6"/>
    <w:rsid w:val="003D1ECD"/>
    <w:rsid w:val="003D2FED"/>
    <w:rsid w:val="003D6BBF"/>
    <w:rsid w:val="003E0AFD"/>
    <w:rsid w:val="003E1E8D"/>
    <w:rsid w:val="003E32E3"/>
    <w:rsid w:val="003E4DF7"/>
    <w:rsid w:val="003E7972"/>
    <w:rsid w:val="003E7C45"/>
    <w:rsid w:val="003E7EEC"/>
    <w:rsid w:val="003F1C66"/>
    <w:rsid w:val="003F2DB6"/>
    <w:rsid w:val="003F4814"/>
    <w:rsid w:val="003F7CD4"/>
    <w:rsid w:val="0040468B"/>
    <w:rsid w:val="00406DAD"/>
    <w:rsid w:val="00406F50"/>
    <w:rsid w:val="00407E9B"/>
    <w:rsid w:val="004107D0"/>
    <w:rsid w:val="004123DD"/>
    <w:rsid w:val="00413B6D"/>
    <w:rsid w:val="0041680C"/>
    <w:rsid w:val="00417D07"/>
    <w:rsid w:val="004203BC"/>
    <w:rsid w:val="004207DC"/>
    <w:rsid w:val="004218F5"/>
    <w:rsid w:val="00430B32"/>
    <w:rsid w:val="004319E4"/>
    <w:rsid w:val="004325CA"/>
    <w:rsid w:val="00432E90"/>
    <w:rsid w:val="00433DD0"/>
    <w:rsid w:val="00433E56"/>
    <w:rsid w:val="00434163"/>
    <w:rsid w:val="00434ED0"/>
    <w:rsid w:val="004354F4"/>
    <w:rsid w:val="00435DDE"/>
    <w:rsid w:val="00437684"/>
    <w:rsid w:val="00441C65"/>
    <w:rsid w:val="00444B95"/>
    <w:rsid w:val="00444FA3"/>
    <w:rsid w:val="00446683"/>
    <w:rsid w:val="0044670C"/>
    <w:rsid w:val="00447742"/>
    <w:rsid w:val="00452D68"/>
    <w:rsid w:val="00453038"/>
    <w:rsid w:val="00454BB1"/>
    <w:rsid w:val="004571E1"/>
    <w:rsid w:val="004629C9"/>
    <w:rsid w:val="00466299"/>
    <w:rsid w:val="00470459"/>
    <w:rsid w:val="00470968"/>
    <w:rsid w:val="00470FD6"/>
    <w:rsid w:val="004723B4"/>
    <w:rsid w:val="00474761"/>
    <w:rsid w:val="004752B9"/>
    <w:rsid w:val="0047534A"/>
    <w:rsid w:val="00476DBD"/>
    <w:rsid w:val="00480344"/>
    <w:rsid w:val="0048041C"/>
    <w:rsid w:val="00480F96"/>
    <w:rsid w:val="00481A2E"/>
    <w:rsid w:val="00482D01"/>
    <w:rsid w:val="00483064"/>
    <w:rsid w:val="00483165"/>
    <w:rsid w:val="004836BB"/>
    <w:rsid w:val="00485CD3"/>
    <w:rsid w:val="00490BDE"/>
    <w:rsid w:val="004914FA"/>
    <w:rsid w:val="00491A3C"/>
    <w:rsid w:val="00491DA1"/>
    <w:rsid w:val="0049399F"/>
    <w:rsid w:val="00496759"/>
    <w:rsid w:val="00496ECC"/>
    <w:rsid w:val="00497D18"/>
    <w:rsid w:val="004A3A16"/>
    <w:rsid w:val="004A3BD0"/>
    <w:rsid w:val="004A76DC"/>
    <w:rsid w:val="004B2D49"/>
    <w:rsid w:val="004B376F"/>
    <w:rsid w:val="004C1219"/>
    <w:rsid w:val="004C20C0"/>
    <w:rsid w:val="004C301B"/>
    <w:rsid w:val="004C3487"/>
    <w:rsid w:val="004C4B3E"/>
    <w:rsid w:val="004C57F7"/>
    <w:rsid w:val="004C6AC7"/>
    <w:rsid w:val="004D1768"/>
    <w:rsid w:val="004D2954"/>
    <w:rsid w:val="004D2A97"/>
    <w:rsid w:val="004D46CB"/>
    <w:rsid w:val="004E029B"/>
    <w:rsid w:val="004E15E5"/>
    <w:rsid w:val="004E74CA"/>
    <w:rsid w:val="004F1080"/>
    <w:rsid w:val="004F1671"/>
    <w:rsid w:val="004F2C82"/>
    <w:rsid w:val="004F3C15"/>
    <w:rsid w:val="004F6259"/>
    <w:rsid w:val="004F7AB4"/>
    <w:rsid w:val="00501703"/>
    <w:rsid w:val="00502181"/>
    <w:rsid w:val="00504F7D"/>
    <w:rsid w:val="0050768D"/>
    <w:rsid w:val="0050799F"/>
    <w:rsid w:val="00510FED"/>
    <w:rsid w:val="00512CAA"/>
    <w:rsid w:val="00512D98"/>
    <w:rsid w:val="005163F4"/>
    <w:rsid w:val="00516B6E"/>
    <w:rsid w:val="00516F52"/>
    <w:rsid w:val="00517C00"/>
    <w:rsid w:val="00517C64"/>
    <w:rsid w:val="00524189"/>
    <w:rsid w:val="00525296"/>
    <w:rsid w:val="00526679"/>
    <w:rsid w:val="00527B0E"/>
    <w:rsid w:val="00532981"/>
    <w:rsid w:val="00540670"/>
    <w:rsid w:val="00543A49"/>
    <w:rsid w:val="0054640F"/>
    <w:rsid w:val="005466A4"/>
    <w:rsid w:val="00550B91"/>
    <w:rsid w:val="005531EC"/>
    <w:rsid w:val="00553ABA"/>
    <w:rsid w:val="00555C92"/>
    <w:rsid w:val="00555CC5"/>
    <w:rsid w:val="00557D10"/>
    <w:rsid w:val="00562413"/>
    <w:rsid w:val="00563981"/>
    <w:rsid w:val="0056668F"/>
    <w:rsid w:val="005705A5"/>
    <w:rsid w:val="00570D75"/>
    <w:rsid w:val="0057128D"/>
    <w:rsid w:val="005727BD"/>
    <w:rsid w:val="0057351F"/>
    <w:rsid w:val="00576062"/>
    <w:rsid w:val="005859C2"/>
    <w:rsid w:val="00585CC0"/>
    <w:rsid w:val="00586F79"/>
    <w:rsid w:val="00587A1D"/>
    <w:rsid w:val="00590C90"/>
    <w:rsid w:val="0059193D"/>
    <w:rsid w:val="0059735B"/>
    <w:rsid w:val="0059785A"/>
    <w:rsid w:val="005A1126"/>
    <w:rsid w:val="005A3D23"/>
    <w:rsid w:val="005A776D"/>
    <w:rsid w:val="005B0423"/>
    <w:rsid w:val="005B18B3"/>
    <w:rsid w:val="005B328C"/>
    <w:rsid w:val="005B4A8A"/>
    <w:rsid w:val="005B5FF9"/>
    <w:rsid w:val="005B7B1C"/>
    <w:rsid w:val="005B7DA3"/>
    <w:rsid w:val="005C04D5"/>
    <w:rsid w:val="005C161E"/>
    <w:rsid w:val="005C2D5A"/>
    <w:rsid w:val="005C407C"/>
    <w:rsid w:val="005C43CE"/>
    <w:rsid w:val="005C4645"/>
    <w:rsid w:val="005C6ECE"/>
    <w:rsid w:val="005D0467"/>
    <w:rsid w:val="005D2A3B"/>
    <w:rsid w:val="005D3564"/>
    <w:rsid w:val="005D7B92"/>
    <w:rsid w:val="005E13B9"/>
    <w:rsid w:val="005E2773"/>
    <w:rsid w:val="005E2F1D"/>
    <w:rsid w:val="005E7340"/>
    <w:rsid w:val="005F0EC0"/>
    <w:rsid w:val="005F53D7"/>
    <w:rsid w:val="005F590E"/>
    <w:rsid w:val="005F7611"/>
    <w:rsid w:val="00600842"/>
    <w:rsid w:val="00601378"/>
    <w:rsid w:val="006034C8"/>
    <w:rsid w:val="00604843"/>
    <w:rsid w:val="00605707"/>
    <w:rsid w:val="0060576F"/>
    <w:rsid w:val="0060622D"/>
    <w:rsid w:val="00606403"/>
    <w:rsid w:val="00612B8C"/>
    <w:rsid w:val="006142FF"/>
    <w:rsid w:val="0061717F"/>
    <w:rsid w:val="006173DF"/>
    <w:rsid w:val="00617832"/>
    <w:rsid w:val="0062025C"/>
    <w:rsid w:val="00627626"/>
    <w:rsid w:val="00631A90"/>
    <w:rsid w:val="00633411"/>
    <w:rsid w:val="0063446F"/>
    <w:rsid w:val="00641BC4"/>
    <w:rsid w:val="0064436F"/>
    <w:rsid w:val="0064744D"/>
    <w:rsid w:val="00650E83"/>
    <w:rsid w:val="00653359"/>
    <w:rsid w:val="006553BA"/>
    <w:rsid w:val="006560B3"/>
    <w:rsid w:val="00657100"/>
    <w:rsid w:val="006608A2"/>
    <w:rsid w:val="00663BBC"/>
    <w:rsid w:val="00665786"/>
    <w:rsid w:val="00670BE9"/>
    <w:rsid w:val="00671363"/>
    <w:rsid w:val="00671C74"/>
    <w:rsid w:val="0067247F"/>
    <w:rsid w:val="00672FC1"/>
    <w:rsid w:val="00676E6B"/>
    <w:rsid w:val="00677419"/>
    <w:rsid w:val="00685443"/>
    <w:rsid w:val="0068567F"/>
    <w:rsid w:val="00687F3A"/>
    <w:rsid w:val="00692300"/>
    <w:rsid w:val="00693094"/>
    <w:rsid w:val="00693951"/>
    <w:rsid w:val="00696B59"/>
    <w:rsid w:val="0069737A"/>
    <w:rsid w:val="006A0D26"/>
    <w:rsid w:val="006A22FD"/>
    <w:rsid w:val="006A2A08"/>
    <w:rsid w:val="006A35DB"/>
    <w:rsid w:val="006A3829"/>
    <w:rsid w:val="006A4647"/>
    <w:rsid w:val="006A4E4D"/>
    <w:rsid w:val="006A5099"/>
    <w:rsid w:val="006B0991"/>
    <w:rsid w:val="006B09DA"/>
    <w:rsid w:val="006B185B"/>
    <w:rsid w:val="006B2111"/>
    <w:rsid w:val="006B324B"/>
    <w:rsid w:val="006B3262"/>
    <w:rsid w:val="006B42A6"/>
    <w:rsid w:val="006B68B7"/>
    <w:rsid w:val="006B6BD9"/>
    <w:rsid w:val="006B76D1"/>
    <w:rsid w:val="006C2404"/>
    <w:rsid w:val="006C268F"/>
    <w:rsid w:val="006C6310"/>
    <w:rsid w:val="006D0223"/>
    <w:rsid w:val="006D1A68"/>
    <w:rsid w:val="006D1CEF"/>
    <w:rsid w:val="006D3598"/>
    <w:rsid w:val="006D3B36"/>
    <w:rsid w:val="006D3E3B"/>
    <w:rsid w:val="006D70A4"/>
    <w:rsid w:val="006D720C"/>
    <w:rsid w:val="006E06C6"/>
    <w:rsid w:val="006E083B"/>
    <w:rsid w:val="006E0F99"/>
    <w:rsid w:val="006E2049"/>
    <w:rsid w:val="006E302A"/>
    <w:rsid w:val="006E3F2A"/>
    <w:rsid w:val="006E5C68"/>
    <w:rsid w:val="006E5F55"/>
    <w:rsid w:val="006E7481"/>
    <w:rsid w:val="006E79FF"/>
    <w:rsid w:val="006F05A3"/>
    <w:rsid w:val="006F1584"/>
    <w:rsid w:val="006F1B7F"/>
    <w:rsid w:val="006F3C1E"/>
    <w:rsid w:val="006F58C8"/>
    <w:rsid w:val="00700F50"/>
    <w:rsid w:val="00701851"/>
    <w:rsid w:val="00701A08"/>
    <w:rsid w:val="00702A82"/>
    <w:rsid w:val="007032BD"/>
    <w:rsid w:val="0070334E"/>
    <w:rsid w:val="007051E8"/>
    <w:rsid w:val="00707F65"/>
    <w:rsid w:val="007127CF"/>
    <w:rsid w:val="007129A9"/>
    <w:rsid w:val="00712D5B"/>
    <w:rsid w:val="007159C8"/>
    <w:rsid w:val="007164BA"/>
    <w:rsid w:val="00716933"/>
    <w:rsid w:val="00716F41"/>
    <w:rsid w:val="0072129F"/>
    <w:rsid w:val="00721665"/>
    <w:rsid w:val="00722AFA"/>
    <w:rsid w:val="00723FD5"/>
    <w:rsid w:val="00726342"/>
    <w:rsid w:val="0072680E"/>
    <w:rsid w:val="00726EDA"/>
    <w:rsid w:val="00731298"/>
    <w:rsid w:val="007313A3"/>
    <w:rsid w:val="00731CCB"/>
    <w:rsid w:val="007362A5"/>
    <w:rsid w:val="00736694"/>
    <w:rsid w:val="00740368"/>
    <w:rsid w:val="00740ABA"/>
    <w:rsid w:val="007428B8"/>
    <w:rsid w:val="00743245"/>
    <w:rsid w:val="00743FF4"/>
    <w:rsid w:val="00746164"/>
    <w:rsid w:val="007475B7"/>
    <w:rsid w:val="00752071"/>
    <w:rsid w:val="007541F2"/>
    <w:rsid w:val="00754D9E"/>
    <w:rsid w:val="0075603A"/>
    <w:rsid w:val="00760008"/>
    <w:rsid w:val="007603DC"/>
    <w:rsid w:val="00760937"/>
    <w:rsid w:val="00763A44"/>
    <w:rsid w:val="0076439B"/>
    <w:rsid w:val="00764C25"/>
    <w:rsid w:val="00774050"/>
    <w:rsid w:val="00780BB6"/>
    <w:rsid w:val="00780D78"/>
    <w:rsid w:val="00783F32"/>
    <w:rsid w:val="007866CC"/>
    <w:rsid w:val="0078733C"/>
    <w:rsid w:val="0078738A"/>
    <w:rsid w:val="007906E9"/>
    <w:rsid w:val="00790810"/>
    <w:rsid w:val="00791042"/>
    <w:rsid w:val="00793FD2"/>
    <w:rsid w:val="0079698A"/>
    <w:rsid w:val="007A1FCC"/>
    <w:rsid w:val="007A4A61"/>
    <w:rsid w:val="007A7605"/>
    <w:rsid w:val="007A7A5E"/>
    <w:rsid w:val="007B0102"/>
    <w:rsid w:val="007B12FA"/>
    <w:rsid w:val="007B19E0"/>
    <w:rsid w:val="007B3673"/>
    <w:rsid w:val="007B7479"/>
    <w:rsid w:val="007C013F"/>
    <w:rsid w:val="007C3AA1"/>
    <w:rsid w:val="007C4C41"/>
    <w:rsid w:val="007C5597"/>
    <w:rsid w:val="007C5697"/>
    <w:rsid w:val="007C62BA"/>
    <w:rsid w:val="007C6502"/>
    <w:rsid w:val="007C6663"/>
    <w:rsid w:val="007C6888"/>
    <w:rsid w:val="007D11B5"/>
    <w:rsid w:val="007D20FB"/>
    <w:rsid w:val="007D56F0"/>
    <w:rsid w:val="007D6A8F"/>
    <w:rsid w:val="007D78AF"/>
    <w:rsid w:val="007E0724"/>
    <w:rsid w:val="007E0E9B"/>
    <w:rsid w:val="007E135C"/>
    <w:rsid w:val="007E27C6"/>
    <w:rsid w:val="007E7B65"/>
    <w:rsid w:val="007F02BE"/>
    <w:rsid w:val="007F1E94"/>
    <w:rsid w:val="007F390B"/>
    <w:rsid w:val="007F3A41"/>
    <w:rsid w:val="007F419D"/>
    <w:rsid w:val="007F4324"/>
    <w:rsid w:val="008005B6"/>
    <w:rsid w:val="00801A7A"/>
    <w:rsid w:val="008042AF"/>
    <w:rsid w:val="00805E74"/>
    <w:rsid w:val="00807AE4"/>
    <w:rsid w:val="00811CEB"/>
    <w:rsid w:val="0081409D"/>
    <w:rsid w:val="008140CD"/>
    <w:rsid w:val="008165D1"/>
    <w:rsid w:val="00824C9E"/>
    <w:rsid w:val="008262CC"/>
    <w:rsid w:val="0082774A"/>
    <w:rsid w:val="00827E27"/>
    <w:rsid w:val="00827F39"/>
    <w:rsid w:val="008301CE"/>
    <w:rsid w:val="00830417"/>
    <w:rsid w:val="00832A5D"/>
    <w:rsid w:val="00837D13"/>
    <w:rsid w:val="008413B2"/>
    <w:rsid w:val="008418C7"/>
    <w:rsid w:val="008422FD"/>
    <w:rsid w:val="00842498"/>
    <w:rsid w:val="00843433"/>
    <w:rsid w:val="008448EE"/>
    <w:rsid w:val="00851085"/>
    <w:rsid w:val="00853183"/>
    <w:rsid w:val="00853937"/>
    <w:rsid w:val="0085676E"/>
    <w:rsid w:val="008626B5"/>
    <w:rsid w:val="008628EF"/>
    <w:rsid w:val="008634E7"/>
    <w:rsid w:val="008657B5"/>
    <w:rsid w:val="00867693"/>
    <w:rsid w:val="0087214B"/>
    <w:rsid w:val="00874C9D"/>
    <w:rsid w:val="008763AC"/>
    <w:rsid w:val="00880861"/>
    <w:rsid w:val="00883D95"/>
    <w:rsid w:val="00886D61"/>
    <w:rsid w:val="0088746E"/>
    <w:rsid w:val="00890227"/>
    <w:rsid w:val="008903CD"/>
    <w:rsid w:val="008909EE"/>
    <w:rsid w:val="008912F0"/>
    <w:rsid w:val="00893768"/>
    <w:rsid w:val="00894388"/>
    <w:rsid w:val="008946E7"/>
    <w:rsid w:val="008953D1"/>
    <w:rsid w:val="0089685C"/>
    <w:rsid w:val="00896A4C"/>
    <w:rsid w:val="00897DDD"/>
    <w:rsid w:val="008A069A"/>
    <w:rsid w:val="008A0B7D"/>
    <w:rsid w:val="008A1535"/>
    <w:rsid w:val="008A3519"/>
    <w:rsid w:val="008A364F"/>
    <w:rsid w:val="008A603B"/>
    <w:rsid w:val="008A7C8A"/>
    <w:rsid w:val="008B34B7"/>
    <w:rsid w:val="008B355F"/>
    <w:rsid w:val="008C0560"/>
    <w:rsid w:val="008C4C7A"/>
    <w:rsid w:val="008C5CCD"/>
    <w:rsid w:val="008C73C6"/>
    <w:rsid w:val="008C7D65"/>
    <w:rsid w:val="008D4CE5"/>
    <w:rsid w:val="008D6B3D"/>
    <w:rsid w:val="008E2C3A"/>
    <w:rsid w:val="008E5C68"/>
    <w:rsid w:val="008E71B8"/>
    <w:rsid w:val="008F0C94"/>
    <w:rsid w:val="008F151E"/>
    <w:rsid w:val="008F3A2B"/>
    <w:rsid w:val="008F6EB4"/>
    <w:rsid w:val="00900BAB"/>
    <w:rsid w:val="00901149"/>
    <w:rsid w:val="00901A00"/>
    <w:rsid w:val="00901D24"/>
    <w:rsid w:val="00903224"/>
    <w:rsid w:val="00904EA8"/>
    <w:rsid w:val="009059C1"/>
    <w:rsid w:val="0091117B"/>
    <w:rsid w:val="00917C6D"/>
    <w:rsid w:val="00920F1B"/>
    <w:rsid w:val="009229C0"/>
    <w:rsid w:val="00923BA6"/>
    <w:rsid w:val="00924664"/>
    <w:rsid w:val="009249B0"/>
    <w:rsid w:val="0092675E"/>
    <w:rsid w:val="0093189D"/>
    <w:rsid w:val="00932350"/>
    <w:rsid w:val="00932AEE"/>
    <w:rsid w:val="009347A8"/>
    <w:rsid w:val="00935E33"/>
    <w:rsid w:val="009363A6"/>
    <w:rsid w:val="00937393"/>
    <w:rsid w:val="00937795"/>
    <w:rsid w:val="00937C6E"/>
    <w:rsid w:val="00940D4F"/>
    <w:rsid w:val="00943AED"/>
    <w:rsid w:val="00945D79"/>
    <w:rsid w:val="0094755F"/>
    <w:rsid w:val="009533BA"/>
    <w:rsid w:val="009542A2"/>
    <w:rsid w:val="00955E39"/>
    <w:rsid w:val="00960922"/>
    <w:rsid w:val="00964BB4"/>
    <w:rsid w:val="00964C6B"/>
    <w:rsid w:val="00966015"/>
    <w:rsid w:val="00966F4D"/>
    <w:rsid w:val="00967C05"/>
    <w:rsid w:val="00970095"/>
    <w:rsid w:val="00970D21"/>
    <w:rsid w:val="00970FB0"/>
    <w:rsid w:val="00972CF1"/>
    <w:rsid w:val="009757CE"/>
    <w:rsid w:val="0097603F"/>
    <w:rsid w:val="00980EB5"/>
    <w:rsid w:val="0098161C"/>
    <w:rsid w:val="0098254B"/>
    <w:rsid w:val="009828B4"/>
    <w:rsid w:val="00983709"/>
    <w:rsid w:val="00984558"/>
    <w:rsid w:val="00985B79"/>
    <w:rsid w:val="00990C3A"/>
    <w:rsid w:val="009918FA"/>
    <w:rsid w:val="00992087"/>
    <w:rsid w:val="009923C9"/>
    <w:rsid w:val="009933A3"/>
    <w:rsid w:val="00993D2E"/>
    <w:rsid w:val="009A143F"/>
    <w:rsid w:val="009A2104"/>
    <w:rsid w:val="009A30B4"/>
    <w:rsid w:val="009A32D9"/>
    <w:rsid w:val="009A6DAA"/>
    <w:rsid w:val="009B02E6"/>
    <w:rsid w:val="009B04E1"/>
    <w:rsid w:val="009B04F7"/>
    <w:rsid w:val="009B1108"/>
    <w:rsid w:val="009B1D61"/>
    <w:rsid w:val="009B39BA"/>
    <w:rsid w:val="009B3A84"/>
    <w:rsid w:val="009B422C"/>
    <w:rsid w:val="009B43B3"/>
    <w:rsid w:val="009B685E"/>
    <w:rsid w:val="009B6EEA"/>
    <w:rsid w:val="009C33AF"/>
    <w:rsid w:val="009C55C9"/>
    <w:rsid w:val="009C6DF0"/>
    <w:rsid w:val="009D5028"/>
    <w:rsid w:val="009D59D9"/>
    <w:rsid w:val="009D652E"/>
    <w:rsid w:val="009D7343"/>
    <w:rsid w:val="009D7D2A"/>
    <w:rsid w:val="009E0551"/>
    <w:rsid w:val="009E0AF8"/>
    <w:rsid w:val="009E0F94"/>
    <w:rsid w:val="009E48AA"/>
    <w:rsid w:val="009E5763"/>
    <w:rsid w:val="009E69FF"/>
    <w:rsid w:val="00A0083C"/>
    <w:rsid w:val="00A02190"/>
    <w:rsid w:val="00A040E1"/>
    <w:rsid w:val="00A07F42"/>
    <w:rsid w:val="00A10EBF"/>
    <w:rsid w:val="00A11FF5"/>
    <w:rsid w:val="00A12EFA"/>
    <w:rsid w:val="00A148D8"/>
    <w:rsid w:val="00A14CA6"/>
    <w:rsid w:val="00A16315"/>
    <w:rsid w:val="00A175F2"/>
    <w:rsid w:val="00A20146"/>
    <w:rsid w:val="00A22D46"/>
    <w:rsid w:val="00A3048B"/>
    <w:rsid w:val="00A307EC"/>
    <w:rsid w:val="00A30B3C"/>
    <w:rsid w:val="00A30F75"/>
    <w:rsid w:val="00A338CA"/>
    <w:rsid w:val="00A406EA"/>
    <w:rsid w:val="00A41DA3"/>
    <w:rsid w:val="00A42B59"/>
    <w:rsid w:val="00A44021"/>
    <w:rsid w:val="00A44D83"/>
    <w:rsid w:val="00A44E9D"/>
    <w:rsid w:val="00A46CA9"/>
    <w:rsid w:val="00A47F19"/>
    <w:rsid w:val="00A55A35"/>
    <w:rsid w:val="00A563DD"/>
    <w:rsid w:val="00A60996"/>
    <w:rsid w:val="00A62786"/>
    <w:rsid w:val="00A63624"/>
    <w:rsid w:val="00A63824"/>
    <w:rsid w:val="00A64FE4"/>
    <w:rsid w:val="00A71796"/>
    <w:rsid w:val="00A738D2"/>
    <w:rsid w:val="00A76BF2"/>
    <w:rsid w:val="00A77C5F"/>
    <w:rsid w:val="00A80653"/>
    <w:rsid w:val="00A80D3C"/>
    <w:rsid w:val="00A83645"/>
    <w:rsid w:val="00A84813"/>
    <w:rsid w:val="00A855D2"/>
    <w:rsid w:val="00A87356"/>
    <w:rsid w:val="00A90833"/>
    <w:rsid w:val="00A908B6"/>
    <w:rsid w:val="00A910A6"/>
    <w:rsid w:val="00A95AC7"/>
    <w:rsid w:val="00A96C70"/>
    <w:rsid w:val="00A970C5"/>
    <w:rsid w:val="00AA018F"/>
    <w:rsid w:val="00AB0863"/>
    <w:rsid w:val="00AB0EDC"/>
    <w:rsid w:val="00AB0F76"/>
    <w:rsid w:val="00AB361A"/>
    <w:rsid w:val="00AB3E61"/>
    <w:rsid w:val="00AB47B6"/>
    <w:rsid w:val="00AB6497"/>
    <w:rsid w:val="00AC1C8D"/>
    <w:rsid w:val="00AD1BF8"/>
    <w:rsid w:val="00AD1E5E"/>
    <w:rsid w:val="00AD1E77"/>
    <w:rsid w:val="00AD23D1"/>
    <w:rsid w:val="00AD489B"/>
    <w:rsid w:val="00AD6644"/>
    <w:rsid w:val="00AE502C"/>
    <w:rsid w:val="00AE5591"/>
    <w:rsid w:val="00AE58A9"/>
    <w:rsid w:val="00AE5B0A"/>
    <w:rsid w:val="00AE5D9B"/>
    <w:rsid w:val="00AE6BBC"/>
    <w:rsid w:val="00AE7553"/>
    <w:rsid w:val="00AE7C23"/>
    <w:rsid w:val="00AF0408"/>
    <w:rsid w:val="00AF4B30"/>
    <w:rsid w:val="00AF61B3"/>
    <w:rsid w:val="00AF641B"/>
    <w:rsid w:val="00AF7183"/>
    <w:rsid w:val="00AF7C84"/>
    <w:rsid w:val="00B00D73"/>
    <w:rsid w:val="00B02D60"/>
    <w:rsid w:val="00B03D7A"/>
    <w:rsid w:val="00B04BD5"/>
    <w:rsid w:val="00B04EFD"/>
    <w:rsid w:val="00B114B5"/>
    <w:rsid w:val="00B11D66"/>
    <w:rsid w:val="00B134F6"/>
    <w:rsid w:val="00B15189"/>
    <w:rsid w:val="00B1539A"/>
    <w:rsid w:val="00B1634D"/>
    <w:rsid w:val="00B1638D"/>
    <w:rsid w:val="00B218D4"/>
    <w:rsid w:val="00B21CD1"/>
    <w:rsid w:val="00B21DB2"/>
    <w:rsid w:val="00B2410E"/>
    <w:rsid w:val="00B24609"/>
    <w:rsid w:val="00B255D0"/>
    <w:rsid w:val="00B257FE"/>
    <w:rsid w:val="00B27CA6"/>
    <w:rsid w:val="00B3179B"/>
    <w:rsid w:val="00B326FD"/>
    <w:rsid w:val="00B3659C"/>
    <w:rsid w:val="00B40246"/>
    <w:rsid w:val="00B40E8F"/>
    <w:rsid w:val="00B410B7"/>
    <w:rsid w:val="00B434AB"/>
    <w:rsid w:val="00B43AE4"/>
    <w:rsid w:val="00B43F85"/>
    <w:rsid w:val="00B4571C"/>
    <w:rsid w:val="00B46F06"/>
    <w:rsid w:val="00B5102E"/>
    <w:rsid w:val="00B53B18"/>
    <w:rsid w:val="00B53EAA"/>
    <w:rsid w:val="00B601C4"/>
    <w:rsid w:val="00B617B2"/>
    <w:rsid w:val="00B64F67"/>
    <w:rsid w:val="00B65CF0"/>
    <w:rsid w:val="00B65D8C"/>
    <w:rsid w:val="00B6696F"/>
    <w:rsid w:val="00B71EF8"/>
    <w:rsid w:val="00B723BE"/>
    <w:rsid w:val="00B73D87"/>
    <w:rsid w:val="00B7410C"/>
    <w:rsid w:val="00B74290"/>
    <w:rsid w:val="00B75379"/>
    <w:rsid w:val="00B753D9"/>
    <w:rsid w:val="00B8031B"/>
    <w:rsid w:val="00B80383"/>
    <w:rsid w:val="00B810E2"/>
    <w:rsid w:val="00B817F4"/>
    <w:rsid w:val="00B82705"/>
    <w:rsid w:val="00B85450"/>
    <w:rsid w:val="00B86B44"/>
    <w:rsid w:val="00B87FEC"/>
    <w:rsid w:val="00B91194"/>
    <w:rsid w:val="00B93C17"/>
    <w:rsid w:val="00B93CAB"/>
    <w:rsid w:val="00B97471"/>
    <w:rsid w:val="00B97F42"/>
    <w:rsid w:val="00BA137B"/>
    <w:rsid w:val="00BA1476"/>
    <w:rsid w:val="00BA2A1A"/>
    <w:rsid w:val="00BA2FD5"/>
    <w:rsid w:val="00BA4046"/>
    <w:rsid w:val="00BA585F"/>
    <w:rsid w:val="00BA6A96"/>
    <w:rsid w:val="00BB03E6"/>
    <w:rsid w:val="00BB1368"/>
    <w:rsid w:val="00BB15CF"/>
    <w:rsid w:val="00BB1AA9"/>
    <w:rsid w:val="00BB258E"/>
    <w:rsid w:val="00BB2D11"/>
    <w:rsid w:val="00BB4EF5"/>
    <w:rsid w:val="00BB56E7"/>
    <w:rsid w:val="00BB6B8B"/>
    <w:rsid w:val="00BC1530"/>
    <w:rsid w:val="00BC1FA2"/>
    <w:rsid w:val="00BC31B3"/>
    <w:rsid w:val="00BC55DA"/>
    <w:rsid w:val="00BC6620"/>
    <w:rsid w:val="00BC70C9"/>
    <w:rsid w:val="00BD1532"/>
    <w:rsid w:val="00BD374C"/>
    <w:rsid w:val="00BD64B2"/>
    <w:rsid w:val="00BD6651"/>
    <w:rsid w:val="00BD68FE"/>
    <w:rsid w:val="00BE4ED8"/>
    <w:rsid w:val="00BE5EC4"/>
    <w:rsid w:val="00BE712B"/>
    <w:rsid w:val="00BF058E"/>
    <w:rsid w:val="00BF0D11"/>
    <w:rsid w:val="00BF0F85"/>
    <w:rsid w:val="00BF2418"/>
    <w:rsid w:val="00BF61BC"/>
    <w:rsid w:val="00BF67B9"/>
    <w:rsid w:val="00BF79ED"/>
    <w:rsid w:val="00BF7FE2"/>
    <w:rsid w:val="00C00B7D"/>
    <w:rsid w:val="00C0289A"/>
    <w:rsid w:val="00C02EB5"/>
    <w:rsid w:val="00C05A1C"/>
    <w:rsid w:val="00C1016E"/>
    <w:rsid w:val="00C10675"/>
    <w:rsid w:val="00C11AFA"/>
    <w:rsid w:val="00C138CA"/>
    <w:rsid w:val="00C15503"/>
    <w:rsid w:val="00C170A1"/>
    <w:rsid w:val="00C17F5D"/>
    <w:rsid w:val="00C20F6E"/>
    <w:rsid w:val="00C2180E"/>
    <w:rsid w:val="00C23DEE"/>
    <w:rsid w:val="00C24087"/>
    <w:rsid w:val="00C27D57"/>
    <w:rsid w:val="00C30DAE"/>
    <w:rsid w:val="00C3206E"/>
    <w:rsid w:val="00C33479"/>
    <w:rsid w:val="00C338C7"/>
    <w:rsid w:val="00C33943"/>
    <w:rsid w:val="00C359CA"/>
    <w:rsid w:val="00C405B1"/>
    <w:rsid w:val="00C41281"/>
    <w:rsid w:val="00C41339"/>
    <w:rsid w:val="00C421CE"/>
    <w:rsid w:val="00C44F3C"/>
    <w:rsid w:val="00C458D7"/>
    <w:rsid w:val="00C47593"/>
    <w:rsid w:val="00C514D3"/>
    <w:rsid w:val="00C522A3"/>
    <w:rsid w:val="00C54D0A"/>
    <w:rsid w:val="00C60E0D"/>
    <w:rsid w:val="00C635C8"/>
    <w:rsid w:val="00C70170"/>
    <w:rsid w:val="00C71674"/>
    <w:rsid w:val="00C72AD1"/>
    <w:rsid w:val="00C75201"/>
    <w:rsid w:val="00C77532"/>
    <w:rsid w:val="00C827B3"/>
    <w:rsid w:val="00C82CBA"/>
    <w:rsid w:val="00C87131"/>
    <w:rsid w:val="00C878F7"/>
    <w:rsid w:val="00C909A2"/>
    <w:rsid w:val="00C91FE9"/>
    <w:rsid w:val="00C930FE"/>
    <w:rsid w:val="00C939FC"/>
    <w:rsid w:val="00C95142"/>
    <w:rsid w:val="00C96415"/>
    <w:rsid w:val="00C97DB0"/>
    <w:rsid w:val="00CA0810"/>
    <w:rsid w:val="00CA2D14"/>
    <w:rsid w:val="00CA3510"/>
    <w:rsid w:val="00CA422A"/>
    <w:rsid w:val="00CA548F"/>
    <w:rsid w:val="00CA5D4C"/>
    <w:rsid w:val="00CA60A5"/>
    <w:rsid w:val="00CB0B8A"/>
    <w:rsid w:val="00CB211C"/>
    <w:rsid w:val="00CB4511"/>
    <w:rsid w:val="00CB64DD"/>
    <w:rsid w:val="00CC0894"/>
    <w:rsid w:val="00CC0DDE"/>
    <w:rsid w:val="00CC0E7B"/>
    <w:rsid w:val="00CC5BD2"/>
    <w:rsid w:val="00CD02A8"/>
    <w:rsid w:val="00CD1627"/>
    <w:rsid w:val="00CD391A"/>
    <w:rsid w:val="00CD789A"/>
    <w:rsid w:val="00CD7FB1"/>
    <w:rsid w:val="00CE0500"/>
    <w:rsid w:val="00CE1911"/>
    <w:rsid w:val="00CE1C84"/>
    <w:rsid w:val="00CE3317"/>
    <w:rsid w:val="00CE676A"/>
    <w:rsid w:val="00CE6800"/>
    <w:rsid w:val="00CE739E"/>
    <w:rsid w:val="00CF0123"/>
    <w:rsid w:val="00CF09B3"/>
    <w:rsid w:val="00CF182F"/>
    <w:rsid w:val="00CF1A9B"/>
    <w:rsid w:val="00CF2DD0"/>
    <w:rsid w:val="00CF358E"/>
    <w:rsid w:val="00CF3741"/>
    <w:rsid w:val="00CF7842"/>
    <w:rsid w:val="00D0124A"/>
    <w:rsid w:val="00D01DBB"/>
    <w:rsid w:val="00D03D1F"/>
    <w:rsid w:val="00D0404D"/>
    <w:rsid w:val="00D04236"/>
    <w:rsid w:val="00D071CC"/>
    <w:rsid w:val="00D0720D"/>
    <w:rsid w:val="00D0731F"/>
    <w:rsid w:val="00D12098"/>
    <w:rsid w:val="00D15461"/>
    <w:rsid w:val="00D1797A"/>
    <w:rsid w:val="00D25FCD"/>
    <w:rsid w:val="00D307D2"/>
    <w:rsid w:val="00D316CB"/>
    <w:rsid w:val="00D33086"/>
    <w:rsid w:val="00D336F8"/>
    <w:rsid w:val="00D33AF9"/>
    <w:rsid w:val="00D36A80"/>
    <w:rsid w:val="00D36E64"/>
    <w:rsid w:val="00D370A0"/>
    <w:rsid w:val="00D43543"/>
    <w:rsid w:val="00D4364C"/>
    <w:rsid w:val="00D43921"/>
    <w:rsid w:val="00D44132"/>
    <w:rsid w:val="00D44EF9"/>
    <w:rsid w:val="00D45172"/>
    <w:rsid w:val="00D47DAB"/>
    <w:rsid w:val="00D5115F"/>
    <w:rsid w:val="00D5145A"/>
    <w:rsid w:val="00D51EF6"/>
    <w:rsid w:val="00D56E54"/>
    <w:rsid w:val="00D60BD9"/>
    <w:rsid w:val="00D61502"/>
    <w:rsid w:val="00D620DE"/>
    <w:rsid w:val="00D62324"/>
    <w:rsid w:val="00D7084C"/>
    <w:rsid w:val="00D70D38"/>
    <w:rsid w:val="00D7184F"/>
    <w:rsid w:val="00D72DD8"/>
    <w:rsid w:val="00D73A33"/>
    <w:rsid w:val="00D742D3"/>
    <w:rsid w:val="00D7489A"/>
    <w:rsid w:val="00D75664"/>
    <w:rsid w:val="00D80642"/>
    <w:rsid w:val="00D81928"/>
    <w:rsid w:val="00D81B79"/>
    <w:rsid w:val="00D82C7B"/>
    <w:rsid w:val="00D84A73"/>
    <w:rsid w:val="00D85512"/>
    <w:rsid w:val="00D85D99"/>
    <w:rsid w:val="00D8667C"/>
    <w:rsid w:val="00D86AB9"/>
    <w:rsid w:val="00D875D0"/>
    <w:rsid w:val="00D90C07"/>
    <w:rsid w:val="00D926A5"/>
    <w:rsid w:val="00D928A5"/>
    <w:rsid w:val="00D92BA9"/>
    <w:rsid w:val="00D94794"/>
    <w:rsid w:val="00D94A3B"/>
    <w:rsid w:val="00D95FAB"/>
    <w:rsid w:val="00D96824"/>
    <w:rsid w:val="00DA0FB1"/>
    <w:rsid w:val="00DA211B"/>
    <w:rsid w:val="00DA62A1"/>
    <w:rsid w:val="00DA7A99"/>
    <w:rsid w:val="00DB20E9"/>
    <w:rsid w:val="00DB3E7F"/>
    <w:rsid w:val="00DB4A36"/>
    <w:rsid w:val="00DB4A4C"/>
    <w:rsid w:val="00DB4AD1"/>
    <w:rsid w:val="00DB6B17"/>
    <w:rsid w:val="00DC056F"/>
    <w:rsid w:val="00DC32D9"/>
    <w:rsid w:val="00DC3431"/>
    <w:rsid w:val="00DC65BD"/>
    <w:rsid w:val="00DD36EB"/>
    <w:rsid w:val="00DD3C49"/>
    <w:rsid w:val="00DD4BD9"/>
    <w:rsid w:val="00DE2AFC"/>
    <w:rsid w:val="00DE3AAE"/>
    <w:rsid w:val="00DE42CF"/>
    <w:rsid w:val="00DE4AD3"/>
    <w:rsid w:val="00DE633B"/>
    <w:rsid w:val="00DF0E99"/>
    <w:rsid w:val="00DF2079"/>
    <w:rsid w:val="00DF5DA5"/>
    <w:rsid w:val="00DF6B12"/>
    <w:rsid w:val="00E01464"/>
    <w:rsid w:val="00E024EC"/>
    <w:rsid w:val="00E02DCF"/>
    <w:rsid w:val="00E02F75"/>
    <w:rsid w:val="00E038E9"/>
    <w:rsid w:val="00E07BA3"/>
    <w:rsid w:val="00E1004B"/>
    <w:rsid w:val="00E11B88"/>
    <w:rsid w:val="00E12B59"/>
    <w:rsid w:val="00E12C25"/>
    <w:rsid w:val="00E15CC7"/>
    <w:rsid w:val="00E17B80"/>
    <w:rsid w:val="00E223A0"/>
    <w:rsid w:val="00E245B7"/>
    <w:rsid w:val="00E24E02"/>
    <w:rsid w:val="00E25603"/>
    <w:rsid w:val="00E27ECF"/>
    <w:rsid w:val="00E27F54"/>
    <w:rsid w:val="00E30228"/>
    <w:rsid w:val="00E31F78"/>
    <w:rsid w:val="00E32FD1"/>
    <w:rsid w:val="00E34E23"/>
    <w:rsid w:val="00E3618F"/>
    <w:rsid w:val="00E3794B"/>
    <w:rsid w:val="00E41F38"/>
    <w:rsid w:val="00E420D3"/>
    <w:rsid w:val="00E43F6B"/>
    <w:rsid w:val="00E45F94"/>
    <w:rsid w:val="00E45FE4"/>
    <w:rsid w:val="00E506D2"/>
    <w:rsid w:val="00E5637B"/>
    <w:rsid w:val="00E5690D"/>
    <w:rsid w:val="00E56BDF"/>
    <w:rsid w:val="00E578D0"/>
    <w:rsid w:val="00E60842"/>
    <w:rsid w:val="00E630E9"/>
    <w:rsid w:val="00E63429"/>
    <w:rsid w:val="00E63B56"/>
    <w:rsid w:val="00E64805"/>
    <w:rsid w:val="00E66CC9"/>
    <w:rsid w:val="00E67355"/>
    <w:rsid w:val="00E7052E"/>
    <w:rsid w:val="00E73478"/>
    <w:rsid w:val="00E75249"/>
    <w:rsid w:val="00E75A30"/>
    <w:rsid w:val="00E75F4F"/>
    <w:rsid w:val="00E760D6"/>
    <w:rsid w:val="00E7710A"/>
    <w:rsid w:val="00E82D3C"/>
    <w:rsid w:val="00E8380C"/>
    <w:rsid w:val="00E83B38"/>
    <w:rsid w:val="00E8570A"/>
    <w:rsid w:val="00E87462"/>
    <w:rsid w:val="00E912C7"/>
    <w:rsid w:val="00E91680"/>
    <w:rsid w:val="00E91D9E"/>
    <w:rsid w:val="00E94D26"/>
    <w:rsid w:val="00E9592E"/>
    <w:rsid w:val="00E97CC1"/>
    <w:rsid w:val="00EA050D"/>
    <w:rsid w:val="00EA0CEF"/>
    <w:rsid w:val="00EA7D4F"/>
    <w:rsid w:val="00EB16F7"/>
    <w:rsid w:val="00EB1B7C"/>
    <w:rsid w:val="00EB4CE5"/>
    <w:rsid w:val="00EB630C"/>
    <w:rsid w:val="00EB6E7E"/>
    <w:rsid w:val="00EB7510"/>
    <w:rsid w:val="00EC0250"/>
    <w:rsid w:val="00EC1129"/>
    <w:rsid w:val="00EC504C"/>
    <w:rsid w:val="00EC5A6F"/>
    <w:rsid w:val="00EC6B6F"/>
    <w:rsid w:val="00EC700C"/>
    <w:rsid w:val="00EC7D2A"/>
    <w:rsid w:val="00ED1F9D"/>
    <w:rsid w:val="00ED38D6"/>
    <w:rsid w:val="00ED42A8"/>
    <w:rsid w:val="00ED5B28"/>
    <w:rsid w:val="00EE3906"/>
    <w:rsid w:val="00EE4F2A"/>
    <w:rsid w:val="00EE563D"/>
    <w:rsid w:val="00EE7A32"/>
    <w:rsid w:val="00EF1183"/>
    <w:rsid w:val="00EF1FC0"/>
    <w:rsid w:val="00EF2391"/>
    <w:rsid w:val="00EF2AA0"/>
    <w:rsid w:val="00EF4790"/>
    <w:rsid w:val="00EF5763"/>
    <w:rsid w:val="00EF57C4"/>
    <w:rsid w:val="00EF6153"/>
    <w:rsid w:val="00F03FD8"/>
    <w:rsid w:val="00F0477A"/>
    <w:rsid w:val="00F057FB"/>
    <w:rsid w:val="00F060F0"/>
    <w:rsid w:val="00F1154D"/>
    <w:rsid w:val="00F13DD8"/>
    <w:rsid w:val="00F13ECC"/>
    <w:rsid w:val="00F16A29"/>
    <w:rsid w:val="00F21C74"/>
    <w:rsid w:val="00F24A9C"/>
    <w:rsid w:val="00F25602"/>
    <w:rsid w:val="00F26119"/>
    <w:rsid w:val="00F3041E"/>
    <w:rsid w:val="00F314F2"/>
    <w:rsid w:val="00F32ED9"/>
    <w:rsid w:val="00F347E0"/>
    <w:rsid w:val="00F40510"/>
    <w:rsid w:val="00F408F3"/>
    <w:rsid w:val="00F46B0E"/>
    <w:rsid w:val="00F50013"/>
    <w:rsid w:val="00F51522"/>
    <w:rsid w:val="00F52F73"/>
    <w:rsid w:val="00F53510"/>
    <w:rsid w:val="00F54ACB"/>
    <w:rsid w:val="00F5637D"/>
    <w:rsid w:val="00F60DC8"/>
    <w:rsid w:val="00F61CBA"/>
    <w:rsid w:val="00F61EF3"/>
    <w:rsid w:val="00F621DC"/>
    <w:rsid w:val="00F70169"/>
    <w:rsid w:val="00F75E4C"/>
    <w:rsid w:val="00F76DC0"/>
    <w:rsid w:val="00F778D4"/>
    <w:rsid w:val="00F802EF"/>
    <w:rsid w:val="00F814C5"/>
    <w:rsid w:val="00F81BBB"/>
    <w:rsid w:val="00F839B3"/>
    <w:rsid w:val="00F905C9"/>
    <w:rsid w:val="00F92721"/>
    <w:rsid w:val="00F932A4"/>
    <w:rsid w:val="00F97606"/>
    <w:rsid w:val="00F9769F"/>
    <w:rsid w:val="00FA10A0"/>
    <w:rsid w:val="00FA1489"/>
    <w:rsid w:val="00FA172D"/>
    <w:rsid w:val="00FA6A74"/>
    <w:rsid w:val="00FA6E93"/>
    <w:rsid w:val="00FA7613"/>
    <w:rsid w:val="00FB1DF9"/>
    <w:rsid w:val="00FB3E56"/>
    <w:rsid w:val="00FB6E97"/>
    <w:rsid w:val="00FC19BD"/>
    <w:rsid w:val="00FC1F9D"/>
    <w:rsid w:val="00FC1FCE"/>
    <w:rsid w:val="00FC2674"/>
    <w:rsid w:val="00FC5751"/>
    <w:rsid w:val="00FC73BB"/>
    <w:rsid w:val="00FD059B"/>
    <w:rsid w:val="00FD2FD5"/>
    <w:rsid w:val="00FD4D0C"/>
    <w:rsid w:val="00FD5AD8"/>
    <w:rsid w:val="00FD6F32"/>
    <w:rsid w:val="00FD7BA7"/>
    <w:rsid w:val="00FE3007"/>
    <w:rsid w:val="00FE4BD6"/>
    <w:rsid w:val="00FE6531"/>
    <w:rsid w:val="00FF277C"/>
    <w:rsid w:val="00FF32F8"/>
    <w:rsid w:val="00FF43DB"/>
    <w:rsid w:val="00FF6FD0"/>
    <w:rsid w:val="00FF79CE"/>
    <w:rsid w:val="138073A4"/>
    <w:rsid w:val="1D7972BA"/>
    <w:rsid w:val="2F4E4F5E"/>
    <w:rsid w:val="2F6FA92F"/>
    <w:rsid w:val="42402EDB"/>
    <w:rsid w:val="42F75C56"/>
    <w:rsid w:val="46507F28"/>
    <w:rsid w:val="49AD6EDF"/>
    <w:rsid w:val="4C92A967"/>
    <w:rsid w:val="50C6C79F"/>
    <w:rsid w:val="59568957"/>
    <w:rsid w:val="5D696545"/>
    <w:rsid w:val="5F302026"/>
    <w:rsid w:val="605A7157"/>
    <w:rsid w:val="60DDFD5E"/>
    <w:rsid w:val="705334CF"/>
    <w:rsid w:val="743C4A94"/>
    <w:rsid w:val="74CE3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31D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17B"/>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7428B8"/>
    <w:pPr>
      <w:keepNext/>
      <w:keepLines/>
      <w:spacing w:before="12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428B8"/>
    <w:pPr>
      <w:keepNext/>
      <w:keepLines/>
      <w:spacing w:before="16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6E2049"/>
    <w:pPr>
      <w:keepNext/>
      <w:keepLines/>
      <w:spacing w:before="160" w:after="240"/>
      <w:outlineLvl w:val="2"/>
    </w:pPr>
    <w:rPr>
      <w:rFonts w:eastAsia="Calibri" w:cstheme="majorBidi"/>
      <w:b/>
    </w:rPr>
  </w:style>
  <w:style w:type="paragraph" w:styleId="Heading4">
    <w:name w:val="heading 4"/>
    <w:basedOn w:val="Heading3"/>
    <w:next w:val="Normal"/>
    <w:link w:val="Heading4Char"/>
    <w:uiPriority w:val="9"/>
    <w:unhideWhenUsed/>
    <w:qFormat/>
    <w:rsid w:val="00A563DD"/>
    <w:pPr>
      <w:outlineLvl w:val="3"/>
    </w:pPr>
  </w:style>
  <w:style w:type="paragraph" w:styleId="Heading5">
    <w:name w:val="heading 5"/>
    <w:basedOn w:val="Normal"/>
    <w:next w:val="Normal"/>
    <w:link w:val="Heading5Char"/>
    <w:uiPriority w:val="9"/>
    <w:unhideWhenUsed/>
    <w:qFormat/>
    <w:rsid w:val="007428B8"/>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7428B8"/>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FE3007"/>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8B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7428B8"/>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6E2049"/>
    <w:rPr>
      <w:rFonts w:ascii="Arial" w:eastAsia="Calibri" w:hAnsi="Arial" w:cstheme="majorBidi"/>
      <w:b/>
      <w:sz w:val="24"/>
      <w:szCs w:val="24"/>
    </w:rPr>
  </w:style>
  <w:style w:type="character" w:customStyle="1" w:styleId="Heading4Char">
    <w:name w:val="Heading 4 Char"/>
    <w:basedOn w:val="DefaultParagraphFont"/>
    <w:link w:val="Heading4"/>
    <w:uiPriority w:val="9"/>
    <w:rsid w:val="00A563DD"/>
    <w:rPr>
      <w:rFonts w:ascii="Arial" w:eastAsiaTheme="majorEastAsia" w:hAnsi="Arial" w:cstheme="majorBidi"/>
      <w:b/>
      <w:sz w:val="24"/>
      <w:szCs w:val="24"/>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7428B8"/>
    <w:rPr>
      <w:rFonts w:ascii="Arial" w:eastAsiaTheme="majorEastAsia" w:hAnsi="Arial" w:cstheme="majorBidi"/>
      <w:sz w:val="24"/>
    </w:rPr>
  </w:style>
  <w:style w:type="paragraph" w:styleId="NoSpacing">
    <w:name w:val="No Spacing"/>
    <w:uiPriority w:val="1"/>
    <w:qFormat/>
    <w:rsid w:val="007428B8"/>
    <w:pPr>
      <w:spacing w:after="0" w:line="240" w:lineRule="auto"/>
    </w:pPr>
    <w:rPr>
      <w:rFonts w:ascii="Arial" w:hAnsi="Arial"/>
      <w:sz w:val="24"/>
    </w:rPr>
  </w:style>
  <w:style w:type="character" w:customStyle="1" w:styleId="Heading6Char">
    <w:name w:val="Heading 6 Char"/>
    <w:basedOn w:val="DefaultParagraphFont"/>
    <w:link w:val="Heading6"/>
    <w:uiPriority w:val="9"/>
    <w:rsid w:val="007428B8"/>
    <w:rPr>
      <w:rFonts w:ascii="Arial" w:eastAsiaTheme="majorEastAsia" w:hAnsi="Arial" w:cstheme="majorBidi"/>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character" w:styleId="Hyperlink">
    <w:name w:val="Hyperlink"/>
    <w:uiPriority w:val="99"/>
    <w:rsid w:val="00FC1FCE"/>
    <w:rPr>
      <w:color w:val="0000FF"/>
      <w:u w:val="single"/>
    </w:rPr>
  </w:style>
  <w:style w:type="paragraph" w:styleId="ListParagraph">
    <w:name w:val="List Paragraph"/>
    <w:basedOn w:val="Normal"/>
    <w:qFormat/>
    <w:rsid w:val="00406F50"/>
    <w:pPr>
      <w:ind w:left="720"/>
      <w:contextualSpacing/>
    </w:pPr>
  </w:style>
  <w:style w:type="paragraph" w:styleId="Header">
    <w:name w:val="header"/>
    <w:basedOn w:val="Normal"/>
    <w:link w:val="HeaderChar"/>
    <w:unhideWhenUsed/>
    <w:rsid w:val="000E09DC"/>
    <w:pPr>
      <w:tabs>
        <w:tab w:val="center" w:pos="4680"/>
        <w:tab w:val="right" w:pos="9360"/>
      </w:tabs>
    </w:pPr>
  </w:style>
  <w:style w:type="character" w:customStyle="1" w:styleId="HeaderChar">
    <w:name w:val="Header Char"/>
    <w:basedOn w:val="DefaultParagraphFont"/>
    <w:link w:val="Header"/>
    <w:rsid w:val="000E09DC"/>
    <w:rPr>
      <w:rFonts w:ascii="Arial" w:eastAsia="Times New Roman" w:hAnsi="Arial" w:cs="Times New Roman"/>
      <w:sz w:val="24"/>
      <w:szCs w:val="24"/>
    </w:rPr>
  </w:style>
  <w:style w:type="paragraph" w:styleId="Footer">
    <w:name w:val="footer"/>
    <w:basedOn w:val="Normal"/>
    <w:link w:val="FooterChar"/>
    <w:uiPriority w:val="99"/>
    <w:unhideWhenUsed/>
    <w:rsid w:val="000E09DC"/>
    <w:pPr>
      <w:tabs>
        <w:tab w:val="center" w:pos="4680"/>
        <w:tab w:val="right" w:pos="9360"/>
      </w:tabs>
    </w:pPr>
  </w:style>
  <w:style w:type="character" w:customStyle="1" w:styleId="FooterChar">
    <w:name w:val="Footer Char"/>
    <w:basedOn w:val="DefaultParagraphFont"/>
    <w:link w:val="Footer"/>
    <w:uiPriority w:val="99"/>
    <w:rsid w:val="000E09D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A30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B3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B37A0"/>
    <w:rPr>
      <w:sz w:val="16"/>
      <w:szCs w:val="16"/>
    </w:rPr>
  </w:style>
  <w:style w:type="paragraph" w:styleId="CommentText">
    <w:name w:val="annotation text"/>
    <w:basedOn w:val="Normal"/>
    <w:link w:val="CommentTextChar"/>
    <w:uiPriority w:val="99"/>
    <w:unhideWhenUsed/>
    <w:rsid w:val="003B37A0"/>
    <w:rPr>
      <w:sz w:val="20"/>
      <w:szCs w:val="20"/>
    </w:rPr>
  </w:style>
  <w:style w:type="character" w:customStyle="1" w:styleId="CommentTextChar">
    <w:name w:val="Comment Text Char"/>
    <w:basedOn w:val="DefaultParagraphFont"/>
    <w:link w:val="CommentText"/>
    <w:uiPriority w:val="99"/>
    <w:rsid w:val="003B37A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B37A0"/>
    <w:rPr>
      <w:b/>
      <w:bCs/>
    </w:rPr>
  </w:style>
  <w:style w:type="character" w:customStyle="1" w:styleId="CommentSubjectChar">
    <w:name w:val="Comment Subject Char"/>
    <w:basedOn w:val="CommentTextChar"/>
    <w:link w:val="CommentSubject"/>
    <w:uiPriority w:val="99"/>
    <w:semiHidden/>
    <w:rsid w:val="003B37A0"/>
    <w:rPr>
      <w:rFonts w:ascii="Arial" w:eastAsia="Times New Roman" w:hAnsi="Arial" w:cs="Times New Roman"/>
      <w:b/>
      <w:bCs/>
      <w:sz w:val="20"/>
      <w:szCs w:val="20"/>
    </w:rPr>
  </w:style>
  <w:style w:type="character" w:styleId="Emphasis">
    <w:name w:val="Emphasis"/>
    <w:basedOn w:val="DefaultParagraphFont"/>
    <w:uiPriority w:val="20"/>
    <w:qFormat/>
    <w:rsid w:val="00722AFA"/>
    <w:rPr>
      <w:i/>
      <w:iCs/>
    </w:rPr>
  </w:style>
  <w:style w:type="paragraph" w:styleId="Revision">
    <w:name w:val="Revision"/>
    <w:hidden/>
    <w:uiPriority w:val="99"/>
    <w:semiHidden/>
    <w:rsid w:val="00496759"/>
    <w:pPr>
      <w:spacing w:after="0" w:line="240" w:lineRule="auto"/>
    </w:pPr>
    <w:rPr>
      <w:rFonts w:ascii="Arial" w:eastAsia="Times New Roman" w:hAnsi="Arial" w:cs="Times New Roman"/>
      <w:sz w:val="24"/>
      <w:szCs w:val="24"/>
    </w:rPr>
  </w:style>
  <w:style w:type="character" w:customStyle="1" w:styleId="UnresolvedMention1">
    <w:name w:val="Unresolved Mention1"/>
    <w:basedOn w:val="DefaultParagraphFont"/>
    <w:uiPriority w:val="99"/>
    <w:semiHidden/>
    <w:unhideWhenUsed/>
    <w:rsid w:val="00B74290"/>
    <w:rPr>
      <w:color w:val="605E5C"/>
      <w:shd w:val="clear" w:color="auto" w:fill="E1DFDD"/>
    </w:rPr>
  </w:style>
  <w:style w:type="paragraph" w:styleId="FootnoteText">
    <w:name w:val="footnote text"/>
    <w:basedOn w:val="Normal"/>
    <w:link w:val="FootnoteTextChar"/>
    <w:uiPriority w:val="99"/>
    <w:semiHidden/>
    <w:unhideWhenUsed/>
    <w:rsid w:val="006E7481"/>
    <w:rPr>
      <w:sz w:val="20"/>
      <w:szCs w:val="20"/>
    </w:rPr>
  </w:style>
  <w:style w:type="character" w:customStyle="1" w:styleId="FootnoteTextChar">
    <w:name w:val="Footnote Text Char"/>
    <w:basedOn w:val="DefaultParagraphFont"/>
    <w:link w:val="FootnoteText"/>
    <w:uiPriority w:val="99"/>
    <w:semiHidden/>
    <w:rsid w:val="006E7481"/>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E7481"/>
    <w:rPr>
      <w:vertAlign w:val="superscript"/>
    </w:rPr>
  </w:style>
  <w:style w:type="character" w:styleId="FollowedHyperlink">
    <w:name w:val="FollowedHyperlink"/>
    <w:basedOn w:val="DefaultParagraphFont"/>
    <w:uiPriority w:val="99"/>
    <w:semiHidden/>
    <w:unhideWhenUsed/>
    <w:rsid w:val="00482D01"/>
    <w:rPr>
      <w:color w:val="954F72" w:themeColor="followedHyperlink"/>
      <w:u w:val="single"/>
    </w:rPr>
  </w:style>
  <w:style w:type="paragraph" w:styleId="NormalWeb">
    <w:name w:val="Normal (Web)"/>
    <w:basedOn w:val="Normal"/>
    <w:uiPriority w:val="99"/>
    <w:unhideWhenUsed/>
    <w:rsid w:val="00D75664"/>
    <w:rPr>
      <w:rFonts w:ascii="Times New Roman" w:eastAsiaTheme="minorHAnsi" w:hAnsi="Times New Roman"/>
    </w:rPr>
  </w:style>
  <w:style w:type="paragraph" w:customStyle="1" w:styleId="TableCategoryText">
    <w:name w:val="Table Category Text"/>
    <w:basedOn w:val="Normal"/>
    <w:uiPriority w:val="99"/>
    <w:rsid w:val="00157690"/>
    <w:pPr>
      <w:spacing w:line="270" w:lineRule="atLeast"/>
    </w:pPr>
    <w:rPr>
      <w:rFonts w:eastAsiaTheme="minorHAnsi" w:cs="Arial"/>
      <w:b/>
      <w:bCs/>
      <w:color w:val="394C57"/>
      <w:spacing w:val="-2"/>
    </w:rPr>
  </w:style>
  <w:style w:type="paragraph" w:customStyle="1" w:styleId="TableBodyText">
    <w:name w:val="Table Body Text"/>
    <w:basedOn w:val="Normal"/>
    <w:uiPriority w:val="99"/>
    <w:rsid w:val="00157690"/>
    <w:pPr>
      <w:spacing w:after="80" w:line="270" w:lineRule="atLeast"/>
    </w:pPr>
    <w:rPr>
      <w:rFonts w:eastAsiaTheme="minorHAnsi" w:cs="Arial"/>
      <w:color w:val="0071AE"/>
    </w:rPr>
  </w:style>
  <w:style w:type="paragraph" w:customStyle="1" w:styleId="TableHeaderRow">
    <w:name w:val="Table Header Row"/>
    <w:basedOn w:val="Normal"/>
    <w:uiPriority w:val="99"/>
    <w:rsid w:val="00157690"/>
    <w:pPr>
      <w:spacing w:line="270" w:lineRule="atLeast"/>
    </w:pPr>
    <w:rPr>
      <w:rFonts w:ascii="Arial Bold" w:eastAsiaTheme="minorHAnsi" w:hAnsi="Arial Bold" w:cs="Calibri"/>
      <w:b/>
      <w:bCs/>
      <w:color w:val="FFFFFF"/>
      <w:spacing w:val="-8"/>
    </w:rPr>
  </w:style>
  <w:style w:type="character" w:customStyle="1" w:styleId="UnresolvedMention2">
    <w:name w:val="Unresolved Mention2"/>
    <w:basedOn w:val="DefaultParagraphFont"/>
    <w:uiPriority w:val="99"/>
    <w:semiHidden/>
    <w:unhideWhenUsed/>
    <w:rsid w:val="00137F11"/>
    <w:rPr>
      <w:color w:val="605E5C"/>
      <w:shd w:val="clear" w:color="auto" w:fill="E1DFDD"/>
    </w:rPr>
  </w:style>
  <w:style w:type="table" w:styleId="GridTable1Light">
    <w:name w:val="Grid Table 1 Light"/>
    <w:basedOn w:val="TableNormal"/>
    <w:uiPriority w:val="46"/>
    <w:rsid w:val="003E7EE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801A7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3">
    <w:name w:val="Unresolved Mention3"/>
    <w:basedOn w:val="DefaultParagraphFont"/>
    <w:uiPriority w:val="99"/>
    <w:semiHidden/>
    <w:unhideWhenUsed/>
    <w:rsid w:val="00AB0F76"/>
    <w:rPr>
      <w:color w:val="605E5C"/>
      <w:shd w:val="clear" w:color="auto" w:fill="E1DFDD"/>
    </w:rPr>
  </w:style>
  <w:style w:type="table" w:styleId="TableGrid">
    <w:name w:val="Table Grid"/>
    <w:basedOn w:val="TableNormal"/>
    <w:uiPriority w:val="39"/>
    <w:rsid w:val="00B75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7F65"/>
    <w:rPr>
      <w:color w:val="605E5C"/>
      <w:shd w:val="clear" w:color="auto" w:fill="E1DFDD"/>
    </w:rPr>
  </w:style>
  <w:style w:type="paragraph" w:styleId="PlainText">
    <w:name w:val="Plain Text"/>
    <w:basedOn w:val="Normal"/>
    <w:link w:val="PlainTextChar"/>
    <w:uiPriority w:val="99"/>
    <w:unhideWhenUsed/>
    <w:rsid w:val="003E7C45"/>
    <w:pPr>
      <w:spacing w:before="240"/>
    </w:pPr>
    <w:rPr>
      <w:rFonts w:ascii="Consolas" w:eastAsiaTheme="minorHAnsi" w:hAnsi="Consolas" w:cs="Arial"/>
      <w:kern w:val="2"/>
      <w:sz w:val="21"/>
      <w:szCs w:val="21"/>
      <w14:ligatures w14:val="standardContextual"/>
    </w:rPr>
  </w:style>
  <w:style w:type="character" w:customStyle="1" w:styleId="PlainTextChar">
    <w:name w:val="Plain Text Char"/>
    <w:basedOn w:val="DefaultParagraphFont"/>
    <w:link w:val="PlainText"/>
    <w:uiPriority w:val="99"/>
    <w:rsid w:val="003E7C45"/>
    <w:rPr>
      <w:rFonts w:ascii="Consolas" w:hAnsi="Consolas" w:cs="Arial"/>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871">
      <w:bodyDiv w:val="1"/>
      <w:marLeft w:val="0"/>
      <w:marRight w:val="0"/>
      <w:marTop w:val="0"/>
      <w:marBottom w:val="0"/>
      <w:divBdr>
        <w:top w:val="none" w:sz="0" w:space="0" w:color="auto"/>
        <w:left w:val="none" w:sz="0" w:space="0" w:color="auto"/>
        <w:bottom w:val="none" w:sz="0" w:space="0" w:color="auto"/>
        <w:right w:val="none" w:sz="0" w:space="0" w:color="auto"/>
      </w:divBdr>
    </w:div>
    <w:div w:id="305013271">
      <w:bodyDiv w:val="1"/>
      <w:marLeft w:val="0"/>
      <w:marRight w:val="0"/>
      <w:marTop w:val="0"/>
      <w:marBottom w:val="0"/>
      <w:divBdr>
        <w:top w:val="none" w:sz="0" w:space="0" w:color="auto"/>
        <w:left w:val="none" w:sz="0" w:space="0" w:color="auto"/>
        <w:bottom w:val="none" w:sz="0" w:space="0" w:color="auto"/>
        <w:right w:val="none" w:sz="0" w:space="0" w:color="auto"/>
      </w:divBdr>
    </w:div>
    <w:div w:id="315570889">
      <w:bodyDiv w:val="1"/>
      <w:marLeft w:val="0"/>
      <w:marRight w:val="0"/>
      <w:marTop w:val="0"/>
      <w:marBottom w:val="0"/>
      <w:divBdr>
        <w:top w:val="single" w:sz="12" w:space="0" w:color="767575"/>
        <w:left w:val="none" w:sz="0" w:space="0" w:color="auto"/>
        <w:bottom w:val="none" w:sz="0" w:space="0" w:color="auto"/>
        <w:right w:val="none" w:sz="0" w:space="0" w:color="auto"/>
      </w:divBdr>
      <w:divsChild>
        <w:div w:id="104202370">
          <w:marLeft w:val="0"/>
          <w:marRight w:val="0"/>
          <w:marTop w:val="0"/>
          <w:marBottom w:val="0"/>
          <w:divBdr>
            <w:top w:val="none" w:sz="0" w:space="0" w:color="auto"/>
            <w:left w:val="none" w:sz="0" w:space="0" w:color="auto"/>
            <w:bottom w:val="none" w:sz="0" w:space="0" w:color="auto"/>
            <w:right w:val="none" w:sz="0" w:space="0" w:color="auto"/>
          </w:divBdr>
          <w:divsChild>
            <w:div w:id="1246038951">
              <w:marLeft w:val="0"/>
              <w:marRight w:val="0"/>
              <w:marTop w:val="0"/>
              <w:marBottom w:val="0"/>
              <w:divBdr>
                <w:top w:val="none" w:sz="0" w:space="0" w:color="auto"/>
                <w:left w:val="none" w:sz="0" w:space="0" w:color="auto"/>
                <w:bottom w:val="none" w:sz="0" w:space="0" w:color="auto"/>
                <w:right w:val="none" w:sz="0" w:space="0" w:color="auto"/>
              </w:divBdr>
              <w:divsChild>
                <w:div w:id="175928130">
                  <w:marLeft w:val="300"/>
                  <w:marRight w:val="300"/>
                  <w:marTop w:val="75"/>
                  <w:marBottom w:val="0"/>
                  <w:divBdr>
                    <w:top w:val="single" w:sz="6" w:space="0" w:color="888888"/>
                    <w:left w:val="single" w:sz="6" w:space="26" w:color="888888"/>
                    <w:bottom w:val="single" w:sz="6" w:space="0" w:color="888888"/>
                    <w:right w:val="single" w:sz="6" w:space="26" w:color="888888"/>
                  </w:divBdr>
                  <w:divsChild>
                    <w:div w:id="172575459">
                      <w:marLeft w:val="300"/>
                      <w:marRight w:val="0"/>
                      <w:marTop w:val="0"/>
                      <w:marBottom w:val="0"/>
                      <w:divBdr>
                        <w:top w:val="none" w:sz="0" w:space="0" w:color="auto"/>
                        <w:left w:val="none" w:sz="0" w:space="0" w:color="auto"/>
                        <w:bottom w:val="none" w:sz="0" w:space="0" w:color="auto"/>
                        <w:right w:val="none" w:sz="0" w:space="0" w:color="auto"/>
                      </w:divBdr>
                      <w:divsChild>
                        <w:div w:id="767315837">
                          <w:marLeft w:val="0"/>
                          <w:marRight w:val="0"/>
                          <w:marTop w:val="0"/>
                          <w:marBottom w:val="0"/>
                          <w:divBdr>
                            <w:top w:val="none" w:sz="0" w:space="0" w:color="auto"/>
                            <w:left w:val="none" w:sz="0" w:space="0" w:color="auto"/>
                            <w:bottom w:val="none" w:sz="0" w:space="0" w:color="auto"/>
                            <w:right w:val="none" w:sz="0" w:space="0" w:color="auto"/>
                          </w:divBdr>
                          <w:divsChild>
                            <w:div w:id="15005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007074">
      <w:bodyDiv w:val="1"/>
      <w:marLeft w:val="0"/>
      <w:marRight w:val="0"/>
      <w:marTop w:val="0"/>
      <w:marBottom w:val="0"/>
      <w:divBdr>
        <w:top w:val="none" w:sz="0" w:space="0" w:color="auto"/>
        <w:left w:val="none" w:sz="0" w:space="0" w:color="auto"/>
        <w:bottom w:val="none" w:sz="0" w:space="0" w:color="auto"/>
        <w:right w:val="none" w:sz="0" w:space="0" w:color="auto"/>
      </w:divBdr>
    </w:div>
    <w:div w:id="362947170">
      <w:bodyDiv w:val="1"/>
      <w:marLeft w:val="0"/>
      <w:marRight w:val="0"/>
      <w:marTop w:val="0"/>
      <w:marBottom w:val="0"/>
      <w:divBdr>
        <w:top w:val="none" w:sz="0" w:space="0" w:color="auto"/>
        <w:left w:val="none" w:sz="0" w:space="0" w:color="auto"/>
        <w:bottom w:val="none" w:sz="0" w:space="0" w:color="auto"/>
        <w:right w:val="none" w:sz="0" w:space="0" w:color="auto"/>
      </w:divBdr>
    </w:div>
    <w:div w:id="365787963">
      <w:bodyDiv w:val="1"/>
      <w:marLeft w:val="0"/>
      <w:marRight w:val="0"/>
      <w:marTop w:val="0"/>
      <w:marBottom w:val="0"/>
      <w:divBdr>
        <w:top w:val="none" w:sz="0" w:space="0" w:color="auto"/>
        <w:left w:val="none" w:sz="0" w:space="0" w:color="auto"/>
        <w:bottom w:val="none" w:sz="0" w:space="0" w:color="auto"/>
        <w:right w:val="none" w:sz="0" w:space="0" w:color="auto"/>
      </w:divBdr>
    </w:div>
    <w:div w:id="403920958">
      <w:bodyDiv w:val="1"/>
      <w:marLeft w:val="0"/>
      <w:marRight w:val="0"/>
      <w:marTop w:val="0"/>
      <w:marBottom w:val="0"/>
      <w:divBdr>
        <w:top w:val="none" w:sz="0" w:space="0" w:color="auto"/>
        <w:left w:val="none" w:sz="0" w:space="0" w:color="auto"/>
        <w:bottom w:val="none" w:sz="0" w:space="0" w:color="auto"/>
        <w:right w:val="none" w:sz="0" w:space="0" w:color="auto"/>
      </w:divBdr>
      <w:divsChild>
        <w:div w:id="618224156">
          <w:marLeft w:val="0"/>
          <w:marRight w:val="0"/>
          <w:marTop w:val="0"/>
          <w:marBottom w:val="0"/>
          <w:divBdr>
            <w:top w:val="none" w:sz="0" w:space="0" w:color="auto"/>
            <w:left w:val="none" w:sz="0" w:space="0" w:color="auto"/>
            <w:bottom w:val="none" w:sz="0" w:space="0" w:color="auto"/>
            <w:right w:val="none" w:sz="0" w:space="0" w:color="auto"/>
          </w:divBdr>
          <w:divsChild>
            <w:div w:id="406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7793">
      <w:bodyDiv w:val="1"/>
      <w:marLeft w:val="0"/>
      <w:marRight w:val="0"/>
      <w:marTop w:val="0"/>
      <w:marBottom w:val="0"/>
      <w:divBdr>
        <w:top w:val="none" w:sz="0" w:space="0" w:color="auto"/>
        <w:left w:val="none" w:sz="0" w:space="0" w:color="auto"/>
        <w:bottom w:val="none" w:sz="0" w:space="0" w:color="auto"/>
        <w:right w:val="none" w:sz="0" w:space="0" w:color="auto"/>
      </w:divBdr>
    </w:div>
    <w:div w:id="603073369">
      <w:bodyDiv w:val="1"/>
      <w:marLeft w:val="0"/>
      <w:marRight w:val="0"/>
      <w:marTop w:val="0"/>
      <w:marBottom w:val="0"/>
      <w:divBdr>
        <w:top w:val="none" w:sz="0" w:space="0" w:color="auto"/>
        <w:left w:val="none" w:sz="0" w:space="0" w:color="auto"/>
        <w:bottom w:val="none" w:sz="0" w:space="0" w:color="auto"/>
        <w:right w:val="none" w:sz="0" w:space="0" w:color="auto"/>
      </w:divBdr>
    </w:div>
    <w:div w:id="759830749">
      <w:bodyDiv w:val="1"/>
      <w:marLeft w:val="0"/>
      <w:marRight w:val="0"/>
      <w:marTop w:val="0"/>
      <w:marBottom w:val="0"/>
      <w:divBdr>
        <w:top w:val="none" w:sz="0" w:space="0" w:color="auto"/>
        <w:left w:val="none" w:sz="0" w:space="0" w:color="auto"/>
        <w:bottom w:val="none" w:sz="0" w:space="0" w:color="auto"/>
        <w:right w:val="none" w:sz="0" w:space="0" w:color="auto"/>
      </w:divBdr>
      <w:divsChild>
        <w:div w:id="253364722">
          <w:marLeft w:val="0"/>
          <w:marRight w:val="0"/>
          <w:marTop w:val="0"/>
          <w:marBottom w:val="0"/>
          <w:divBdr>
            <w:top w:val="none" w:sz="0" w:space="0" w:color="auto"/>
            <w:left w:val="none" w:sz="0" w:space="0" w:color="auto"/>
            <w:bottom w:val="none" w:sz="0" w:space="0" w:color="auto"/>
            <w:right w:val="none" w:sz="0" w:space="0" w:color="auto"/>
          </w:divBdr>
        </w:div>
        <w:div w:id="388963374">
          <w:marLeft w:val="0"/>
          <w:marRight w:val="0"/>
          <w:marTop w:val="0"/>
          <w:marBottom w:val="0"/>
          <w:divBdr>
            <w:top w:val="none" w:sz="0" w:space="0" w:color="auto"/>
            <w:left w:val="none" w:sz="0" w:space="0" w:color="auto"/>
            <w:bottom w:val="none" w:sz="0" w:space="0" w:color="auto"/>
            <w:right w:val="none" w:sz="0" w:space="0" w:color="auto"/>
          </w:divBdr>
        </w:div>
      </w:divsChild>
    </w:div>
    <w:div w:id="813763497">
      <w:bodyDiv w:val="1"/>
      <w:marLeft w:val="0"/>
      <w:marRight w:val="0"/>
      <w:marTop w:val="0"/>
      <w:marBottom w:val="0"/>
      <w:divBdr>
        <w:top w:val="none" w:sz="0" w:space="0" w:color="auto"/>
        <w:left w:val="none" w:sz="0" w:space="0" w:color="auto"/>
        <w:bottom w:val="none" w:sz="0" w:space="0" w:color="auto"/>
        <w:right w:val="none" w:sz="0" w:space="0" w:color="auto"/>
      </w:divBdr>
    </w:div>
    <w:div w:id="914630192">
      <w:bodyDiv w:val="1"/>
      <w:marLeft w:val="0"/>
      <w:marRight w:val="0"/>
      <w:marTop w:val="0"/>
      <w:marBottom w:val="0"/>
      <w:divBdr>
        <w:top w:val="none" w:sz="0" w:space="0" w:color="auto"/>
        <w:left w:val="none" w:sz="0" w:space="0" w:color="auto"/>
        <w:bottom w:val="none" w:sz="0" w:space="0" w:color="auto"/>
        <w:right w:val="none" w:sz="0" w:space="0" w:color="auto"/>
      </w:divBdr>
    </w:div>
    <w:div w:id="1025255568">
      <w:bodyDiv w:val="1"/>
      <w:marLeft w:val="0"/>
      <w:marRight w:val="0"/>
      <w:marTop w:val="0"/>
      <w:marBottom w:val="0"/>
      <w:divBdr>
        <w:top w:val="none" w:sz="0" w:space="0" w:color="auto"/>
        <w:left w:val="none" w:sz="0" w:space="0" w:color="auto"/>
        <w:bottom w:val="none" w:sz="0" w:space="0" w:color="auto"/>
        <w:right w:val="none" w:sz="0" w:space="0" w:color="auto"/>
      </w:divBdr>
    </w:div>
    <w:div w:id="1030691444">
      <w:bodyDiv w:val="1"/>
      <w:marLeft w:val="0"/>
      <w:marRight w:val="0"/>
      <w:marTop w:val="0"/>
      <w:marBottom w:val="0"/>
      <w:divBdr>
        <w:top w:val="none" w:sz="0" w:space="0" w:color="auto"/>
        <w:left w:val="none" w:sz="0" w:space="0" w:color="auto"/>
        <w:bottom w:val="none" w:sz="0" w:space="0" w:color="auto"/>
        <w:right w:val="none" w:sz="0" w:space="0" w:color="auto"/>
      </w:divBdr>
    </w:div>
    <w:div w:id="1259678358">
      <w:bodyDiv w:val="1"/>
      <w:marLeft w:val="0"/>
      <w:marRight w:val="0"/>
      <w:marTop w:val="0"/>
      <w:marBottom w:val="0"/>
      <w:divBdr>
        <w:top w:val="none" w:sz="0" w:space="0" w:color="auto"/>
        <w:left w:val="none" w:sz="0" w:space="0" w:color="auto"/>
        <w:bottom w:val="none" w:sz="0" w:space="0" w:color="auto"/>
        <w:right w:val="none" w:sz="0" w:space="0" w:color="auto"/>
      </w:divBdr>
      <w:divsChild>
        <w:div w:id="671033932">
          <w:marLeft w:val="0"/>
          <w:marRight w:val="0"/>
          <w:marTop w:val="0"/>
          <w:marBottom w:val="0"/>
          <w:divBdr>
            <w:top w:val="none" w:sz="0" w:space="0" w:color="auto"/>
            <w:left w:val="none" w:sz="0" w:space="0" w:color="auto"/>
            <w:bottom w:val="none" w:sz="0" w:space="0" w:color="auto"/>
            <w:right w:val="none" w:sz="0" w:space="0" w:color="auto"/>
          </w:divBdr>
        </w:div>
        <w:div w:id="711804538">
          <w:marLeft w:val="0"/>
          <w:marRight w:val="0"/>
          <w:marTop w:val="0"/>
          <w:marBottom w:val="0"/>
          <w:divBdr>
            <w:top w:val="none" w:sz="0" w:space="0" w:color="auto"/>
            <w:left w:val="none" w:sz="0" w:space="0" w:color="auto"/>
            <w:bottom w:val="none" w:sz="0" w:space="0" w:color="auto"/>
            <w:right w:val="none" w:sz="0" w:space="0" w:color="auto"/>
          </w:divBdr>
        </w:div>
      </w:divsChild>
    </w:div>
    <w:div w:id="1267811103">
      <w:bodyDiv w:val="1"/>
      <w:marLeft w:val="0"/>
      <w:marRight w:val="0"/>
      <w:marTop w:val="0"/>
      <w:marBottom w:val="0"/>
      <w:divBdr>
        <w:top w:val="none" w:sz="0" w:space="0" w:color="auto"/>
        <w:left w:val="none" w:sz="0" w:space="0" w:color="auto"/>
        <w:bottom w:val="none" w:sz="0" w:space="0" w:color="auto"/>
        <w:right w:val="none" w:sz="0" w:space="0" w:color="auto"/>
      </w:divBdr>
      <w:divsChild>
        <w:div w:id="70011247">
          <w:marLeft w:val="547"/>
          <w:marRight w:val="0"/>
          <w:marTop w:val="125"/>
          <w:marBottom w:val="0"/>
          <w:divBdr>
            <w:top w:val="none" w:sz="0" w:space="0" w:color="auto"/>
            <w:left w:val="none" w:sz="0" w:space="0" w:color="auto"/>
            <w:bottom w:val="none" w:sz="0" w:space="0" w:color="auto"/>
            <w:right w:val="none" w:sz="0" w:space="0" w:color="auto"/>
          </w:divBdr>
        </w:div>
        <w:div w:id="926352887">
          <w:marLeft w:val="547"/>
          <w:marRight w:val="0"/>
          <w:marTop w:val="125"/>
          <w:marBottom w:val="0"/>
          <w:divBdr>
            <w:top w:val="none" w:sz="0" w:space="0" w:color="auto"/>
            <w:left w:val="none" w:sz="0" w:space="0" w:color="auto"/>
            <w:bottom w:val="none" w:sz="0" w:space="0" w:color="auto"/>
            <w:right w:val="none" w:sz="0" w:space="0" w:color="auto"/>
          </w:divBdr>
        </w:div>
        <w:div w:id="1841655910">
          <w:marLeft w:val="547"/>
          <w:marRight w:val="0"/>
          <w:marTop w:val="125"/>
          <w:marBottom w:val="0"/>
          <w:divBdr>
            <w:top w:val="none" w:sz="0" w:space="0" w:color="auto"/>
            <w:left w:val="none" w:sz="0" w:space="0" w:color="auto"/>
            <w:bottom w:val="none" w:sz="0" w:space="0" w:color="auto"/>
            <w:right w:val="none" w:sz="0" w:space="0" w:color="auto"/>
          </w:divBdr>
        </w:div>
      </w:divsChild>
    </w:div>
    <w:div w:id="1378967403">
      <w:bodyDiv w:val="1"/>
      <w:marLeft w:val="0"/>
      <w:marRight w:val="0"/>
      <w:marTop w:val="0"/>
      <w:marBottom w:val="0"/>
      <w:divBdr>
        <w:top w:val="none" w:sz="0" w:space="0" w:color="auto"/>
        <w:left w:val="none" w:sz="0" w:space="0" w:color="auto"/>
        <w:bottom w:val="none" w:sz="0" w:space="0" w:color="auto"/>
        <w:right w:val="none" w:sz="0" w:space="0" w:color="auto"/>
      </w:divBdr>
    </w:div>
    <w:div w:id="1380667899">
      <w:bodyDiv w:val="1"/>
      <w:marLeft w:val="0"/>
      <w:marRight w:val="0"/>
      <w:marTop w:val="0"/>
      <w:marBottom w:val="0"/>
      <w:divBdr>
        <w:top w:val="none" w:sz="0" w:space="0" w:color="auto"/>
        <w:left w:val="none" w:sz="0" w:space="0" w:color="auto"/>
        <w:bottom w:val="none" w:sz="0" w:space="0" w:color="auto"/>
        <w:right w:val="none" w:sz="0" w:space="0" w:color="auto"/>
      </w:divBdr>
    </w:div>
    <w:div w:id="1546984207">
      <w:bodyDiv w:val="1"/>
      <w:marLeft w:val="0"/>
      <w:marRight w:val="0"/>
      <w:marTop w:val="0"/>
      <w:marBottom w:val="0"/>
      <w:divBdr>
        <w:top w:val="none" w:sz="0" w:space="0" w:color="auto"/>
        <w:left w:val="none" w:sz="0" w:space="0" w:color="auto"/>
        <w:bottom w:val="none" w:sz="0" w:space="0" w:color="auto"/>
        <w:right w:val="none" w:sz="0" w:space="0" w:color="auto"/>
      </w:divBdr>
    </w:div>
    <w:div w:id="1564220452">
      <w:bodyDiv w:val="1"/>
      <w:marLeft w:val="0"/>
      <w:marRight w:val="0"/>
      <w:marTop w:val="0"/>
      <w:marBottom w:val="0"/>
      <w:divBdr>
        <w:top w:val="none" w:sz="0" w:space="0" w:color="auto"/>
        <w:left w:val="none" w:sz="0" w:space="0" w:color="auto"/>
        <w:bottom w:val="none" w:sz="0" w:space="0" w:color="auto"/>
        <w:right w:val="none" w:sz="0" w:space="0" w:color="auto"/>
      </w:divBdr>
    </w:div>
    <w:div w:id="1704623783">
      <w:bodyDiv w:val="1"/>
      <w:marLeft w:val="0"/>
      <w:marRight w:val="0"/>
      <w:marTop w:val="0"/>
      <w:marBottom w:val="0"/>
      <w:divBdr>
        <w:top w:val="none" w:sz="0" w:space="0" w:color="auto"/>
        <w:left w:val="none" w:sz="0" w:space="0" w:color="auto"/>
        <w:bottom w:val="none" w:sz="0" w:space="0" w:color="auto"/>
        <w:right w:val="none" w:sz="0" w:space="0" w:color="auto"/>
      </w:divBdr>
    </w:div>
    <w:div w:id="1730226503">
      <w:bodyDiv w:val="1"/>
      <w:marLeft w:val="0"/>
      <w:marRight w:val="0"/>
      <w:marTop w:val="0"/>
      <w:marBottom w:val="0"/>
      <w:divBdr>
        <w:top w:val="none" w:sz="0" w:space="0" w:color="auto"/>
        <w:left w:val="none" w:sz="0" w:space="0" w:color="auto"/>
        <w:bottom w:val="none" w:sz="0" w:space="0" w:color="auto"/>
        <w:right w:val="none" w:sz="0" w:space="0" w:color="auto"/>
      </w:divBdr>
    </w:div>
    <w:div w:id="1852642922">
      <w:bodyDiv w:val="1"/>
      <w:marLeft w:val="0"/>
      <w:marRight w:val="0"/>
      <w:marTop w:val="0"/>
      <w:marBottom w:val="0"/>
      <w:divBdr>
        <w:top w:val="none" w:sz="0" w:space="0" w:color="auto"/>
        <w:left w:val="none" w:sz="0" w:space="0" w:color="auto"/>
        <w:bottom w:val="none" w:sz="0" w:space="0" w:color="auto"/>
        <w:right w:val="none" w:sz="0" w:space="0" w:color="auto"/>
      </w:divBdr>
    </w:div>
    <w:div w:id="1942256904">
      <w:bodyDiv w:val="1"/>
      <w:marLeft w:val="0"/>
      <w:marRight w:val="0"/>
      <w:marTop w:val="0"/>
      <w:marBottom w:val="0"/>
      <w:divBdr>
        <w:top w:val="none" w:sz="0" w:space="0" w:color="auto"/>
        <w:left w:val="none" w:sz="0" w:space="0" w:color="auto"/>
        <w:bottom w:val="none" w:sz="0" w:space="0" w:color="auto"/>
        <w:right w:val="none" w:sz="0" w:space="0" w:color="auto"/>
      </w:divBdr>
    </w:div>
    <w:div w:id="1967926292">
      <w:bodyDiv w:val="1"/>
      <w:marLeft w:val="0"/>
      <w:marRight w:val="0"/>
      <w:marTop w:val="0"/>
      <w:marBottom w:val="0"/>
      <w:divBdr>
        <w:top w:val="none" w:sz="0" w:space="0" w:color="auto"/>
        <w:left w:val="none" w:sz="0" w:space="0" w:color="auto"/>
        <w:bottom w:val="none" w:sz="0" w:space="0" w:color="auto"/>
        <w:right w:val="none" w:sz="0" w:space="0" w:color="auto"/>
      </w:divBdr>
    </w:div>
    <w:div w:id="1973554406">
      <w:bodyDiv w:val="1"/>
      <w:marLeft w:val="0"/>
      <w:marRight w:val="0"/>
      <w:marTop w:val="0"/>
      <w:marBottom w:val="0"/>
      <w:divBdr>
        <w:top w:val="none" w:sz="0" w:space="0" w:color="auto"/>
        <w:left w:val="none" w:sz="0" w:space="0" w:color="auto"/>
        <w:bottom w:val="none" w:sz="0" w:space="0" w:color="auto"/>
        <w:right w:val="none" w:sz="0" w:space="0" w:color="auto"/>
      </w:divBdr>
    </w:div>
    <w:div w:id="1978222101">
      <w:bodyDiv w:val="1"/>
      <w:marLeft w:val="0"/>
      <w:marRight w:val="0"/>
      <w:marTop w:val="0"/>
      <w:marBottom w:val="0"/>
      <w:divBdr>
        <w:top w:val="none" w:sz="0" w:space="0" w:color="auto"/>
        <w:left w:val="none" w:sz="0" w:space="0" w:color="auto"/>
        <w:bottom w:val="none" w:sz="0" w:space="0" w:color="auto"/>
        <w:right w:val="none" w:sz="0" w:space="0" w:color="auto"/>
      </w:divBdr>
    </w:div>
    <w:div w:id="2051030391">
      <w:bodyDiv w:val="1"/>
      <w:marLeft w:val="0"/>
      <w:marRight w:val="0"/>
      <w:marTop w:val="0"/>
      <w:marBottom w:val="0"/>
      <w:divBdr>
        <w:top w:val="none" w:sz="0" w:space="0" w:color="auto"/>
        <w:left w:val="none" w:sz="0" w:space="0" w:color="auto"/>
        <w:bottom w:val="none" w:sz="0" w:space="0" w:color="auto"/>
        <w:right w:val="none" w:sz="0" w:space="0" w:color="auto"/>
      </w:divBdr>
    </w:div>
    <w:div w:id="209624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12498-87B6-4B1E-BACD-E8F84AF3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Links>
    <vt:vector size="12" baseType="variant">
      <vt:variant>
        <vt:i4>8323110</vt:i4>
      </vt:variant>
      <vt:variant>
        <vt:i4>3</vt:i4>
      </vt:variant>
      <vt:variant>
        <vt:i4>0</vt:i4>
      </vt:variant>
      <vt:variant>
        <vt:i4>5</vt:i4>
      </vt:variant>
      <vt:variant>
        <vt:lpwstr>https://www.cde.ca.gov/fg/fo/r17/cteig24rfa.asp</vt:lpwstr>
      </vt:variant>
      <vt:variant>
        <vt:lpwstr/>
      </vt:variant>
      <vt:variant>
        <vt:i4>2621440</vt:i4>
      </vt:variant>
      <vt:variant>
        <vt:i4>0</vt:i4>
      </vt:variant>
      <vt:variant>
        <vt:i4>0</vt:i4>
      </vt:variant>
      <vt:variant>
        <vt:i4>5</vt:i4>
      </vt:variant>
      <vt:variant>
        <vt:lpwstr>https://www.calpassplus.org/Launchboard/SWP-MDD</vt:lpwstr>
      </vt:variant>
      <vt:variant>
        <vt:lpwstr>_Toc138178720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CWPJAC September 2026 Agenda Item 04 - General Information (CA Dept of Education)</dc:title>
  <dc:subject>California Workforce Pathways Joint Advisory Committee (CWPJAC) information on the Strengthening Career and Technical Education for the 21st Century Act (Perkins V): A National Data Comparison and California's Standing.</dc:subject>
  <dc:creator/>
  <cp:keywords/>
  <dc:description/>
  <cp:lastModifiedBy/>
  <cp:revision>1</cp:revision>
  <dcterms:created xsi:type="dcterms:W3CDTF">2026-09-01T23:21:00Z</dcterms:created>
  <dcterms:modified xsi:type="dcterms:W3CDTF">2026-09-01T23:24:00Z</dcterms:modified>
</cp:coreProperties>
</file>