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F67E0" w14:textId="77777777" w:rsidR="00DC0B8C" w:rsidRDefault="00DC0B8C"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5CF67E1" w14:textId="77777777" w:rsidR="00DC0B8C" w:rsidRPr="00F05864" w:rsidRDefault="00DC0B8C"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DC0B8C" w:rsidRPr="009529EF" w14:paraId="75CF67E4"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5CF67E2" w14:textId="77777777" w:rsidR="00DC0B8C" w:rsidRPr="009529EF" w:rsidRDefault="00DC0B8C"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5CF67E3" w14:textId="77777777" w:rsidR="00DC0B8C" w:rsidRPr="009529EF" w:rsidRDefault="00DC0B8C" w:rsidP="00C332CB">
            <w:pPr>
              <w:spacing w:after="160"/>
              <w:rPr>
                <w:rFonts w:ascii="Arial" w:hAnsi="Arial" w:cs="Arial"/>
                <w:b/>
                <w:bCs/>
              </w:rPr>
            </w:pPr>
            <w:r>
              <w:rPr>
                <w:rFonts w:ascii="Arial" w:hAnsi="Arial" w:cs="Arial"/>
                <w:b/>
                <w:bCs/>
                <w:color w:val="FFFFFF" w:themeColor="background1"/>
              </w:rPr>
              <w:t>Program Name</w:t>
            </w:r>
          </w:p>
        </w:tc>
      </w:tr>
      <w:tr w:rsidR="00DC0B8C" w:rsidRPr="009529EF" w14:paraId="75CF67E8"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CF67E5" w14:textId="77777777" w:rsidR="00DC0B8C" w:rsidRPr="00F6275D" w:rsidRDefault="00DC0B8C" w:rsidP="00C332CB">
            <w:pPr>
              <w:spacing w:after="160"/>
              <w:rPr>
                <w:rFonts w:ascii="Arial" w:hAnsi="Arial" w:cs="Arial"/>
              </w:rPr>
            </w:pPr>
            <w:r w:rsidRPr="002D5DC9">
              <w:rPr>
                <w:rFonts w:ascii="Arial" w:hAnsi="Arial" w:cs="Arial"/>
                <w:noProof/>
              </w:rPr>
              <w:t>Amplify Education, Incorporated (Inc.)</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F67E6" w14:textId="77777777" w:rsidR="00DC0B8C" w:rsidRDefault="00DC0B8C" w:rsidP="00C332CB">
            <w:pPr>
              <w:spacing w:after="160"/>
              <w:ind w:left="1"/>
              <w:rPr>
                <w:rFonts w:ascii="Arial" w:hAnsi="Arial" w:cs="Arial"/>
                <w:noProof/>
              </w:rPr>
            </w:pPr>
            <w:r w:rsidRPr="002D5DC9">
              <w:rPr>
                <w:rFonts w:ascii="Arial" w:hAnsi="Arial" w:cs="Arial"/>
                <w:noProof/>
              </w:rPr>
              <w:t>Science of Reading: The Learning Lab</w:t>
            </w:r>
          </w:p>
          <w:p w14:paraId="75CF67E7" w14:textId="77777777" w:rsidR="00DC0B8C" w:rsidRPr="00F6275D" w:rsidRDefault="00DC0B8C" w:rsidP="00C332CB">
            <w:pPr>
              <w:spacing w:after="160"/>
              <w:ind w:left="1"/>
              <w:rPr>
                <w:rFonts w:ascii="Arial" w:hAnsi="Arial" w:cs="Arial"/>
              </w:rPr>
            </w:pPr>
            <w:r w:rsidRPr="002D5DC9">
              <w:rPr>
                <w:rFonts w:ascii="Arial" w:hAnsi="Arial" w:cs="Arial"/>
                <w:noProof/>
              </w:rPr>
              <w:t>Course 1: Foundations to the Science of Reading, Course 2: Advanced Topics in the Science of Reading, Course 3: Applied Structured Literacy</w:t>
            </w:r>
          </w:p>
        </w:tc>
      </w:tr>
    </w:tbl>
    <w:p w14:paraId="75CF67E9" w14:textId="77777777" w:rsidR="00DC0B8C" w:rsidRPr="009529EF" w:rsidRDefault="00DC0B8C"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5CF67EA" w14:textId="77777777" w:rsidR="00DC0B8C" w:rsidRPr="009529EF" w:rsidRDefault="00DC0B8C"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5CF67EB" w14:textId="77777777" w:rsidR="00DC0B8C" w:rsidRPr="009529EF" w:rsidRDefault="00DC0B8C"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5CF67EC" w14:textId="77777777" w:rsidR="00DC0B8C" w:rsidRPr="009529EF" w:rsidRDefault="00DC0B8C"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 xml:space="preserve">Per the Invitation to Submit Literacy Professional Development Programs, providers were responsible for ensuring that each response was thorough, and citations of evidentiary materials were clear. Reviewers evaluated submissions based on the information and citations </w:t>
      </w:r>
      <w:r w:rsidRPr="42DEA662">
        <w:rPr>
          <w:rFonts w:ascii="Arial" w:eastAsia="Arial" w:hAnsi="Arial" w:cs="Arial"/>
          <w:color w:val="111111"/>
        </w:rPr>
        <w:lastRenderedPageBreak/>
        <w:t>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5CF67ED" w14:textId="77777777" w:rsidR="00DC0B8C" w:rsidRPr="005F7169" w:rsidRDefault="00DC0B8C"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DC0B8C" w:rsidRPr="009529EF" w14:paraId="75CF67F0"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7EE" w14:textId="77777777" w:rsidR="00DC0B8C" w:rsidRPr="009529EF" w:rsidRDefault="00DC0B8C"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7EF" w14:textId="77777777" w:rsidR="00DC0B8C" w:rsidRPr="009529EF" w:rsidRDefault="00DC0B8C"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DC0B8C" w:rsidRPr="009529EF" w14:paraId="75CF67F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7F1" w14:textId="77777777" w:rsidR="00DC0B8C" w:rsidRPr="00106D84" w:rsidRDefault="00DC0B8C"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7F2" w14:textId="77777777" w:rsidR="00DC0B8C" w:rsidRPr="00F6275D" w:rsidRDefault="00DC0B8C" w:rsidP="3C4C67CA">
            <w:pPr>
              <w:spacing w:after="240"/>
              <w:ind w:left="1"/>
              <w:rPr>
                <w:rFonts w:ascii="Arial" w:hAnsi="Arial" w:cs="Arial"/>
              </w:rPr>
            </w:pPr>
            <w:r w:rsidRPr="002D5DC9">
              <w:rPr>
                <w:rFonts w:ascii="Arial" w:hAnsi="Arial" w:cs="Arial"/>
                <w:noProof/>
              </w:rPr>
              <w:t xml:space="preserve">Science of Reading: The Learning Lab is aligned with </w:t>
            </w:r>
            <w:r w:rsidRPr="000F30F8">
              <w:rPr>
                <w:rFonts w:ascii="Arial" w:hAnsi="Arial" w:cs="Arial"/>
                <w:i/>
                <w:iCs/>
                <w:noProof/>
              </w:rPr>
              <w:t>Education Code (EC</w:t>
            </w:r>
            <w:r>
              <w:rPr>
                <w:rFonts w:ascii="Arial" w:hAnsi="Arial" w:cs="Arial"/>
                <w:noProof/>
              </w:rPr>
              <w:t xml:space="preserve">) </w:t>
            </w:r>
            <w:r w:rsidRPr="002D5DC9">
              <w:rPr>
                <w:rFonts w:ascii="Arial" w:hAnsi="Arial" w:cs="Arial"/>
                <w:noProof/>
              </w:rPr>
              <w:t xml:space="preserve">33319.6 and </w:t>
            </w:r>
            <w:r w:rsidRPr="000F30F8">
              <w:rPr>
                <w:rFonts w:ascii="Arial" w:hAnsi="Arial" w:cs="Arial"/>
                <w:i/>
                <w:iCs/>
                <w:noProof/>
              </w:rPr>
              <w:t>EC</w:t>
            </w:r>
            <w:r w:rsidRPr="002D5DC9">
              <w:rPr>
                <w:rFonts w:ascii="Arial" w:hAnsi="Arial" w:cs="Arial"/>
                <w:noProof/>
              </w:rPr>
              <w:t xml:space="preserve"> 44259, to equip educators for effective literacy instruction through activities, curated resources, and expert-led sessions on evidence-based means of teaching foundational skills, phonological awareness, phonics, word recognition, and fluency to all pupils, including tiered supports for </w:t>
            </w:r>
            <w:r>
              <w:rPr>
                <w:rFonts w:ascii="Arial" w:hAnsi="Arial" w:cs="Arial"/>
                <w:noProof/>
              </w:rPr>
              <w:t xml:space="preserve">English learners </w:t>
            </w:r>
            <w:r w:rsidRPr="002D5DC9">
              <w:rPr>
                <w:rFonts w:ascii="Arial" w:hAnsi="Arial" w:cs="Arial"/>
                <w:noProof/>
              </w:rPr>
              <w:t>and students with reading difficulties and exceptional needs. Course 1 builds educators’ knowledge of evidence-based literacy instruction. Drawing on research from leading experts, participants will gain a comprehensive understanding of how proficient readers and writers develop. Course 2 provides an in-depth examination of assessments, reading difficulties, and pertinent legal frameworks for educators, all of which influence instructional decision-making. Course 3 builds on previous courses with opportunities to analyze and apply the principles of Structured Literacy to implement effective literacy instruction.</w:t>
            </w:r>
          </w:p>
        </w:tc>
      </w:tr>
      <w:tr w:rsidR="00DC0B8C" w:rsidRPr="009529EF" w14:paraId="75CF67F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7F4" w14:textId="77777777" w:rsidR="00DC0B8C" w:rsidRDefault="00DC0B8C"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7F5" w14:textId="77777777" w:rsidR="00DC0B8C" w:rsidRPr="00F6275D" w:rsidRDefault="00DC0B8C" w:rsidP="00106D84">
            <w:pPr>
              <w:spacing w:after="240"/>
              <w:ind w:left="1"/>
              <w:rPr>
                <w:rFonts w:ascii="Arial" w:hAnsi="Arial" w:cs="Arial"/>
              </w:rPr>
            </w:pPr>
            <w:r w:rsidRPr="002D5DC9">
              <w:rPr>
                <w:rFonts w:ascii="Arial" w:hAnsi="Arial" w:cs="Arial"/>
                <w:noProof/>
              </w:rPr>
              <w:t xml:space="preserve">Science of Reading: The Learning Lab utilizes a flexible format, delivered entirely online through a 24/7 accessible digital platform. Participants access three courses of structured content, including Learning Lab lectures, Classroom Spotlights, and podcast excerpts, asynchronously within a one-year timeframe. The coursework is completed through multiple media formats, application exercises, lesson annotations, classroom observations, and Learning Lab notebook reflections. While the program is independent, it includes built-in collaborative opportunities in the form of application exercises with educators’ real-world context and colleagues. Synchronous adaptations could be developed by instructional leaders using the program as material in </w:t>
            </w:r>
            <w:r>
              <w:rPr>
                <w:rFonts w:ascii="Arial" w:hAnsi="Arial" w:cs="Arial"/>
                <w:noProof/>
              </w:rPr>
              <w:t>professional learning community</w:t>
            </w:r>
            <w:r w:rsidRPr="002D5DC9">
              <w:rPr>
                <w:rFonts w:ascii="Arial" w:hAnsi="Arial" w:cs="Arial"/>
                <w:noProof/>
              </w:rPr>
              <w:t xml:space="preserve"> or faculty meetings. For an additional cost, the program can be enhanced with live virtual or on-site sessions led by Amplify's certified facilitators, which provides schools customization for diverse school contexts and scheduling needs.</w:t>
            </w:r>
          </w:p>
        </w:tc>
      </w:tr>
      <w:tr w:rsidR="00DC0B8C" w:rsidRPr="00F6275D" w14:paraId="75CF67F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7F7" w14:textId="77777777" w:rsidR="00DC0B8C" w:rsidRPr="00F6275D" w:rsidRDefault="00DC0B8C"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7F8" w14:textId="77777777" w:rsidR="00DC0B8C" w:rsidRPr="00F6275D" w:rsidRDefault="00DC0B8C" w:rsidP="3C4C67CA">
            <w:pPr>
              <w:spacing w:after="240"/>
              <w:ind w:left="1"/>
              <w:rPr>
                <w:rFonts w:ascii="Arial" w:hAnsi="Arial" w:cs="Arial"/>
              </w:rPr>
            </w:pPr>
            <w:r w:rsidRPr="002D5DC9">
              <w:rPr>
                <w:rFonts w:ascii="Arial" w:hAnsi="Arial" w:cs="Arial"/>
                <w:noProof/>
              </w:rPr>
              <w:t>Participants will enjoy flexibility to complete an estimated 80 hours of online, self-paced learning (20–25 hours per course, plus a pre and post assessment) on an easy-to-navigate platform. This subscription includes an individual seat to the course, where you’ll be able to access and revisit the course as needed for up to one year.</w:t>
            </w:r>
          </w:p>
        </w:tc>
      </w:tr>
      <w:tr w:rsidR="00DC0B8C" w:rsidRPr="00F6275D" w14:paraId="75CF680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7FA" w14:textId="77777777" w:rsidR="00DC0B8C" w:rsidRPr="00F6275D" w:rsidRDefault="00DC0B8C"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7FB" w14:textId="77777777" w:rsidR="00DC0B8C" w:rsidRDefault="00DC0B8C" w:rsidP="000F30F8">
            <w:pPr>
              <w:ind w:left="1"/>
              <w:rPr>
                <w:rFonts w:ascii="Arial" w:eastAsia="Times New Roman" w:hAnsi="Arial" w:cs="Arial"/>
                <w:noProof/>
              </w:rPr>
            </w:pPr>
            <w:r w:rsidRPr="002D5DC9">
              <w:rPr>
                <w:rFonts w:ascii="Arial" w:eastAsia="Times New Roman" w:hAnsi="Arial" w:cs="Arial"/>
                <w:noProof/>
              </w:rPr>
              <w:t>A subscription to Science of Reading: The Learning Lab for an individual seat to the course gives you access and the ability to revisit the course as needed for up to one year. Organizations can purchase by contacting an Amplify sales representative.</w:t>
            </w:r>
          </w:p>
          <w:p w14:paraId="75CF67FC" w14:textId="77777777" w:rsidR="00DC0B8C" w:rsidRDefault="00DC0B8C" w:rsidP="000F30F8">
            <w:pPr>
              <w:ind w:left="1"/>
              <w:rPr>
                <w:rFonts w:ascii="Arial" w:eastAsia="Times New Roman" w:hAnsi="Arial" w:cs="Arial"/>
                <w:noProof/>
              </w:rPr>
            </w:pPr>
            <w:r w:rsidRPr="002D5DC9">
              <w:rPr>
                <w:rFonts w:ascii="Arial" w:eastAsia="Times New Roman" w:hAnsi="Arial" w:cs="Arial"/>
                <w:noProof/>
              </w:rPr>
              <w:t>Course 1: $79</w:t>
            </w:r>
          </w:p>
          <w:p w14:paraId="75CF67FD" w14:textId="77777777" w:rsidR="00DC0B8C" w:rsidRDefault="00DC0B8C" w:rsidP="000F30F8">
            <w:pPr>
              <w:ind w:left="1"/>
              <w:rPr>
                <w:rFonts w:ascii="Arial" w:eastAsia="Times New Roman" w:hAnsi="Arial" w:cs="Arial"/>
                <w:noProof/>
              </w:rPr>
            </w:pPr>
            <w:r w:rsidRPr="002D5DC9">
              <w:rPr>
                <w:rFonts w:ascii="Arial" w:eastAsia="Times New Roman" w:hAnsi="Arial" w:cs="Arial"/>
                <w:noProof/>
              </w:rPr>
              <w:t xml:space="preserve">Course 2: $79 </w:t>
            </w:r>
          </w:p>
          <w:p w14:paraId="75CF67FE" w14:textId="77777777" w:rsidR="00DC0B8C" w:rsidRDefault="00DC0B8C" w:rsidP="000F30F8">
            <w:pPr>
              <w:ind w:left="1"/>
              <w:rPr>
                <w:rFonts w:ascii="Arial" w:eastAsia="Times New Roman" w:hAnsi="Arial" w:cs="Arial"/>
                <w:noProof/>
              </w:rPr>
            </w:pPr>
            <w:r w:rsidRPr="002D5DC9">
              <w:rPr>
                <w:rFonts w:ascii="Arial" w:eastAsia="Times New Roman" w:hAnsi="Arial" w:cs="Arial"/>
                <w:noProof/>
              </w:rPr>
              <w:t>Course</w:t>
            </w:r>
            <w:r>
              <w:rPr>
                <w:rFonts w:ascii="Arial" w:eastAsia="Times New Roman" w:hAnsi="Arial" w:cs="Arial"/>
                <w:noProof/>
              </w:rPr>
              <w:t xml:space="preserve"> </w:t>
            </w:r>
            <w:r w:rsidRPr="002D5DC9">
              <w:rPr>
                <w:rFonts w:ascii="Arial" w:eastAsia="Times New Roman" w:hAnsi="Arial" w:cs="Arial"/>
                <w:noProof/>
              </w:rPr>
              <w:t xml:space="preserve">3: $79 </w:t>
            </w:r>
          </w:p>
          <w:p w14:paraId="75CF67FF" w14:textId="77777777" w:rsidR="00DC0B8C" w:rsidRPr="00F6275D" w:rsidRDefault="00DC0B8C" w:rsidP="000F30F8">
            <w:pPr>
              <w:ind w:left="1"/>
              <w:rPr>
                <w:rFonts w:ascii="Arial" w:eastAsia="Times New Roman" w:hAnsi="Arial" w:cs="Arial"/>
                <w:noProof/>
              </w:rPr>
            </w:pPr>
            <w:r w:rsidRPr="002D5DC9">
              <w:rPr>
                <w:rFonts w:ascii="Arial" w:eastAsia="Times New Roman" w:hAnsi="Arial" w:cs="Arial"/>
                <w:noProof/>
              </w:rPr>
              <w:t>Bundle of Courses 1</w:t>
            </w:r>
            <w:r>
              <w:rPr>
                <w:rFonts w:ascii="Arial" w:eastAsia="Times New Roman" w:hAnsi="Arial" w:cs="Arial"/>
                <w:noProof/>
              </w:rPr>
              <w:t>–</w:t>
            </w:r>
            <w:r w:rsidRPr="002D5DC9">
              <w:rPr>
                <w:rFonts w:ascii="Arial" w:eastAsia="Times New Roman" w:hAnsi="Arial" w:cs="Arial"/>
                <w:noProof/>
              </w:rPr>
              <w:t>3: $199</w:t>
            </w:r>
          </w:p>
        </w:tc>
      </w:tr>
      <w:tr w:rsidR="00DC0B8C" w:rsidRPr="00F6275D" w14:paraId="75CF680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01" w14:textId="77777777" w:rsidR="00DC0B8C" w:rsidRPr="00F6275D" w:rsidRDefault="00DC0B8C"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02" w14:textId="77777777" w:rsidR="00DC0B8C" w:rsidRPr="00F6275D" w:rsidRDefault="00DC0B8C" w:rsidP="00106D84">
            <w:pPr>
              <w:spacing w:after="240"/>
              <w:ind w:left="1"/>
              <w:rPr>
                <w:rFonts w:ascii="Arial" w:hAnsi="Arial" w:cs="Arial"/>
              </w:rPr>
            </w:pPr>
            <w:r w:rsidRPr="00887D4B">
              <w:rPr>
                <w:rFonts w:ascii="Arial" w:hAnsi="Arial" w:cs="Arial"/>
                <w:noProof/>
              </w:rPr>
              <w:t>https://amplify.com/</w:t>
            </w:r>
            <w:r>
              <w:rPr>
                <w:rFonts w:ascii="Arial" w:hAnsi="Arial" w:cs="Arial"/>
                <w:noProof/>
              </w:rPr>
              <w:t xml:space="preserve"> </w:t>
            </w:r>
          </w:p>
        </w:tc>
      </w:tr>
    </w:tbl>
    <w:p w14:paraId="75CF6804" w14:textId="77777777" w:rsidR="00DC0B8C" w:rsidRPr="00F6275D" w:rsidRDefault="00DC0B8C"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5CF6805" w14:textId="77777777" w:rsidR="00DC0B8C" w:rsidRPr="00F6275D" w:rsidRDefault="00DC0B8C" w:rsidP="00DC0B8C">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Strong Evidence indicates the submission fully and clearly addressed the criterion</w:t>
      </w:r>
    </w:p>
    <w:p w14:paraId="75CF6806" w14:textId="77777777" w:rsidR="00DC0B8C" w:rsidRPr="00F6275D" w:rsidRDefault="00DC0B8C" w:rsidP="00DC0B8C">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5CF6807" w14:textId="77777777" w:rsidR="00DC0B8C" w:rsidRPr="00F6275D" w:rsidRDefault="00DC0B8C" w:rsidP="00DC0B8C">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5CF6808" w14:textId="77777777" w:rsidR="00DC0B8C" w:rsidRPr="00F6275D" w:rsidRDefault="00DC0B8C"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0B8C" w:rsidRPr="00F6275D" w14:paraId="75CF680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09"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0A"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t>Level of Evidence</w:t>
            </w:r>
          </w:p>
        </w:tc>
      </w:tr>
      <w:tr w:rsidR="00DC0B8C" w:rsidRPr="00F6275D" w14:paraId="75CF680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0C" w14:textId="77777777" w:rsidR="00DC0B8C" w:rsidRPr="00F6275D" w:rsidRDefault="00DC0B8C"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0D"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1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0F" w14:textId="77777777" w:rsidR="00DC0B8C" w:rsidRPr="00F6275D" w:rsidRDefault="00DC0B8C"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10" w14:textId="77777777" w:rsidR="00DC0B8C" w:rsidRPr="00F6275D" w:rsidRDefault="00DC0B8C"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DC0B8C" w:rsidRPr="00F6275D" w14:paraId="75CF681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12" w14:textId="77777777" w:rsidR="00DC0B8C" w:rsidRPr="00F6275D" w:rsidRDefault="00DC0B8C"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13" w14:textId="77777777" w:rsidR="00DC0B8C" w:rsidRPr="00F6275D" w:rsidRDefault="00DC0B8C"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C0B8C" w:rsidRPr="00F6275D" w14:paraId="75CF681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15" w14:textId="77777777" w:rsidR="00DC0B8C" w:rsidRPr="00F6275D" w:rsidRDefault="00DC0B8C"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16" w14:textId="77777777" w:rsidR="00DC0B8C" w:rsidRPr="00F6275D" w:rsidRDefault="00DC0B8C"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75CF6818" w14:textId="77777777" w:rsidR="00DC0B8C" w:rsidRPr="00F6275D" w:rsidRDefault="00DC0B8C"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0B8C" w:rsidRPr="00F6275D" w14:paraId="75CF681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19"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1A"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t>Level of Evidence</w:t>
            </w:r>
          </w:p>
        </w:tc>
      </w:tr>
      <w:tr w:rsidR="00DC0B8C" w:rsidRPr="00F6275D" w14:paraId="75CF681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1C" w14:textId="77777777" w:rsidR="00DC0B8C" w:rsidRPr="00F6275D" w:rsidRDefault="00DC0B8C"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1D" w14:textId="77777777" w:rsidR="00DC0B8C" w:rsidRPr="00F6275D" w:rsidRDefault="00DC0B8C" w:rsidP="00C332CB">
            <w:pPr>
              <w:spacing w:after="160"/>
              <w:ind w:left="1"/>
              <w:rPr>
                <w:rFonts w:ascii="Arial" w:hAnsi="Arial" w:cs="Arial"/>
              </w:rPr>
            </w:pPr>
            <w:r w:rsidRPr="002D5DC9">
              <w:rPr>
                <w:rFonts w:ascii="Arial" w:hAnsi="Arial" w:cs="Arial"/>
                <w:noProof/>
              </w:rPr>
              <w:t>Minimal Evidence</w:t>
            </w:r>
          </w:p>
        </w:tc>
      </w:tr>
      <w:tr w:rsidR="00DC0B8C" w:rsidRPr="00F6275D" w14:paraId="75CF682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1F" w14:textId="77777777" w:rsidR="00DC0B8C" w:rsidRPr="00F6275D" w:rsidRDefault="00DC0B8C"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0" w14:textId="77777777" w:rsidR="00DC0B8C" w:rsidRPr="00F6275D" w:rsidRDefault="00DC0B8C"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DC0B8C" w:rsidRPr="00F6275D" w14:paraId="75CF682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22"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3"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2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25" w14:textId="77777777" w:rsidR="00DC0B8C" w:rsidRPr="00F6275D" w:rsidRDefault="00DC0B8C"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6"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2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28" w14:textId="77777777" w:rsidR="00DC0B8C" w:rsidRPr="00F6275D" w:rsidRDefault="00DC0B8C" w:rsidP="00C332CB">
            <w:pPr>
              <w:spacing w:after="160" w:line="278" w:lineRule="auto"/>
              <w:rPr>
                <w:rFonts w:ascii="Arial" w:eastAsia="Arial" w:hAnsi="Arial" w:cs="Arial"/>
              </w:rPr>
            </w:pPr>
            <w:r w:rsidRPr="00F6275D">
              <w:rPr>
                <w:rFonts w:ascii="Arial" w:hAnsi="Arial" w:cs="Arial"/>
                <w:color w:val="333333"/>
              </w:rPr>
              <w:lastRenderedPageBreak/>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9"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2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2B" w14:textId="77777777" w:rsidR="00DC0B8C" w:rsidRPr="00F6275D" w:rsidRDefault="00DC0B8C"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C"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3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2E"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2F"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3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31"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32" w14:textId="77777777" w:rsidR="00DC0B8C" w:rsidRPr="00F6275D" w:rsidRDefault="00DC0B8C" w:rsidP="00C332CB">
            <w:pPr>
              <w:spacing w:after="160"/>
              <w:ind w:left="1"/>
              <w:rPr>
                <w:rFonts w:ascii="Arial" w:hAnsi="Arial" w:cs="Arial"/>
              </w:rPr>
            </w:pPr>
            <w:r w:rsidRPr="002D5DC9">
              <w:rPr>
                <w:rFonts w:ascii="Arial" w:hAnsi="Arial" w:cs="Arial"/>
                <w:noProof/>
              </w:rPr>
              <w:t>Minimal Evidence</w:t>
            </w:r>
          </w:p>
        </w:tc>
      </w:tr>
      <w:tr w:rsidR="00DC0B8C" w:rsidRPr="00F6275D" w14:paraId="75CF683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34"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35" w14:textId="77777777" w:rsidR="00DC0B8C" w:rsidRPr="00F6275D" w:rsidRDefault="00DC0B8C" w:rsidP="00C332CB">
            <w:pPr>
              <w:spacing w:after="160"/>
              <w:ind w:left="1"/>
              <w:rPr>
                <w:rFonts w:ascii="Arial" w:hAnsi="Arial" w:cs="Arial"/>
              </w:rPr>
            </w:pPr>
            <w:r w:rsidRPr="002D5DC9">
              <w:rPr>
                <w:rFonts w:ascii="Arial" w:hAnsi="Arial" w:cs="Arial"/>
                <w:noProof/>
              </w:rPr>
              <w:t>Minimal Evidence</w:t>
            </w:r>
          </w:p>
        </w:tc>
      </w:tr>
      <w:tr w:rsidR="00DC0B8C" w:rsidRPr="00F6275D" w14:paraId="75CF683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37" w14:textId="77777777" w:rsidR="00DC0B8C" w:rsidRPr="00F6275D" w:rsidRDefault="00DC0B8C"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38" w14:textId="77777777" w:rsidR="00DC0B8C" w:rsidRPr="00F6275D" w:rsidRDefault="00DC0B8C" w:rsidP="00C332CB">
            <w:pPr>
              <w:spacing w:after="160"/>
              <w:ind w:left="1"/>
              <w:rPr>
                <w:rFonts w:ascii="Arial" w:hAnsi="Arial" w:cs="Arial"/>
              </w:rPr>
            </w:pPr>
            <w:r w:rsidRPr="002D5DC9">
              <w:rPr>
                <w:rFonts w:ascii="Arial" w:hAnsi="Arial" w:cs="Arial"/>
                <w:noProof/>
              </w:rPr>
              <w:t>Minimal Evidence</w:t>
            </w:r>
          </w:p>
        </w:tc>
      </w:tr>
      <w:tr w:rsidR="00DC0B8C" w:rsidRPr="00F6275D" w14:paraId="75CF68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3A"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3B" w14:textId="77777777" w:rsidR="00DC0B8C" w:rsidRPr="00F6275D" w:rsidRDefault="00DC0B8C" w:rsidP="00C332CB">
            <w:pPr>
              <w:spacing w:after="160"/>
              <w:ind w:left="1"/>
              <w:rPr>
                <w:rFonts w:ascii="Arial" w:hAnsi="Arial" w:cs="Arial"/>
              </w:rPr>
            </w:pPr>
            <w:r w:rsidRPr="002D5DC9">
              <w:rPr>
                <w:rFonts w:ascii="Arial" w:hAnsi="Arial" w:cs="Arial"/>
                <w:noProof/>
              </w:rPr>
              <w:t>Minimal Evidence</w:t>
            </w:r>
          </w:p>
        </w:tc>
      </w:tr>
      <w:tr w:rsidR="00DC0B8C" w:rsidRPr="00F6275D" w14:paraId="75CF68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3D" w14:textId="77777777" w:rsidR="00DC0B8C" w:rsidRPr="00F6275D" w:rsidRDefault="00DC0B8C"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3E"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40" w14:textId="77777777" w:rsidR="00DC0B8C" w:rsidRPr="00F6275D" w:rsidRDefault="00DC0B8C"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41"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r w:rsidR="00DC0B8C" w:rsidRPr="00F6275D" w14:paraId="75CF68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43" w14:textId="77777777" w:rsidR="00DC0B8C" w:rsidRPr="00F6275D" w:rsidRDefault="00DC0B8C"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44" w14:textId="77777777" w:rsidR="00DC0B8C" w:rsidRPr="00F6275D" w:rsidRDefault="00DC0B8C" w:rsidP="00C332CB">
            <w:pPr>
              <w:spacing w:after="160"/>
              <w:ind w:left="1"/>
              <w:rPr>
                <w:rFonts w:ascii="Arial" w:hAnsi="Arial" w:cs="Arial"/>
              </w:rPr>
            </w:pPr>
            <w:r w:rsidRPr="002D5DC9">
              <w:rPr>
                <w:rFonts w:ascii="Arial" w:hAnsi="Arial" w:cs="Arial"/>
                <w:noProof/>
              </w:rPr>
              <w:t>Moderate Evidence</w:t>
            </w:r>
          </w:p>
        </w:tc>
      </w:tr>
    </w:tbl>
    <w:p w14:paraId="75CF6846" w14:textId="5F40AF62" w:rsidR="00DC0B8C" w:rsidRPr="00F6275D" w:rsidRDefault="00DC0B8C" w:rsidP="003A6302">
      <w:pPr>
        <w:pStyle w:val="Heading2"/>
        <w:ind w:left="0"/>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DC0B8C" w:rsidRPr="00F6275D" w14:paraId="75CF6849"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47"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5CF6848" w14:textId="77777777" w:rsidR="00DC0B8C" w:rsidRPr="00F6275D" w:rsidRDefault="00DC0B8C" w:rsidP="00C332CB">
            <w:pPr>
              <w:spacing w:after="160"/>
              <w:rPr>
                <w:rFonts w:ascii="Arial" w:hAnsi="Arial" w:cs="Arial"/>
                <w:b/>
                <w:bCs/>
              </w:rPr>
            </w:pPr>
            <w:r w:rsidRPr="00F6275D">
              <w:rPr>
                <w:rFonts w:ascii="Arial" w:hAnsi="Arial" w:cs="Arial"/>
                <w:b/>
                <w:bCs/>
                <w:color w:val="FFFFFF" w:themeColor="background1"/>
              </w:rPr>
              <w:t>Level of Evidence</w:t>
            </w:r>
          </w:p>
        </w:tc>
      </w:tr>
      <w:tr w:rsidR="00DC0B8C" w:rsidRPr="00191DCA" w14:paraId="75CF684D"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5CF684A" w14:textId="77777777" w:rsidR="00DC0B8C" w:rsidRPr="00F6275D" w:rsidRDefault="00DC0B8C"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5CF684B" w14:textId="77777777" w:rsidR="00DC0B8C" w:rsidRPr="00F6275D" w:rsidRDefault="00DC0B8C"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F684C" w14:textId="77777777" w:rsidR="00DC0B8C" w:rsidRPr="0012716A" w:rsidRDefault="00DC0B8C" w:rsidP="00C332CB">
            <w:pPr>
              <w:spacing w:after="160"/>
              <w:ind w:left="1"/>
              <w:rPr>
                <w:rFonts w:ascii="Arial" w:hAnsi="Arial" w:cs="Arial"/>
              </w:rPr>
            </w:pPr>
            <w:r w:rsidRPr="002D5DC9">
              <w:rPr>
                <w:rFonts w:ascii="Arial" w:hAnsi="Arial" w:cs="Arial"/>
                <w:noProof/>
              </w:rPr>
              <w:t>Not Applicable</w:t>
            </w:r>
          </w:p>
        </w:tc>
      </w:tr>
    </w:tbl>
    <w:p w14:paraId="75CF684F" w14:textId="77777777" w:rsidR="00296B00" w:rsidRDefault="00296B00" w:rsidP="003A6302"/>
    <w:sectPr w:rsidR="00296B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5AFD" w14:textId="77777777" w:rsidR="005D5FB0" w:rsidRDefault="005D5FB0" w:rsidP="00F41CFA">
      <w:pPr>
        <w:spacing w:after="0" w:line="240" w:lineRule="auto"/>
      </w:pPr>
      <w:r>
        <w:separator/>
      </w:r>
    </w:p>
  </w:endnote>
  <w:endnote w:type="continuationSeparator" w:id="0">
    <w:p w14:paraId="3DD637A6" w14:textId="77777777" w:rsidR="005D5FB0" w:rsidRDefault="005D5FB0" w:rsidP="00F4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D1C48" w14:textId="77777777" w:rsidR="005D5FB0" w:rsidRDefault="005D5FB0" w:rsidP="00F41CFA">
      <w:pPr>
        <w:spacing w:after="0" w:line="240" w:lineRule="auto"/>
      </w:pPr>
      <w:r>
        <w:separator/>
      </w:r>
    </w:p>
  </w:footnote>
  <w:footnote w:type="continuationSeparator" w:id="0">
    <w:p w14:paraId="57BD299B" w14:textId="77777777" w:rsidR="005D5FB0" w:rsidRDefault="005D5FB0" w:rsidP="00F41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8C"/>
    <w:rsid w:val="00126EE5"/>
    <w:rsid w:val="00172A3E"/>
    <w:rsid w:val="00296B00"/>
    <w:rsid w:val="003A6302"/>
    <w:rsid w:val="005D5FB0"/>
    <w:rsid w:val="009A6EC4"/>
    <w:rsid w:val="00DC0B8C"/>
    <w:rsid w:val="00F41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67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B8C"/>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DC0B8C"/>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0B8C"/>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DC0B8C"/>
    <w:rPr>
      <w:rFonts w:ascii="Arial" w:eastAsia="Calibri" w:hAnsi="Arial" w:cs="Arial"/>
      <w:b/>
      <w:bCs/>
    </w:rPr>
  </w:style>
  <w:style w:type="table" w:customStyle="1" w:styleId="TableGrid">
    <w:name w:val="TableGrid"/>
    <w:rsid w:val="00DC0B8C"/>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C0B8C"/>
    <w:rPr>
      <w:color w:val="467886" w:themeColor="hyperlink"/>
      <w:u w:val="single"/>
    </w:rPr>
  </w:style>
  <w:style w:type="paragraph" w:styleId="ListParagraph">
    <w:name w:val="List Paragraph"/>
    <w:basedOn w:val="Normal"/>
    <w:uiPriority w:val="34"/>
    <w:qFormat/>
    <w:rsid w:val="00DC0B8C"/>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F41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CFA"/>
  </w:style>
  <w:style w:type="paragraph" w:styleId="Footer">
    <w:name w:val="footer"/>
    <w:basedOn w:val="Normal"/>
    <w:link w:val="FooterChar"/>
    <w:uiPriority w:val="99"/>
    <w:unhideWhenUsed/>
    <w:rsid w:val="00F41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Science of Reading: The Learning Lab by Amplify - Professional Learning (CA Dept of Education)</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of Reading: The Learning Lab by Amplify - Professional Learning (CA Dept of Education)</dc:title>
  <dc:subject>Program memo for the three-course Amplify Education series covering foundations, advanced topics, and applied structured literacy.</dc:subject>
  <dc:creator/>
  <cp:keywords/>
  <dc:description/>
  <cp:lastModifiedBy/>
  <cp:revision>1</cp:revision>
  <dcterms:created xsi:type="dcterms:W3CDTF">2026-08-18T18:21:00Z</dcterms:created>
  <dcterms:modified xsi:type="dcterms:W3CDTF">2026-08-18T18:29:00Z</dcterms:modified>
</cp:coreProperties>
</file>