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85B6" w14:textId="77777777" w:rsidR="00F623C6" w:rsidRDefault="00F623C6"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AE785B7" w14:textId="77777777" w:rsidR="00F623C6" w:rsidRPr="00F05864" w:rsidRDefault="00F623C6"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F623C6" w:rsidRPr="009529EF" w14:paraId="0AE785BA"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AE785B8" w14:textId="77777777" w:rsidR="00F623C6" w:rsidRPr="009529EF" w:rsidRDefault="00F623C6"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AE785B9" w14:textId="77777777" w:rsidR="00F623C6" w:rsidRPr="009529EF" w:rsidRDefault="00F623C6" w:rsidP="00C332CB">
            <w:pPr>
              <w:spacing w:after="160"/>
              <w:rPr>
                <w:rFonts w:ascii="Arial" w:hAnsi="Arial" w:cs="Arial"/>
                <w:b/>
                <w:bCs/>
              </w:rPr>
            </w:pPr>
            <w:r>
              <w:rPr>
                <w:rFonts w:ascii="Arial" w:hAnsi="Arial" w:cs="Arial"/>
                <w:b/>
                <w:bCs/>
                <w:color w:val="FFFFFF" w:themeColor="background1"/>
              </w:rPr>
              <w:t>Program Name</w:t>
            </w:r>
          </w:p>
        </w:tc>
      </w:tr>
      <w:tr w:rsidR="00F623C6" w:rsidRPr="009529EF" w14:paraId="0AE785BD"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E785BB" w14:textId="77777777" w:rsidR="00F623C6" w:rsidRPr="00F6275D" w:rsidRDefault="00F623C6" w:rsidP="00C332CB">
            <w:pPr>
              <w:spacing w:after="160"/>
              <w:rPr>
                <w:rFonts w:ascii="Arial" w:hAnsi="Arial" w:cs="Arial"/>
              </w:rPr>
            </w:pPr>
            <w:r w:rsidRPr="002D5DC9">
              <w:rPr>
                <w:rFonts w:ascii="Arial" w:hAnsi="Arial" w:cs="Arial"/>
                <w:noProof/>
              </w:rPr>
              <w:t>California Association for Bilingual Education (CABE)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785BC" w14:textId="77777777" w:rsidR="00F623C6" w:rsidRPr="00F6275D" w:rsidRDefault="00F623C6" w:rsidP="00C332CB">
            <w:pPr>
              <w:spacing w:after="160"/>
              <w:ind w:left="1"/>
              <w:rPr>
                <w:rFonts w:ascii="Arial" w:hAnsi="Arial" w:cs="Arial"/>
              </w:rPr>
            </w:pPr>
            <w:r w:rsidRPr="002D5DC9">
              <w:rPr>
                <w:rFonts w:ascii="Arial" w:hAnsi="Arial" w:cs="Arial"/>
                <w:noProof/>
              </w:rPr>
              <w:t>Biliteracy, Equity, Alignment, Comprehension, Oral Language Navigational Systems (BEACONS) Comprehensive Literacy Professional Learning Program</w:t>
            </w:r>
          </w:p>
        </w:tc>
      </w:tr>
    </w:tbl>
    <w:p w14:paraId="0AE785BE" w14:textId="77777777" w:rsidR="00F623C6" w:rsidRPr="009529EF" w:rsidRDefault="00F623C6"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AE785BF" w14:textId="77777777" w:rsidR="00F623C6" w:rsidRPr="009529EF" w:rsidRDefault="00F623C6"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AE785C0" w14:textId="77777777" w:rsidR="00F623C6" w:rsidRPr="009529EF" w:rsidRDefault="00F623C6"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AE785C1" w14:textId="77777777" w:rsidR="00F623C6" w:rsidRPr="009529EF" w:rsidRDefault="00F623C6"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AE785C2" w14:textId="77777777" w:rsidR="00F623C6" w:rsidRPr="005F7169" w:rsidRDefault="00F623C6"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F623C6" w:rsidRPr="009529EF" w14:paraId="0AE785C5"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C3" w14:textId="77777777" w:rsidR="00F623C6" w:rsidRPr="009529EF" w:rsidRDefault="00F623C6"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C4" w14:textId="77777777" w:rsidR="00F623C6" w:rsidRPr="009529EF" w:rsidRDefault="00F623C6"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F623C6" w:rsidRPr="009529EF" w14:paraId="0AE785C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C6" w14:textId="77777777" w:rsidR="00F623C6" w:rsidRPr="00106D84" w:rsidRDefault="00F623C6"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C7" w14:textId="77777777" w:rsidR="00F623C6" w:rsidRPr="00F6275D" w:rsidRDefault="00F623C6" w:rsidP="3C4C67CA">
            <w:pPr>
              <w:spacing w:after="240"/>
              <w:ind w:left="1"/>
              <w:rPr>
                <w:rFonts w:ascii="Arial" w:hAnsi="Arial" w:cs="Arial"/>
              </w:rPr>
            </w:pPr>
            <w:r w:rsidRPr="002D5DC9">
              <w:rPr>
                <w:rFonts w:ascii="Arial" w:hAnsi="Arial" w:cs="Arial"/>
                <w:noProof/>
              </w:rPr>
              <w:t>BEACONS is professional learning program strengthening TK–5 literacy for English proficient and multilingual learners in English-medium and biliteracy classrooms. Grounded in the California E</w:t>
            </w:r>
            <w:r>
              <w:rPr>
                <w:rFonts w:ascii="Arial" w:hAnsi="Arial" w:cs="Arial"/>
                <w:noProof/>
              </w:rPr>
              <w:t xml:space="preserve">nglish </w:t>
            </w:r>
            <w:r w:rsidRPr="002D5DC9">
              <w:rPr>
                <w:rFonts w:ascii="Arial" w:hAnsi="Arial" w:cs="Arial"/>
                <w:noProof/>
              </w:rPr>
              <w:t>L</w:t>
            </w:r>
            <w:r>
              <w:rPr>
                <w:rFonts w:ascii="Arial" w:hAnsi="Arial" w:cs="Arial"/>
                <w:noProof/>
              </w:rPr>
              <w:t xml:space="preserve">anguage </w:t>
            </w:r>
            <w:r w:rsidRPr="002D5DC9">
              <w:rPr>
                <w:rFonts w:ascii="Arial" w:hAnsi="Arial" w:cs="Arial"/>
                <w:noProof/>
              </w:rPr>
              <w:t>A</w:t>
            </w:r>
            <w:r>
              <w:rPr>
                <w:rFonts w:ascii="Arial" w:hAnsi="Arial" w:cs="Arial"/>
                <w:noProof/>
              </w:rPr>
              <w:t>rts</w:t>
            </w:r>
            <w:r w:rsidRPr="002D5DC9">
              <w:rPr>
                <w:rFonts w:ascii="Arial" w:hAnsi="Arial" w:cs="Arial"/>
                <w:noProof/>
              </w:rPr>
              <w:t>/E</w:t>
            </w:r>
            <w:r>
              <w:rPr>
                <w:rFonts w:ascii="Arial" w:hAnsi="Arial" w:cs="Arial"/>
                <w:noProof/>
              </w:rPr>
              <w:t xml:space="preserve">nglish </w:t>
            </w:r>
            <w:r w:rsidRPr="002D5DC9">
              <w:rPr>
                <w:rFonts w:ascii="Arial" w:hAnsi="Arial" w:cs="Arial"/>
                <w:noProof/>
              </w:rPr>
              <w:t>L</w:t>
            </w:r>
            <w:r>
              <w:rPr>
                <w:rFonts w:ascii="Arial" w:hAnsi="Arial" w:cs="Arial"/>
                <w:noProof/>
              </w:rPr>
              <w:t xml:space="preserve">anguage </w:t>
            </w:r>
            <w:r w:rsidRPr="002D5DC9">
              <w:rPr>
                <w:rFonts w:ascii="Arial" w:hAnsi="Arial" w:cs="Arial"/>
                <w:noProof/>
              </w:rPr>
              <w:t>D</w:t>
            </w:r>
            <w:r>
              <w:rPr>
                <w:rFonts w:ascii="Arial" w:hAnsi="Arial" w:cs="Arial"/>
                <w:noProof/>
              </w:rPr>
              <w:t>evelopment</w:t>
            </w:r>
            <w:r w:rsidRPr="002D5DC9">
              <w:rPr>
                <w:rFonts w:ascii="Arial" w:hAnsi="Arial" w:cs="Arial"/>
                <w:noProof/>
              </w:rPr>
              <w:t xml:space="preserve"> Framework, California Dyslexia Guidelines, and the English Learner Roadmap, it integrates explicit foundational skills, meaning-making, academic language, effective expression, and content knowledge. An adapted 6E cycle—Engage, Explore, Explain, Elaborate, Evaluate, Extend—intentionally includes Extend to promote English language development and cross-linguistic transfer. Educators implement structured, culturally responsive, language-rich literacy tasks supported by M</w:t>
            </w:r>
            <w:r>
              <w:rPr>
                <w:rFonts w:ascii="Arial" w:hAnsi="Arial" w:cs="Arial"/>
                <w:noProof/>
              </w:rPr>
              <w:t xml:space="preserve">ulti-Tiered System of Support </w:t>
            </w:r>
            <w:r w:rsidRPr="002D5DC9">
              <w:rPr>
                <w:rFonts w:ascii="Arial" w:hAnsi="Arial" w:cs="Arial"/>
                <w:noProof/>
              </w:rPr>
              <w:t>aligned data cycles, multilingual learner shadowing, and job-embedded coaching to ensure intellectually rich, high-quality literacy instruction for all students.</w:t>
            </w:r>
          </w:p>
        </w:tc>
      </w:tr>
      <w:tr w:rsidR="00F623C6" w:rsidRPr="009529EF" w14:paraId="0AE785C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C9" w14:textId="77777777" w:rsidR="00F623C6" w:rsidRDefault="00F623C6"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CA" w14:textId="77777777" w:rsidR="00F623C6" w:rsidRPr="00F6275D" w:rsidRDefault="00F623C6" w:rsidP="00106D84">
            <w:pPr>
              <w:spacing w:after="240"/>
              <w:ind w:left="1"/>
              <w:rPr>
                <w:rFonts w:ascii="Arial" w:hAnsi="Arial" w:cs="Arial"/>
              </w:rPr>
            </w:pPr>
            <w:r w:rsidRPr="002D5DC9">
              <w:rPr>
                <w:rFonts w:ascii="Arial" w:hAnsi="Arial" w:cs="Arial"/>
                <w:noProof/>
              </w:rPr>
              <w:t xml:space="preserve">The BEACONS program is structured as a year-long cohort model with the option of in-person, virtual, or hybrid sessions. Core learning consists of </w:t>
            </w:r>
            <w:r>
              <w:rPr>
                <w:rFonts w:ascii="Arial" w:hAnsi="Arial" w:cs="Arial"/>
                <w:noProof/>
              </w:rPr>
              <w:t>eight</w:t>
            </w:r>
            <w:r w:rsidRPr="002D5DC9">
              <w:rPr>
                <w:rFonts w:ascii="Arial" w:hAnsi="Arial" w:cs="Arial"/>
                <w:noProof/>
              </w:rPr>
              <w:t xml:space="preserve"> full-day synchronous sessions that include content delivery, lesson planning, coaching and modeling, reflection loops, and implementation tasks. Sessions are delivered every </w:t>
            </w:r>
            <w:r>
              <w:rPr>
                <w:rFonts w:ascii="Arial" w:hAnsi="Arial" w:cs="Arial"/>
                <w:noProof/>
              </w:rPr>
              <w:t>two to four</w:t>
            </w:r>
            <w:r w:rsidRPr="002D5DC9">
              <w:rPr>
                <w:rFonts w:ascii="Arial" w:hAnsi="Arial" w:cs="Arial"/>
                <w:noProof/>
              </w:rPr>
              <w:t xml:space="preserve"> weeks as appropriate. Optional extension of data-driven coaching cycles, observations, co-teaching, demonstrations, or instructional rounds can be added. Participants complete independent tasks to be compiled as a portfolio. These tasks include 6E lesson design, interactive journals, student work analysis, multilingual learner shadowing, student work samples, etc. P</w:t>
            </w:r>
            <w:r>
              <w:rPr>
                <w:rFonts w:ascii="Arial" w:hAnsi="Arial" w:cs="Arial"/>
                <w:noProof/>
              </w:rPr>
              <w:t>rofessional Lerning Community</w:t>
            </w:r>
            <w:r w:rsidRPr="002D5DC9">
              <w:rPr>
                <w:rFonts w:ascii="Arial" w:hAnsi="Arial" w:cs="Arial"/>
                <w:noProof/>
              </w:rPr>
              <w:t>-based collaboration and structured reflection protocols are embedded throughout. All materials, diagnostic tools, and implementation guides are provided, or district adopted tools can be embedded. The program is responsive to district's time frame and initiatives.</w:t>
            </w:r>
          </w:p>
        </w:tc>
      </w:tr>
      <w:tr w:rsidR="00F623C6" w:rsidRPr="00F6275D" w14:paraId="0AE785C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CC" w14:textId="77777777" w:rsidR="00F623C6" w:rsidRPr="00F6275D" w:rsidRDefault="00F623C6"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CD" w14:textId="77777777" w:rsidR="00F623C6" w:rsidRPr="00F6275D" w:rsidRDefault="00F623C6" w:rsidP="3C4C67CA">
            <w:pPr>
              <w:spacing w:after="240"/>
              <w:ind w:left="1"/>
              <w:rPr>
                <w:rFonts w:ascii="Arial" w:hAnsi="Arial" w:cs="Arial"/>
              </w:rPr>
            </w:pPr>
            <w:r w:rsidRPr="002D5DC9">
              <w:rPr>
                <w:rFonts w:ascii="Arial" w:hAnsi="Arial" w:cs="Arial"/>
                <w:noProof/>
              </w:rPr>
              <w:t xml:space="preserve">The Core Cohort requires </w:t>
            </w:r>
            <w:r>
              <w:rPr>
                <w:rFonts w:ascii="Arial" w:hAnsi="Arial" w:cs="Arial"/>
                <w:noProof/>
              </w:rPr>
              <w:t>eight</w:t>
            </w:r>
            <w:r w:rsidRPr="002D5DC9">
              <w:rPr>
                <w:rFonts w:ascii="Arial" w:hAnsi="Arial" w:cs="Arial"/>
                <w:noProof/>
              </w:rPr>
              <w:t xml:space="preserve"> full-day professional learning sessions (approximately 48 hours). Optional coaching cycles add </w:t>
            </w:r>
            <w:r>
              <w:rPr>
                <w:rFonts w:ascii="Arial" w:hAnsi="Arial" w:cs="Arial"/>
                <w:noProof/>
              </w:rPr>
              <w:t>two</w:t>
            </w:r>
            <w:r w:rsidRPr="002D5DC9">
              <w:rPr>
                <w:rFonts w:ascii="Arial" w:hAnsi="Arial" w:cs="Arial"/>
                <w:noProof/>
              </w:rPr>
              <w:t>–</w:t>
            </w:r>
            <w:r>
              <w:rPr>
                <w:rFonts w:ascii="Arial" w:hAnsi="Arial" w:cs="Arial"/>
                <w:noProof/>
              </w:rPr>
              <w:t>four</w:t>
            </w:r>
            <w:r w:rsidRPr="002D5DC9">
              <w:rPr>
                <w:rFonts w:ascii="Arial" w:hAnsi="Arial" w:cs="Arial"/>
                <w:noProof/>
              </w:rPr>
              <w:t xml:space="preserve"> days (12–24 hours) of job-embedded support. Independent implementation tasks, lesson redesign, student data analysis, and reflection cycles require an additional estimated 20–30 hours across the year. Total time commitment ranges from approximately 68–100 hours depending on selected coaching intensity.</w:t>
            </w:r>
          </w:p>
        </w:tc>
      </w:tr>
      <w:tr w:rsidR="00F623C6" w:rsidRPr="00F6275D" w14:paraId="0AE785D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CF" w14:textId="77777777" w:rsidR="00F623C6" w:rsidRPr="00F6275D" w:rsidRDefault="00F623C6"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D0" w14:textId="77777777" w:rsidR="00F623C6" w:rsidRPr="00F6275D" w:rsidRDefault="00F623C6" w:rsidP="3C4C67CA">
            <w:pPr>
              <w:spacing w:after="240"/>
              <w:ind w:left="1"/>
              <w:rPr>
                <w:rFonts w:ascii="Arial" w:eastAsia="Times New Roman" w:hAnsi="Arial" w:cs="Arial"/>
              </w:rPr>
            </w:pPr>
            <w:r w:rsidRPr="002D5DC9">
              <w:rPr>
                <w:rFonts w:ascii="Arial" w:eastAsia="Times New Roman" w:hAnsi="Arial" w:cs="Arial"/>
                <w:noProof/>
              </w:rPr>
              <w:t>Pricing is structured by cohort size and level of support selected. The Core Cohort (</w:t>
            </w:r>
            <w:r>
              <w:rPr>
                <w:rFonts w:ascii="Arial" w:eastAsia="Times New Roman" w:hAnsi="Arial" w:cs="Arial"/>
                <w:noProof/>
              </w:rPr>
              <w:t>eight</w:t>
            </w:r>
            <w:r w:rsidRPr="002D5DC9">
              <w:rPr>
                <w:rFonts w:ascii="Arial" w:eastAsia="Times New Roman" w:hAnsi="Arial" w:cs="Arial"/>
                <w:noProof/>
              </w:rPr>
              <w:t xml:space="preserve"> days) is offered as a contracted service for a maximum of 40 participants. Additional costs are calculated according to number of participants beyond the maximum allocation, customizations of delivery and content, and travel demands. Comprehensive Cohort packages that include additional coaching cycles (observation, co-teaching, instructional rounds, or collaborative planning intensives) are calculated according to the customization of the support. Pricing includes context specific analysis, facilitator time, basic travel costs, core program materials, diagnostic tools, implementation guides, participant certificates, and impact analysis. District-level customization is available. Multi-site or multi-year contracts may include reduced per-participant costs. Detailed pricing schedules are provided upon request and aligned to </w:t>
            </w:r>
            <w:r>
              <w:rPr>
                <w:rFonts w:ascii="Arial" w:eastAsia="Times New Roman" w:hAnsi="Arial" w:cs="Arial"/>
                <w:noProof/>
              </w:rPr>
              <w:t>local educational agency</w:t>
            </w:r>
            <w:r w:rsidRPr="002D5DC9">
              <w:rPr>
                <w:rFonts w:ascii="Arial" w:eastAsia="Times New Roman" w:hAnsi="Arial" w:cs="Arial"/>
                <w:noProof/>
              </w:rPr>
              <w:t xml:space="preserve"> funding allocations under </w:t>
            </w:r>
            <w:r w:rsidRPr="002D5EA6">
              <w:rPr>
                <w:rFonts w:ascii="Arial" w:eastAsia="Times New Roman" w:hAnsi="Arial" w:cs="Arial"/>
                <w:i/>
                <w:iCs/>
                <w:noProof/>
              </w:rPr>
              <w:t>Education Code</w:t>
            </w:r>
            <w:r w:rsidRPr="002D5DC9">
              <w:rPr>
                <w:rFonts w:ascii="Arial" w:eastAsia="Times New Roman" w:hAnsi="Arial" w:cs="Arial"/>
                <w:noProof/>
              </w:rPr>
              <w:t xml:space="preserve"> 33319.6.</w:t>
            </w:r>
          </w:p>
        </w:tc>
      </w:tr>
      <w:tr w:rsidR="00F623C6" w:rsidRPr="00F6275D" w14:paraId="0AE785D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D2" w14:textId="77777777" w:rsidR="00F623C6" w:rsidRPr="00F6275D" w:rsidRDefault="00F623C6"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D3" w14:textId="77777777" w:rsidR="00F623C6" w:rsidRPr="00F6275D" w:rsidRDefault="00F623C6" w:rsidP="00106D84">
            <w:pPr>
              <w:spacing w:after="240"/>
              <w:ind w:left="1"/>
              <w:rPr>
                <w:rFonts w:ascii="Arial" w:hAnsi="Arial" w:cs="Arial"/>
              </w:rPr>
            </w:pPr>
            <w:r w:rsidRPr="00887D4B">
              <w:rPr>
                <w:rFonts w:ascii="Arial" w:hAnsi="Arial" w:cs="Arial"/>
                <w:noProof/>
              </w:rPr>
              <w:t>https://gocabe.org/</w:t>
            </w:r>
            <w:r>
              <w:rPr>
                <w:rFonts w:ascii="Arial" w:hAnsi="Arial" w:cs="Arial"/>
                <w:noProof/>
              </w:rPr>
              <w:t xml:space="preserve"> </w:t>
            </w:r>
          </w:p>
        </w:tc>
      </w:tr>
    </w:tbl>
    <w:p w14:paraId="0AE785D5" w14:textId="77777777" w:rsidR="00F623C6" w:rsidRPr="00F6275D" w:rsidRDefault="00F623C6"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0AE785D6" w14:textId="77777777" w:rsidR="00F623C6" w:rsidRPr="00F6275D" w:rsidRDefault="00F623C6" w:rsidP="00F623C6">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AE785D7" w14:textId="77777777" w:rsidR="00F623C6" w:rsidRPr="00F6275D" w:rsidRDefault="00F623C6" w:rsidP="00F623C6">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0AE785D8" w14:textId="77777777" w:rsidR="00F623C6" w:rsidRPr="00F6275D" w:rsidRDefault="00F623C6" w:rsidP="00F623C6">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0AE785D9" w14:textId="77777777" w:rsidR="00F623C6" w:rsidRPr="00F6275D" w:rsidRDefault="00F623C6" w:rsidP="00667FE5">
      <w:pPr>
        <w:pStyle w:val="Heading2"/>
      </w:pPr>
      <w:r w:rsidRPr="00F6275D">
        <w:lastRenderedPageBreak/>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F623C6" w:rsidRPr="00F6275D" w14:paraId="0AE785DC"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DA"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DB"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Level of Evidence</w:t>
            </w:r>
          </w:p>
        </w:tc>
      </w:tr>
      <w:tr w:rsidR="00F623C6" w:rsidRPr="00F6275D" w14:paraId="0AE785D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DD" w14:textId="77777777" w:rsidR="00F623C6" w:rsidRPr="00F6275D" w:rsidRDefault="00F623C6"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DE"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5E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E0" w14:textId="77777777" w:rsidR="00F623C6" w:rsidRPr="00F6275D" w:rsidRDefault="00F623C6"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E1" w14:textId="77777777" w:rsidR="00F623C6" w:rsidRPr="00F6275D" w:rsidRDefault="00F623C6"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F623C6" w:rsidRPr="00F6275D" w14:paraId="0AE785E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E3" w14:textId="77777777" w:rsidR="00F623C6" w:rsidRPr="00F6275D" w:rsidRDefault="00F623C6"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E4" w14:textId="77777777" w:rsidR="00F623C6" w:rsidRPr="00F6275D" w:rsidRDefault="00F623C6"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F623C6" w:rsidRPr="00F6275D" w14:paraId="0AE785E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E6" w14:textId="77777777" w:rsidR="00F623C6" w:rsidRPr="00F6275D" w:rsidRDefault="00F623C6"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E7" w14:textId="77777777" w:rsidR="00F623C6" w:rsidRPr="00F6275D" w:rsidRDefault="00F623C6"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0AE785E9" w14:textId="77777777" w:rsidR="00F623C6" w:rsidRPr="00F6275D" w:rsidRDefault="00F623C6"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F623C6" w:rsidRPr="00F6275D" w14:paraId="0AE785EC"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EA"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5EB"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Level of Evidence</w:t>
            </w:r>
          </w:p>
        </w:tc>
      </w:tr>
      <w:tr w:rsidR="00F623C6" w:rsidRPr="00F6275D" w14:paraId="0AE785E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ED" w14:textId="77777777" w:rsidR="00F623C6" w:rsidRPr="00F6275D" w:rsidRDefault="00F623C6"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EE" w14:textId="77777777" w:rsidR="00F623C6" w:rsidRPr="00F6275D" w:rsidRDefault="00F623C6" w:rsidP="00C332CB">
            <w:pPr>
              <w:spacing w:after="160"/>
              <w:ind w:left="1"/>
              <w:rPr>
                <w:rFonts w:ascii="Arial" w:hAnsi="Arial" w:cs="Arial"/>
              </w:rPr>
            </w:pPr>
            <w:r w:rsidRPr="002D5DC9">
              <w:rPr>
                <w:rFonts w:ascii="Arial" w:hAnsi="Arial" w:cs="Arial"/>
                <w:noProof/>
              </w:rPr>
              <w:t>Moderate Evidence</w:t>
            </w:r>
          </w:p>
        </w:tc>
      </w:tr>
      <w:tr w:rsidR="00F623C6" w:rsidRPr="00F6275D" w14:paraId="0AE785F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0" w14:textId="77777777" w:rsidR="00F623C6" w:rsidRPr="00F6275D" w:rsidRDefault="00F623C6"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F1" w14:textId="77777777" w:rsidR="00F623C6" w:rsidRPr="00F6275D" w:rsidRDefault="00F623C6"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F623C6" w:rsidRPr="00F6275D" w14:paraId="0AE785F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3" w14:textId="77777777" w:rsidR="00F623C6" w:rsidRPr="00F6275D" w:rsidRDefault="00F623C6"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F4"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5F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6" w14:textId="77777777" w:rsidR="00F623C6" w:rsidRPr="00F6275D" w:rsidRDefault="00F623C6"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F7"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5F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9" w14:textId="77777777" w:rsidR="00F623C6" w:rsidRPr="00F6275D" w:rsidRDefault="00F623C6"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FA"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5F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C" w14:textId="77777777" w:rsidR="00F623C6" w:rsidRPr="00F6275D" w:rsidRDefault="00F623C6"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5FD"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0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5FF" w14:textId="77777777" w:rsidR="00F623C6" w:rsidRPr="00F6275D" w:rsidRDefault="00F623C6"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0"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0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02" w14:textId="77777777" w:rsidR="00F623C6" w:rsidRPr="00F6275D" w:rsidRDefault="00F623C6"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3"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0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05" w14:textId="77777777" w:rsidR="00F623C6" w:rsidRPr="00F6275D" w:rsidRDefault="00F623C6" w:rsidP="00C332CB">
            <w:pPr>
              <w:spacing w:after="160" w:line="278" w:lineRule="auto"/>
              <w:rPr>
                <w:rFonts w:ascii="Arial" w:hAnsi="Arial" w:cs="Arial"/>
              </w:rPr>
            </w:pPr>
            <w:r w:rsidRPr="00F6275D">
              <w:rPr>
                <w:rFonts w:ascii="Arial" w:hAnsi="Arial" w:cs="Arial"/>
              </w:rPr>
              <w:lastRenderedPageBreak/>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6"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0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08" w14:textId="77777777" w:rsidR="00F623C6" w:rsidRPr="00F6275D" w:rsidRDefault="00F623C6"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9"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0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0B" w14:textId="77777777" w:rsidR="00F623C6" w:rsidRPr="00F6275D" w:rsidRDefault="00F623C6"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C"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0E" w14:textId="77777777" w:rsidR="00F623C6" w:rsidRPr="00F6275D" w:rsidRDefault="00F623C6"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0F"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11" w14:textId="77777777" w:rsidR="00F623C6" w:rsidRPr="00F6275D" w:rsidRDefault="00F623C6"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12"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r w:rsidR="00F623C6" w:rsidRPr="00F6275D" w14:paraId="0AE786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14" w14:textId="77777777" w:rsidR="00F623C6" w:rsidRPr="00F6275D" w:rsidRDefault="00F623C6"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15" w14:textId="77777777" w:rsidR="00F623C6" w:rsidRPr="00F6275D" w:rsidRDefault="00F623C6" w:rsidP="00C332CB">
            <w:pPr>
              <w:spacing w:after="160"/>
              <w:ind w:left="1"/>
              <w:rPr>
                <w:rFonts w:ascii="Arial" w:hAnsi="Arial" w:cs="Arial"/>
              </w:rPr>
            </w:pPr>
            <w:r w:rsidRPr="002D5DC9">
              <w:rPr>
                <w:rFonts w:ascii="Arial" w:hAnsi="Arial" w:cs="Arial"/>
                <w:noProof/>
              </w:rPr>
              <w:t>Strong Evidence</w:t>
            </w:r>
          </w:p>
        </w:tc>
      </w:tr>
    </w:tbl>
    <w:p w14:paraId="0AE78617" w14:textId="77777777" w:rsidR="00F623C6" w:rsidRPr="00F6275D" w:rsidRDefault="00F623C6"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F623C6" w:rsidRPr="00F6275D" w14:paraId="0AE7861A"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618"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AE78619" w14:textId="77777777" w:rsidR="00F623C6" w:rsidRPr="00F6275D" w:rsidRDefault="00F623C6" w:rsidP="00C332CB">
            <w:pPr>
              <w:spacing w:after="160"/>
              <w:rPr>
                <w:rFonts w:ascii="Arial" w:hAnsi="Arial" w:cs="Arial"/>
                <w:b/>
                <w:bCs/>
              </w:rPr>
            </w:pPr>
            <w:r w:rsidRPr="00F6275D">
              <w:rPr>
                <w:rFonts w:ascii="Arial" w:hAnsi="Arial" w:cs="Arial"/>
                <w:b/>
                <w:bCs/>
                <w:color w:val="FFFFFF" w:themeColor="background1"/>
              </w:rPr>
              <w:t>Level of Evidence</w:t>
            </w:r>
          </w:p>
        </w:tc>
      </w:tr>
      <w:tr w:rsidR="00F623C6" w:rsidRPr="00191DCA" w14:paraId="0AE7861E"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AE7861B" w14:textId="77777777" w:rsidR="00F623C6" w:rsidRPr="00F6275D" w:rsidRDefault="00F623C6"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AE7861C" w14:textId="77777777" w:rsidR="00F623C6" w:rsidRPr="00F6275D" w:rsidRDefault="00F623C6"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7861D" w14:textId="77777777" w:rsidR="00F623C6" w:rsidRPr="0012716A" w:rsidRDefault="00F623C6" w:rsidP="00C332CB">
            <w:pPr>
              <w:spacing w:after="160"/>
              <w:ind w:left="1"/>
              <w:rPr>
                <w:rFonts w:ascii="Arial" w:hAnsi="Arial" w:cs="Arial"/>
              </w:rPr>
            </w:pPr>
            <w:r w:rsidRPr="002D5DC9">
              <w:rPr>
                <w:rFonts w:ascii="Arial" w:hAnsi="Arial" w:cs="Arial"/>
                <w:noProof/>
              </w:rPr>
              <w:t>Not Applicable</w:t>
            </w:r>
          </w:p>
        </w:tc>
      </w:tr>
    </w:tbl>
    <w:p w14:paraId="0AE78620" w14:textId="77777777" w:rsidR="00130054" w:rsidRDefault="00130054"/>
    <w:sectPr w:rsidR="001300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E10E" w14:textId="77777777" w:rsidR="00595019" w:rsidRDefault="00595019" w:rsidP="004F0EE4">
      <w:pPr>
        <w:spacing w:after="0" w:line="240" w:lineRule="auto"/>
      </w:pPr>
      <w:r>
        <w:separator/>
      </w:r>
    </w:p>
  </w:endnote>
  <w:endnote w:type="continuationSeparator" w:id="0">
    <w:p w14:paraId="5E7B5DCB" w14:textId="77777777" w:rsidR="00595019" w:rsidRDefault="00595019" w:rsidP="004F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D93D" w14:textId="77777777" w:rsidR="00595019" w:rsidRDefault="00595019" w:rsidP="004F0EE4">
      <w:pPr>
        <w:spacing w:after="0" w:line="240" w:lineRule="auto"/>
      </w:pPr>
      <w:r>
        <w:separator/>
      </w:r>
    </w:p>
  </w:footnote>
  <w:footnote w:type="continuationSeparator" w:id="0">
    <w:p w14:paraId="376E48F8" w14:textId="77777777" w:rsidR="00595019" w:rsidRDefault="00595019" w:rsidP="004F0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C6"/>
    <w:rsid w:val="00130054"/>
    <w:rsid w:val="00172A3E"/>
    <w:rsid w:val="004F0EE4"/>
    <w:rsid w:val="00595019"/>
    <w:rsid w:val="00A96F62"/>
    <w:rsid w:val="00F24EEE"/>
    <w:rsid w:val="00F6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785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3C6"/>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F623C6"/>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23C6"/>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F623C6"/>
    <w:rPr>
      <w:rFonts w:ascii="Arial" w:eastAsia="Calibri" w:hAnsi="Arial" w:cs="Arial"/>
      <w:b/>
      <w:bCs/>
    </w:rPr>
  </w:style>
  <w:style w:type="table" w:customStyle="1" w:styleId="TableGrid">
    <w:name w:val="TableGrid"/>
    <w:rsid w:val="00F623C6"/>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623C6"/>
    <w:rPr>
      <w:color w:val="467886" w:themeColor="hyperlink"/>
      <w:u w:val="single"/>
    </w:rPr>
  </w:style>
  <w:style w:type="paragraph" w:styleId="ListParagraph">
    <w:name w:val="List Paragraph"/>
    <w:basedOn w:val="Normal"/>
    <w:uiPriority w:val="34"/>
    <w:qFormat/>
    <w:rsid w:val="00F623C6"/>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4F0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EE4"/>
  </w:style>
  <w:style w:type="paragraph" w:styleId="Footer">
    <w:name w:val="footer"/>
    <w:basedOn w:val="Normal"/>
    <w:link w:val="FooterChar"/>
    <w:uiPriority w:val="99"/>
    <w:unhideWhenUsed/>
    <w:rsid w:val="004F0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BEACONS by CABE - Professional Learning (CA Dept of Education)</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BEACONS by CABE - Professional Learning (CA Dept of Education)</dc:title>
  <dc:subject>Program memo for Biliteracy, Equity, Alignment, Comprehension, Oral Language Navigational Systems (BEACONS) from the California Association for Bilingual Education (CABE).</dc:subject>
  <dc:creator/>
  <cp:keywords/>
  <dc:description/>
  <cp:lastModifiedBy/>
  <cp:revision>1</cp:revision>
  <dcterms:created xsi:type="dcterms:W3CDTF">2026-08-18T18:32:00Z</dcterms:created>
  <dcterms:modified xsi:type="dcterms:W3CDTF">2026-08-18T18:33:00Z</dcterms:modified>
</cp:coreProperties>
</file>