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0D4D9" w14:textId="77777777" w:rsidR="002712AC" w:rsidRDefault="002712AC"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1B10D4DA" w14:textId="77777777" w:rsidR="002712AC" w:rsidRPr="00F05864" w:rsidRDefault="002712AC"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2712AC" w:rsidRPr="009529EF" w14:paraId="1B10D4DD"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1B10D4DB" w14:textId="77777777" w:rsidR="002712AC" w:rsidRPr="009529EF" w:rsidRDefault="002712AC"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1B10D4DC" w14:textId="77777777" w:rsidR="002712AC" w:rsidRPr="009529EF" w:rsidRDefault="002712AC" w:rsidP="00C332CB">
            <w:pPr>
              <w:spacing w:after="160"/>
              <w:rPr>
                <w:rFonts w:ascii="Arial" w:hAnsi="Arial" w:cs="Arial"/>
                <w:b/>
                <w:bCs/>
              </w:rPr>
            </w:pPr>
            <w:r>
              <w:rPr>
                <w:rFonts w:ascii="Arial" w:hAnsi="Arial" w:cs="Arial"/>
                <w:b/>
                <w:bCs/>
                <w:color w:val="FFFFFF" w:themeColor="background1"/>
              </w:rPr>
              <w:t>Program Name</w:t>
            </w:r>
          </w:p>
        </w:tc>
      </w:tr>
      <w:tr w:rsidR="002712AC" w:rsidRPr="009529EF" w14:paraId="1B10D4E0"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10D4DE" w14:textId="77777777" w:rsidR="002712AC" w:rsidRPr="00F6275D" w:rsidRDefault="002712AC" w:rsidP="00C332CB">
            <w:pPr>
              <w:spacing w:after="160"/>
              <w:rPr>
                <w:rFonts w:ascii="Arial" w:hAnsi="Arial" w:cs="Arial"/>
              </w:rPr>
            </w:pPr>
            <w:r w:rsidRPr="002D5DC9">
              <w:rPr>
                <w:rFonts w:ascii="Arial" w:hAnsi="Arial" w:cs="Arial"/>
                <w:noProof/>
              </w:rPr>
              <w:t>Greenfield Learning</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0D4DF" w14:textId="77777777" w:rsidR="002712AC" w:rsidRPr="00F6275D" w:rsidRDefault="002712AC" w:rsidP="00C332CB">
            <w:pPr>
              <w:spacing w:after="160"/>
              <w:ind w:left="1"/>
              <w:rPr>
                <w:rFonts w:ascii="Arial" w:hAnsi="Arial" w:cs="Arial"/>
              </w:rPr>
            </w:pPr>
            <w:r w:rsidRPr="002D5DC9">
              <w:rPr>
                <w:rFonts w:ascii="Arial" w:hAnsi="Arial" w:cs="Arial"/>
                <w:noProof/>
              </w:rPr>
              <w:t>Comprehensive Literacy: Making the Connections</w:t>
            </w:r>
          </w:p>
        </w:tc>
      </w:tr>
    </w:tbl>
    <w:p w14:paraId="1B10D4E1" w14:textId="77777777" w:rsidR="002712AC" w:rsidRPr="009529EF" w:rsidRDefault="002712AC"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1B10D4E2" w14:textId="77777777" w:rsidR="002712AC" w:rsidRPr="009529EF" w:rsidRDefault="002712AC"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1B10D4E3" w14:textId="77777777" w:rsidR="002712AC" w:rsidRPr="009529EF" w:rsidRDefault="002712AC"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1B10D4E4" w14:textId="77777777" w:rsidR="002712AC" w:rsidRPr="009529EF" w:rsidRDefault="002712AC" w:rsidP="42DEA662">
      <w:pPr>
        <w:spacing w:after="219"/>
        <w:ind w:left="7"/>
        <w:rPr>
          <w:rFonts w:ascii="Arial" w:hAnsi="Arial" w:cs="Arial"/>
          <w:i/>
          <w:iCs/>
        </w:rPr>
      </w:pPr>
      <w:r w:rsidRPr="42DEA662">
        <w:rPr>
          <w:rFonts w:ascii="Arial" w:hAnsi="Arial" w:cs="Arial"/>
        </w:rPr>
        <w:t>The Provider-Submitted Program Overview below reflects provider submissions as of February 20, 2026.</w:t>
      </w:r>
      <w:r>
        <w:t xml:space="preserve"> </w:t>
      </w:r>
      <w:r w:rsidRPr="42DEA662">
        <w:rPr>
          <w:rFonts w:ascii="Arial" w:hAnsi="Arial" w:cs="Arial"/>
        </w:rPr>
        <w:t xml:space="preserve">The responses in the table are presented in the provider's own words, edited only for adherence to the CDE Superintendent’s Correspondence Guide, and do not reflect the opinions or endorsement of the CDE or SBE.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1B10D4E5" w14:textId="77777777" w:rsidR="002712AC" w:rsidRPr="005F7169" w:rsidRDefault="002712AC"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2712AC" w:rsidRPr="009529EF" w14:paraId="1B10D4E8"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1B10D4E6" w14:textId="77777777" w:rsidR="002712AC" w:rsidRPr="009529EF" w:rsidRDefault="002712AC"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1B10D4E7" w14:textId="77777777" w:rsidR="002712AC" w:rsidRPr="009529EF" w:rsidRDefault="002712AC"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2712AC" w:rsidRPr="009529EF" w14:paraId="1B10D4E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4E9" w14:textId="77777777" w:rsidR="002712AC" w:rsidRPr="00106D84" w:rsidRDefault="002712AC"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4EA" w14:textId="77777777" w:rsidR="002712AC" w:rsidRPr="00F6275D" w:rsidRDefault="002712AC" w:rsidP="3C4C67CA">
            <w:pPr>
              <w:spacing w:after="240"/>
              <w:ind w:left="1"/>
              <w:rPr>
                <w:rFonts w:ascii="Arial" w:hAnsi="Arial" w:cs="Arial"/>
              </w:rPr>
            </w:pPr>
            <w:r w:rsidRPr="002D5DC9">
              <w:rPr>
                <w:rFonts w:ascii="Arial" w:hAnsi="Arial" w:cs="Arial"/>
                <w:noProof/>
              </w:rPr>
              <w:t>In this comprehensive literacy course, participants will benefit from a research-based approach to literacy instruction, debunking common misconceptions and gaining practical strategies for effective teaching. Divided into twelve parts, this course offers a comprehensive exploration of reading research, phonological awareness, phonics, fluency, language comprehension, and writing, equipping educators with the knowledge and tools to support multilingual and neurodivergent learners in their literacy journey. This course is designed for educators, literacy specialists, curriculum developers, and anyone involved in literacy instruction. It is suitable for both new and experienced practitioners seeking to deepen their understanding of literacy acquisition and enhance their instructional practices.</w:t>
            </w:r>
          </w:p>
        </w:tc>
      </w:tr>
      <w:tr w:rsidR="002712AC" w:rsidRPr="009529EF" w14:paraId="1B10D4E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4EC" w14:textId="77777777" w:rsidR="002712AC" w:rsidRDefault="002712AC"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4ED" w14:textId="77777777" w:rsidR="002712AC" w:rsidRPr="00F6275D" w:rsidRDefault="002712AC" w:rsidP="00106D84">
            <w:pPr>
              <w:spacing w:after="240"/>
              <w:ind w:left="1"/>
              <w:rPr>
                <w:rFonts w:ascii="Arial" w:hAnsi="Arial" w:cs="Arial"/>
              </w:rPr>
            </w:pPr>
            <w:r w:rsidRPr="002D5DC9">
              <w:rPr>
                <w:rFonts w:ascii="Arial" w:hAnsi="Arial" w:cs="Arial"/>
                <w:noProof/>
              </w:rPr>
              <w:t>Program participants will attend live professional learning sessions with a dedicated cohort, complete self-guided learning and application, engage in a peer coaching model, and attend virtual office hours with their Greenfield Learning coaches. Professional Learning sessions are delivered virtually, in-person, or in a hybrid model, depending on each district's preference. Participants independently access the PLEDGE platform to complete screeners, set goals, access additional content to personalize and deepen their knowledge, and upload artifacts of application of learning.</w:t>
            </w:r>
          </w:p>
        </w:tc>
      </w:tr>
      <w:tr w:rsidR="002712AC" w:rsidRPr="00F6275D" w14:paraId="1B10D4F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4EF" w14:textId="77777777" w:rsidR="002712AC" w:rsidRPr="00F6275D" w:rsidRDefault="002712AC"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4F0" w14:textId="77777777" w:rsidR="002712AC" w:rsidRPr="00F6275D" w:rsidRDefault="002712AC" w:rsidP="3C4C67CA">
            <w:pPr>
              <w:spacing w:after="240"/>
              <w:ind w:left="1"/>
              <w:rPr>
                <w:rFonts w:ascii="Arial" w:hAnsi="Arial" w:cs="Arial"/>
              </w:rPr>
            </w:pPr>
            <w:r w:rsidRPr="002D5DC9">
              <w:rPr>
                <w:rFonts w:ascii="Arial" w:hAnsi="Arial" w:cs="Arial"/>
                <w:noProof/>
              </w:rPr>
              <w:t>Participants will complete 30+ hours through our program. The live sessions account for 18 hours of the total time. To ensure content mastery, we customize the program for each school district and cohort by adjusting asynchronous content based on knowledge checks and feedback cycles. Therefore, the total number of hours required may vary.</w:t>
            </w:r>
          </w:p>
        </w:tc>
      </w:tr>
      <w:tr w:rsidR="002712AC" w:rsidRPr="00F6275D" w14:paraId="1B10D4F7"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4F2" w14:textId="77777777" w:rsidR="002712AC" w:rsidRPr="00F6275D" w:rsidRDefault="002712AC" w:rsidP="00CD7E12">
            <w:pPr>
              <w:rPr>
                <w:rFonts w:ascii="Arial" w:hAnsi="Arial" w:cs="Arial"/>
              </w:rPr>
            </w:pPr>
            <w:r w:rsidRPr="00F6275D">
              <w:rPr>
                <w:rFonts w:ascii="Arial" w:hAnsi="Arial" w:cs="Arial"/>
                <w:b/>
                <w:color w:val="122240"/>
              </w:rPr>
              <w:lastRenderedPageBreak/>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4F3" w14:textId="77777777" w:rsidR="002712AC" w:rsidRDefault="002712AC" w:rsidP="3C4C67CA">
            <w:pPr>
              <w:spacing w:after="240"/>
              <w:ind w:left="1"/>
              <w:rPr>
                <w:rFonts w:ascii="Arial" w:eastAsia="Times New Roman" w:hAnsi="Arial" w:cs="Arial"/>
                <w:noProof/>
              </w:rPr>
            </w:pPr>
            <w:r w:rsidRPr="002D5DC9">
              <w:rPr>
                <w:rFonts w:ascii="Arial" w:eastAsia="Times New Roman" w:hAnsi="Arial" w:cs="Arial"/>
                <w:noProof/>
              </w:rPr>
              <w:t>The pricing structure for our program is an all-inclusive, per-virtual-cohort fee.</w:t>
            </w:r>
            <w:r>
              <w:rPr>
                <w:rFonts w:ascii="Arial" w:eastAsia="Times New Roman" w:hAnsi="Arial" w:cs="Arial"/>
                <w:noProof/>
              </w:rPr>
              <w:t xml:space="preserve"> </w:t>
            </w:r>
            <w:r w:rsidRPr="002D5DC9">
              <w:rPr>
                <w:rFonts w:ascii="Arial" w:eastAsia="Times New Roman" w:hAnsi="Arial" w:cs="Arial"/>
                <w:noProof/>
              </w:rPr>
              <w:t xml:space="preserve"> </w:t>
            </w:r>
          </w:p>
          <w:p w14:paraId="1B10D4F4" w14:textId="77777777" w:rsidR="002712AC" w:rsidRDefault="002712AC" w:rsidP="3C4C67CA">
            <w:pPr>
              <w:spacing w:after="240"/>
              <w:ind w:left="1"/>
              <w:rPr>
                <w:rFonts w:ascii="Arial" w:eastAsia="Times New Roman" w:hAnsi="Arial" w:cs="Arial"/>
                <w:noProof/>
              </w:rPr>
            </w:pPr>
            <w:r w:rsidRPr="002D5DC9">
              <w:rPr>
                <w:rFonts w:ascii="Arial" w:eastAsia="Times New Roman" w:hAnsi="Arial" w:cs="Arial"/>
                <w:noProof/>
              </w:rPr>
              <w:t>This includes: up to 40 participants per cohort Greenfield Learning’s PLEDGE platform for 40 participants a copy of "A Teacher's Guide to Making Phonics Explicit" for 40 participants access to The Teachers Table for 40 participants up to six partnership meetings with district leaders access to video conferencing links for virtual sessions 10 one-hour virtual office hours for program participants</w:t>
            </w:r>
            <w:r>
              <w:rPr>
                <w:rFonts w:ascii="Arial" w:eastAsia="Times New Roman" w:hAnsi="Arial" w:cs="Arial"/>
                <w:noProof/>
              </w:rPr>
              <w:t>.</w:t>
            </w:r>
          </w:p>
          <w:p w14:paraId="1B10D4F5" w14:textId="77777777" w:rsidR="002712AC" w:rsidRDefault="002712AC" w:rsidP="3C4C67CA">
            <w:pPr>
              <w:spacing w:after="240"/>
              <w:ind w:left="1"/>
              <w:rPr>
                <w:rFonts w:ascii="Arial" w:eastAsia="Times New Roman" w:hAnsi="Arial" w:cs="Arial"/>
                <w:noProof/>
              </w:rPr>
            </w:pPr>
            <w:r w:rsidRPr="002D5DC9">
              <w:rPr>
                <w:rFonts w:ascii="Arial" w:eastAsia="Times New Roman" w:hAnsi="Arial" w:cs="Arial"/>
                <w:noProof/>
              </w:rPr>
              <w:t>Additional options are available: In-person facilitator material kits for virtual sessions Upgrade to in-person facilitation, provided by Greenfield Learning</w:t>
            </w:r>
            <w:r>
              <w:rPr>
                <w:rFonts w:ascii="Arial" w:eastAsia="Times New Roman" w:hAnsi="Arial" w:cs="Arial"/>
                <w:noProof/>
              </w:rPr>
              <w:t xml:space="preserve">. </w:t>
            </w:r>
          </w:p>
          <w:p w14:paraId="1B10D4F6" w14:textId="77777777" w:rsidR="002712AC" w:rsidRPr="00F6275D" w:rsidRDefault="002712AC" w:rsidP="3C4C67CA">
            <w:pPr>
              <w:spacing w:after="240"/>
              <w:ind w:left="1"/>
              <w:rPr>
                <w:rFonts w:ascii="Arial" w:eastAsia="Times New Roman" w:hAnsi="Arial" w:cs="Arial"/>
              </w:rPr>
            </w:pPr>
            <w:r w:rsidRPr="002D5DC9">
              <w:rPr>
                <w:rFonts w:ascii="Arial" w:eastAsia="Times New Roman" w:hAnsi="Arial" w:cs="Arial"/>
                <w:noProof/>
              </w:rPr>
              <w:t>Additional cohorts can be added</w:t>
            </w:r>
            <w:r>
              <w:rPr>
                <w:rFonts w:ascii="Arial" w:eastAsia="Times New Roman" w:hAnsi="Arial" w:cs="Arial"/>
                <w:noProof/>
              </w:rPr>
              <w:t>.</w:t>
            </w:r>
          </w:p>
        </w:tc>
      </w:tr>
      <w:tr w:rsidR="002712AC" w:rsidRPr="00F6275D" w14:paraId="1B10D4FA"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4F8" w14:textId="77777777" w:rsidR="002712AC" w:rsidRPr="00F6275D" w:rsidRDefault="002712AC"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4F9" w14:textId="77777777" w:rsidR="002712AC" w:rsidRPr="00F6275D" w:rsidRDefault="002712AC" w:rsidP="00106D84">
            <w:pPr>
              <w:spacing w:after="240"/>
              <w:ind w:left="1"/>
              <w:rPr>
                <w:rFonts w:ascii="Arial" w:hAnsi="Arial" w:cs="Arial"/>
              </w:rPr>
            </w:pPr>
            <w:hyperlink r:id="rId8" w:tooltip="Greenfield Learning" w:history="1">
              <w:r w:rsidRPr="00C57409">
                <w:rPr>
                  <w:rStyle w:val="Hyperlink"/>
                  <w:rFonts w:ascii="Arial" w:hAnsi="Arial" w:cs="Arial"/>
                  <w:noProof/>
                </w:rPr>
                <w:t>https://www.greenfieldlearning.com/</w:t>
              </w:r>
            </w:hyperlink>
            <w:r>
              <w:rPr>
                <w:rFonts w:ascii="Arial" w:hAnsi="Arial" w:cs="Arial"/>
                <w:noProof/>
              </w:rPr>
              <w:t xml:space="preserve"> </w:t>
            </w:r>
          </w:p>
        </w:tc>
      </w:tr>
    </w:tbl>
    <w:p w14:paraId="1B10D4FB" w14:textId="77777777" w:rsidR="002712AC" w:rsidRPr="00F6275D" w:rsidRDefault="002712AC"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1B10D4FC" w14:textId="77777777" w:rsidR="002712AC" w:rsidRPr="00F6275D" w:rsidRDefault="002712AC" w:rsidP="002712AC">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1B10D4FD" w14:textId="77777777" w:rsidR="002712AC" w:rsidRPr="00F6275D" w:rsidRDefault="002712AC" w:rsidP="002712AC">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1B10D4FE" w14:textId="77777777" w:rsidR="002712AC" w:rsidRPr="00F6275D" w:rsidRDefault="002712AC" w:rsidP="002712AC">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1B10D4FF" w14:textId="77777777" w:rsidR="002712AC" w:rsidRPr="00F6275D" w:rsidRDefault="002712AC"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712AC" w:rsidRPr="00F6275D" w14:paraId="1B10D502"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1B10D500" w14:textId="77777777" w:rsidR="002712AC" w:rsidRPr="00F6275D" w:rsidRDefault="002712AC"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1B10D501" w14:textId="77777777" w:rsidR="002712AC" w:rsidRPr="00F6275D" w:rsidRDefault="002712AC" w:rsidP="00C332CB">
            <w:pPr>
              <w:spacing w:after="160"/>
              <w:rPr>
                <w:rFonts w:ascii="Arial" w:hAnsi="Arial" w:cs="Arial"/>
                <w:b/>
                <w:bCs/>
              </w:rPr>
            </w:pPr>
            <w:r w:rsidRPr="00F6275D">
              <w:rPr>
                <w:rFonts w:ascii="Arial" w:hAnsi="Arial" w:cs="Arial"/>
                <w:b/>
                <w:bCs/>
                <w:color w:val="FFFFFF" w:themeColor="background1"/>
              </w:rPr>
              <w:t>Level of Evidence</w:t>
            </w:r>
          </w:p>
        </w:tc>
      </w:tr>
      <w:tr w:rsidR="002712AC" w:rsidRPr="00F6275D" w14:paraId="1B10D50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03" w14:textId="77777777" w:rsidR="002712AC" w:rsidRPr="00F6275D" w:rsidRDefault="002712AC"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04" w14:textId="77777777" w:rsidR="002712AC" w:rsidRPr="00F6275D" w:rsidRDefault="002712AC" w:rsidP="00C332CB">
            <w:pPr>
              <w:spacing w:after="160"/>
              <w:ind w:left="1"/>
              <w:rPr>
                <w:rFonts w:ascii="Arial" w:hAnsi="Arial" w:cs="Arial"/>
              </w:rPr>
            </w:pPr>
            <w:r w:rsidRPr="002D5DC9">
              <w:rPr>
                <w:rFonts w:ascii="Arial" w:hAnsi="Arial" w:cs="Arial"/>
                <w:noProof/>
              </w:rPr>
              <w:t>Moderate Evidence</w:t>
            </w:r>
          </w:p>
        </w:tc>
      </w:tr>
      <w:tr w:rsidR="002712AC" w:rsidRPr="00F6275D" w14:paraId="1B10D50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06" w14:textId="77777777" w:rsidR="002712AC" w:rsidRPr="00F6275D" w:rsidRDefault="002712AC"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07" w14:textId="77777777" w:rsidR="002712AC" w:rsidRPr="00F6275D" w:rsidRDefault="002712AC"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2712AC" w:rsidRPr="00F6275D" w14:paraId="1B10D50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09" w14:textId="77777777" w:rsidR="002712AC" w:rsidRPr="00F6275D" w:rsidRDefault="002712AC" w:rsidP="00C332CB">
            <w:pPr>
              <w:spacing w:after="160"/>
              <w:rPr>
                <w:rFonts w:ascii="Arial" w:hAnsi="Arial" w:cs="Arial"/>
              </w:rPr>
            </w:pPr>
            <w:r w:rsidRPr="00F6275D">
              <w:rPr>
                <w:rFonts w:ascii="Arial" w:hAnsi="Arial" w:cs="Arial"/>
              </w:rPr>
              <w:lastRenderedPageBreak/>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0A" w14:textId="77777777" w:rsidR="002712AC" w:rsidRPr="00F6275D" w:rsidRDefault="002712AC"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2712AC" w:rsidRPr="00F6275D" w14:paraId="1B10D50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0C" w14:textId="77777777" w:rsidR="002712AC" w:rsidRPr="00F6275D" w:rsidRDefault="002712AC"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0D" w14:textId="77777777" w:rsidR="002712AC" w:rsidRPr="00F6275D" w:rsidRDefault="002712AC"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1B10D50F" w14:textId="77777777" w:rsidR="002712AC" w:rsidRPr="00F6275D" w:rsidRDefault="002712AC"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712AC" w:rsidRPr="00F6275D" w14:paraId="1B10D512"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1B10D510" w14:textId="77777777" w:rsidR="002712AC" w:rsidRPr="00F6275D" w:rsidRDefault="002712AC"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1B10D511" w14:textId="77777777" w:rsidR="002712AC" w:rsidRPr="00F6275D" w:rsidRDefault="002712AC" w:rsidP="00C332CB">
            <w:pPr>
              <w:spacing w:after="160"/>
              <w:rPr>
                <w:rFonts w:ascii="Arial" w:hAnsi="Arial" w:cs="Arial"/>
                <w:b/>
                <w:bCs/>
              </w:rPr>
            </w:pPr>
            <w:r w:rsidRPr="00F6275D">
              <w:rPr>
                <w:rFonts w:ascii="Arial" w:hAnsi="Arial" w:cs="Arial"/>
                <w:b/>
                <w:bCs/>
                <w:color w:val="FFFFFF" w:themeColor="background1"/>
              </w:rPr>
              <w:t>Level of Evidence</w:t>
            </w:r>
          </w:p>
        </w:tc>
      </w:tr>
      <w:tr w:rsidR="002712AC" w:rsidRPr="00F6275D" w14:paraId="1B10D51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13" w14:textId="77777777" w:rsidR="002712AC" w:rsidRPr="00F6275D" w:rsidRDefault="002712AC"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14" w14:textId="77777777" w:rsidR="002712AC" w:rsidRPr="00F6275D" w:rsidRDefault="002712AC" w:rsidP="00C332CB">
            <w:pPr>
              <w:spacing w:after="160"/>
              <w:ind w:left="1"/>
              <w:rPr>
                <w:rFonts w:ascii="Arial" w:hAnsi="Arial" w:cs="Arial"/>
              </w:rPr>
            </w:pPr>
            <w:r w:rsidRPr="002D5DC9">
              <w:rPr>
                <w:rFonts w:ascii="Arial" w:hAnsi="Arial" w:cs="Arial"/>
                <w:noProof/>
              </w:rPr>
              <w:t>Minimal Evidence</w:t>
            </w:r>
          </w:p>
        </w:tc>
      </w:tr>
      <w:tr w:rsidR="002712AC" w:rsidRPr="00F6275D" w14:paraId="1B10D51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16" w14:textId="77777777" w:rsidR="002712AC" w:rsidRPr="00F6275D" w:rsidRDefault="002712AC"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17" w14:textId="77777777" w:rsidR="002712AC" w:rsidRPr="00F6275D" w:rsidRDefault="002712AC"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2712AC" w:rsidRPr="00F6275D" w14:paraId="1B10D51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19" w14:textId="77777777" w:rsidR="002712AC" w:rsidRPr="00F6275D" w:rsidRDefault="002712AC"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1A" w14:textId="77777777" w:rsidR="002712AC" w:rsidRPr="00F6275D" w:rsidRDefault="002712AC" w:rsidP="00C332CB">
            <w:pPr>
              <w:spacing w:after="160"/>
              <w:ind w:left="1"/>
              <w:rPr>
                <w:rFonts w:ascii="Arial" w:hAnsi="Arial" w:cs="Arial"/>
              </w:rPr>
            </w:pPr>
            <w:r w:rsidRPr="002D5DC9">
              <w:rPr>
                <w:rFonts w:ascii="Arial" w:hAnsi="Arial" w:cs="Arial"/>
                <w:noProof/>
              </w:rPr>
              <w:t>Moderate Evidence</w:t>
            </w:r>
          </w:p>
        </w:tc>
      </w:tr>
      <w:tr w:rsidR="002712AC" w:rsidRPr="00F6275D" w14:paraId="1B10D51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1C" w14:textId="77777777" w:rsidR="002712AC" w:rsidRPr="00F6275D" w:rsidRDefault="002712AC"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1D" w14:textId="77777777" w:rsidR="002712AC" w:rsidRPr="00F6275D" w:rsidRDefault="002712AC" w:rsidP="00C332CB">
            <w:pPr>
              <w:spacing w:after="160"/>
              <w:ind w:left="1"/>
              <w:rPr>
                <w:rFonts w:ascii="Arial" w:hAnsi="Arial" w:cs="Arial"/>
              </w:rPr>
            </w:pPr>
            <w:r w:rsidRPr="002D5DC9">
              <w:rPr>
                <w:rFonts w:ascii="Arial" w:hAnsi="Arial" w:cs="Arial"/>
                <w:noProof/>
              </w:rPr>
              <w:t>Moderate Evidence</w:t>
            </w:r>
          </w:p>
        </w:tc>
      </w:tr>
      <w:tr w:rsidR="002712AC" w:rsidRPr="00F6275D" w14:paraId="1B10D52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1F" w14:textId="77777777" w:rsidR="002712AC" w:rsidRPr="00F6275D" w:rsidRDefault="002712AC"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20" w14:textId="77777777" w:rsidR="002712AC" w:rsidRPr="00F6275D" w:rsidRDefault="002712AC" w:rsidP="00C332CB">
            <w:pPr>
              <w:spacing w:after="160"/>
              <w:ind w:left="1"/>
              <w:rPr>
                <w:rFonts w:ascii="Arial" w:hAnsi="Arial" w:cs="Arial"/>
              </w:rPr>
            </w:pPr>
            <w:r w:rsidRPr="002D5DC9">
              <w:rPr>
                <w:rFonts w:ascii="Arial" w:hAnsi="Arial" w:cs="Arial"/>
                <w:noProof/>
              </w:rPr>
              <w:t>Moderate Evidence</w:t>
            </w:r>
          </w:p>
        </w:tc>
      </w:tr>
      <w:tr w:rsidR="002712AC" w:rsidRPr="00F6275D" w14:paraId="1B10D52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22" w14:textId="77777777" w:rsidR="002712AC" w:rsidRPr="00F6275D" w:rsidRDefault="002712AC"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23" w14:textId="77777777" w:rsidR="002712AC" w:rsidRPr="00F6275D" w:rsidRDefault="002712AC" w:rsidP="00C332CB">
            <w:pPr>
              <w:spacing w:after="160"/>
              <w:ind w:left="1"/>
              <w:rPr>
                <w:rFonts w:ascii="Arial" w:hAnsi="Arial" w:cs="Arial"/>
              </w:rPr>
            </w:pPr>
            <w:r w:rsidRPr="002D5DC9">
              <w:rPr>
                <w:rFonts w:ascii="Arial" w:hAnsi="Arial" w:cs="Arial"/>
                <w:noProof/>
              </w:rPr>
              <w:t>Moderate Evidence</w:t>
            </w:r>
          </w:p>
        </w:tc>
      </w:tr>
      <w:tr w:rsidR="002712AC" w:rsidRPr="00F6275D" w14:paraId="1B10D52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25" w14:textId="77777777" w:rsidR="002712AC" w:rsidRPr="00F6275D" w:rsidRDefault="002712AC"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26" w14:textId="77777777" w:rsidR="002712AC" w:rsidRPr="00F6275D" w:rsidRDefault="002712AC" w:rsidP="00C332CB">
            <w:pPr>
              <w:spacing w:after="160"/>
              <w:ind w:left="1"/>
              <w:rPr>
                <w:rFonts w:ascii="Arial" w:hAnsi="Arial" w:cs="Arial"/>
              </w:rPr>
            </w:pPr>
            <w:r w:rsidRPr="002D5DC9">
              <w:rPr>
                <w:rFonts w:ascii="Arial" w:hAnsi="Arial" w:cs="Arial"/>
                <w:noProof/>
              </w:rPr>
              <w:t>Moderate Evidence</w:t>
            </w:r>
          </w:p>
        </w:tc>
      </w:tr>
      <w:tr w:rsidR="002712AC" w:rsidRPr="00F6275D" w14:paraId="1B10D52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28" w14:textId="77777777" w:rsidR="002712AC" w:rsidRPr="00F6275D" w:rsidRDefault="002712AC"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29" w14:textId="77777777" w:rsidR="002712AC" w:rsidRPr="00F6275D" w:rsidRDefault="002712AC" w:rsidP="00C332CB">
            <w:pPr>
              <w:spacing w:after="160"/>
              <w:ind w:left="1"/>
              <w:rPr>
                <w:rFonts w:ascii="Arial" w:hAnsi="Arial" w:cs="Arial"/>
              </w:rPr>
            </w:pPr>
            <w:r w:rsidRPr="002D5DC9">
              <w:rPr>
                <w:rFonts w:ascii="Arial" w:hAnsi="Arial" w:cs="Arial"/>
                <w:noProof/>
              </w:rPr>
              <w:t>Moderate Evidence</w:t>
            </w:r>
          </w:p>
        </w:tc>
      </w:tr>
      <w:tr w:rsidR="002712AC" w:rsidRPr="00F6275D" w14:paraId="1B10D52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2B" w14:textId="77777777" w:rsidR="002712AC" w:rsidRPr="00F6275D" w:rsidRDefault="002712AC"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2C" w14:textId="77777777" w:rsidR="002712AC" w:rsidRPr="00F6275D" w:rsidRDefault="002712AC" w:rsidP="00C332CB">
            <w:pPr>
              <w:spacing w:after="160"/>
              <w:ind w:left="1"/>
              <w:rPr>
                <w:rFonts w:ascii="Arial" w:hAnsi="Arial" w:cs="Arial"/>
              </w:rPr>
            </w:pPr>
            <w:r w:rsidRPr="002D5DC9">
              <w:rPr>
                <w:rFonts w:ascii="Arial" w:hAnsi="Arial" w:cs="Arial"/>
                <w:noProof/>
              </w:rPr>
              <w:t>Moderate Evidence</w:t>
            </w:r>
          </w:p>
        </w:tc>
      </w:tr>
      <w:tr w:rsidR="002712AC" w:rsidRPr="00F6275D" w14:paraId="1B10D53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2E" w14:textId="77777777" w:rsidR="002712AC" w:rsidRPr="00F6275D" w:rsidRDefault="002712AC"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2F" w14:textId="77777777" w:rsidR="002712AC" w:rsidRPr="00F6275D" w:rsidRDefault="002712AC" w:rsidP="00C332CB">
            <w:pPr>
              <w:spacing w:after="160"/>
              <w:ind w:left="1"/>
              <w:rPr>
                <w:rFonts w:ascii="Arial" w:hAnsi="Arial" w:cs="Arial"/>
              </w:rPr>
            </w:pPr>
            <w:r w:rsidRPr="002D5DC9">
              <w:rPr>
                <w:rFonts w:ascii="Arial" w:hAnsi="Arial" w:cs="Arial"/>
                <w:noProof/>
              </w:rPr>
              <w:t>Minimal Evidence</w:t>
            </w:r>
          </w:p>
        </w:tc>
      </w:tr>
      <w:tr w:rsidR="002712AC" w:rsidRPr="00F6275D" w14:paraId="1B10D53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31" w14:textId="77777777" w:rsidR="002712AC" w:rsidRPr="00F6275D" w:rsidRDefault="002712AC" w:rsidP="00C332CB">
            <w:pPr>
              <w:spacing w:after="160" w:line="278" w:lineRule="auto"/>
              <w:rPr>
                <w:rFonts w:ascii="Arial" w:hAnsi="Arial" w:cs="Arial"/>
              </w:rPr>
            </w:pPr>
            <w:r w:rsidRPr="00F6275D">
              <w:rPr>
                <w:rFonts w:ascii="Arial" w:hAnsi="Arial" w:cs="Arial"/>
              </w:rPr>
              <w:lastRenderedPageBreak/>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32" w14:textId="77777777" w:rsidR="002712AC" w:rsidRPr="00F6275D" w:rsidRDefault="002712AC" w:rsidP="00C332CB">
            <w:pPr>
              <w:spacing w:after="160"/>
              <w:ind w:left="1"/>
              <w:rPr>
                <w:rFonts w:ascii="Arial" w:hAnsi="Arial" w:cs="Arial"/>
              </w:rPr>
            </w:pPr>
            <w:r w:rsidRPr="002D5DC9">
              <w:rPr>
                <w:rFonts w:ascii="Arial" w:hAnsi="Arial" w:cs="Arial"/>
                <w:noProof/>
              </w:rPr>
              <w:t>M</w:t>
            </w:r>
            <w:r>
              <w:rPr>
                <w:rFonts w:ascii="Arial" w:hAnsi="Arial" w:cs="Arial"/>
                <w:noProof/>
              </w:rPr>
              <w:t xml:space="preserve">inimal </w:t>
            </w:r>
            <w:r w:rsidRPr="002D5DC9">
              <w:rPr>
                <w:rFonts w:ascii="Arial" w:hAnsi="Arial" w:cs="Arial"/>
                <w:noProof/>
              </w:rPr>
              <w:t>Evidence</w:t>
            </w:r>
          </w:p>
        </w:tc>
      </w:tr>
      <w:tr w:rsidR="002712AC" w:rsidRPr="00F6275D" w14:paraId="1B10D53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34" w14:textId="77777777" w:rsidR="002712AC" w:rsidRPr="00F6275D" w:rsidRDefault="002712AC"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35" w14:textId="77777777" w:rsidR="002712AC" w:rsidRPr="00F6275D" w:rsidRDefault="002712AC" w:rsidP="00C332CB">
            <w:pPr>
              <w:spacing w:after="160"/>
              <w:ind w:left="1"/>
              <w:rPr>
                <w:rFonts w:ascii="Arial" w:hAnsi="Arial" w:cs="Arial"/>
              </w:rPr>
            </w:pPr>
            <w:r w:rsidRPr="002D5DC9">
              <w:rPr>
                <w:rFonts w:ascii="Arial" w:hAnsi="Arial" w:cs="Arial"/>
                <w:noProof/>
              </w:rPr>
              <w:t>Moderate Evidence</w:t>
            </w:r>
          </w:p>
        </w:tc>
      </w:tr>
      <w:tr w:rsidR="002712AC" w:rsidRPr="00F6275D" w14:paraId="1B10D53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37" w14:textId="77777777" w:rsidR="002712AC" w:rsidRPr="00F6275D" w:rsidRDefault="002712AC"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38" w14:textId="77777777" w:rsidR="002712AC" w:rsidRPr="00F6275D" w:rsidRDefault="002712AC" w:rsidP="00C332CB">
            <w:pPr>
              <w:spacing w:after="160"/>
              <w:ind w:left="1"/>
              <w:rPr>
                <w:rFonts w:ascii="Arial" w:hAnsi="Arial" w:cs="Arial"/>
              </w:rPr>
            </w:pPr>
            <w:r w:rsidRPr="002D5DC9">
              <w:rPr>
                <w:rFonts w:ascii="Arial" w:hAnsi="Arial" w:cs="Arial"/>
                <w:noProof/>
              </w:rPr>
              <w:t>Moderate Evidence</w:t>
            </w:r>
          </w:p>
        </w:tc>
      </w:tr>
      <w:tr w:rsidR="002712AC" w:rsidRPr="00F6275D" w14:paraId="1B10D53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3A" w14:textId="77777777" w:rsidR="002712AC" w:rsidRPr="00F6275D" w:rsidRDefault="002712AC"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3B" w14:textId="77777777" w:rsidR="002712AC" w:rsidRPr="00F6275D" w:rsidRDefault="002712AC" w:rsidP="00C332CB">
            <w:pPr>
              <w:spacing w:after="160"/>
              <w:ind w:left="1"/>
              <w:rPr>
                <w:rFonts w:ascii="Arial" w:hAnsi="Arial" w:cs="Arial"/>
              </w:rPr>
            </w:pPr>
            <w:r w:rsidRPr="002D5DC9">
              <w:rPr>
                <w:rFonts w:ascii="Arial" w:hAnsi="Arial" w:cs="Arial"/>
                <w:noProof/>
              </w:rPr>
              <w:t>Moderate Evidence</w:t>
            </w:r>
          </w:p>
        </w:tc>
      </w:tr>
    </w:tbl>
    <w:p w14:paraId="1B10D53D" w14:textId="77777777" w:rsidR="002712AC" w:rsidRPr="00F6275D" w:rsidRDefault="002712AC"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2712AC" w:rsidRPr="00F6275D" w14:paraId="1B10D540"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1B10D53E" w14:textId="77777777" w:rsidR="002712AC" w:rsidRPr="00F6275D" w:rsidRDefault="002712AC"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1B10D53F" w14:textId="77777777" w:rsidR="002712AC" w:rsidRPr="00F6275D" w:rsidRDefault="002712AC" w:rsidP="00C332CB">
            <w:pPr>
              <w:spacing w:after="160"/>
              <w:rPr>
                <w:rFonts w:ascii="Arial" w:hAnsi="Arial" w:cs="Arial"/>
                <w:b/>
                <w:bCs/>
              </w:rPr>
            </w:pPr>
            <w:r w:rsidRPr="00F6275D">
              <w:rPr>
                <w:rFonts w:ascii="Arial" w:hAnsi="Arial" w:cs="Arial"/>
                <w:b/>
                <w:bCs/>
                <w:color w:val="FFFFFF" w:themeColor="background1"/>
              </w:rPr>
              <w:t>Level of Evidence</w:t>
            </w:r>
          </w:p>
        </w:tc>
      </w:tr>
      <w:tr w:rsidR="002712AC" w:rsidRPr="00191DCA" w14:paraId="1B10D544"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1B10D541" w14:textId="77777777" w:rsidR="002712AC" w:rsidRPr="00F6275D" w:rsidRDefault="002712AC"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1B10D542" w14:textId="77777777" w:rsidR="002712AC" w:rsidRPr="00F6275D" w:rsidRDefault="002712AC"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0D543" w14:textId="77777777" w:rsidR="002712AC" w:rsidRPr="0012716A" w:rsidRDefault="002712AC" w:rsidP="00C332CB">
            <w:pPr>
              <w:spacing w:after="160"/>
              <w:ind w:left="1"/>
              <w:rPr>
                <w:rFonts w:ascii="Arial" w:hAnsi="Arial" w:cs="Arial"/>
              </w:rPr>
            </w:pPr>
            <w:r w:rsidRPr="002D5DC9">
              <w:rPr>
                <w:rFonts w:ascii="Arial" w:hAnsi="Arial" w:cs="Arial"/>
                <w:noProof/>
              </w:rPr>
              <w:t>Moderate Evidence</w:t>
            </w:r>
          </w:p>
        </w:tc>
      </w:tr>
    </w:tbl>
    <w:p w14:paraId="1B10D546" w14:textId="77777777" w:rsidR="00645591" w:rsidRDefault="00645591"/>
    <w:sectPr w:rsidR="006455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AA8AF" w14:textId="77777777" w:rsidR="0084496A" w:rsidRDefault="0084496A" w:rsidP="00A43ED6">
      <w:pPr>
        <w:spacing w:after="0" w:line="240" w:lineRule="auto"/>
      </w:pPr>
      <w:r>
        <w:separator/>
      </w:r>
    </w:p>
  </w:endnote>
  <w:endnote w:type="continuationSeparator" w:id="0">
    <w:p w14:paraId="57908946" w14:textId="77777777" w:rsidR="0084496A" w:rsidRDefault="0084496A" w:rsidP="00A43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F251F" w14:textId="77777777" w:rsidR="0084496A" w:rsidRDefault="0084496A" w:rsidP="00A43ED6">
      <w:pPr>
        <w:spacing w:after="0" w:line="240" w:lineRule="auto"/>
      </w:pPr>
      <w:r>
        <w:separator/>
      </w:r>
    </w:p>
  </w:footnote>
  <w:footnote w:type="continuationSeparator" w:id="0">
    <w:p w14:paraId="12DD1F1A" w14:textId="77777777" w:rsidR="0084496A" w:rsidRDefault="0084496A" w:rsidP="00A43E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AC"/>
    <w:rsid w:val="00172A3E"/>
    <w:rsid w:val="002712AC"/>
    <w:rsid w:val="00645591"/>
    <w:rsid w:val="0084496A"/>
    <w:rsid w:val="008F2D9C"/>
    <w:rsid w:val="00A43ED6"/>
    <w:rsid w:val="00FA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0D4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2AC"/>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2712AC"/>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712AC"/>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2712AC"/>
    <w:rPr>
      <w:rFonts w:ascii="Arial" w:eastAsia="Calibri" w:hAnsi="Arial" w:cs="Arial"/>
      <w:b/>
      <w:bCs/>
    </w:rPr>
  </w:style>
  <w:style w:type="table" w:customStyle="1" w:styleId="TableGrid">
    <w:name w:val="TableGrid"/>
    <w:rsid w:val="002712AC"/>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712AC"/>
    <w:rPr>
      <w:color w:val="467886" w:themeColor="hyperlink"/>
      <w:u w:val="single"/>
    </w:rPr>
  </w:style>
  <w:style w:type="paragraph" w:styleId="ListParagraph">
    <w:name w:val="List Paragraph"/>
    <w:basedOn w:val="Normal"/>
    <w:uiPriority w:val="34"/>
    <w:qFormat/>
    <w:rsid w:val="002712AC"/>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A43E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ED6"/>
  </w:style>
  <w:style w:type="paragraph" w:styleId="Footer">
    <w:name w:val="footer"/>
    <w:basedOn w:val="Normal"/>
    <w:link w:val="FooterChar"/>
    <w:uiPriority w:val="99"/>
    <w:unhideWhenUsed/>
    <w:rsid w:val="00A43E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eenfieldlearning.com/" TargetMode="Externa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Comprehensive Literacy by Greenfield Learning - Professional Learning (CA Dept of Education)</vt:lpstr>
    </vt:vector>
  </TitlesOfParts>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Literacy by Greenfield Learning - Professional Learning (CA Dept of Education)</dc:title>
  <dc:subject>Program memo for Comprehensive Literacy: Making the Connections, offered by Greenfield Learning.</dc:subject>
  <dc:creator/>
  <cp:keywords/>
  <dc:description/>
  <cp:lastModifiedBy/>
  <cp:revision>1</cp:revision>
  <dcterms:created xsi:type="dcterms:W3CDTF">2026-08-19T21:45:00Z</dcterms:created>
  <dcterms:modified xsi:type="dcterms:W3CDTF">2026-08-19T21:46:00Z</dcterms:modified>
</cp:coreProperties>
</file>