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5806D" w14:textId="77777777" w:rsidR="00D74ED7" w:rsidRDefault="00D74ED7"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0C65806E" w14:textId="77777777" w:rsidR="00D74ED7" w:rsidRPr="00F05864" w:rsidRDefault="00D74ED7"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D74ED7" w:rsidRPr="009529EF" w14:paraId="0C658071"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C65806F" w14:textId="77777777" w:rsidR="00D74ED7" w:rsidRPr="009529EF" w:rsidRDefault="00D74ED7"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C658070" w14:textId="77777777" w:rsidR="00D74ED7" w:rsidRPr="009529EF" w:rsidRDefault="00D74ED7" w:rsidP="00C332CB">
            <w:pPr>
              <w:spacing w:after="160"/>
              <w:rPr>
                <w:rFonts w:ascii="Arial" w:hAnsi="Arial" w:cs="Arial"/>
                <w:b/>
                <w:bCs/>
              </w:rPr>
            </w:pPr>
            <w:r>
              <w:rPr>
                <w:rFonts w:ascii="Arial" w:hAnsi="Arial" w:cs="Arial"/>
                <w:b/>
                <w:bCs/>
                <w:color w:val="FFFFFF" w:themeColor="background1"/>
              </w:rPr>
              <w:t>Program Name</w:t>
            </w:r>
          </w:p>
        </w:tc>
      </w:tr>
      <w:tr w:rsidR="00D74ED7" w:rsidRPr="009529EF" w14:paraId="0C658074"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658072" w14:textId="77777777" w:rsidR="00D74ED7" w:rsidRPr="00F6275D" w:rsidRDefault="00D74ED7" w:rsidP="00C332CB">
            <w:pPr>
              <w:spacing w:after="160"/>
              <w:rPr>
                <w:rFonts w:ascii="Arial" w:hAnsi="Arial" w:cs="Arial"/>
              </w:rPr>
            </w:pPr>
            <w:r w:rsidRPr="002D5DC9">
              <w:rPr>
                <w:rFonts w:ascii="Arial" w:hAnsi="Arial" w:cs="Arial"/>
                <w:noProof/>
              </w:rPr>
              <w:t>Keys to Literacy by K12 Coalition</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58073" w14:textId="77777777" w:rsidR="00D74ED7" w:rsidRPr="00F6275D" w:rsidRDefault="00D74ED7" w:rsidP="00C332CB">
            <w:pPr>
              <w:spacing w:after="160"/>
              <w:ind w:left="1"/>
              <w:rPr>
                <w:rFonts w:ascii="Arial" w:hAnsi="Arial" w:cs="Arial"/>
              </w:rPr>
            </w:pPr>
            <w:r w:rsidRPr="002D5DC9">
              <w:rPr>
                <w:rFonts w:ascii="Arial" w:hAnsi="Arial" w:cs="Arial"/>
                <w:noProof/>
              </w:rPr>
              <w:t>Keys to Comprehensive Literacy (K–5, California)</w:t>
            </w:r>
          </w:p>
        </w:tc>
      </w:tr>
    </w:tbl>
    <w:p w14:paraId="0C658075" w14:textId="77777777" w:rsidR="00D74ED7" w:rsidRPr="009529EF" w:rsidRDefault="00D74ED7"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0C658076" w14:textId="77777777" w:rsidR="00D74ED7" w:rsidRPr="009529EF" w:rsidRDefault="00D74ED7"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0C658077" w14:textId="77777777" w:rsidR="00D74ED7" w:rsidRPr="009529EF" w:rsidRDefault="00D74ED7"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0C658078" w14:textId="77777777" w:rsidR="00D74ED7" w:rsidRPr="009529EF" w:rsidRDefault="00D74ED7"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0C658079" w14:textId="77777777" w:rsidR="00D74ED7" w:rsidRPr="005F7169" w:rsidRDefault="00D74ED7"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D74ED7" w:rsidRPr="009529EF" w14:paraId="0C65807C"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7A" w14:textId="77777777" w:rsidR="00D74ED7" w:rsidRPr="009529EF" w:rsidRDefault="00D74ED7"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7B" w14:textId="77777777" w:rsidR="00D74ED7" w:rsidRPr="009529EF" w:rsidRDefault="00D74ED7"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D74ED7" w:rsidRPr="009529EF" w14:paraId="0C65807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7D" w14:textId="77777777" w:rsidR="00D74ED7" w:rsidRPr="00106D84" w:rsidRDefault="00D74ED7"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7E" w14:textId="77777777" w:rsidR="00D74ED7" w:rsidRPr="00F6275D" w:rsidRDefault="00D74ED7" w:rsidP="3C4C67CA">
            <w:pPr>
              <w:spacing w:after="240"/>
              <w:ind w:left="1"/>
              <w:rPr>
                <w:rFonts w:ascii="Arial" w:hAnsi="Arial" w:cs="Arial"/>
              </w:rPr>
            </w:pPr>
            <w:r w:rsidRPr="002D5DC9">
              <w:rPr>
                <w:rFonts w:ascii="Arial" w:hAnsi="Arial" w:cs="Arial"/>
                <w:noProof/>
              </w:rPr>
              <w:t>Keys to Comprehensive Literacy K</w:t>
            </w:r>
            <w:r>
              <w:rPr>
                <w:rFonts w:ascii="Arial" w:hAnsi="Arial" w:cs="Arial"/>
                <w:noProof/>
              </w:rPr>
              <w:t>‒</w:t>
            </w:r>
            <w:r w:rsidRPr="002D5DC9">
              <w:rPr>
                <w:rFonts w:ascii="Arial" w:hAnsi="Arial" w:cs="Arial"/>
                <w:noProof/>
              </w:rPr>
              <w:t>5 California is an evidence-based professional development program equipping educators with knowledge and instructional practices to teach all components of comprehensive literacy. The program includes 12 modules totaling 50</w:t>
            </w:r>
            <w:r>
              <w:rPr>
                <w:rFonts w:ascii="Arial" w:hAnsi="Arial" w:cs="Arial"/>
                <w:noProof/>
              </w:rPr>
              <w:t>‒</w:t>
            </w:r>
            <w:r w:rsidRPr="002D5DC9">
              <w:rPr>
                <w:rFonts w:ascii="Arial" w:hAnsi="Arial" w:cs="Arial"/>
                <w:noProof/>
              </w:rPr>
              <w:t xml:space="preserve">60 hours: Literacy Basics, Oral Language, Phonological &amp; Phonemic Awareness, Phonics &amp; Advanced Word Study, Fluency, Vocabulary, Sentence Structure, Text Structure, Writing, Comprehension, Reading Difficulties, and Reading Assessment. Content addresses foundational skills, language development, reading comprehension strategies and text structures, and the complete writing process. Training prepares educators to implement explicit, systematic instruction using practical, classroom-ready strategies that integrate with any curriculum. The program is International Dyslexia Association accredited and rigorously aligned with California's </w:t>
            </w:r>
            <w:r>
              <w:rPr>
                <w:rFonts w:ascii="Arial" w:hAnsi="Arial" w:cs="Arial"/>
                <w:noProof/>
              </w:rPr>
              <w:t>English Language Arts/English Language Deveopment</w:t>
            </w:r>
            <w:r w:rsidRPr="002D5DC9">
              <w:rPr>
                <w:rFonts w:ascii="Arial" w:hAnsi="Arial" w:cs="Arial"/>
                <w:noProof/>
              </w:rPr>
              <w:t xml:space="preserve"> Framework, Dyslexia Guidelines, and state literacy standards. Flexible delivery formats</w:t>
            </w:r>
          </w:p>
        </w:tc>
      </w:tr>
      <w:tr w:rsidR="00D74ED7" w:rsidRPr="009529EF" w14:paraId="0C65808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80" w14:textId="77777777" w:rsidR="00D74ED7" w:rsidRDefault="00D74ED7"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81" w14:textId="77777777" w:rsidR="00D74ED7" w:rsidRDefault="00D74ED7" w:rsidP="00106D84">
            <w:pPr>
              <w:spacing w:after="240"/>
              <w:ind w:left="1"/>
              <w:rPr>
                <w:rFonts w:ascii="Arial" w:hAnsi="Arial" w:cs="Arial"/>
                <w:noProof/>
              </w:rPr>
            </w:pPr>
            <w:r w:rsidRPr="002D5DC9">
              <w:rPr>
                <w:rFonts w:ascii="Arial" w:hAnsi="Arial" w:cs="Arial"/>
                <w:noProof/>
              </w:rPr>
              <w:t>Keys to Comprehensive Literacy K</w:t>
            </w:r>
            <w:r>
              <w:rPr>
                <w:rFonts w:ascii="Arial" w:hAnsi="Arial" w:cs="Arial"/>
                <w:noProof/>
              </w:rPr>
              <w:t>‒</w:t>
            </w:r>
            <w:r w:rsidRPr="002D5DC9">
              <w:rPr>
                <w:rFonts w:ascii="Arial" w:hAnsi="Arial" w:cs="Arial"/>
                <w:noProof/>
              </w:rPr>
              <w:t xml:space="preserve">5 California offers flexible delivery formats to meet diverse educator needs: </w:t>
            </w:r>
          </w:p>
          <w:p w14:paraId="0C658082" w14:textId="77777777" w:rsidR="00D74ED7" w:rsidRDefault="00D74ED7" w:rsidP="00106D84">
            <w:pPr>
              <w:spacing w:after="240"/>
              <w:ind w:left="1"/>
              <w:rPr>
                <w:rFonts w:ascii="Arial" w:hAnsi="Arial" w:cs="Arial"/>
                <w:noProof/>
              </w:rPr>
            </w:pPr>
            <w:r w:rsidRPr="002D5DC9">
              <w:rPr>
                <w:rFonts w:ascii="Arial" w:hAnsi="Arial" w:cs="Arial"/>
                <w:noProof/>
              </w:rPr>
              <w:t xml:space="preserve">Live Training (In-Person or Virtual-Live): Synchronous instruction delivered by Keys to Literacy trainers via Zoom or onsite. All 12 modules are completed as a group following a customized schedule. Optional coaching provides follow-up implementation support (additional rates apply). </w:t>
            </w:r>
          </w:p>
          <w:p w14:paraId="0C658083" w14:textId="77777777" w:rsidR="00D74ED7" w:rsidRDefault="00D74ED7" w:rsidP="00106D84">
            <w:pPr>
              <w:spacing w:after="240"/>
              <w:ind w:left="1"/>
              <w:rPr>
                <w:rFonts w:ascii="Arial" w:hAnsi="Arial" w:cs="Arial"/>
                <w:noProof/>
              </w:rPr>
            </w:pPr>
            <w:r w:rsidRPr="002D5DC9">
              <w:rPr>
                <w:rFonts w:ascii="Arial" w:hAnsi="Arial" w:cs="Arial"/>
                <w:noProof/>
              </w:rPr>
              <w:t xml:space="preserve">Asynchronous Online Course: Self-paced, independent learning where educators complete all 12 modules individually, logging on/off at their convenience. Includes interactive activities, videos, and reflection exercises completed independently. Facilitated Online Course: Combines asynchronous independent coursework with 10 hours of synchronous virtual debrief sessions led by Keys to Literacy consultants. Educators independently complete online modules, then participate in live collaborative sessions to discuss applications and review key concepts. </w:t>
            </w:r>
          </w:p>
          <w:p w14:paraId="0C658084" w14:textId="77777777" w:rsidR="00D74ED7" w:rsidRPr="00F6275D" w:rsidRDefault="00D74ED7" w:rsidP="00106D84">
            <w:pPr>
              <w:spacing w:after="240"/>
              <w:ind w:left="1"/>
              <w:rPr>
                <w:rFonts w:ascii="Arial" w:hAnsi="Arial" w:cs="Arial"/>
              </w:rPr>
            </w:pPr>
            <w:r w:rsidRPr="002D5DC9">
              <w:rPr>
                <w:rFonts w:ascii="Arial" w:hAnsi="Arial" w:cs="Arial"/>
                <w:noProof/>
              </w:rPr>
              <w:t>Certified Facilitator Option: Districts train intern</w:t>
            </w:r>
            <w:r>
              <w:rPr>
                <w:rFonts w:ascii="Arial" w:hAnsi="Arial" w:cs="Arial"/>
                <w:noProof/>
              </w:rPr>
              <w:t xml:space="preserve"> . . .</w:t>
            </w:r>
          </w:p>
        </w:tc>
      </w:tr>
      <w:tr w:rsidR="00D74ED7" w:rsidRPr="00F6275D" w14:paraId="0C65808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86" w14:textId="77777777" w:rsidR="00D74ED7" w:rsidRPr="00F6275D" w:rsidRDefault="00D74ED7"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87" w14:textId="77777777" w:rsidR="00D74ED7" w:rsidRPr="00F6275D" w:rsidRDefault="00D74ED7" w:rsidP="3C4C67CA">
            <w:pPr>
              <w:spacing w:after="240"/>
              <w:ind w:left="1"/>
              <w:rPr>
                <w:rFonts w:ascii="Arial" w:hAnsi="Arial" w:cs="Arial"/>
              </w:rPr>
            </w:pPr>
            <w:r w:rsidRPr="002D5DC9">
              <w:rPr>
                <w:rFonts w:ascii="Arial" w:hAnsi="Arial" w:cs="Arial"/>
                <w:noProof/>
              </w:rPr>
              <w:t>Keys to Comprehensive Literacy K</w:t>
            </w:r>
            <w:r>
              <w:rPr>
                <w:rFonts w:ascii="Arial" w:hAnsi="Arial" w:cs="Arial"/>
                <w:noProof/>
              </w:rPr>
              <w:t>‒</w:t>
            </w:r>
            <w:r w:rsidRPr="002D5DC9">
              <w:rPr>
                <w:rFonts w:ascii="Arial" w:hAnsi="Arial" w:cs="Arial"/>
                <w:noProof/>
              </w:rPr>
              <w:t>5 California requires 40-60 hours to complete, depending on the delivery format selected. The asynchronous online course consists of 50 hours of self-paced learning across 12 modules, with dedicated time within each module for reading foundational content, watching instructional videos, applying new learning through practice activities, and completing end-of-module quizzes. The facilitated online format combines the 50-hour asynchronous course with 10 additional hours of synchronous virtual debrief sessions, totaling 60 hours. The live training format (in-person or virtual-live) delivers all 12 modules synchronously in 9 days (50 hours) using a learn-practice-apply cycle with interactive activities and colla</w:t>
            </w:r>
            <w:r>
              <w:rPr>
                <w:rFonts w:ascii="Arial" w:hAnsi="Arial" w:cs="Arial"/>
                <w:noProof/>
              </w:rPr>
              <w:t xml:space="preserve"> . . .</w:t>
            </w:r>
          </w:p>
        </w:tc>
      </w:tr>
      <w:tr w:rsidR="00D74ED7" w:rsidRPr="00F6275D" w14:paraId="0C65808B"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89" w14:textId="77777777" w:rsidR="00D74ED7" w:rsidRPr="00F6275D" w:rsidRDefault="00D74ED7" w:rsidP="00CD7E12">
            <w:pPr>
              <w:rPr>
                <w:rFonts w:ascii="Arial" w:hAnsi="Arial" w:cs="Arial"/>
              </w:rPr>
            </w:pPr>
            <w:r w:rsidRPr="00F6275D">
              <w:rPr>
                <w:rFonts w:ascii="Arial" w:hAnsi="Arial" w:cs="Arial"/>
                <w:b/>
                <w:color w:val="122240"/>
              </w:rPr>
              <w:lastRenderedPageBreak/>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8A" w14:textId="77777777" w:rsidR="00D74ED7" w:rsidRPr="00F6275D" w:rsidRDefault="00D74ED7" w:rsidP="3C4C67CA">
            <w:pPr>
              <w:spacing w:after="240"/>
              <w:ind w:left="1"/>
              <w:rPr>
                <w:rFonts w:ascii="Arial" w:eastAsia="Times New Roman" w:hAnsi="Arial" w:cs="Arial"/>
              </w:rPr>
            </w:pPr>
            <w:r w:rsidRPr="002D5DC9">
              <w:rPr>
                <w:rFonts w:ascii="Arial" w:eastAsia="Times New Roman" w:hAnsi="Arial" w:cs="Arial"/>
                <w:noProof/>
              </w:rPr>
              <w:t>Pricing is per participant across all formats, including all materials. Volume discounts are based on the number of cohorts purchased (for live training) or number of participants (for online courses and other modes of delivery). Live training cohorts are capped at 35 participants. Online Course (per participant): $450 (1–250 participants); $400 (251–500); $375 (501–750); $350 (751+). Facilitated Online (per participant): $950 (First 10 cohorts); $850 (11–20); $800 (21–30); $760 (31+). Live Training – Virtual (per participant): $1,225 (First 10 cohorts); $1,125 (11–20); $1,050 (21–30); $1,000 (31+). Live Training – In-Person (per participant): $1,500 (First 10 cohorts); $1,400 (11–20); $1,325 (21–30); $1,275 (31+). Certified Facilitator Training (per participant): $1,550 (First 20 participants); $1,400 (21–30); $1,325 (31–40); $1,250 (41+).</w:t>
            </w:r>
          </w:p>
        </w:tc>
      </w:tr>
      <w:tr w:rsidR="00D74ED7" w:rsidRPr="00F6275D" w14:paraId="0C65808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8C" w14:textId="77777777" w:rsidR="00D74ED7" w:rsidRPr="00F6275D" w:rsidRDefault="00D74ED7"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8D" w14:textId="77777777" w:rsidR="00D74ED7" w:rsidRPr="00F6275D" w:rsidRDefault="00D74ED7" w:rsidP="00106D84">
            <w:pPr>
              <w:spacing w:after="240"/>
              <w:ind w:left="1"/>
              <w:rPr>
                <w:rFonts w:ascii="Arial" w:hAnsi="Arial" w:cs="Arial"/>
              </w:rPr>
            </w:pPr>
            <w:r w:rsidRPr="00A055D8">
              <w:rPr>
                <w:rFonts w:ascii="Arial" w:hAnsi="Arial" w:cs="Arial"/>
                <w:noProof/>
              </w:rPr>
              <w:t>https://keystoliteracy.com/</w:t>
            </w:r>
            <w:r>
              <w:rPr>
                <w:rFonts w:ascii="Arial" w:hAnsi="Arial" w:cs="Arial"/>
                <w:noProof/>
              </w:rPr>
              <w:t xml:space="preserve"> </w:t>
            </w:r>
          </w:p>
        </w:tc>
      </w:tr>
    </w:tbl>
    <w:p w14:paraId="0C65808F" w14:textId="77777777" w:rsidR="00D74ED7" w:rsidRPr="00F6275D" w:rsidRDefault="00D74ED7"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0C658090" w14:textId="77777777" w:rsidR="00D74ED7" w:rsidRPr="00F6275D" w:rsidRDefault="00D74ED7" w:rsidP="00D74ED7">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0C658091" w14:textId="77777777" w:rsidR="00D74ED7" w:rsidRPr="00F6275D" w:rsidRDefault="00D74ED7" w:rsidP="00D74ED7">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0C658092" w14:textId="77777777" w:rsidR="00D74ED7" w:rsidRPr="00F6275D" w:rsidRDefault="00D74ED7" w:rsidP="00D74ED7">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0C658093" w14:textId="77777777" w:rsidR="00D74ED7" w:rsidRPr="00F6275D" w:rsidRDefault="00D74ED7"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74ED7" w:rsidRPr="00F6275D" w14:paraId="0C65809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94" w14:textId="77777777" w:rsidR="00D74ED7" w:rsidRPr="00F6275D" w:rsidRDefault="00D74ED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95" w14:textId="77777777" w:rsidR="00D74ED7" w:rsidRPr="00F6275D" w:rsidRDefault="00D74ED7" w:rsidP="00C332CB">
            <w:pPr>
              <w:spacing w:after="160"/>
              <w:rPr>
                <w:rFonts w:ascii="Arial" w:hAnsi="Arial" w:cs="Arial"/>
                <w:b/>
                <w:bCs/>
              </w:rPr>
            </w:pPr>
            <w:r w:rsidRPr="00F6275D">
              <w:rPr>
                <w:rFonts w:ascii="Arial" w:hAnsi="Arial" w:cs="Arial"/>
                <w:b/>
                <w:bCs/>
                <w:color w:val="FFFFFF" w:themeColor="background1"/>
              </w:rPr>
              <w:t>Level of Evidence</w:t>
            </w:r>
          </w:p>
        </w:tc>
      </w:tr>
      <w:tr w:rsidR="00D74ED7" w:rsidRPr="00F6275D" w14:paraId="0C65809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97" w14:textId="77777777" w:rsidR="00D74ED7" w:rsidRPr="00F6275D" w:rsidRDefault="00D74ED7"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98"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9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9A" w14:textId="77777777" w:rsidR="00D74ED7" w:rsidRPr="00F6275D" w:rsidRDefault="00D74ED7"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9B" w14:textId="77777777" w:rsidR="00D74ED7" w:rsidRPr="00F6275D" w:rsidRDefault="00D74ED7"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D74ED7" w:rsidRPr="00F6275D" w14:paraId="0C65809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9D" w14:textId="77777777" w:rsidR="00D74ED7" w:rsidRPr="00F6275D" w:rsidRDefault="00D74ED7" w:rsidP="00C332CB">
            <w:pPr>
              <w:spacing w:after="160"/>
              <w:rPr>
                <w:rFonts w:ascii="Arial" w:hAnsi="Arial" w:cs="Arial"/>
              </w:rPr>
            </w:pPr>
            <w:r w:rsidRPr="00F6275D">
              <w:rPr>
                <w:rFonts w:ascii="Arial" w:hAnsi="Arial" w:cs="Arial"/>
              </w:rPr>
              <w:lastRenderedPageBreak/>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9E" w14:textId="77777777" w:rsidR="00D74ED7" w:rsidRPr="00F6275D" w:rsidRDefault="00D74ED7"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D74ED7" w:rsidRPr="00F6275D" w14:paraId="0C6580A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A0" w14:textId="77777777" w:rsidR="00D74ED7" w:rsidRPr="00F6275D" w:rsidRDefault="00D74ED7"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A1" w14:textId="77777777" w:rsidR="00D74ED7" w:rsidRPr="00F6275D" w:rsidRDefault="00D74ED7"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0C6580A3" w14:textId="77777777" w:rsidR="00D74ED7" w:rsidRPr="00F6275D" w:rsidRDefault="00D74ED7"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74ED7" w:rsidRPr="00F6275D" w14:paraId="0C6580A6"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A4" w14:textId="77777777" w:rsidR="00D74ED7" w:rsidRPr="00F6275D" w:rsidRDefault="00D74ED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A5" w14:textId="77777777" w:rsidR="00D74ED7" w:rsidRPr="00F6275D" w:rsidRDefault="00D74ED7" w:rsidP="00C332CB">
            <w:pPr>
              <w:spacing w:after="160"/>
              <w:rPr>
                <w:rFonts w:ascii="Arial" w:hAnsi="Arial" w:cs="Arial"/>
                <w:b/>
                <w:bCs/>
              </w:rPr>
            </w:pPr>
            <w:r w:rsidRPr="00F6275D">
              <w:rPr>
                <w:rFonts w:ascii="Arial" w:hAnsi="Arial" w:cs="Arial"/>
                <w:b/>
                <w:bCs/>
                <w:color w:val="FFFFFF" w:themeColor="background1"/>
              </w:rPr>
              <w:t>Level of Evidence</w:t>
            </w:r>
          </w:p>
        </w:tc>
      </w:tr>
      <w:tr w:rsidR="00D74ED7" w:rsidRPr="00F6275D" w14:paraId="0C6580A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A7" w14:textId="77777777" w:rsidR="00D74ED7" w:rsidRPr="00F6275D" w:rsidRDefault="00D74ED7"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A8" w14:textId="77777777" w:rsidR="00D74ED7" w:rsidRPr="00F6275D" w:rsidRDefault="00D74ED7" w:rsidP="00C332CB">
            <w:pPr>
              <w:spacing w:after="160"/>
              <w:ind w:left="1"/>
              <w:rPr>
                <w:rFonts w:ascii="Arial" w:hAnsi="Arial" w:cs="Arial"/>
              </w:rPr>
            </w:pPr>
            <w:r w:rsidRPr="002D5DC9">
              <w:rPr>
                <w:rFonts w:ascii="Arial" w:hAnsi="Arial" w:cs="Arial"/>
                <w:noProof/>
              </w:rPr>
              <w:t>Moderate Evidence</w:t>
            </w:r>
          </w:p>
        </w:tc>
      </w:tr>
      <w:tr w:rsidR="00D74ED7" w:rsidRPr="00F6275D" w14:paraId="0C6580A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AA" w14:textId="77777777" w:rsidR="00D74ED7" w:rsidRPr="00F6275D" w:rsidRDefault="00D74ED7"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AB" w14:textId="77777777" w:rsidR="00D74ED7" w:rsidRPr="00F6275D" w:rsidRDefault="00D74ED7"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D74ED7" w:rsidRPr="00F6275D" w14:paraId="0C6580A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AD" w14:textId="77777777" w:rsidR="00D74ED7" w:rsidRPr="00F6275D" w:rsidRDefault="00D74ED7"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AE"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B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B0" w14:textId="77777777" w:rsidR="00D74ED7" w:rsidRPr="00F6275D" w:rsidRDefault="00D74ED7"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B1"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B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B3" w14:textId="77777777" w:rsidR="00D74ED7" w:rsidRPr="00F6275D" w:rsidRDefault="00D74ED7"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B4"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B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B6" w14:textId="77777777" w:rsidR="00D74ED7" w:rsidRPr="00F6275D" w:rsidRDefault="00D74ED7"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B7"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B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B9" w14:textId="77777777" w:rsidR="00D74ED7" w:rsidRPr="00F6275D" w:rsidRDefault="00D74ED7"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BA"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B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BC" w14:textId="77777777" w:rsidR="00D74ED7" w:rsidRPr="00F6275D" w:rsidRDefault="00D74ED7"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BD"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C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BF" w14:textId="77777777" w:rsidR="00D74ED7" w:rsidRPr="00F6275D" w:rsidRDefault="00D74ED7"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C0" w14:textId="77777777" w:rsidR="00D74ED7" w:rsidRPr="00F6275D" w:rsidRDefault="00D74ED7" w:rsidP="00C332CB">
            <w:pPr>
              <w:spacing w:after="160"/>
              <w:ind w:left="1"/>
              <w:rPr>
                <w:rFonts w:ascii="Arial" w:hAnsi="Arial" w:cs="Arial"/>
              </w:rPr>
            </w:pPr>
            <w:r w:rsidRPr="002D5DC9">
              <w:rPr>
                <w:rFonts w:ascii="Arial" w:hAnsi="Arial" w:cs="Arial"/>
                <w:noProof/>
              </w:rPr>
              <w:t>Moderate Evidence</w:t>
            </w:r>
          </w:p>
        </w:tc>
      </w:tr>
      <w:tr w:rsidR="00D74ED7" w:rsidRPr="00F6275D" w14:paraId="0C6580C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C2" w14:textId="77777777" w:rsidR="00D74ED7" w:rsidRPr="00F6275D" w:rsidRDefault="00D74ED7"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C3" w14:textId="77777777" w:rsidR="00D74ED7" w:rsidRPr="00F6275D" w:rsidRDefault="00D74ED7" w:rsidP="00C332CB">
            <w:pPr>
              <w:spacing w:after="160"/>
              <w:ind w:left="1"/>
              <w:rPr>
                <w:rFonts w:ascii="Arial" w:hAnsi="Arial" w:cs="Arial"/>
              </w:rPr>
            </w:pPr>
            <w:r w:rsidRPr="002D5DC9">
              <w:rPr>
                <w:rFonts w:ascii="Arial" w:hAnsi="Arial" w:cs="Arial"/>
                <w:noProof/>
              </w:rPr>
              <w:t>Moderate Evidence</w:t>
            </w:r>
          </w:p>
        </w:tc>
      </w:tr>
      <w:tr w:rsidR="00D74ED7" w:rsidRPr="00F6275D" w14:paraId="0C6580C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C5" w14:textId="77777777" w:rsidR="00D74ED7" w:rsidRPr="00F6275D" w:rsidRDefault="00D74ED7" w:rsidP="00C332CB">
            <w:pPr>
              <w:spacing w:after="160" w:line="278" w:lineRule="auto"/>
              <w:rPr>
                <w:rFonts w:ascii="Arial" w:hAnsi="Arial" w:cs="Arial"/>
              </w:rPr>
            </w:pPr>
            <w:r w:rsidRPr="00F6275D">
              <w:rPr>
                <w:rFonts w:ascii="Arial" w:hAnsi="Arial" w:cs="Arial"/>
              </w:rPr>
              <w:lastRenderedPageBreak/>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C6"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C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C8" w14:textId="77777777" w:rsidR="00D74ED7" w:rsidRPr="00F6275D" w:rsidRDefault="00D74ED7"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C9"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r w:rsidR="00D74ED7" w:rsidRPr="00F6275D" w14:paraId="0C6580C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CB" w14:textId="77777777" w:rsidR="00D74ED7" w:rsidRPr="00F6275D" w:rsidRDefault="00D74ED7"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CC" w14:textId="77777777" w:rsidR="00D74ED7" w:rsidRPr="00F6275D" w:rsidRDefault="00D74ED7" w:rsidP="00C332CB">
            <w:pPr>
              <w:spacing w:after="160"/>
              <w:ind w:left="1"/>
              <w:rPr>
                <w:rFonts w:ascii="Arial" w:hAnsi="Arial" w:cs="Arial"/>
              </w:rPr>
            </w:pPr>
            <w:r w:rsidRPr="002D5DC9">
              <w:rPr>
                <w:rFonts w:ascii="Arial" w:hAnsi="Arial" w:cs="Arial"/>
                <w:noProof/>
              </w:rPr>
              <w:t>Moderate Evidence</w:t>
            </w:r>
          </w:p>
        </w:tc>
      </w:tr>
      <w:tr w:rsidR="00D74ED7" w:rsidRPr="00F6275D" w14:paraId="0C6580D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CE" w14:textId="77777777" w:rsidR="00D74ED7" w:rsidRPr="00F6275D" w:rsidRDefault="00D74ED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CF" w14:textId="77777777" w:rsidR="00D74ED7" w:rsidRPr="00F6275D" w:rsidRDefault="00D74ED7" w:rsidP="00C332CB">
            <w:pPr>
              <w:spacing w:after="160"/>
              <w:ind w:left="1"/>
              <w:rPr>
                <w:rFonts w:ascii="Arial" w:hAnsi="Arial" w:cs="Arial"/>
              </w:rPr>
            </w:pPr>
            <w:r w:rsidRPr="002D5DC9">
              <w:rPr>
                <w:rFonts w:ascii="Arial" w:hAnsi="Arial" w:cs="Arial"/>
                <w:noProof/>
              </w:rPr>
              <w:t>Strong Evidence</w:t>
            </w:r>
          </w:p>
        </w:tc>
      </w:tr>
    </w:tbl>
    <w:p w14:paraId="0C6580D1" w14:textId="77777777" w:rsidR="00D74ED7" w:rsidRPr="00F6275D" w:rsidRDefault="00D74ED7"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74ED7" w:rsidRPr="00F6275D" w14:paraId="0C6580D4"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D2" w14:textId="77777777" w:rsidR="00D74ED7" w:rsidRPr="00F6275D" w:rsidRDefault="00D74ED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C6580D3" w14:textId="77777777" w:rsidR="00D74ED7" w:rsidRPr="00F6275D" w:rsidRDefault="00D74ED7" w:rsidP="00C332CB">
            <w:pPr>
              <w:spacing w:after="160"/>
              <w:rPr>
                <w:rFonts w:ascii="Arial" w:hAnsi="Arial" w:cs="Arial"/>
                <w:b/>
                <w:bCs/>
              </w:rPr>
            </w:pPr>
            <w:r w:rsidRPr="00F6275D">
              <w:rPr>
                <w:rFonts w:ascii="Arial" w:hAnsi="Arial" w:cs="Arial"/>
                <w:b/>
                <w:bCs/>
                <w:color w:val="FFFFFF" w:themeColor="background1"/>
              </w:rPr>
              <w:t>Level of Evidence</w:t>
            </w:r>
          </w:p>
        </w:tc>
      </w:tr>
      <w:tr w:rsidR="00D74ED7" w:rsidRPr="00191DCA" w14:paraId="0C6580D8"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C6580D5" w14:textId="77777777" w:rsidR="00D74ED7" w:rsidRPr="00F6275D" w:rsidRDefault="00D74ED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0C6580D6" w14:textId="77777777" w:rsidR="00D74ED7" w:rsidRPr="00F6275D" w:rsidRDefault="00D74ED7"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6580D7" w14:textId="77777777" w:rsidR="00D74ED7" w:rsidRPr="0012716A" w:rsidRDefault="00D74ED7" w:rsidP="00C332CB">
            <w:pPr>
              <w:spacing w:after="160"/>
              <w:ind w:left="1"/>
              <w:rPr>
                <w:rFonts w:ascii="Arial" w:hAnsi="Arial" w:cs="Arial"/>
              </w:rPr>
            </w:pPr>
            <w:r w:rsidRPr="002D5DC9">
              <w:rPr>
                <w:rFonts w:ascii="Arial" w:hAnsi="Arial" w:cs="Arial"/>
                <w:noProof/>
              </w:rPr>
              <w:t>Moderate Evidence</w:t>
            </w:r>
          </w:p>
        </w:tc>
      </w:tr>
    </w:tbl>
    <w:p w14:paraId="0C6580DA" w14:textId="77777777" w:rsidR="00EB1F53" w:rsidRDefault="00EB1F53"/>
    <w:sectPr w:rsidR="00EB1F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3A23" w14:textId="77777777" w:rsidR="00053CE3" w:rsidRDefault="00053CE3" w:rsidP="002B28DE">
      <w:pPr>
        <w:spacing w:after="0" w:line="240" w:lineRule="auto"/>
      </w:pPr>
      <w:r>
        <w:separator/>
      </w:r>
    </w:p>
  </w:endnote>
  <w:endnote w:type="continuationSeparator" w:id="0">
    <w:p w14:paraId="74CBB35E" w14:textId="77777777" w:rsidR="00053CE3" w:rsidRDefault="00053CE3" w:rsidP="002B2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B1873" w14:textId="77777777" w:rsidR="00053CE3" w:rsidRDefault="00053CE3" w:rsidP="002B28DE">
      <w:pPr>
        <w:spacing w:after="0" w:line="240" w:lineRule="auto"/>
      </w:pPr>
      <w:r>
        <w:separator/>
      </w:r>
    </w:p>
  </w:footnote>
  <w:footnote w:type="continuationSeparator" w:id="0">
    <w:p w14:paraId="3784046E" w14:textId="77777777" w:rsidR="00053CE3" w:rsidRDefault="00053CE3" w:rsidP="002B2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D7"/>
    <w:rsid w:val="00053CE3"/>
    <w:rsid w:val="00172A3E"/>
    <w:rsid w:val="002B28DE"/>
    <w:rsid w:val="00A546E7"/>
    <w:rsid w:val="00D74ED7"/>
    <w:rsid w:val="00EB1F53"/>
    <w:rsid w:val="00F63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580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ED7"/>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D74ED7"/>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4ED7"/>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D74ED7"/>
    <w:rPr>
      <w:rFonts w:ascii="Arial" w:eastAsia="Calibri" w:hAnsi="Arial" w:cs="Arial"/>
      <w:b/>
      <w:bCs/>
    </w:rPr>
  </w:style>
  <w:style w:type="table" w:customStyle="1" w:styleId="TableGrid">
    <w:name w:val="TableGrid"/>
    <w:rsid w:val="00D74ED7"/>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74ED7"/>
    <w:rPr>
      <w:color w:val="467886" w:themeColor="hyperlink"/>
      <w:u w:val="single"/>
    </w:rPr>
  </w:style>
  <w:style w:type="paragraph" w:styleId="ListParagraph">
    <w:name w:val="List Paragraph"/>
    <w:basedOn w:val="Normal"/>
    <w:uiPriority w:val="34"/>
    <w:qFormat/>
    <w:rsid w:val="00D74ED7"/>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2B2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8DE"/>
  </w:style>
  <w:style w:type="paragraph" w:styleId="Footer">
    <w:name w:val="footer"/>
    <w:basedOn w:val="Normal"/>
    <w:link w:val="FooterChar"/>
    <w:uiPriority w:val="99"/>
    <w:unhideWhenUsed/>
    <w:rsid w:val="002B2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2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Keys to Comprehensive Literacy - Professional Learning (CA Dept of Education)</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Keys to Comprehensive Literacy - Professional Learning (CA Dept of Education)</dc:title>
  <dc:subject>Program memo for the kindergarten through grade five California program from Keys to Literacy by K12 Coalition.</dc:subject>
  <dc:creator/>
  <cp:keywords/>
  <dc:description/>
  <cp:lastModifiedBy/>
  <cp:revision>1</cp:revision>
  <dcterms:created xsi:type="dcterms:W3CDTF">2026-08-19T21:59:00Z</dcterms:created>
  <dcterms:modified xsi:type="dcterms:W3CDTF">2026-08-19T22:00:00Z</dcterms:modified>
</cp:coreProperties>
</file>