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FBDFF" w14:textId="77777777" w:rsidR="00232983" w:rsidRDefault="00232983"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9CFBE00" w14:textId="77777777" w:rsidR="00232983" w:rsidRPr="00F05864" w:rsidRDefault="00232983"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232983" w:rsidRPr="009529EF" w14:paraId="79CFBE03"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9CFBE01" w14:textId="77777777" w:rsidR="00232983" w:rsidRPr="009529EF" w:rsidRDefault="00232983"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9CFBE02" w14:textId="77777777" w:rsidR="00232983" w:rsidRPr="009529EF" w:rsidRDefault="00232983" w:rsidP="00C332CB">
            <w:pPr>
              <w:spacing w:after="160"/>
              <w:rPr>
                <w:rFonts w:ascii="Arial" w:hAnsi="Arial" w:cs="Arial"/>
                <w:b/>
                <w:bCs/>
              </w:rPr>
            </w:pPr>
            <w:r>
              <w:rPr>
                <w:rFonts w:ascii="Arial" w:hAnsi="Arial" w:cs="Arial"/>
                <w:b/>
                <w:bCs/>
                <w:color w:val="FFFFFF" w:themeColor="background1"/>
              </w:rPr>
              <w:t>Program Name</w:t>
            </w:r>
          </w:p>
        </w:tc>
      </w:tr>
      <w:tr w:rsidR="00232983" w:rsidRPr="009529EF" w14:paraId="79CFBE06"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CFBE04" w14:textId="77777777" w:rsidR="00232983" w:rsidRPr="00F6275D" w:rsidRDefault="00232983" w:rsidP="00C332CB">
            <w:pPr>
              <w:spacing w:after="160"/>
              <w:rPr>
                <w:rFonts w:ascii="Arial" w:hAnsi="Arial" w:cs="Arial"/>
              </w:rPr>
            </w:pPr>
            <w:r w:rsidRPr="002D5DC9">
              <w:rPr>
                <w:rFonts w:ascii="Arial" w:hAnsi="Arial" w:cs="Arial"/>
                <w:noProof/>
              </w:rPr>
              <w:t>Los Angeles County Office of Education</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FBE05" w14:textId="77777777" w:rsidR="00232983" w:rsidRPr="00F6275D" w:rsidRDefault="00232983" w:rsidP="00C332CB">
            <w:pPr>
              <w:spacing w:after="160"/>
              <w:ind w:left="1"/>
              <w:rPr>
                <w:rFonts w:ascii="Arial" w:hAnsi="Arial" w:cs="Arial"/>
              </w:rPr>
            </w:pPr>
            <w:r w:rsidRPr="002D5DC9">
              <w:rPr>
                <w:rFonts w:ascii="Arial" w:hAnsi="Arial" w:cs="Arial"/>
                <w:noProof/>
              </w:rPr>
              <w:t>Getting Reading Right, Grades TK–5</w:t>
            </w:r>
          </w:p>
        </w:tc>
      </w:tr>
    </w:tbl>
    <w:p w14:paraId="79CFBE07" w14:textId="77777777" w:rsidR="00232983" w:rsidRPr="009529EF" w:rsidRDefault="00232983"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9CFBE08" w14:textId="77777777" w:rsidR="00232983" w:rsidRPr="009529EF" w:rsidRDefault="00232983"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9CFBE09" w14:textId="77777777" w:rsidR="00232983" w:rsidRPr="009529EF" w:rsidRDefault="00232983"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9CFBE0A" w14:textId="77777777" w:rsidR="00232983" w:rsidRPr="009529EF" w:rsidRDefault="00232983"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9CFBE0B" w14:textId="77777777" w:rsidR="00232983" w:rsidRPr="005F7169" w:rsidRDefault="00232983"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232983" w:rsidRPr="009529EF" w14:paraId="79CFBE0E"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0C" w14:textId="77777777" w:rsidR="00232983" w:rsidRPr="009529EF" w:rsidRDefault="00232983"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0D" w14:textId="77777777" w:rsidR="00232983" w:rsidRPr="009529EF" w:rsidRDefault="00232983"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232983" w:rsidRPr="009529EF" w14:paraId="79CFBE1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0F" w14:textId="77777777" w:rsidR="00232983" w:rsidRPr="00106D84" w:rsidRDefault="00232983"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10" w14:textId="77777777" w:rsidR="00232983" w:rsidRPr="00F6275D" w:rsidRDefault="00232983" w:rsidP="3C4C67CA">
            <w:pPr>
              <w:spacing w:after="240"/>
              <w:ind w:left="1"/>
              <w:rPr>
                <w:rFonts w:ascii="Arial" w:hAnsi="Arial" w:cs="Arial"/>
              </w:rPr>
            </w:pPr>
            <w:r w:rsidRPr="002D5DC9">
              <w:rPr>
                <w:rFonts w:ascii="Arial" w:hAnsi="Arial" w:cs="Arial"/>
                <w:noProof/>
              </w:rPr>
              <w:t xml:space="preserve">Getting Reading Right (GRR) is a comprehensive professional learning program for educators serving </w:t>
            </w:r>
            <w:r>
              <w:rPr>
                <w:rFonts w:ascii="Arial" w:hAnsi="Arial" w:cs="Arial"/>
                <w:noProof/>
              </w:rPr>
              <w:t xml:space="preserve">transitional kindergarten through </w:t>
            </w:r>
            <w:r w:rsidRPr="002D5DC9">
              <w:rPr>
                <w:rFonts w:ascii="Arial" w:hAnsi="Arial" w:cs="Arial"/>
                <w:noProof/>
              </w:rPr>
              <w:t>grade</w:t>
            </w:r>
            <w:r>
              <w:rPr>
                <w:rFonts w:ascii="Arial" w:hAnsi="Arial" w:cs="Arial"/>
                <w:noProof/>
              </w:rPr>
              <w:t xml:space="preserve"> five</w:t>
            </w:r>
            <w:r w:rsidRPr="002D5DC9">
              <w:rPr>
                <w:rFonts w:ascii="Arial" w:hAnsi="Arial" w:cs="Arial"/>
                <w:noProof/>
              </w:rPr>
              <w:t xml:space="preserve">, designed to build educator knowledge in evidence-aligned literacy instruction. GRR features </w:t>
            </w:r>
            <w:r>
              <w:rPr>
                <w:rFonts w:ascii="Arial" w:hAnsi="Arial" w:cs="Arial"/>
                <w:noProof/>
              </w:rPr>
              <w:t>10</w:t>
            </w:r>
            <w:r w:rsidRPr="002D5DC9">
              <w:rPr>
                <w:rFonts w:ascii="Arial" w:hAnsi="Arial" w:cs="Arial"/>
                <w:noProof/>
              </w:rPr>
              <w:t xml:space="preserve"> </w:t>
            </w:r>
            <w:r>
              <w:rPr>
                <w:rFonts w:ascii="Arial" w:hAnsi="Arial" w:cs="Arial"/>
                <w:noProof/>
              </w:rPr>
              <w:t>two</w:t>
            </w:r>
            <w:r w:rsidRPr="002D5DC9">
              <w:rPr>
                <w:rFonts w:ascii="Arial" w:hAnsi="Arial" w:cs="Arial"/>
                <w:noProof/>
              </w:rPr>
              <w:t>-hour modules, each diving deep into a critical literacy skill, including explicit and systematic instruction in phonological awareness, alphabetic principle, decoding, sight word recognition, fluency, vocabulary, syntax, and language comprehension.</w:t>
            </w:r>
            <w:r>
              <w:rPr>
                <w:rFonts w:ascii="Arial" w:hAnsi="Arial" w:cs="Arial"/>
                <w:noProof/>
              </w:rPr>
              <w:t xml:space="preserve"> </w:t>
            </w:r>
            <w:r w:rsidRPr="002D5DC9">
              <w:rPr>
                <w:rFonts w:ascii="Arial" w:hAnsi="Arial" w:cs="Arial"/>
                <w:noProof/>
              </w:rPr>
              <w:t xml:space="preserve">Grounded in Scarborough’s Reading Rope and the Simple View of Reading, GRR emphasizes data-driven instruction, progress monitoring, culturally responsive practices, and targeted support for multilingual learners, aligning with the </w:t>
            </w:r>
            <w:r>
              <w:rPr>
                <w:rFonts w:ascii="Arial" w:hAnsi="Arial" w:cs="Arial"/>
                <w:noProof/>
              </w:rPr>
              <w:t>English Language Arts/English Langauge Development</w:t>
            </w:r>
            <w:r w:rsidRPr="002D5DC9">
              <w:rPr>
                <w:rFonts w:ascii="Arial" w:hAnsi="Arial" w:cs="Arial"/>
                <w:noProof/>
              </w:rPr>
              <w:t xml:space="preserve"> Framework and Standards, the </w:t>
            </w:r>
            <w:r>
              <w:rPr>
                <w:rFonts w:ascii="Arial" w:hAnsi="Arial" w:cs="Arial"/>
                <w:noProof/>
              </w:rPr>
              <w:t>English Learner</w:t>
            </w:r>
            <w:r w:rsidRPr="002D5DC9">
              <w:rPr>
                <w:rFonts w:ascii="Arial" w:hAnsi="Arial" w:cs="Arial"/>
                <w:noProof/>
              </w:rPr>
              <w:t xml:space="preserve"> Roadmap, the </w:t>
            </w:r>
            <w:r>
              <w:rPr>
                <w:rFonts w:ascii="Arial" w:hAnsi="Arial" w:cs="Arial"/>
                <w:noProof/>
              </w:rPr>
              <w:t>California</w:t>
            </w:r>
            <w:r w:rsidRPr="002D5DC9">
              <w:rPr>
                <w:rFonts w:ascii="Arial" w:hAnsi="Arial" w:cs="Arial"/>
                <w:noProof/>
              </w:rPr>
              <w:t xml:space="preserve"> Dyslexia Guidelines and Quality Professional Learning Standards, to ensure equitable outcomes for all students. Educators leave each session with a toolkit of vetted resources to supplement existing curriculum and put new learning into practice.</w:t>
            </w:r>
          </w:p>
        </w:tc>
      </w:tr>
      <w:tr w:rsidR="00232983" w:rsidRPr="009529EF" w14:paraId="79CFBE1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12" w14:textId="77777777" w:rsidR="00232983" w:rsidRDefault="00232983"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13" w14:textId="77777777" w:rsidR="00232983" w:rsidRPr="00F6275D" w:rsidRDefault="00232983" w:rsidP="00106D84">
            <w:pPr>
              <w:spacing w:after="240"/>
              <w:ind w:left="1"/>
              <w:rPr>
                <w:rFonts w:ascii="Arial" w:hAnsi="Arial" w:cs="Arial"/>
              </w:rPr>
            </w:pPr>
            <w:r w:rsidRPr="002D5DC9">
              <w:rPr>
                <w:rFonts w:ascii="Arial" w:hAnsi="Arial" w:cs="Arial"/>
                <w:noProof/>
              </w:rPr>
              <w:t>Getting Reading Right is a synchronous course delivered live on Zoom. Educators gather online with trainers to do the majority of course work, and have follow up action items to do independently after each module to practice and apply the learning and resources. The course can be delivered in person, with minor adjustments to delivery, such as breakout rooms, which become turn and talk collaboration, and are called out in the scripts. Participants have optional university credit assignments which are to be completed independently as well.</w:t>
            </w:r>
          </w:p>
        </w:tc>
      </w:tr>
      <w:tr w:rsidR="00232983" w:rsidRPr="00F6275D" w14:paraId="79CFBE1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15" w14:textId="77777777" w:rsidR="00232983" w:rsidRPr="00F6275D" w:rsidRDefault="00232983"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16" w14:textId="77777777" w:rsidR="00232983" w:rsidRPr="00F6275D" w:rsidRDefault="00232983" w:rsidP="3C4C67CA">
            <w:pPr>
              <w:spacing w:after="240"/>
              <w:ind w:left="1"/>
              <w:rPr>
                <w:rFonts w:ascii="Arial" w:hAnsi="Arial" w:cs="Arial"/>
              </w:rPr>
            </w:pPr>
            <w:r w:rsidRPr="002D5DC9">
              <w:rPr>
                <w:rFonts w:ascii="Arial" w:hAnsi="Arial" w:cs="Arial"/>
                <w:noProof/>
              </w:rPr>
              <w:t xml:space="preserve">The program consists of </w:t>
            </w:r>
            <w:r>
              <w:rPr>
                <w:rFonts w:ascii="Arial" w:hAnsi="Arial" w:cs="Arial"/>
                <w:noProof/>
              </w:rPr>
              <w:t>10-</w:t>
            </w:r>
            <w:r w:rsidRPr="002D5DC9">
              <w:rPr>
                <w:rFonts w:ascii="Arial" w:hAnsi="Arial" w:cs="Arial"/>
                <w:noProof/>
              </w:rPr>
              <w:t xml:space="preserve"> </w:t>
            </w:r>
            <w:r>
              <w:rPr>
                <w:rFonts w:ascii="Arial" w:hAnsi="Arial" w:cs="Arial"/>
                <w:noProof/>
              </w:rPr>
              <w:t>two</w:t>
            </w:r>
            <w:r w:rsidRPr="002D5DC9">
              <w:rPr>
                <w:rFonts w:ascii="Arial" w:hAnsi="Arial" w:cs="Arial"/>
                <w:noProof/>
              </w:rPr>
              <w:t xml:space="preserve"> hour modules, for a total of 20 hours, plus implementation time in classrooms, which will vary by skill.</w:t>
            </w:r>
          </w:p>
        </w:tc>
      </w:tr>
      <w:tr w:rsidR="00232983" w:rsidRPr="00F6275D" w14:paraId="79CFBE1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18" w14:textId="77777777" w:rsidR="00232983" w:rsidRPr="00F6275D" w:rsidRDefault="00232983"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19" w14:textId="77777777" w:rsidR="00232983" w:rsidRPr="00F6275D" w:rsidRDefault="00232983" w:rsidP="3C4C67CA">
            <w:pPr>
              <w:spacing w:after="240"/>
              <w:ind w:left="1"/>
              <w:rPr>
                <w:rFonts w:ascii="Arial" w:eastAsia="Times New Roman" w:hAnsi="Arial" w:cs="Arial"/>
              </w:rPr>
            </w:pPr>
            <w:r w:rsidRPr="002D5DC9">
              <w:rPr>
                <w:rFonts w:ascii="Arial" w:eastAsia="Times New Roman" w:hAnsi="Arial" w:cs="Arial"/>
                <w:noProof/>
              </w:rPr>
              <w:t>The price per educator is $300.</w:t>
            </w:r>
          </w:p>
        </w:tc>
      </w:tr>
      <w:tr w:rsidR="00232983" w:rsidRPr="00F6275D" w14:paraId="79CFBE1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1B" w14:textId="77777777" w:rsidR="00232983" w:rsidRPr="00F6275D" w:rsidRDefault="00232983"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1C" w14:textId="77777777" w:rsidR="00232983" w:rsidRPr="00F6275D" w:rsidRDefault="00232983" w:rsidP="00106D84">
            <w:pPr>
              <w:spacing w:after="240"/>
              <w:ind w:left="1"/>
              <w:rPr>
                <w:rFonts w:ascii="Arial" w:hAnsi="Arial" w:cs="Arial"/>
              </w:rPr>
            </w:pPr>
            <w:r w:rsidRPr="00A055D8">
              <w:rPr>
                <w:rFonts w:ascii="Arial" w:hAnsi="Arial" w:cs="Arial"/>
                <w:noProof/>
              </w:rPr>
              <w:t>https://www.lacoe.edu/</w:t>
            </w:r>
            <w:r>
              <w:rPr>
                <w:rFonts w:ascii="Arial" w:hAnsi="Arial" w:cs="Arial"/>
                <w:noProof/>
              </w:rPr>
              <w:t xml:space="preserve"> </w:t>
            </w:r>
          </w:p>
        </w:tc>
      </w:tr>
    </w:tbl>
    <w:p w14:paraId="79CFBE1E" w14:textId="77777777" w:rsidR="00232983" w:rsidRPr="00F6275D" w:rsidRDefault="00232983" w:rsidP="000505C7">
      <w:pPr>
        <w:spacing w:before="240"/>
        <w:rPr>
          <w:rFonts w:ascii="Arial" w:hAnsi="Arial" w:cs="Arial"/>
        </w:rPr>
      </w:pPr>
      <w:r w:rsidRPr="00F6275D">
        <w:rPr>
          <w:rFonts w:ascii="Arial" w:hAnsi="Arial" w:cs="Arial"/>
          <w:b/>
          <w:bCs/>
        </w:rPr>
        <w:lastRenderedPageBreak/>
        <w:t xml:space="preserve">Program Ratings: </w:t>
      </w:r>
      <w:r w:rsidRPr="00F6275D">
        <w:rPr>
          <w:rFonts w:ascii="Arial" w:hAnsi="Arial" w:cs="Arial"/>
        </w:rPr>
        <w:t xml:space="preserve">Ratings reflect the review committee's consensus determination for each criterion: </w:t>
      </w:r>
    </w:p>
    <w:p w14:paraId="79CFBE1F" w14:textId="77777777" w:rsidR="00232983" w:rsidRPr="00F6275D" w:rsidRDefault="00232983" w:rsidP="00232983">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9CFBE20" w14:textId="77777777" w:rsidR="00232983" w:rsidRPr="00F6275D" w:rsidRDefault="00232983" w:rsidP="00232983">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9CFBE21" w14:textId="77777777" w:rsidR="00232983" w:rsidRPr="00F6275D" w:rsidRDefault="00232983" w:rsidP="00232983">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9CFBE22" w14:textId="77777777" w:rsidR="00232983" w:rsidRPr="00F6275D" w:rsidRDefault="00232983"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32983" w:rsidRPr="00F6275D" w14:paraId="79CFBE25"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23" w14:textId="77777777" w:rsidR="00232983" w:rsidRPr="00F6275D" w:rsidRDefault="00232983"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24" w14:textId="77777777" w:rsidR="00232983" w:rsidRPr="00F6275D" w:rsidRDefault="00232983" w:rsidP="00C332CB">
            <w:pPr>
              <w:spacing w:after="160"/>
              <w:rPr>
                <w:rFonts w:ascii="Arial" w:hAnsi="Arial" w:cs="Arial"/>
                <w:b/>
                <w:bCs/>
              </w:rPr>
            </w:pPr>
            <w:r w:rsidRPr="00F6275D">
              <w:rPr>
                <w:rFonts w:ascii="Arial" w:hAnsi="Arial" w:cs="Arial"/>
                <w:b/>
                <w:bCs/>
                <w:color w:val="FFFFFF" w:themeColor="background1"/>
              </w:rPr>
              <w:t>Level of Evidence</w:t>
            </w:r>
          </w:p>
        </w:tc>
      </w:tr>
      <w:tr w:rsidR="00232983" w:rsidRPr="00F6275D" w14:paraId="79CFBE2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26" w14:textId="77777777" w:rsidR="00232983" w:rsidRPr="00F6275D" w:rsidRDefault="00232983"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27"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2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29" w14:textId="77777777" w:rsidR="00232983" w:rsidRPr="00F6275D" w:rsidRDefault="00232983"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2A" w14:textId="77777777" w:rsidR="00232983" w:rsidRPr="00F6275D" w:rsidRDefault="00232983"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32983" w:rsidRPr="00F6275D" w14:paraId="79CFBE2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2C" w14:textId="77777777" w:rsidR="00232983" w:rsidRPr="00F6275D" w:rsidRDefault="00232983"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2D" w14:textId="77777777" w:rsidR="00232983" w:rsidRPr="00F6275D" w:rsidRDefault="00232983"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32983" w:rsidRPr="00F6275D" w14:paraId="79CFBE3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2F" w14:textId="77777777" w:rsidR="00232983" w:rsidRPr="00F6275D" w:rsidRDefault="00232983"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30" w14:textId="77777777" w:rsidR="00232983" w:rsidRPr="00F6275D" w:rsidRDefault="00232983"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79CFBE32" w14:textId="77777777" w:rsidR="00232983" w:rsidRPr="00F6275D" w:rsidRDefault="00232983"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32983" w:rsidRPr="00F6275D" w14:paraId="79CFBE35"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33" w14:textId="77777777" w:rsidR="00232983" w:rsidRPr="00F6275D" w:rsidRDefault="00232983"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34" w14:textId="77777777" w:rsidR="00232983" w:rsidRPr="00F6275D" w:rsidRDefault="00232983" w:rsidP="00C332CB">
            <w:pPr>
              <w:spacing w:after="160"/>
              <w:rPr>
                <w:rFonts w:ascii="Arial" w:hAnsi="Arial" w:cs="Arial"/>
                <w:b/>
                <w:bCs/>
              </w:rPr>
            </w:pPr>
            <w:r w:rsidRPr="00F6275D">
              <w:rPr>
                <w:rFonts w:ascii="Arial" w:hAnsi="Arial" w:cs="Arial"/>
                <w:b/>
                <w:bCs/>
                <w:color w:val="FFFFFF" w:themeColor="background1"/>
              </w:rPr>
              <w:t>Level of Evidence</w:t>
            </w:r>
          </w:p>
        </w:tc>
      </w:tr>
      <w:tr w:rsidR="00232983" w:rsidRPr="00F6275D" w14:paraId="79CFBE3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36" w14:textId="77777777" w:rsidR="00232983" w:rsidRPr="00F6275D" w:rsidRDefault="00232983"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37"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3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39" w14:textId="77777777" w:rsidR="00232983" w:rsidRPr="00F6275D" w:rsidRDefault="00232983"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3A" w14:textId="77777777" w:rsidR="00232983" w:rsidRPr="00F6275D" w:rsidRDefault="00232983"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32983" w:rsidRPr="00F6275D" w14:paraId="79CFBE3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3C" w14:textId="77777777" w:rsidR="00232983" w:rsidRPr="00F6275D" w:rsidRDefault="00232983"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3D"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4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3F" w14:textId="77777777" w:rsidR="00232983" w:rsidRPr="00F6275D" w:rsidRDefault="00232983" w:rsidP="00C332CB">
            <w:pPr>
              <w:tabs>
                <w:tab w:val="left" w:pos="3015"/>
              </w:tabs>
              <w:spacing w:after="160" w:line="278" w:lineRule="auto"/>
              <w:rPr>
                <w:rFonts w:ascii="Arial" w:hAnsi="Arial" w:cs="Arial"/>
              </w:rPr>
            </w:pPr>
            <w:r w:rsidRPr="00F6275D">
              <w:rPr>
                <w:rFonts w:ascii="Arial" w:hAnsi="Arial" w:cs="Arial"/>
              </w:rPr>
              <w:lastRenderedPageBreak/>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40"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4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42" w14:textId="77777777" w:rsidR="00232983" w:rsidRPr="00F6275D" w:rsidRDefault="00232983"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43"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4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45" w14:textId="77777777" w:rsidR="00232983" w:rsidRPr="00F6275D" w:rsidRDefault="00232983"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46"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4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48" w14:textId="77777777" w:rsidR="00232983" w:rsidRPr="00F6275D" w:rsidRDefault="00232983"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49"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4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4B" w14:textId="77777777" w:rsidR="00232983" w:rsidRPr="00F6275D" w:rsidRDefault="00232983"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4C" w14:textId="77777777" w:rsidR="00232983" w:rsidRPr="00F6275D" w:rsidRDefault="00232983" w:rsidP="00C332CB">
            <w:pPr>
              <w:spacing w:after="160"/>
              <w:ind w:left="1"/>
              <w:rPr>
                <w:rFonts w:ascii="Arial" w:hAnsi="Arial" w:cs="Arial"/>
              </w:rPr>
            </w:pPr>
            <w:r w:rsidRPr="002D5DC9">
              <w:rPr>
                <w:rFonts w:ascii="Arial" w:hAnsi="Arial" w:cs="Arial"/>
                <w:noProof/>
              </w:rPr>
              <w:t>Moderate Evidence</w:t>
            </w:r>
          </w:p>
        </w:tc>
      </w:tr>
      <w:tr w:rsidR="00232983" w:rsidRPr="00F6275D" w14:paraId="79CFBE5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4E" w14:textId="77777777" w:rsidR="00232983" w:rsidRPr="00F6275D" w:rsidRDefault="00232983"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4F" w14:textId="77777777" w:rsidR="00232983" w:rsidRPr="00F6275D" w:rsidRDefault="00232983" w:rsidP="00C332CB">
            <w:pPr>
              <w:spacing w:after="160"/>
              <w:ind w:left="1"/>
              <w:rPr>
                <w:rFonts w:ascii="Arial" w:hAnsi="Arial" w:cs="Arial"/>
              </w:rPr>
            </w:pPr>
            <w:r w:rsidRPr="002D5DC9">
              <w:rPr>
                <w:rFonts w:ascii="Arial" w:hAnsi="Arial" w:cs="Arial"/>
                <w:noProof/>
              </w:rPr>
              <w:t>Minimal Evidence</w:t>
            </w:r>
          </w:p>
        </w:tc>
      </w:tr>
      <w:tr w:rsidR="00232983" w:rsidRPr="00F6275D" w14:paraId="79CFBE5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51" w14:textId="77777777" w:rsidR="00232983" w:rsidRPr="00F6275D" w:rsidRDefault="00232983"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52"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5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54" w14:textId="77777777" w:rsidR="00232983" w:rsidRPr="00F6275D" w:rsidRDefault="00232983"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55" w14:textId="77777777" w:rsidR="00232983" w:rsidRPr="00F6275D" w:rsidRDefault="00232983" w:rsidP="00C332CB">
            <w:pPr>
              <w:spacing w:after="160"/>
              <w:ind w:left="1"/>
              <w:rPr>
                <w:rFonts w:ascii="Arial" w:hAnsi="Arial" w:cs="Arial"/>
              </w:rPr>
            </w:pPr>
            <w:r w:rsidRPr="002D5DC9">
              <w:rPr>
                <w:rFonts w:ascii="Arial" w:hAnsi="Arial" w:cs="Arial"/>
                <w:noProof/>
              </w:rPr>
              <w:t>Moderate Evidence</w:t>
            </w:r>
          </w:p>
        </w:tc>
      </w:tr>
      <w:tr w:rsidR="00232983" w:rsidRPr="00F6275D" w14:paraId="79CFBE5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57" w14:textId="77777777" w:rsidR="00232983" w:rsidRPr="00F6275D" w:rsidRDefault="00232983"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58"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5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5A" w14:textId="77777777" w:rsidR="00232983" w:rsidRPr="00F6275D" w:rsidRDefault="00232983"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5B"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r w:rsidR="00232983" w:rsidRPr="00F6275D" w14:paraId="79CFBE5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5D" w14:textId="77777777" w:rsidR="00232983" w:rsidRPr="00F6275D" w:rsidRDefault="00232983"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5E" w14:textId="77777777" w:rsidR="00232983" w:rsidRPr="00F6275D" w:rsidRDefault="00232983" w:rsidP="00C332CB">
            <w:pPr>
              <w:spacing w:after="160"/>
              <w:ind w:left="1"/>
              <w:rPr>
                <w:rFonts w:ascii="Arial" w:hAnsi="Arial" w:cs="Arial"/>
              </w:rPr>
            </w:pPr>
            <w:r w:rsidRPr="002D5DC9">
              <w:rPr>
                <w:rFonts w:ascii="Arial" w:hAnsi="Arial" w:cs="Arial"/>
                <w:noProof/>
              </w:rPr>
              <w:t>Strong Evidence</w:t>
            </w:r>
          </w:p>
        </w:tc>
      </w:tr>
    </w:tbl>
    <w:p w14:paraId="79CFBE60" w14:textId="77777777" w:rsidR="00232983" w:rsidRPr="00F6275D" w:rsidRDefault="00232983"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32983" w:rsidRPr="00F6275D" w14:paraId="79CFBE63"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61" w14:textId="77777777" w:rsidR="00232983" w:rsidRPr="00F6275D" w:rsidRDefault="00232983"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CFBE62" w14:textId="77777777" w:rsidR="00232983" w:rsidRPr="00F6275D" w:rsidRDefault="00232983" w:rsidP="00C332CB">
            <w:pPr>
              <w:spacing w:after="160"/>
              <w:rPr>
                <w:rFonts w:ascii="Arial" w:hAnsi="Arial" w:cs="Arial"/>
                <w:b/>
                <w:bCs/>
              </w:rPr>
            </w:pPr>
            <w:r w:rsidRPr="00F6275D">
              <w:rPr>
                <w:rFonts w:ascii="Arial" w:hAnsi="Arial" w:cs="Arial"/>
                <w:b/>
                <w:bCs/>
                <w:color w:val="FFFFFF" w:themeColor="background1"/>
              </w:rPr>
              <w:t>Level of Evidence</w:t>
            </w:r>
          </w:p>
        </w:tc>
      </w:tr>
      <w:tr w:rsidR="00232983" w:rsidRPr="00191DCA" w14:paraId="79CFBE67"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CFBE64" w14:textId="77777777" w:rsidR="00232983" w:rsidRPr="00F6275D" w:rsidRDefault="00232983"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9CFBE65" w14:textId="77777777" w:rsidR="00232983" w:rsidRPr="00F6275D" w:rsidRDefault="00232983"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FBE66" w14:textId="77777777" w:rsidR="00232983" w:rsidRPr="0012716A" w:rsidRDefault="00232983" w:rsidP="00C332CB">
            <w:pPr>
              <w:spacing w:after="160"/>
              <w:ind w:left="1"/>
              <w:rPr>
                <w:rFonts w:ascii="Arial" w:hAnsi="Arial" w:cs="Arial"/>
              </w:rPr>
            </w:pPr>
            <w:r w:rsidRPr="002D5DC9">
              <w:rPr>
                <w:rFonts w:ascii="Arial" w:hAnsi="Arial" w:cs="Arial"/>
                <w:noProof/>
              </w:rPr>
              <w:t>Moderate Evidence</w:t>
            </w:r>
          </w:p>
        </w:tc>
      </w:tr>
    </w:tbl>
    <w:p w14:paraId="79CFBE69" w14:textId="77777777" w:rsidR="00381307" w:rsidRDefault="00381307"/>
    <w:sectPr w:rsidR="003813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FD20" w14:textId="77777777" w:rsidR="00D81969" w:rsidRDefault="00D81969" w:rsidP="00461986">
      <w:pPr>
        <w:spacing w:after="0" w:line="240" w:lineRule="auto"/>
      </w:pPr>
      <w:r>
        <w:separator/>
      </w:r>
    </w:p>
  </w:endnote>
  <w:endnote w:type="continuationSeparator" w:id="0">
    <w:p w14:paraId="6834E1BE" w14:textId="77777777" w:rsidR="00D81969" w:rsidRDefault="00D81969" w:rsidP="00461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8B79" w14:textId="77777777" w:rsidR="00D81969" w:rsidRDefault="00D81969" w:rsidP="00461986">
      <w:pPr>
        <w:spacing w:after="0" w:line="240" w:lineRule="auto"/>
      </w:pPr>
      <w:r>
        <w:separator/>
      </w:r>
    </w:p>
  </w:footnote>
  <w:footnote w:type="continuationSeparator" w:id="0">
    <w:p w14:paraId="238D325E" w14:textId="77777777" w:rsidR="00D81969" w:rsidRDefault="00D81969" w:rsidP="00461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83"/>
    <w:rsid w:val="00172A3E"/>
    <w:rsid w:val="00232983"/>
    <w:rsid w:val="00381307"/>
    <w:rsid w:val="00461986"/>
    <w:rsid w:val="00AE5156"/>
    <w:rsid w:val="00CE47E9"/>
    <w:rsid w:val="00D81969"/>
    <w:rsid w:val="00FB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BD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983"/>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232983"/>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32983"/>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232983"/>
    <w:rPr>
      <w:rFonts w:ascii="Arial" w:eastAsia="Calibri" w:hAnsi="Arial" w:cs="Arial"/>
      <w:b/>
      <w:bCs/>
    </w:rPr>
  </w:style>
  <w:style w:type="table" w:customStyle="1" w:styleId="TableGrid">
    <w:name w:val="TableGrid"/>
    <w:rsid w:val="0023298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32983"/>
    <w:rPr>
      <w:color w:val="467886" w:themeColor="hyperlink"/>
      <w:u w:val="single"/>
    </w:rPr>
  </w:style>
  <w:style w:type="paragraph" w:styleId="ListParagraph">
    <w:name w:val="List Paragraph"/>
    <w:basedOn w:val="Normal"/>
    <w:uiPriority w:val="34"/>
    <w:qFormat/>
    <w:rsid w:val="00232983"/>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461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986"/>
  </w:style>
  <w:style w:type="paragraph" w:styleId="Footer">
    <w:name w:val="footer"/>
    <w:basedOn w:val="Normal"/>
    <w:link w:val="FooterChar"/>
    <w:uiPriority w:val="99"/>
    <w:unhideWhenUsed/>
    <w:rsid w:val="00461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Getting Reading Right by LACOE - Professional Learning (CA Dept of Education)</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Reading Right by LACOE - Professional Learning (CA Dept of Education)</dc:title>
  <dc:subject>Program memo for the transitional kindergarten through grade five program from the Los Angeles County Office of Education (LACOE).</dc:subject>
  <dc:creator/>
  <cp:keywords/>
  <dc:description/>
  <cp:lastModifiedBy/>
  <cp:revision>1</cp:revision>
  <dcterms:created xsi:type="dcterms:W3CDTF">2026-08-20T16:48:00Z</dcterms:created>
  <dcterms:modified xsi:type="dcterms:W3CDTF">2026-08-20T17:24:00Z</dcterms:modified>
</cp:coreProperties>
</file>