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C89A" w14:textId="77777777" w:rsidR="00DB310F" w:rsidRPr="00B31A89" w:rsidRDefault="00DB310F" w:rsidP="00357711">
      <w:pPr>
        <w:pStyle w:val="Heading1"/>
      </w:pPr>
      <w:bookmarkStart w:id="0" w:name="_Toc121746756"/>
      <w:bookmarkStart w:id="1" w:name="_Toc122354221"/>
      <w:bookmarkStart w:id="2" w:name="_Toc124933474"/>
      <w:bookmarkStart w:id="3" w:name="_Toc178779000"/>
      <w:bookmarkStart w:id="4" w:name="_Toc201236627"/>
      <w:r w:rsidRPr="00B31A89">
        <w:t>California Department of Education</w:t>
      </w:r>
    </w:p>
    <w:p w14:paraId="3F890633" w14:textId="3965D61B" w:rsidR="00DB310F" w:rsidRPr="00B31A89" w:rsidRDefault="00DB310F" w:rsidP="000B5C9C">
      <w:pPr>
        <w:spacing w:after="720"/>
        <w:jc w:val="center"/>
        <w:rPr>
          <w:rFonts w:eastAsia="Times New Roman"/>
          <w:b/>
          <w:sz w:val="28"/>
          <w:szCs w:val="28"/>
        </w:rPr>
      </w:pPr>
      <w:bookmarkStart w:id="5" w:name="_Hlk90983969"/>
      <w:bookmarkStart w:id="6" w:name="_Hlk90982459"/>
      <w:r w:rsidRPr="00B31A89">
        <w:rPr>
          <w:rFonts w:eastAsia="Times New Roman"/>
          <w:b/>
          <w:color w:val="000000" w:themeColor="text1"/>
          <w:sz w:val="28"/>
          <w:szCs w:val="28"/>
        </w:rPr>
        <w:t xml:space="preserve">California Serves Program: </w:t>
      </w:r>
      <w:bookmarkEnd w:id="5"/>
      <w:bookmarkEnd w:id="6"/>
      <w:r w:rsidR="00742DA3">
        <w:rPr>
          <w:rFonts w:eastAsia="Times New Roman"/>
          <w:b/>
          <w:color w:val="000000" w:themeColor="text1"/>
          <w:sz w:val="28"/>
          <w:szCs w:val="28"/>
        </w:rPr>
        <w:t>Model Uniform Metrics</w:t>
      </w:r>
      <w:r w:rsidR="00A040FB">
        <w:rPr>
          <w:rFonts w:eastAsia="Times New Roman"/>
          <w:b/>
          <w:color w:val="000000" w:themeColor="text1"/>
          <w:sz w:val="28"/>
          <w:szCs w:val="28"/>
        </w:rPr>
        <w:t xml:space="preserve"> for Administration of the California Serves Grant</w:t>
      </w:r>
    </w:p>
    <w:p w14:paraId="06BFB416" w14:textId="22D08CAB" w:rsidR="00DB310F" w:rsidRPr="00B31A89" w:rsidRDefault="00A107BB" w:rsidP="000B5C9C">
      <w:pPr>
        <w:spacing w:after="0"/>
        <w:jc w:val="center"/>
        <w:rPr>
          <w:rFonts w:eastAsia="Times New Roman"/>
          <w:b/>
          <w:bCs/>
        </w:rPr>
      </w:pPr>
      <w:r>
        <w:rPr>
          <w:rFonts w:eastAsia="Times New Roman"/>
          <w:b/>
          <w:bCs/>
          <w:noProof/>
        </w:rPr>
        <w:drawing>
          <wp:inline distT="0" distB="0" distL="0" distR="0" wp14:anchorId="35B15390" wp14:editId="4E804E83">
            <wp:extent cx="4933950" cy="3083719"/>
            <wp:effectExtent l="0" t="0" r="0" b="2540"/>
            <wp:docPr id="968356283" name="Picture 2" descr="Seal for the State of California 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56283" name="Picture 2" descr="Seal for the State of California Department of Education">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5080" cy="3090675"/>
                    </a:xfrm>
                    <a:prstGeom prst="rect">
                      <a:avLst/>
                    </a:prstGeom>
                  </pic:spPr>
                </pic:pic>
              </a:graphicData>
            </a:graphic>
          </wp:inline>
        </w:drawing>
      </w:r>
    </w:p>
    <w:p w14:paraId="036C7681" w14:textId="77777777" w:rsidR="00DB310F" w:rsidRPr="00B31A89" w:rsidRDefault="00DB310F" w:rsidP="000B5C9C">
      <w:pPr>
        <w:spacing w:before="840"/>
        <w:jc w:val="center"/>
        <w:rPr>
          <w:rFonts w:eastAsia="Times New Roman"/>
          <w:b/>
          <w:bCs/>
          <w:iCs/>
        </w:rPr>
      </w:pPr>
      <w:r w:rsidRPr="00B31A89">
        <w:rPr>
          <w:rFonts w:eastAsia="Times New Roman"/>
          <w:b/>
          <w:bCs/>
          <w:iCs/>
        </w:rPr>
        <w:t>Prepared by:</w:t>
      </w:r>
    </w:p>
    <w:p w14:paraId="730AE36A" w14:textId="77777777" w:rsidR="00DB310F" w:rsidRPr="00B31A89" w:rsidRDefault="00DB310F" w:rsidP="000B5C9C">
      <w:pPr>
        <w:spacing w:after="0"/>
        <w:jc w:val="center"/>
        <w:rPr>
          <w:rFonts w:eastAsia="Times New Roman"/>
          <w:b/>
          <w:bCs/>
          <w:color w:val="000000" w:themeColor="text1"/>
          <w:sz w:val="28"/>
          <w:szCs w:val="28"/>
        </w:rPr>
      </w:pPr>
      <w:r w:rsidRPr="00B31A89">
        <w:rPr>
          <w:rFonts w:eastAsia="Times New Roman"/>
          <w:b/>
          <w:bCs/>
          <w:color w:val="000000" w:themeColor="text1"/>
          <w:sz w:val="28"/>
          <w:szCs w:val="28"/>
        </w:rPr>
        <w:t>Professional Learning Support Division</w:t>
      </w:r>
    </w:p>
    <w:p w14:paraId="03C34E53" w14:textId="2E684D05" w:rsidR="00DB310F" w:rsidRPr="00B31A89" w:rsidRDefault="005D2125" w:rsidP="000B5C9C">
      <w:pPr>
        <w:jc w:val="center"/>
        <w:rPr>
          <w:rFonts w:eastAsia="Times New Roman"/>
          <w:b/>
          <w:bCs/>
          <w:color w:val="000000" w:themeColor="text1"/>
          <w:sz w:val="28"/>
          <w:szCs w:val="28"/>
        </w:rPr>
      </w:pPr>
      <w:r>
        <w:rPr>
          <w:rFonts w:eastAsia="Times New Roman"/>
          <w:b/>
          <w:bCs/>
          <w:color w:val="000000" w:themeColor="text1"/>
          <w:sz w:val="28"/>
          <w:szCs w:val="28"/>
        </w:rPr>
        <w:t>Building Educational Success Together</w:t>
      </w:r>
      <w:r w:rsidR="00DB310F" w:rsidRPr="00B31A89">
        <w:rPr>
          <w:rFonts w:eastAsia="Times New Roman"/>
          <w:b/>
          <w:bCs/>
          <w:color w:val="000000" w:themeColor="text1"/>
          <w:sz w:val="28"/>
          <w:szCs w:val="28"/>
        </w:rPr>
        <w:t xml:space="preserve"> Branch</w:t>
      </w:r>
    </w:p>
    <w:p w14:paraId="76A08085" w14:textId="3887FE21" w:rsidR="00DB310F" w:rsidRPr="00B31A89" w:rsidRDefault="00742DA3" w:rsidP="000B5C9C">
      <w:pPr>
        <w:spacing w:after="480"/>
        <w:jc w:val="center"/>
        <w:rPr>
          <w:rFonts w:eastAsia="Times New Roman"/>
          <w:iCs/>
          <w:color w:val="000000" w:themeColor="text1"/>
        </w:rPr>
      </w:pPr>
      <w:r>
        <w:rPr>
          <w:rFonts w:eastAsia="Times New Roman"/>
          <w:iCs/>
          <w:color w:val="000000" w:themeColor="text1"/>
        </w:rPr>
        <w:t>July</w:t>
      </w:r>
      <w:r w:rsidR="00DB310F" w:rsidRPr="00B31A89">
        <w:rPr>
          <w:rFonts w:eastAsia="Times New Roman"/>
          <w:iCs/>
          <w:color w:val="000000" w:themeColor="text1"/>
        </w:rPr>
        <w:t xml:space="preserve"> 202</w:t>
      </w:r>
      <w:r>
        <w:rPr>
          <w:rFonts w:eastAsia="Times New Roman"/>
          <w:iCs/>
          <w:color w:val="000000" w:themeColor="text1"/>
        </w:rPr>
        <w:t>5</w:t>
      </w:r>
    </w:p>
    <w:p w14:paraId="40993B83" w14:textId="77777777" w:rsidR="000B5C9C" w:rsidRDefault="000B5C9C" w:rsidP="000B5C9C">
      <w:pPr>
        <w:spacing w:line="259" w:lineRule="auto"/>
        <w:jc w:val="both"/>
        <w:rPr>
          <w:rFonts w:eastAsia="Times New Roman"/>
          <w:i/>
          <w:iCs/>
          <w:lang w:bidi="en-US"/>
        </w:rPr>
      </w:pPr>
    </w:p>
    <w:p w14:paraId="790CF75F" w14:textId="18F315D5" w:rsidR="00DB310F" w:rsidRDefault="00DB310F" w:rsidP="000B5C9C">
      <w:pPr>
        <w:spacing w:line="259" w:lineRule="auto"/>
        <w:jc w:val="both"/>
        <w:rPr>
          <w:rFonts w:eastAsia="Times New Roman"/>
          <w:lang w:bidi="en-US"/>
        </w:rPr>
      </w:pPr>
      <w:r w:rsidRPr="6EE915AB">
        <w:rPr>
          <w:rFonts w:eastAsia="Times New Roman"/>
          <w:i/>
          <w:iCs/>
          <w:lang w:bidi="en-US"/>
        </w:rPr>
        <w:t>Authority</w:t>
      </w:r>
      <w:r w:rsidRPr="6EE915AB">
        <w:rPr>
          <w:rFonts w:eastAsia="Times New Roman"/>
          <w:lang w:bidi="en-US"/>
        </w:rPr>
        <w:t xml:space="preserve">: California </w:t>
      </w:r>
      <w:r w:rsidRPr="6EE915AB">
        <w:rPr>
          <w:rFonts w:eastAsia="Times New Roman"/>
          <w:i/>
          <w:iCs/>
          <w:lang w:bidi="en-US"/>
        </w:rPr>
        <w:t xml:space="preserve">Education Code </w:t>
      </w:r>
      <w:r w:rsidRPr="6EE915AB">
        <w:rPr>
          <w:rFonts w:eastAsia="Times New Roman"/>
          <w:lang w:bidi="en-US"/>
        </w:rPr>
        <w:t>Section 51475</w:t>
      </w:r>
    </w:p>
    <w:p w14:paraId="56A6F2EB" w14:textId="77777777" w:rsidR="005D2125" w:rsidRDefault="005D2125" w:rsidP="000B5C9C">
      <w:pPr>
        <w:spacing w:line="259" w:lineRule="auto"/>
        <w:jc w:val="both"/>
        <w:rPr>
          <w:rFonts w:eastAsia="Times New Roman"/>
          <w:lang w:bidi="en-US"/>
        </w:rPr>
      </w:pPr>
    </w:p>
    <w:p w14:paraId="788C78BB" w14:textId="77777777" w:rsidR="005D2125" w:rsidRDefault="005D2125" w:rsidP="000B5C9C">
      <w:pPr>
        <w:spacing w:line="259" w:lineRule="auto"/>
        <w:jc w:val="both"/>
        <w:rPr>
          <w:rFonts w:eastAsia="Times New Roman"/>
          <w:lang w:bidi="en-US"/>
        </w:rPr>
      </w:pPr>
    </w:p>
    <w:p w14:paraId="02DF5D10" w14:textId="77777777" w:rsidR="005D2125" w:rsidRDefault="005D2125" w:rsidP="000B5C9C">
      <w:pPr>
        <w:spacing w:line="259" w:lineRule="auto"/>
        <w:jc w:val="both"/>
        <w:rPr>
          <w:rFonts w:eastAsia="Times New Roman"/>
          <w:lang w:bidi="en-US"/>
        </w:rPr>
      </w:pPr>
    </w:p>
    <w:p w14:paraId="39F11B72" w14:textId="77777777" w:rsidR="005D2125" w:rsidRPr="00B31A89" w:rsidRDefault="005D2125" w:rsidP="000B5C9C">
      <w:pPr>
        <w:spacing w:line="259" w:lineRule="auto"/>
        <w:jc w:val="both"/>
        <w:rPr>
          <w:rFonts w:eastAsia="Times New Roman"/>
          <w:lang w:bidi="en-US"/>
        </w:rPr>
      </w:pPr>
    </w:p>
    <w:p w14:paraId="210B3699" w14:textId="77777777" w:rsidR="00DB310F" w:rsidRPr="00B31A89" w:rsidRDefault="00DB310F" w:rsidP="00DB310F">
      <w:pPr>
        <w:spacing w:after="0"/>
        <w:rPr>
          <w:rFonts w:eastAsia="Times New Roman"/>
        </w:rPr>
      </w:pPr>
    </w:p>
    <w:bookmarkEnd w:id="0"/>
    <w:bookmarkEnd w:id="1"/>
    <w:bookmarkEnd w:id="2"/>
    <w:bookmarkEnd w:id="3"/>
    <w:bookmarkEnd w:id="4"/>
    <w:p w14:paraId="497E57FC" w14:textId="77777777" w:rsidR="005C7BE0" w:rsidRPr="00B31A89" w:rsidRDefault="005C7BE0" w:rsidP="005C7BE0">
      <w:pPr>
        <w:tabs>
          <w:tab w:val="decimal" w:leader="dot" w:pos="8820"/>
        </w:tabs>
        <w:ind w:right="-187"/>
        <w:jc w:val="center"/>
        <w:rPr>
          <w:rFonts w:eastAsia="Times New Roman"/>
          <w:b/>
          <w:bCs/>
        </w:rPr>
      </w:pPr>
      <w:r w:rsidRPr="00B31A89">
        <w:rPr>
          <w:rFonts w:eastAsia="Times New Roman"/>
          <w:b/>
          <w:bCs/>
        </w:rPr>
        <w:t>California Department of Education</w:t>
      </w:r>
    </w:p>
    <w:p w14:paraId="6185134B" w14:textId="625BE763" w:rsidR="005C7BE0" w:rsidRPr="00B31A89" w:rsidRDefault="005C7BE0" w:rsidP="005C7BE0">
      <w:pPr>
        <w:jc w:val="center"/>
        <w:rPr>
          <w:rFonts w:eastAsia="Times New Roman"/>
          <w:b/>
        </w:rPr>
      </w:pPr>
      <w:bookmarkStart w:id="7" w:name="_Hlk90985955"/>
      <w:r w:rsidRPr="00B31A89">
        <w:rPr>
          <w:rFonts w:eastAsia="Times New Roman"/>
          <w:b/>
        </w:rPr>
        <w:t xml:space="preserve">California Serves Program: </w:t>
      </w:r>
      <w:bookmarkEnd w:id="7"/>
      <w:r>
        <w:rPr>
          <w:rFonts w:eastAsia="Times New Roman"/>
          <w:b/>
        </w:rPr>
        <w:t>Model Uniform Metrics for Administration of the California Serves Grant</w:t>
      </w:r>
    </w:p>
    <w:p w14:paraId="31970C3B" w14:textId="32477E0E" w:rsidR="007D075B" w:rsidRPr="00D902BB" w:rsidRDefault="007D075B" w:rsidP="0052590B">
      <w:pPr>
        <w:pStyle w:val="Heading2"/>
        <w:spacing w:before="0"/>
        <w:rPr>
          <w:b w:val="0"/>
          <w:bCs w:val="0"/>
          <w:sz w:val="28"/>
          <w:szCs w:val="28"/>
        </w:rPr>
      </w:pPr>
      <w:bookmarkStart w:id="8" w:name="_Toc202430535"/>
      <w:bookmarkStart w:id="9" w:name="_Toc202431395"/>
      <w:bookmarkStart w:id="10" w:name="_Toc203053758"/>
      <w:r w:rsidRPr="0052590B">
        <w:rPr>
          <w:sz w:val="28"/>
          <w:szCs w:val="28"/>
        </w:rPr>
        <w:t>Table</w:t>
      </w:r>
      <w:r w:rsidR="00FA640E" w:rsidRPr="00D902BB">
        <w:rPr>
          <w:sz w:val="28"/>
          <w:szCs w:val="28"/>
        </w:rPr>
        <w:t xml:space="preserve"> of Contents</w:t>
      </w:r>
      <w:bookmarkEnd w:id="8"/>
      <w:bookmarkEnd w:id="9"/>
      <w:bookmarkEnd w:id="10"/>
    </w:p>
    <w:p w14:paraId="3789A4A7" w14:textId="2FBFE1D9" w:rsidR="004D3447" w:rsidRDefault="005B4875">
      <w:pPr>
        <w:pStyle w:val="TOC2"/>
        <w:tabs>
          <w:tab w:val="right" w:leader="dot" w:pos="9350"/>
        </w:tabs>
        <w:rPr>
          <w:rFonts w:asciiTheme="minorHAnsi" w:eastAsiaTheme="minorEastAsia" w:hAnsiTheme="minorHAnsi" w:cstheme="minorBidi"/>
          <w:noProof/>
          <w:color w:val="auto"/>
          <w:kern w:val="2"/>
          <w:lang w:val="en-US"/>
          <w14:ligatures w14:val="standardContextual"/>
        </w:rPr>
      </w:pPr>
      <w:r>
        <w:fldChar w:fldCharType="begin"/>
      </w:r>
      <w:r>
        <w:instrText xml:space="preserve"> TOC \o "1-4" \h \z \u </w:instrText>
      </w:r>
      <w:r>
        <w:fldChar w:fldCharType="separate"/>
      </w:r>
      <w:hyperlink w:anchor="_Toc203053758" w:history="1">
        <w:r w:rsidR="004D3447" w:rsidRPr="00330526">
          <w:rPr>
            <w:rStyle w:val="Hyperlink"/>
            <w:noProof/>
          </w:rPr>
          <w:t>Table of Contents</w:t>
        </w:r>
        <w:r w:rsidR="004D3447">
          <w:rPr>
            <w:noProof/>
            <w:webHidden/>
          </w:rPr>
          <w:tab/>
        </w:r>
        <w:r w:rsidR="004D3447">
          <w:rPr>
            <w:noProof/>
            <w:webHidden/>
          </w:rPr>
          <w:fldChar w:fldCharType="begin"/>
        </w:r>
        <w:r w:rsidR="004D3447">
          <w:rPr>
            <w:noProof/>
            <w:webHidden/>
          </w:rPr>
          <w:instrText xml:space="preserve"> PAGEREF _Toc203053758 \h </w:instrText>
        </w:r>
        <w:r w:rsidR="004D3447">
          <w:rPr>
            <w:noProof/>
            <w:webHidden/>
          </w:rPr>
        </w:r>
        <w:r w:rsidR="004D3447">
          <w:rPr>
            <w:noProof/>
            <w:webHidden/>
          </w:rPr>
          <w:fldChar w:fldCharType="separate"/>
        </w:r>
        <w:r w:rsidR="004D3447">
          <w:rPr>
            <w:noProof/>
            <w:webHidden/>
          </w:rPr>
          <w:t>2</w:t>
        </w:r>
        <w:r w:rsidR="004D3447">
          <w:rPr>
            <w:noProof/>
            <w:webHidden/>
          </w:rPr>
          <w:fldChar w:fldCharType="end"/>
        </w:r>
      </w:hyperlink>
    </w:p>
    <w:p w14:paraId="367E6B37" w14:textId="39E7C35A" w:rsidR="004D3447" w:rsidRDefault="004D3447">
      <w:pPr>
        <w:pStyle w:val="TOC2"/>
        <w:tabs>
          <w:tab w:val="right" w:leader="dot" w:pos="9350"/>
        </w:tabs>
        <w:rPr>
          <w:rFonts w:asciiTheme="minorHAnsi" w:eastAsiaTheme="minorEastAsia" w:hAnsiTheme="minorHAnsi" w:cstheme="minorBidi"/>
          <w:noProof/>
          <w:color w:val="auto"/>
          <w:kern w:val="2"/>
          <w:lang w:val="en-US"/>
          <w14:ligatures w14:val="standardContextual"/>
        </w:rPr>
      </w:pPr>
      <w:hyperlink w:anchor="_Toc203053759" w:history="1">
        <w:r w:rsidRPr="00330526">
          <w:rPr>
            <w:rStyle w:val="Hyperlink"/>
            <w:noProof/>
          </w:rPr>
          <w:t>Overview</w:t>
        </w:r>
        <w:r>
          <w:rPr>
            <w:noProof/>
            <w:webHidden/>
          </w:rPr>
          <w:tab/>
        </w:r>
        <w:r>
          <w:rPr>
            <w:noProof/>
            <w:webHidden/>
          </w:rPr>
          <w:fldChar w:fldCharType="begin"/>
        </w:r>
        <w:r>
          <w:rPr>
            <w:noProof/>
            <w:webHidden/>
          </w:rPr>
          <w:instrText xml:space="preserve"> PAGEREF _Toc203053759 \h </w:instrText>
        </w:r>
        <w:r>
          <w:rPr>
            <w:noProof/>
            <w:webHidden/>
          </w:rPr>
        </w:r>
        <w:r>
          <w:rPr>
            <w:noProof/>
            <w:webHidden/>
          </w:rPr>
          <w:fldChar w:fldCharType="separate"/>
        </w:r>
        <w:r>
          <w:rPr>
            <w:noProof/>
            <w:webHidden/>
          </w:rPr>
          <w:t>3</w:t>
        </w:r>
        <w:r>
          <w:rPr>
            <w:noProof/>
            <w:webHidden/>
          </w:rPr>
          <w:fldChar w:fldCharType="end"/>
        </w:r>
      </w:hyperlink>
    </w:p>
    <w:p w14:paraId="2AE400F0" w14:textId="67FBD9C1" w:rsidR="004D3447" w:rsidRDefault="004D3447">
      <w:pPr>
        <w:pStyle w:val="TOC2"/>
        <w:tabs>
          <w:tab w:val="right" w:leader="dot" w:pos="9350"/>
        </w:tabs>
        <w:rPr>
          <w:rFonts w:asciiTheme="minorHAnsi" w:eastAsiaTheme="minorEastAsia" w:hAnsiTheme="minorHAnsi" w:cstheme="minorBidi"/>
          <w:noProof/>
          <w:color w:val="auto"/>
          <w:kern w:val="2"/>
          <w:lang w:val="en-US"/>
          <w14:ligatures w14:val="standardContextual"/>
        </w:rPr>
      </w:pPr>
      <w:hyperlink w:anchor="_Toc203053760" w:history="1">
        <w:r w:rsidRPr="00330526">
          <w:rPr>
            <w:rStyle w:val="Hyperlink"/>
            <w:noProof/>
          </w:rPr>
          <w:t>Background</w:t>
        </w:r>
        <w:r>
          <w:rPr>
            <w:noProof/>
            <w:webHidden/>
          </w:rPr>
          <w:tab/>
        </w:r>
        <w:r>
          <w:rPr>
            <w:noProof/>
            <w:webHidden/>
          </w:rPr>
          <w:fldChar w:fldCharType="begin"/>
        </w:r>
        <w:r>
          <w:rPr>
            <w:noProof/>
            <w:webHidden/>
          </w:rPr>
          <w:instrText xml:space="preserve"> PAGEREF _Toc203053760 \h </w:instrText>
        </w:r>
        <w:r>
          <w:rPr>
            <w:noProof/>
            <w:webHidden/>
          </w:rPr>
        </w:r>
        <w:r>
          <w:rPr>
            <w:noProof/>
            <w:webHidden/>
          </w:rPr>
          <w:fldChar w:fldCharType="separate"/>
        </w:r>
        <w:r>
          <w:rPr>
            <w:noProof/>
            <w:webHidden/>
          </w:rPr>
          <w:t>3</w:t>
        </w:r>
        <w:r>
          <w:rPr>
            <w:noProof/>
            <w:webHidden/>
          </w:rPr>
          <w:fldChar w:fldCharType="end"/>
        </w:r>
      </w:hyperlink>
    </w:p>
    <w:p w14:paraId="0804B681" w14:textId="2B42E9A3"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61" w:history="1">
        <w:r w:rsidRPr="00330526">
          <w:rPr>
            <w:rStyle w:val="Hyperlink"/>
            <w:noProof/>
          </w:rPr>
          <w:t>State Seal of Civic Engagement</w:t>
        </w:r>
        <w:r>
          <w:rPr>
            <w:noProof/>
            <w:webHidden/>
          </w:rPr>
          <w:tab/>
        </w:r>
        <w:r>
          <w:rPr>
            <w:noProof/>
            <w:webHidden/>
          </w:rPr>
          <w:fldChar w:fldCharType="begin"/>
        </w:r>
        <w:r>
          <w:rPr>
            <w:noProof/>
            <w:webHidden/>
          </w:rPr>
          <w:instrText xml:space="preserve"> PAGEREF _Toc203053761 \h </w:instrText>
        </w:r>
        <w:r>
          <w:rPr>
            <w:noProof/>
            <w:webHidden/>
          </w:rPr>
        </w:r>
        <w:r>
          <w:rPr>
            <w:noProof/>
            <w:webHidden/>
          </w:rPr>
          <w:fldChar w:fldCharType="separate"/>
        </w:r>
        <w:r>
          <w:rPr>
            <w:noProof/>
            <w:webHidden/>
          </w:rPr>
          <w:t>3</w:t>
        </w:r>
        <w:r>
          <w:rPr>
            <w:noProof/>
            <w:webHidden/>
          </w:rPr>
          <w:fldChar w:fldCharType="end"/>
        </w:r>
      </w:hyperlink>
    </w:p>
    <w:p w14:paraId="37DA38FF" w14:textId="320B4548"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62" w:history="1">
        <w:r w:rsidRPr="00330526">
          <w:rPr>
            <w:rStyle w:val="Hyperlink"/>
            <w:noProof/>
          </w:rPr>
          <w:t>California Serves Program</w:t>
        </w:r>
        <w:r>
          <w:rPr>
            <w:noProof/>
            <w:webHidden/>
          </w:rPr>
          <w:tab/>
        </w:r>
        <w:r>
          <w:rPr>
            <w:noProof/>
            <w:webHidden/>
          </w:rPr>
          <w:fldChar w:fldCharType="begin"/>
        </w:r>
        <w:r>
          <w:rPr>
            <w:noProof/>
            <w:webHidden/>
          </w:rPr>
          <w:instrText xml:space="preserve"> PAGEREF _Toc203053762 \h </w:instrText>
        </w:r>
        <w:r>
          <w:rPr>
            <w:noProof/>
            <w:webHidden/>
          </w:rPr>
        </w:r>
        <w:r>
          <w:rPr>
            <w:noProof/>
            <w:webHidden/>
          </w:rPr>
          <w:fldChar w:fldCharType="separate"/>
        </w:r>
        <w:r>
          <w:rPr>
            <w:noProof/>
            <w:webHidden/>
          </w:rPr>
          <w:t>4</w:t>
        </w:r>
        <w:r>
          <w:rPr>
            <w:noProof/>
            <w:webHidden/>
          </w:rPr>
          <w:fldChar w:fldCharType="end"/>
        </w:r>
      </w:hyperlink>
    </w:p>
    <w:p w14:paraId="49C96913" w14:textId="08F9D806" w:rsidR="004D3447" w:rsidRDefault="004D3447">
      <w:pPr>
        <w:pStyle w:val="TOC4"/>
        <w:tabs>
          <w:tab w:val="right" w:leader="dot" w:pos="9350"/>
        </w:tabs>
        <w:rPr>
          <w:rFonts w:asciiTheme="minorHAnsi" w:eastAsiaTheme="minorEastAsia" w:hAnsiTheme="minorHAnsi" w:cstheme="minorBidi"/>
          <w:noProof/>
          <w:kern w:val="2"/>
          <w14:ligatures w14:val="standardContextual"/>
        </w:rPr>
      </w:pPr>
      <w:hyperlink w:anchor="_Toc203053763" w:history="1">
        <w:r w:rsidRPr="00330526">
          <w:rPr>
            <w:rStyle w:val="Hyperlink"/>
            <w:noProof/>
          </w:rPr>
          <w:t>California Serves Grants</w:t>
        </w:r>
        <w:r>
          <w:rPr>
            <w:noProof/>
            <w:webHidden/>
          </w:rPr>
          <w:tab/>
        </w:r>
        <w:r>
          <w:rPr>
            <w:noProof/>
            <w:webHidden/>
          </w:rPr>
          <w:fldChar w:fldCharType="begin"/>
        </w:r>
        <w:r>
          <w:rPr>
            <w:noProof/>
            <w:webHidden/>
          </w:rPr>
          <w:instrText xml:space="preserve"> PAGEREF _Toc203053763 \h </w:instrText>
        </w:r>
        <w:r>
          <w:rPr>
            <w:noProof/>
            <w:webHidden/>
          </w:rPr>
        </w:r>
        <w:r>
          <w:rPr>
            <w:noProof/>
            <w:webHidden/>
          </w:rPr>
          <w:fldChar w:fldCharType="separate"/>
        </w:r>
        <w:r>
          <w:rPr>
            <w:noProof/>
            <w:webHidden/>
          </w:rPr>
          <w:t>4</w:t>
        </w:r>
        <w:r>
          <w:rPr>
            <w:noProof/>
            <w:webHidden/>
          </w:rPr>
          <w:fldChar w:fldCharType="end"/>
        </w:r>
      </w:hyperlink>
    </w:p>
    <w:p w14:paraId="4ED0E0F5" w14:textId="1E24180C" w:rsidR="004D3447" w:rsidRDefault="004D3447">
      <w:pPr>
        <w:pStyle w:val="TOC2"/>
        <w:tabs>
          <w:tab w:val="right" w:leader="dot" w:pos="9350"/>
        </w:tabs>
        <w:rPr>
          <w:rFonts w:asciiTheme="minorHAnsi" w:eastAsiaTheme="minorEastAsia" w:hAnsiTheme="minorHAnsi" w:cstheme="minorBidi"/>
          <w:noProof/>
          <w:color w:val="auto"/>
          <w:kern w:val="2"/>
          <w:lang w:val="en-US"/>
          <w14:ligatures w14:val="standardContextual"/>
        </w:rPr>
      </w:pPr>
      <w:hyperlink w:anchor="_Toc203053764" w:history="1">
        <w:r w:rsidRPr="00330526">
          <w:rPr>
            <w:rStyle w:val="Hyperlink"/>
            <w:noProof/>
          </w:rPr>
          <w:t>About the Metrics</w:t>
        </w:r>
        <w:r>
          <w:rPr>
            <w:noProof/>
            <w:webHidden/>
          </w:rPr>
          <w:tab/>
        </w:r>
        <w:r>
          <w:rPr>
            <w:noProof/>
            <w:webHidden/>
          </w:rPr>
          <w:fldChar w:fldCharType="begin"/>
        </w:r>
        <w:r>
          <w:rPr>
            <w:noProof/>
            <w:webHidden/>
          </w:rPr>
          <w:instrText xml:space="preserve"> PAGEREF _Toc203053764 \h </w:instrText>
        </w:r>
        <w:r>
          <w:rPr>
            <w:noProof/>
            <w:webHidden/>
          </w:rPr>
        </w:r>
        <w:r>
          <w:rPr>
            <w:noProof/>
            <w:webHidden/>
          </w:rPr>
          <w:fldChar w:fldCharType="separate"/>
        </w:r>
        <w:r>
          <w:rPr>
            <w:noProof/>
            <w:webHidden/>
          </w:rPr>
          <w:t>4</w:t>
        </w:r>
        <w:r>
          <w:rPr>
            <w:noProof/>
            <w:webHidden/>
          </w:rPr>
          <w:fldChar w:fldCharType="end"/>
        </w:r>
      </w:hyperlink>
    </w:p>
    <w:p w14:paraId="3E52F5CA" w14:textId="522B3271" w:rsidR="004D3447" w:rsidRDefault="004D3447">
      <w:pPr>
        <w:pStyle w:val="TOC2"/>
        <w:tabs>
          <w:tab w:val="right" w:leader="dot" w:pos="9350"/>
        </w:tabs>
        <w:rPr>
          <w:rFonts w:asciiTheme="minorHAnsi" w:eastAsiaTheme="minorEastAsia" w:hAnsiTheme="minorHAnsi" w:cstheme="minorBidi"/>
          <w:noProof/>
          <w:color w:val="auto"/>
          <w:kern w:val="2"/>
          <w:lang w:val="en-US"/>
          <w14:ligatures w14:val="standardContextual"/>
        </w:rPr>
      </w:pPr>
      <w:hyperlink w:anchor="_Toc203053765" w:history="1">
        <w:r w:rsidRPr="00330526">
          <w:rPr>
            <w:rStyle w:val="Hyperlink"/>
            <w:noProof/>
          </w:rPr>
          <w:t>Model Uniform Metrics</w:t>
        </w:r>
        <w:r>
          <w:rPr>
            <w:noProof/>
            <w:webHidden/>
          </w:rPr>
          <w:tab/>
        </w:r>
        <w:r>
          <w:rPr>
            <w:noProof/>
            <w:webHidden/>
          </w:rPr>
          <w:fldChar w:fldCharType="begin"/>
        </w:r>
        <w:r>
          <w:rPr>
            <w:noProof/>
            <w:webHidden/>
          </w:rPr>
          <w:instrText xml:space="preserve"> PAGEREF _Toc203053765 \h </w:instrText>
        </w:r>
        <w:r>
          <w:rPr>
            <w:noProof/>
            <w:webHidden/>
          </w:rPr>
        </w:r>
        <w:r>
          <w:rPr>
            <w:noProof/>
            <w:webHidden/>
          </w:rPr>
          <w:fldChar w:fldCharType="separate"/>
        </w:r>
        <w:r>
          <w:rPr>
            <w:noProof/>
            <w:webHidden/>
          </w:rPr>
          <w:t>6</w:t>
        </w:r>
        <w:r>
          <w:rPr>
            <w:noProof/>
            <w:webHidden/>
          </w:rPr>
          <w:fldChar w:fldCharType="end"/>
        </w:r>
      </w:hyperlink>
    </w:p>
    <w:p w14:paraId="0FAC179C" w14:textId="193107B9"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66" w:history="1">
        <w:r w:rsidRPr="00330526">
          <w:rPr>
            <w:rStyle w:val="Hyperlink"/>
            <w:noProof/>
          </w:rPr>
          <w:t>State Seal of Civic Engagement Criterion 1</w:t>
        </w:r>
        <w:r>
          <w:rPr>
            <w:noProof/>
            <w:webHidden/>
          </w:rPr>
          <w:tab/>
        </w:r>
        <w:r>
          <w:rPr>
            <w:noProof/>
            <w:webHidden/>
          </w:rPr>
          <w:fldChar w:fldCharType="begin"/>
        </w:r>
        <w:r>
          <w:rPr>
            <w:noProof/>
            <w:webHidden/>
          </w:rPr>
          <w:instrText xml:space="preserve"> PAGEREF _Toc203053766 \h </w:instrText>
        </w:r>
        <w:r>
          <w:rPr>
            <w:noProof/>
            <w:webHidden/>
          </w:rPr>
        </w:r>
        <w:r>
          <w:rPr>
            <w:noProof/>
            <w:webHidden/>
          </w:rPr>
          <w:fldChar w:fldCharType="separate"/>
        </w:r>
        <w:r>
          <w:rPr>
            <w:noProof/>
            <w:webHidden/>
          </w:rPr>
          <w:t>6</w:t>
        </w:r>
        <w:r>
          <w:rPr>
            <w:noProof/>
            <w:webHidden/>
          </w:rPr>
          <w:fldChar w:fldCharType="end"/>
        </w:r>
      </w:hyperlink>
    </w:p>
    <w:p w14:paraId="58126B40" w14:textId="2DF4AA50"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67" w:history="1">
        <w:r w:rsidRPr="00330526">
          <w:rPr>
            <w:rStyle w:val="Hyperlink"/>
            <w:noProof/>
          </w:rPr>
          <w:t>State Seal of Civic Engagement Criterion 2</w:t>
        </w:r>
        <w:r>
          <w:rPr>
            <w:noProof/>
            <w:webHidden/>
          </w:rPr>
          <w:tab/>
        </w:r>
        <w:r>
          <w:rPr>
            <w:noProof/>
            <w:webHidden/>
          </w:rPr>
          <w:fldChar w:fldCharType="begin"/>
        </w:r>
        <w:r>
          <w:rPr>
            <w:noProof/>
            <w:webHidden/>
          </w:rPr>
          <w:instrText xml:space="preserve"> PAGEREF _Toc203053767 \h </w:instrText>
        </w:r>
        <w:r>
          <w:rPr>
            <w:noProof/>
            <w:webHidden/>
          </w:rPr>
        </w:r>
        <w:r>
          <w:rPr>
            <w:noProof/>
            <w:webHidden/>
          </w:rPr>
          <w:fldChar w:fldCharType="separate"/>
        </w:r>
        <w:r>
          <w:rPr>
            <w:noProof/>
            <w:webHidden/>
          </w:rPr>
          <w:t>6</w:t>
        </w:r>
        <w:r>
          <w:rPr>
            <w:noProof/>
            <w:webHidden/>
          </w:rPr>
          <w:fldChar w:fldCharType="end"/>
        </w:r>
      </w:hyperlink>
    </w:p>
    <w:p w14:paraId="55A95D33" w14:textId="2E5875D1"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68" w:history="1">
        <w:r w:rsidRPr="00330526">
          <w:rPr>
            <w:rStyle w:val="Hyperlink"/>
            <w:noProof/>
          </w:rPr>
          <w:t>State Seal of Civic Engagement Criterion 3</w:t>
        </w:r>
        <w:r>
          <w:rPr>
            <w:noProof/>
            <w:webHidden/>
          </w:rPr>
          <w:tab/>
        </w:r>
        <w:r>
          <w:rPr>
            <w:noProof/>
            <w:webHidden/>
          </w:rPr>
          <w:fldChar w:fldCharType="begin"/>
        </w:r>
        <w:r>
          <w:rPr>
            <w:noProof/>
            <w:webHidden/>
          </w:rPr>
          <w:instrText xml:space="preserve"> PAGEREF _Toc203053768 \h </w:instrText>
        </w:r>
        <w:r>
          <w:rPr>
            <w:noProof/>
            <w:webHidden/>
          </w:rPr>
        </w:r>
        <w:r>
          <w:rPr>
            <w:noProof/>
            <w:webHidden/>
          </w:rPr>
          <w:fldChar w:fldCharType="separate"/>
        </w:r>
        <w:r>
          <w:rPr>
            <w:noProof/>
            <w:webHidden/>
          </w:rPr>
          <w:t>7</w:t>
        </w:r>
        <w:r>
          <w:rPr>
            <w:noProof/>
            <w:webHidden/>
          </w:rPr>
          <w:fldChar w:fldCharType="end"/>
        </w:r>
      </w:hyperlink>
    </w:p>
    <w:p w14:paraId="5D695D65" w14:textId="044D39D0"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69" w:history="1">
        <w:r w:rsidRPr="00330526">
          <w:rPr>
            <w:rStyle w:val="Hyperlink"/>
            <w:noProof/>
          </w:rPr>
          <w:t>State Seal of Civic Engagement Criterion 4</w:t>
        </w:r>
        <w:r>
          <w:rPr>
            <w:noProof/>
            <w:webHidden/>
          </w:rPr>
          <w:tab/>
        </w:r>
        <w:r>
          <w:rPr>
            <w:noProof/>
            <w:webHidden/>
          </w:rPr>
          <w:fldChar w:fldCharType="begin"/>
        </w:r>
        <w:r>
          <w:rPr>
            <w:noProof/>
            <w:webHidden/>
          </w:rPr>
          <w:instrText xml:space="preserve"> PAGEREF _Toc203053769 \h </w:instrText>
        </w:r>
        <w:r>
          <w:rPr>
            <w:noProof/>
            <w:webHidden/>
          </w:rPr>
        </w:r>
        <w:r>
          <w:rPr>
            <w:noProof/>
            <w:webHidden/>
          </w:rPr>
          <w:fldChar w:fldCharType="separate"/>
        </w:r>
        <w:r>
          <w:rPr>
            <w:noProof/>
            <w:webHidden/>
          </w:rPr>
          <w:t>8</w:t>
        </w:r>
        <w:r>
          <w:rPr>
            <w:noProof/>
            <w:webHidden/>
          </w:rPr>
          <w:fldChar w:fldCharType="end"/>
        </w:r>
      </w:hyperlink>
    </w:p>
    <w:p w14:paraId="2E30CCCD" w14:textId="66426726" w:rsidR="004D3447" w:rsidRDefault="004D3447">
      <w:pPr>
        <w:pStyle w:val="TOC3"/>
        <w:tabs>
          <w:tab w:val="right" w:leader="dot" w:pos="9350"/>
        </w:tabs>
        <w:rPr>
          <w:rFonts w:asciiTheme="minorHAnsi" w:eastAsiaTheme="minorEastAsia" w:hAnsiTheme="minorHAnsi" w:cstheme="minorBidi"/>
          <w:noProof/>
          <w:kern w:val="2"/>
          <w14:ligatures w14:val="standardContextual"/>
        </w:rPr>
      </w:pPr>
      <w:hyperlink w:anchor="_Toc203053770" w:history="1">
        <w:r w:rsidRPr="00330526">
          <w:rPr>
            <w:rStyle w:val="Hyperlink"/>
            <w:noProof/>
          </w:rPr>
          <w:t>State Seal of Civic Engagement Criterion 5</w:t>
        </w:r>
        <w:r>
          <w:rPr>
            <w:noProof/>
            <w:webHidden/>
          </w:rPr>
          <w:tab/>
        </w:r>
        <w:r>
          <w:rPr>
            <w:noProof/>
            <w:webHidden/>
          </w:rPr>
          <w:fldChar w:fldCharType="begin"/>
        </w:r>
        <w:r>
          <w:rPr>
            <w:noProof/>
            <w:webHidden/>
          </w:rPr>
          <w:instrText xml:space="preserve"> PAGEREF _Toc203053770 \h </w:instrText>
        </w:r>
        <w:r>
          <w:rPr>
            <w:noProof/>
            <w:webHidden/>
          </w:rPr>
        </w:r>
        <w:r>
          <w:rPr>
            <w:noProof/>
            <w:webHidden/>
          </w:rPr>
          <w:fldChar w:fldCharType="separate"/>
        </w:r>
        <w:r>
          <w:rPr>
            <w:noProof/>
            <w:webHidden/>
          </w:rPr>
          <w:t>9</w:t>
        </w:r>
        <w:r>
          <w:rPr>
            <w:noProof/>
            <w:webHidden/>
          </w:rPr>
          <w:fldChar w:fldCharType="end"/>
        </w:r>
      </w:hyperlink>
    </w:p>
    <w:p w14:paraId="212D9789" w14:textId="5F5DB3D0" w:rsidR="004D3447" w:rsidRDefault="004D3447">
      <w:pPr>
        <w:pStyle w:val="TOC2"/>
        <w:tabs>
          <w:tab w:val="right" w:leader="dot" w:pos="9350"/>
        </w:tabs>
        <w:rPr>
          <w:rFonts w:asciiTheme="minorHAnsi" w:eastAsiaTheme="minorEastAsia" w:hAnsiTheme="minorHAnsi" w:cstheme="minorBidi"/>
          <w:noProof/>
          <w:color w:val="auto"/>
          <w:kern w:val="2"/>
          <w:lang w:val="en-US"/>
          <w14:ligatures w14:val="standardContextual"/>
        </w:rPr>
      </w:pPr>
      <w:hyperlink w:anchor="_Toc203053771" w:history="1">
        <w:r w:rsidRPr="00330526">
          <w:rPr>
            <w:rStyle w:val="Hyperlink"/>
            <w:noProof/>
          </w:rPr>
          <w:t>Appendix A: Metric Alignment Worksheet</w:t>
        </w:r>
        <w:r>
          <w:rPr>
            <w:noProof/>
            <w:webHidden/>
          </w:rPr>
          <w:tab/>
        </w:r>
        <w:r>
          <w:rPr>
            <w:noProof/>
            <w:webHidden/>
          </w:rPr>
          <w:fldChar w:fldCharType="begin"/>
        </w:r>
        <w:r>
          <w:rPr>
            <w:noProof/>
            <w:webHidden/>
          </w:rPr>
          <w:instrText xml:space="preserve"> PAGEREF _Toc203053771 \h </w:instrText>
        </w:r>
        <w:r>
          <w:rPr>
            <w:noProof/>
            <w:webHidden/>
          </w:rPr>
        </w:r>
        <w:r>
          <w:rPr>
            <w:noProof/>
            <w:webHidden/>
          </w:rPr>
          <w:fldChar w:fldCharType="separate"/>
        </w:r>
        <w:r>
          <w:rPr>
            <w:noProof/>
            <w:webHidden/>
          </w:rPr>
          <w:t>10</w:t>
        </w:r>
        <w:r>
          <w:rPr>
            <w:noProof/>
            <w:webHidden/>
          </w:rPr>
          <w:fldChar w:fldCharType="end"/>
        </w:r>
      </w:hyperlink>
    </w:p>
    <w:p w14:paraId="6D1B2C0C" w14:textId="1F4B492D" w:rsidR="004D3447" w:rsidRDefault="004D3447">
      <w:pPr>
        <w:pStyle w:val="TOC2"/>
        <w:tabs>
          <w:tab w:val="right" w:leader="dot" w:pos="9350"/>
        </w:tabs>
        <w:rPr>
          <w:rFonts w:asciiTheme="minorHAnsi" w:eastAsiaTheme="minorEastAsia" w:hAnsiTheme="minorHAnsi" w:cstheme="minorBidi"/>
          <w:noProof/>
          <w:color w:val="auto"/>
          <w:kern w:val="2"/>
          <w:lang w:val="en-US"/>
          <w14:ligatures w14:val="standardContextual"/>
        </w:rPr>
      </w:pPr>
      <w:hyperlink w:anchor="_Toc203053772" w:history="1">
        <w:r w:rsidRPr="00330526">
          <w:rPr>
            <w:rStyle w:val="Hyperlink"/>
            <w:noProof/>
          </w:rPr>
          <w:t>Appendix B: Definitions</w:t>
        </w:r>
        <w:r>
          <w:rPr>
            <w:noProof/>
            <w:webHidden/>
          </w:rPr>
          <w:tab/>
        </w:r>
        <w:r>
          <w:rPr>
            <w:noProof/>
            <w:webHidden/>
          </w:rPr>
          <w:fldChar w:fldCharType="begin"/>
        </w:r>
        <w:r>
          <w:rPr>
            <w:noProof/>
            <w:webHidden/>
          </w:rPr>
          <w:instrText xml:space="preserve"> PAGEREF _Toc203053772 \h </w:instrText>
        </w:r>
        <w:r>
          <w:rPr>
            <w:noProof/>
            <w:webHidden/>
          </w:rPr>
        </w:r>
        <w:r>
          <w:rPr>
            <w:noProof/>
            <w:webHidden/>
          </w:rPr>
          <w:fldChar w:fldCharType="separate"/>
        </w:r>
        <w:r>
          <w:rPr>
            <w:noProof/>
            <w:webHidden/>
          </w:rPr>
          <w:t>11</w:t>
        </w:r>
        <w:r>
          <w:rPr>
            <w:noProof/>
            <w:webHidden/>
          </w:rPr>
          <w:fldChar w:fldCharType="end"/>
        </w:r>
      </w:hyperlink>
    </w:p>
    <w:p w14:paraId="43731D1B" w14:textId="4675BAED" w:rsidR="00721ACD" w:rsidRPr="00721ACD" w:rsidRDefault="005B4875" w:rsidP="00E6351B">
      <w:pPr>
        <w:sectPr w:rsidR="00721ACD" w:rsidRPr="00721ACD" w:rsidSect="000B5C9C">
          <w:footerReference w:type="default" r:id="rId9"/>
          <w:pgSz w:w="12240" w:h="15840" w:code="1"/>
          <w:pgMar w:top="1440" w:right="1440" w:bottom="1440" w:left="1440" w:header="720" w:footer="720" w:gutter="0"/>
          <w:cols w:space="720"/>
          <w:titlePg/>
          <w:docGrid w:linePitch="360"/>
        </w:sectPr>
      </w:pPr>
      <w:r>
        <w:fldChar w:fldCharType="end"/>
      </w:r>
      <w:r w:rsidR="00721ACD">
        <w:tab/>
      </w:r>
    </w:p>
    <w:p w14:paraId="668911BE" w14:textId="77777777" w:rsidR="0089233B" w:rsidRPr="0089233B" w:rsidRDefault="0089233B" w:rsidP="005F6E85">
      <w:pPr>
        <w:pStyle w:val="Heading2"/>
      </w:pPr>
      <w:bookmarkStart w:id="11" w:name="_Toc122354223"/>
      <w:bookmarkStart w:id="12" w:name="_Toc201236628"/>
      <w:bookmarkStart w:id="13" w:name="_Toc203053759"/>
      <w:r w:rsidRPr="0089233B">
        <w:lastRenderedPageBreak/>
        <w:t>Overview</w:t>
      </w:r>
      <w:bookmarkEnd w:id="11"/>
      <w:bookmarkEnd w:id="12"/>
      <w:bookmarkEnd w:id="13"/>
    </w:p>
    <w:p w14:paraId="1EAEE379" w14:textId="02E09A56" w:rsidR="00915CD8" w:rsidRPr="00915CD8" w:rsidRDefault="00915CD8" w:rsidP="00915CD8">
      <w:r w:rsidRPr="00915CD8">
        <w:t xml:space="preserve">The 2022 California State Budget established the California Serves Program (California </w:t>
      </w:r>
      <w:r w:rsidRPr="009D2897">
        <w:rPr>
          <w:i/>
          <w:iCs/>
        </w:rPr>
        <w:t>Education Code [</w:t>
      </w:r>
      <w:r w:rsidRPr="00581C0B">
        <w:t>EC</w:t>
      </w:r>
      <w:r w:rsidRPr="009D2897">
        <w:rPr>
          <w:i/>
          <w:iCs/>
        </w:rPr>
        <w:t>]</w:t>
      </w:r>
      <w:r w:rsidRPr="00915CD8">
        <w:t xml:space="preserve"> Section 51475), a collaboration between the California Department of Education (CDE) and California Volunteers. The California Serves Program promote</w:t>
      </w:r>
      <w:r w:rsidR="00B54901">
        <w:t>s</w:t>
      </w:r>
      <w:r w:rsidRPr="00915CD8">
        <w:t xml:space="preserve"> access to effective service-learning for students in grade twelve, with the goal of expanding access for high school graduates in obtaining a State Seal of Civic Engagement (SSCE) through service-learning.</w:t>
      </w:r>
      <w:r w:rsidR="00F96849">
        <w:t xml:space="preserve"> Additional information is available from the CDE California Serves web page at </w:t>
      </w:r>
      <w:hyperlink r:id="rId10" w:tooltip="CDE CA Serves Web Page" w:history="1">
        <w:r w:rsidR="00F96849" w:rsidRPr="004309DE">
          <w:rPr>
            <w:rStyle w:val="Hyperlink"/>
          </w:rPr>
          <w:t>https://www.cde.ca.gov/ci/pl/californiaserves.asp</w:t>
        </w:r>
      </w:hyperlink>
      <w:r w:rsidR="00F96849">
        <w:t xml:space="preserve">. </w:t>
      </w:r>
    </w:p>
    <w:p w14:paraId="783653FB" w14:textId="506D611E" w:rsidR="00A8155B" w:rsidRPr="00E6351B" w:rsidRDefault="00A8155B" w:rsidP="00E6351B">
      <w:r w:rsidRPr="00E6351B">
        <w:t xml:space="preserve">In administering the California Serves </w:t>
      </w:r>
      <w:r w:rsidR="00E47DF9">
        <w:t xml:space="preserve">Program, </w:t>
      </w:r>
      <w:r w:rsidR="00E47DF9">
        <w:rPr>
          <w:i/>
          <w:iCs/>
        </w:rPr>
        <w:t xml:space="preserve">EC </w:t>
      </w:r>
      <w:r w:rsidRPr="00E6351B">
        <w:t>Section 51575(b</w:t>
      </w:r>
      <w:proofErr w:type="gramStart"/>
      <w:r w:rsidRPr="00E6351B">
        <w:t>)(</w:t>
      </w:r>
      <w:proofErr w:type="gramEnd"/>
      <w:r w:rsidRPr="00E6351B">
        <w:t xml:space="preserve">3–4) instructs the </w:t>
      </w:r>
      <w:r w:rsidR="00E47DF9">
        <w:t>CDE</w:t>
      </w:r>
      <w:r w:rsidRPr="00E6351B">
        <w:t xml:space="preserve"> and California Volunteers to:</w:t>
      </w:r>
    </w:p>
    <w:p w14:paraId="5740BB52" w14:textId="77777777" w:rsidR="00A8155B" w:rsidRPr="00A75B66" w:rsidRDefault="00A8155B" w:rsidP="00E6351B">
      <w:pPr>
        <w:ind w:left="720" w:right="720"/>
        <w:rPr>
          <w:i/>
          <w:iCs/>
        </w:rPr>
      </w:pPr>
      <w:r w:rsidRPr="00A75B66">
        <w:rPr>
          <w:i/>
          <w:iCs/>
        </w:rPr>
        <w:t>(3) Develop model uniform metrics, based on the recommended criteria for the State Seal of Civic Engagement, for the measurement of pupil progress toward academic, civic engagement, and other learning objectives. Civic learning objectives shall include the final goal of awarding of the State Seal of Civic Engagement pursuant to this article.</w:t>
      </w:r>
    </w:p>
    <w:p w14:paraId="695F0B6F" w14:textId="77777777" w:rsidR="00A8155B" w:rsidRPr="00A75B66" w:rsidRDefault="00A8155B" w:rsidP="00E6351B">
      <w:pPr>
        <w:ind w:left="720" w:right="720"/>
        <w:rPr>
          <w:i/>
          <w:iCs/>
        </w:rPr>
      </w:pPr>
      <w:r w:rsidRPr="00A75B66">
        <w:rPr>
          <w:i/>
          <w:iCs/>
        </w:rPr>
        <w:t>(4) Use the evidence, recommendations, and metrics identified pursuant to paragraphs (1) to (3), inclusive, in the administration of the California Serves Program.</w:t>
      </w:r>
    </w:p>
    <w:p w14:paraId="7E468892" w14:textId="6E8801CB" w:rsidR="00A8155B" w:rsidRDefault="00A8155B" w:rsidP="00E6351B">
      <w:r w:rsidRPr="00694515">
        <w:t>Th</w:t>
      </w:r>
      <w:r w:rsidR="0090641A" w:rsidRPr="00694515">
        <w:t xml:space="preserve">is document </w:t>
      </w:r>
      <w:r w:rsidR="0025623D" w:rsidRPr="00694515">
        <w:t xml:space="preserve">provides the </w:t>
      </w:r>
      <w:r w:rsidRPr="00694515">
        <w:t xml:space="preserve">model uniform metrics developed pursuant to </w:t>
      </w:r>
      <w:r w:rsidRPr="00694515">
        <w:rPr>
          <w:i/>
          <w:iCs/>
        </w:rPr>
        <w:t>EC</w:t>
      </w:r>
      <w:r w:rsidRPr="00694515">
        <w:t xml:space="preserve"> Section 51575(b)3–4. </w:t>
      </w:r>
    </w:p>
    <w:p w14:paraId="212787BF" w14:textId="77777777" w:rsidR="0089233B" w:rsidRPr="0089233B" w:rsidRDefault="0089233B" w:rsidP="005F6E85">
      <w:pPr>
        <w:pStyle w:val="Heading2"/>
      </w:pPr>
      <w:bookmarkStart w:id="14" w:name="_Toc201236629"/>
      <w:bookmarkStart w:id="15" w:name="_Toc203053760"/>
      <w:r w:rsidRPr="0089233B">
        <w:t>Background</w:t>
      </w:r>
      <w:bookmarkEnd w:id="14"/>
      <w:bookmarkEnd w:id="15"/>
    </w:p>
    <w:p w14:paraId="54AE0FF4" w14:textId="77777777" w:rsidR="0089233B" w:rsidRPr="0089233B" w:rsidRDefault="0089233B" w:rsidP="00BB580A">
      <w:pPr>
        <w:pStyle w:val="Heading3"/>
      </w:pPr>
      <w:bookmarkStart w:id="16" w:name="_Toc201236630"/>
      <w:bookmarkStart w:id="17" w:name="_Toc203053761"/>
      <w:r w:rsidRPr="0089233B">
        <w:t>State Seal of Civic Engagement</w:t>
      </w:r>
      <w:bookmarkEnd w:id="16"/>
      <w:bookmarkEnd w:id="17"/>
    </w:p>
    <w:p w14:paraId="4284D151" w14:textId="76BDBEDF" w:rsidR="004801E3" w:rsidRDefault="0089233B" w:rsidP="009E1EA1">
      <w:r w:rsidRPr="0089233B">
        <w:rPr>
          <w:bdr w:val="nil"/>
        </w:rPr>
        <w:t>In 2017, Assembly Bill 24, Chapter 604 (</w:t>
      </w:r>
      <w:r w:rsidRPr="44A014BB">
        <w:rPr>
          <w:i/>
          <w:iCs/>
          <w:bdr w:val="nil"/>
        </w:rPr>
        <w:t>EC</w:t>
      </w:r>
      <w:r w:rsidR="00937837">
        <w:rPr>
          <w:iCs/>
          <w:u w:color="000000"/>
          <w:bdr w:val="nil"/>
        </w:rPr>
        <w:t xml:space="preserve"> </w:t>
      </w:r>
      <w:r w:rsidRPr="0089233B">
        <w:rPr>
          <w:bdr w:val="nil"/>
        </w:rPr>
        <w:t xml:space="preserve">sections 51470–51474) directed the </w:t>
      </w:r>
      <w:r w:rsidR="00937837">
        <w:rPr>
          <w:bdr w:val="nil"/>
        </w:rPr>
        <w:t>State Superintendent of Public Instruction</w:t>
      </w:r>
      <w:r w:rsidRPr="0089233B">
        <w:rPr>
          <w:bdr w:val="nil"/>
        </w:rPr>
        <w:t xml:space="preserve"> to develop, and the State Board of Education (SBE) to adopt, a set of criteria for </w:t>
      </w:r>
      <w:r w:rsidR="00734945">
        <w:rPr>
          <w:bdr w:val="nil"/>
        </w:rPr>
        <w:t>local educational agencies</w:t>
      </w:r>
      <w:r w:rsidRPr="0089233B">
        <w:rPr>
          <w:u w:color="000000"/>
          <w:bdr w:val="nil"/>
        </w:rPr>
        <w:t xml:space="preserve"> </w:t>
      </w:r>
      <w:r w:rsidR="004C34D8">
        <w:rPr>
          <w:bdr w:val="nil"/>
        </w:rPr>
        <w:t xml:space="preserve">(LEAs) </w:t>
      </w:r>
      <w:r w:rsidRPr="0089233B">
        <w:rPr>
          <w:bdr w:val="nil"/>
        </w:rPr>
        <w:t>choosing to offer the SSCE locally. The SBE adopted statewide criteria and guidance for awarding a</w:t>
      </w:r>
      <w:r w:rsidR="21AC9F46" w:rsidRPr="0089233B">
        <w:rPr>
          <w:bdr w:val="nil"/>
        </w:rPr>
        <w:t>n</w:t>
      </w:r>
      <w:r w:rsidRPr="0089233B">
        <w:rPr>
          <w:bdr w:val="nil"/>
        </w:rPr>
        <w:t xml:space="preserve"> SSCE on September 10, 2020</w:t>
      </w:r>
      <w:r w:rsidR="00773878">
        <w:rPr>
          <w:u w:color="000000"/>
          <w:bdr w:val="nil"/>
        </w:rPr>
        <w:t xml:space="preserve">, </w:t>
      </w:r>
      <w:r w:rsidR="001459C1">
        <w:rPr>
          <w:bdr w:val="nil"/>
        </w:rPr>
        <w:t xml:space="preserve">and the </w:t>
      </w:r>
      <w:r w:rsidR="00605A54">
        <w:rPr>
          <w:bdr w:val="nil"/>
        </w:rPr>
        <w:t xml:space="preserve">SSCE </w:t>
      </w:r>
      <w:r w:rsidR="001459C1">
        <w:rPr>
          <w:bdr w:val="nil"/>
        </w:rPr>
        <w:t xml:space="preserve">was </w:t>
      </w:r>
      <w:r w:rsidR="00605A54">
        <w:rPr>
          <w:bdr w:val="nil"/>
        </w:rPr>
        <w:t xml:space="preserve">first offered during the </w:t>
      </w:r>
      <w:r w:rsidR="00773878">
        <w:rPr>
          <w:bdr w:val="nil"/>
        </w:rPr>
        <w:t xml:space="preserve">2020–21 </w:t>
      </w:r>
      <w:r w:rsidR="00605A54">
        <w:rPr>
          <w:bdr w:val="nil"/>
        </w:rPr>
        <w:t>school year.</w:t>
      </w:r>
    </w:p>
    <w:p w14:paraId="34A6F9BB" w14:textId="0D395E82" w:rsidR="0089233B" w:rsidRPr="0089233B" w:rsidRDefault="0089233B" w:rsidP="009E1EA1">
      <w:pPr>
        <w:rPr>
          <w:u w:color="000000"/>
          <w:bdr w:val="nil"/>
        </w:rPr>
      </w:pPr>
      <w:r w:rsidRPr="0089233B">
        <w:rPr>
          <w:u w:color="000000"/>
          <w:bdr w:val="nil"/>
        </w:rPr>
        <w:t xml:space="preserve">More information about the development of the SSCE, including the adopted statewide criteria and guidance, is available from the “Criteria and Guidance” tab on the CDE SSCE web page at </w:t>
      </w:r>
      <w:hyperlink r:id="rId11" w:tooltip="State Seal of Civic Engagement web page " w:history="1">
        <w:r w:rsidRPr="0089233B">
          <w:rPr>
            <w:color w:val="0000FF"/>
            <w:u w:val="single" w:color="000000"/>
            <w:bdr w:val="nil"/>
          </w:rPr>
          <w:t>https://www.cde.ca.gov/pd/ca/hs/hssstateseal.asp</w:t>
        </w:r>
      </w:hyperlink>
      <w:r w:rsidRPr="0089233B">
        <w:rPr>
          <w:u w:color="000000"/>
          <w:bdr w:val="nil"/>
        </w:rPr>
        <w:t>.</w:t>
      </w:r>
    </w:p>
    <w:p w14:paraId="04C7389B" w14:textId="44AE303C" w:rsidR="0089233B" w:rsidRPr="0089233B" w:rsidRDefault="0089233B" w:rsidP="00BB580A">
      <w:pPr>
        <w:pStyle w:val="Heading3"/>
      </w:pPr>
      <w:bookmarkStart w:id="18" w:name="_Toc201236631"/>
      <w:bookmarkStart w:id="19" w:name="_Toc203053762"/>
      <w:r w:rsidRPr="0089233B">
        <w:lastRenderedPageBreak/>
        <w:t>California Serves</w:t>
      </w:r>
      <w:r w:rsidR="00B26F65">
        <w:t xml:space="preserve"> Program</w:t>
      </w:r>
      <w:bookmarkEnd w:id="18"/>
      <w:bookmarkEnd w:id="19"/>
    </w:p>
    <w:p w14:paraId="31A10AF0" w14:textId="1CB7E636" w:rsidR="002C2A34" w:rsidRPr="002C2A34" w:rsidRDefault="00252DF6" w:rsidP="009978DB">
      <w:pPr>
        <w:rPr>
          <w:u w:color="000000"/>
          <w:bdr w:val="nil"/>
        </w:rPr>
      </w:pPr>
      <w:r>
        <w:rPr>
          <w:i/>
          <w:iCs/>
          <w:u w:color="000000"/>
          <w:bdr w:val="nil"/>
        </w:rPr>
        <w:t>E</w:t>
      </w:r>
      <w:r w:rsidR="0078468A">
        <w:rPr>
          <w:i/>
          <w:iCs/>
          <w:u w:color="000000"/>
          <w:bdr w:val="nil"/>
        </w:rPr>
        <w:t xml:space="preserve">C </w:t>
      </w:r>
      <w:r w:rsidR="0078468A" w:rsidRPr="006F0263">
        <w:rPr>
          <w:u w:color="000000"/>
          <w:bdr w:val="nil"/>
        </w:rPr>
        <w:t>Section</w:t>
      </w:r>
      <w:r w:rsidR="0078468A">
        <w:rPr>
          <w:i/>
          <w:iCs/>
          <w:u w:color="000000"/>
          <w:bdr w:val="nil"/>
        </w:rPr>
        <w:t xml:space="preserve"> </w:t>
      </w:r>
      <w:r w:rsidR="0078468A">
        <w:rPr>
          <w:u w:color="000000"/>
          <w:bdr w:val="nil"/>
        </w:rPr>
        <w:t xml:space="preserve">51475 </w:t>
      </w:r>
      <w:r w:rsidR="00C76EF4">
        <w:rPr>
          <w:u w:color="000000"/>
          <w:bdr w:val="nil"/>
        </w:rPr>
        <w:t>requires</w:t>
      </w:r>
      <w:r w:rsidR="00043ADC">
        <w:rPr>
          <w:u w:color="000000"/>
          <w:bdr w:val="nil"/>
        </w:rPr>
        <w:t xml:space="preserve"> the</w:t>
      </w:r>
      <w:r w:rsidR="002C2A34" w:rsidRPr="002C2A34">
        <w:rPr>
          <w:u w:color="000000"/>
          <w:bdr w:val="nil"/>
        </w:rPr>
        <w:t xml:space="preserve"> CDE, in partnership with California Volunteers, </w:t>
      </w:r>
      <w:r w:rsidR="00043ADC">
        <w:rPr>
          <w:u w:color="000000"/>
          <w:bdr w:val="nil"/>
        </w:rPr>
        <w:t>to</w:t>
      </w:r>
      <w:r w:rsidR="002C2A34" w:rsidRPr="002C2A34">
        <w:rPr>
          <w:u w:color="000000"/>
          <w:bdr w:val="nil"/>
        </w:rPr>
        <w:t>:</w:t>
      </w:r>
    </w:p>
    <w:p w14:paraId="0A2D5C8D" w14:textId="77777777" w:rsidR="002C2A34" w:rsidRPr="00043ADC" w:rsidRDefault="002C2A34" w:rsidP="009978DB">
      <w:pPr>
        <w:pStyle w:val="ListParagraph"/>
        <w:numPr>
          <w:ilvl w:val="0"/>
          <w:numId w:val="33"/>
        </w:numPr>
        <w:contextualSpacing w:val="0"/>
        <w:rPr>
          <w:u w:color="000000"/>
          <w:bdr w:val="nil"/>
        </w:rPr>
      </w:pPr>
      <w:r w:rsidRPr="00043ADC">
        <w:rPr>
          <w:u w:color="000000"/>
          <w:bdr w:val="nil"/>
        </w:rPr>
        <w:t>Review the available evidence on ways to incorporate effective service-learning for students in grades nine through twelve.</w:t>
      </w:r>
    </w:p>
    <w:p w14:paraId="09444C04" w14:textId="3C23FAFA" w:rsidR="002C2A34" w:rsidRPr="00043ADC" w:rsidRDefault="002C2A34" w:rsidP="44A014BB">
      <w:pPr>
        <w:pStyle w:val="ListParagraph"/>
        <w:numPr>
          <w:ilvl w:val="0"/>
          <w:numId w:val="33"/>
        </w:numPr>
      </w:pPr>
      <w:r w:rsidRPr="00043ADC">
        <w:rPr>
          <w:bdr w:val="nil"/>
        </w:rPr>
        <w:t xml:space="preserve">Provide recommendations to the Legislature on evidence-based strategies to expand access to high-quality service-learning programs in California high </w:t>
      </w:r>
      <w:r w:rsidR="16B42C5B" w:rsidRPr="00043ADC">
        <w:rPr>
          <w:bdr w:val="nil"/>
        </w:rPr>
        <w:t>schools and</w:t>
      </w:r>
      <w:r w:rsidRPr="00043ADC">
        <w:rPr>
          <w:bdr w:val="nil"/>
        </w:rPr>
        <w:t xml:space="preserve"> promote equitable access to these programs.</w:t>
      </w:r>
      <w:r w:rsidR="002D4D92">
        <w:rPr>
          <w:u w:color="000000"/>
          <w:bdr w:val="nil"/>
        </w:rPr>
        <w:t xml:space="preserve"> </w:t>
      </w:r>
      <w:r w:rsidR="00670E28">
        <w:rPr>
          <w:bdr w:val="nil"/>
        </w:rPr>
        <w:t xml:space="preserve">The </w:t>
      </w:r>
      <w:r w:rsidR="00670E28" w:rsidRPr="44A014BB">
        <w:rPr>
          <w:i/>
          <w:iCs/>
          <w:bdr w:val="nil"/>
        </w:rPr>
        <w:t>California Serves: Strategies to Expand High-Quality and Accessible Service-Learning Programs in California High Schools Report</w:t>
      </w:r>
      <w:r w:rsidR="00670E28">
        <w:rPr>
          <w:bdr w:val="nil"/>
        </w:rPr>
        <w:t xml:space="preserve"> is available at </w:t>
      </w:r>
      <w:hyperlink r:id="rId12" w:tooltip="CDE CA Serves Legislative Report" w:history="1">
        <w:r w:rsidR="003013DC" w:rsidRPr="005473B7">
          <w:rPr>
            <w:rStyle w:val="Hyperlink"/>
            <w:bdr w:val="nil"/>
          </w:rPr>
          <w:t>https://www.cde.ca.gov/ci/pl/caserveslegreport.asp</w:t>
        </w:r>
      </w:hyperlink>
      <w:r w:rsidR="003013DC">
        <w:rPr>
          <w:u w:color="000000"/>
          <w:bdr w:val="nil"/>
        </w:rPr>
        <w:t xml:space="preserve">. </w:t>
      </w:r>
    </w:p>
    <w:p w14:paraId="1C24F12C" w14:textId="39E2209A" w:rsidR="002C2A34" w:rsidRPr="00043ADC" w:rsidRDefault="002C2A34" w:rsidP="009978DB">
      <w:pPr>
        <w:pStyle w:val="ListParagraph"/>
        <w:numPr>
          <w:ilvl w:val="0"/>
          <w:numId w:val="33"/>
        </w:numPr>
        <w:contextualSpacing w:val="0"/>
        <w:rPr>
          <w:u w:color="000000"/>
          <w:bdr w:val="nil"/>
        </w:rPr>
      </w:pPr>
      <w:r w:rsidRPr="00043ADC">
        <w:rPr>
          <w:u w:color="000000"/>
          <w:bdr w:val="nil"/>
        </w:rPr>
        <w:t>Develop and post information on evidence-based strategies for expanding access to high-quality service-learning programs that may be used by teachers and LEAs.</w:t>
      </w:r>
      <w:r w:rsidR="00D232B7">
        <w:rPr>
          <w:u w:color="000000"/>
          <w:bdr w:val="nil"/>
        </w:rPr>
        <w:t xml:space="preserve"> </w:t>
      </w:r>
      <w:r w:rsidR="00670E28">
        <w:rPr>
          <w:u w:color="000000"/>
          <w:bdr w:val="nil"/>
        </w:rPr>
        <w:t>Strategies and additional recommendations</w:t>
      </w:r>
      <w:r w:rsidR="00D232B7">
        <w:rPr>
          <w:u w:color="000000"/>
          <w:bdr w:val="nil"/>
        </w:rPr>
        <w:t xml:space="preserve"> are available from the CDE California Serves web page at </w:t>
      </w:r>
      <w:hyperlink r:id="rId13" w:tooltip="CDE CA Serves Web Page" w:history="1">
        <w:r w:rsidR="00D232B7" w:rsidRPr="005473B7">
          <w:rPr>
            <w:rStyle w:val="Hyperlink"/>
            <w:bdr w:val="nil"/>
          </w:rPr>
          <w:t>https://www.cde.ca.gov/ci/pl/californiaserves.asp</w:t>
        </w:r>
      </w:hyperlink>
      <w:r w:rsidR="00D232B7">
        <w:rPr>
          <w:u w:color="000000"/>
          <w:bdr w:val="nil"/>
        </w:rPr>
        <w:t>.</w:t>
      </w:r>
    </w:p>
    <w:p w14:paraId="5044F5E8" w14:textId="77777777" w:rsidR="002C2A34" w:rsidRPr="00043ADC" w:rsidRDefault="002C2A34" w:rsidP="009978DB">
      <w:pPr>
        <w:pStyle w:val="ListParagraph"/>
        <w:numPr>
          <w:ilvl w:val="0"/>
          <w:numId w:val="33"/>
        </w:numPr>
        <w:contextualSpacing w:val="0"/>
        <w:rPr>
          <w:u w:color="000000"/>
          <w:bdr w:val="nil"/>
        </w:rPr>
      </w:pPr>
      <w:r w:rsidRPr="00043ADC">
        <w:rPr>
          <w:u w:color="000000"/>
          <w:bdr w:val="nil"/>
        </w:rPr>
        <w:t>Develop model uniform metrics, based on the recommended criteria for the SSCE, for the measurement of student progress toward academic, civic engagement, and other learning objectives, including awarding the SSCE.</w:t>
      </w:r>
    </w:p>
    <w:p w14:paraId="5AC3282A" w14:textId="3DF88AE9" w:rsidR="00F50A85" w:rsidRDefault="002C2A34" w:rsidP="009978DB">
      <w:pPr>
        <w:pStyle w:val="ListParagraph"/>
        <w:numPr>
          <w:ilvl w:val="0"/>
          <w:numId w:val="33"/>
        </w:numPr>
        <w:contextualSpacing w:val="0"/>
        <w:rPr>
          <w:u w:color="000000"/>
          <w:bdr w:val="nil"/>
        </w:rPr>
      </w:pPr>
      <w:r w:rsidRPr="00043ADC">
        <w:rPr>
          <w:u w:color="000000"/>
          <w:bdr w:val="nil"/>
        </w:rPr>
        <w:t>Use the evidence, recommendations, and metrics identified to administer the California Serves Grants Program.</w:t>
      </w:r>
      <w:r w:rsidR="003013DC">
        <w:rPr>
          <w:u w:color="000000"/>
          <w:bdr w:val="nil"/>
        </w:rPr>
        <w:t xml:space="preserve"> </w:t>
      </w:r>
    </w:p>
    <w:p w14:paraId="392427BE" w14:textId="596D1DBB" w:rsidR="00BB6C1A" w:rsidRPr="005B278D" w:rsidRDefault="00C74819" w:rsidP="005B278D">
      <w:pPr>
        <w:pStyle w:val="Heading4"/>
      </w:pPr>
      <w:bookmarkStart w:id="20" w:name="_Toc201236632"/>
      <w:bookmarkStart w:id="21" w:name="_Toc203053763"/>
      <w:r w:rsidRPr="005B278D">
        <w:t>California Serves Grants</w:t>
      </w:r>
      <w:bookmarkEnd w:id="20"/>
      <w:bookmarkEnd w:id="21"/>
    </w:p>
    <w:p w14:paraId="0F18E4E0" w14:textId="545BBF85" w:rsidR="00577119" w:rsidRDefault="001A6FC4" w:rsidP="00C74819">
      <w:r>
        <w:rPr>
          <w:bdr w:val="nil"/>
        </w:rPr>
        <w:t xml:space="preserve">The California Serves Grant Program began in the 2022–23 fiscal year. Each year, the CDE and California Volunteers administers </w:t>
      </w:r>
      <w:r w:rsidR="000365A2">
        <w:rPr>
          <w:bdr w:val="nil"/>
        </w:rPr>
        <w:t>this</w:t>
      </w:r>
      <w:r w:rsidR="000365A2">
        <w:rPr>
          <w:u w:color="000000"/>
          <w:bdr w:val="nil"/>
        </w:rPr>
        <w:t xml:space="preserve"> </w:t>
      </w:r>
      <w:r w:rsidR="00C74819" w:rsidRPr="00C74819">
        <w:rPr>
          <w:bdr w:val="nil"/>
        </w:rPr>
        <w:t xml:space="preserve">$5 million </w:t>
      </w:r>
      <w:r w:rsidR="00577119">
        <w:rPr>
          <w:bdr w:val="nil"/>
        </w:rPr>
        <w:t xml:space="preserve">grant program. </w:t>
      </w:r>
      <w:r w:rsidR="000365A2">
        <w:rPr>
          <w:bdr w:val="nil"/>
        </w:rPr>
        <w:t>Eligible LEAs may receive grants up</w:t>
      </w:r>
      <w:r w:rsidR="00535C09">
        <w:rPr>
          <w:bdr w:val="nil"/>
        </w:rPr>
        <w:t xml:space="preserve"> to $500,000 </w:t>
      </w:r>
      <w:r w:rsidR="001C619F">
        <w:rPr>
          <w:bdr w:val="nil"/>
        </w:rPr>
        <w:t xml:space="preserve">to support local programming that expands access to the SSCE through service-learning. </w:t>
      </w:r>
      <w:r w:rsidR="00535C09">
        <w:rPr>
          <w:u w:color="000000"/>
          <w:bdr w:val="nil"/>
        </w:rPr>
        <w:t xml:space="preserve"> </w:t>
      </w:r>
    </w:p>
    <w:p w14:paraId="768AB38D" w14:textId="43305808" w:rsidR="00C74819" w:rsidRPr="00C74819" w:rsidRDefault="00046A9C" w:rsidP="00C74819">
      <w:pPr>
        <w:rPr>
          <w:u w:color="000000"/>
          <w:bdr w:val="nil"/>
        </w:rPr>
      </w:pPr>
      <w:r>
        <w:rPr>
          <w:u w:color="000000"/>
          <w:bdr w:val="nil"/>
        </w:rPr>
        <w:t>Additional information, including past and current grant recipients, is available from the CDE California Serves web page at</w:t>
      </w:r>
      <w:r w:rsidR="0061116D">
        <w:rPr>
          <w:u w:color="000000"/>
          <w:bdr w:val="nil"/>
        </w:rPr>
        <w:t xml:space="preserve"> </w:t>
      </w:r>
      <w:hyperlink r:id="rId14" w:tooltip="CDE CA Serves Web Page" w:history="1">
        <w:r w:rsidR="009A1639" w:rsidRPr="005473B7">
          <w:rPr>
            <w:rStyle w:val="Hyperlink"/>
            <w:bdr w:val="nil"/>
          </w:rPr>
          <w:t>https://www.cde.ca.gov/ci/pl/californiaserves.asp</w:t>
        </w:r>
      </w:hyperlink>
      <w:r>
        <w:rPr>
          <w:u w:color="000000"/>
          <w:bdr w:val="nil"/>
        </w:rPr>
        <w:t>.</w:t>
      </w:r>
    </w:p>
    <w:p w14:paraId="1CD3A1BD" w14:textId="38255563" w:rsidR="006E2603" w:rsidRPr="00363427" w:rsidRDefault="00406E12" w:rsidP="005F6E85">
      <w:pPr>
        <w:pStyle w:val="Heading2"/>
      </w:pPr>
      <w:bookmarkStart w:id="22" w:name="_Toc201236633"/>
      <w:bookmarkStart w:id="23" w:name="_Toc203053764"/>
      <w:r w:rsidRPr="00363427">
        <w:t>About the Metrics</w:t>
      </w:r>
      <w:bookmarkEnd w:id="22"/>
      <w:bookmarkEnd w:id="23"/>
    </w:p>
    <w:p w14:paraId="06C70C56" w14:textId="3446A283" w:rsidR="00CB2312" w:rsidRDefault="002368B7" w:rsidP="00724982">
      <w:r>
        <w:t xml:space="preserve">These metrics were developed </w:t>
      </w:r>
      <w:r w:rsidR="00243F71">
        <w:t>for CDE and California Volunteers</w:t>
      </w:r>
      <w:r w:rsidR="008931FA">
        <w:t xml:space="preserve"> </w:t>
      </w:r>
      <w:r w:rsidR="39A7F596">
        <w:t>for</w:t>
      </w:r>
      <w:r w:rsidR="008931FA">
        <w:t xml:space="preserve"> </w:t>
      </w:r>
      <w:r w:rsidR="00AE080D">
        <w:t>use</w:t>
      </w:r>
      <w:r w:rsidR="00A22425">
        <w:t xml:space="preserve"> in administering the </w:t>
      </w:r>
      <w:r>
        <w:t>annual California Serves Grant Program.</w:t>
      </w:r>
      <w:r w:rsidR="0061116D">
        <w:t xml:space="preserve"> </w:t>
      </w:r>
      <w:r w:rsidR="00AE080D">
        <w:t xml:space="preserve">LEAs may also integrate these metrics </w:t>
      </w:r>
      <w:r w:rsidR="00625386">
        <w:t>locally to</w:t>
      </w:r>
      <w:r w:rsidR="00F63D29">
        <w:t xml:space="preserve"> </w:t>
      </w:r>
      <w:r w:rsidR="00406E12" w:rsidRPr="008F1500">
        <w:t>assess and support student progress toward the SSCE, ensuring that service-learning experiences are impactful, equitable,</w:t>
      </w:r>
      <w:r w:rsidR="0019521C">
        <w:t xml:space="preserve"> rigorous,</w:t>
      </w:r>
      <w:r w:rsidR="00406E12" w:rsidRPr="008F1500">
        <w:t xml:space="preserve"> and aligned with best practices. </w:t>
      </w:r>
    </w:p>
    <w:p w14:paraId="35D86456" w14:textId="45F74F3A" w:rsidR="005957D0" w:rsidRDefault="001E283A" w:rsidP="00724982">
      <w:r w:rsidRPr="005957D0">
        <w:lastRenderedPageBreak/>
        <w:t xml:space="preserve">Each of the five SSCE criteria is aligned with one </w:t>
      </w:r>
      <w:r w:rsidR="007C75E2" w:rsidRPr="005957D0">
        <w:t xml:space="preserve">measurable, actionable </w:t>
      </w:r>
      <w:r w:rsidRPr="005957D0">
        <w:t>metric</w:t>
      </w:r>
      <w:r w:rsidR="003856F2" w:rsidRPr="005957D0">
        <w:t xml:space="preserve">, along with an example of what that metric may look like in practice. </w:t>
      </w:r>
      <w:r w:rsidR="00F63D29">
        <w:t>Additionally, each</w:t>
      </w:r>
      <w:r w:rsidR="009F50D3" w:rsidRPr="005957D0">
        <w:t xml:space="preserve"> metric </w:t>
      </w:r>
      <w:r w:rsidR="00724982" w:rsidRPr="005957D0">
        <w:t>integrate</w:t>
      </w:r>
      <w:r w:rsidR="009F50D3" w:rsidRPr="005957D0">
        <w:t>s a corresponding</w:t>
      </w:r>
      <w:r w:rsidR="00724982" w:rsidRPr="005957D0">
        <w:t xml:space="preserve"> </w:t>
      </w:r>
      <w:r w:rsidR="00993001">
        <w:t xml:space="preserve">National Youth Leadership Council (NYLC) </w:t>
      </w:r>
      <w:r w:rsidR="0073164C" w:rsidRPr="005957D0">
        <w:t xml:space="preserve">service-learning </w:t>
      </w:r>
      <w:r w:rsidR="00724982" w:rsidRPr="005957D0">
        <w:t>standard and</w:t>
      </w:r>
      <w:r w:rsidR="00993001">
        <w:t xml:space="preserve"> related</w:t>
      </w:r>
      <w:r w:rsidR="00724982" w:rsidRPr="005957D0">
        <w:t xml:space="preserve"> indicators.</w:t>
      </w:r>
      <w:r w:rsidR="00724982">
        <w:t xml:space="preserve"> </w:t>
      </w:r>
    </w:p>
    <w:p w14:paraId="28990506" w14:textId="47276AC0" w:rsidR="001431C7" w:rsidRPr="003856F2" w:rsidRDefault="00724982" w:rsidP="00724982">
      <w:pPr>
        <w:rPr>
          <w:highlight w:val="yellow"/>
        </w:rPr>
      </w:pPr>
      <w:r>
        <w:t xml:space="preserve">The </w:t>
      </w:r>
      <w:r w:rsidR="001431C7" w:rsidRPr="001431C7">
        <w:t>NYLC</w:t>
      </w:r>
      <w:r w:rsidR="00A850A2">
        <w:t xml:space="preserve"> is a national, non-profit organization </w:t>
      </w:r>
      <w:r w:rsidR="004D2390">
        <w:t xml:space="preserve">that </w:t>
      </w:r>
      <w:r w:rsidR="0068472E">
        <w:t xml:space="preserve">promotes service-learning in schools and communities. </w:t>
      </w:r>
      <w:r w:rsidR="00444427">
        <w:t xml:space="preserve">Their </w:t>
      </w:r>
      <w:r w:rsidR="00AA4DAA">
        <w:t>kindergarten through grade twelve</w:t>
      </w:r>
      <w:r w:rsidR="00BB5D72">
        <w:t xml:space="preserve"> (K</w:t>
      </w:r>
      <w:r w:rsidR="00BB5D72" w:rsidRPr="0089233B">
        <w:rPr>
          <w:u w:color="000000"/>
          <w:bdr w:val="nil"/>
        </w:rPr>
        <w:t>–</w:t>
      </w:r>
      <w:r w:rsidR="00BB5D72">
        <w:rPr>
          <w:u w:color="000000"/>
          <w:bdr w:val="nil"/>
        </w:rPr>
        <w:t>12)</w:t>
      </w:r>
      <w:r w:rsidR="00AA4DAA">
        <w:t xml:space="preserve"> </w:t>
      </w:r>
      <w:r w:rsidR="00F51FF2">
        <w:t>service-learning</w:t>
      </w:r>
      <w:r w:rsidR="001431C7" w:rsidRPr="001431C7">
        <w:t xml:space="preserve"> standards </w:t>
      </w:r>
      <w:r w:rsidR="00E46492">
        <w:t>highlight</w:t>
      </w:r>
      <w:r w:rsidR="001431C7" w:rsidRPr="001431C7">
        <w:t xml:space="preserve"> best practices in service-learning, ensuring that student experiences are meaningful, curriculum-linked, and promote civic responsibility.</w:t>
      </w:r>
      <w:r w:rsidR="000E1900">
        <w:t xml:space="preserve"> </w:t>
      </w:r>
      <w:r w:rsidR="00F46B9D">
        <w:t xml:space="preserve">The full NYLC </w:t>
      </w:r>
      <w:r w:rsidR="00BB5D72">
        <w:t>K</w:t>
      </w:r>
      <w:r w:rsidR="00BB5D72" w:rsidRPr="0089233B">
        <w:rPr>
          <w:u w:color="000000"/>
          <w:bdr w:val="nil"/>
        </w:rPr>
        <w:t>–</w:t>
      </w:r>
      <w:r w:rsidR="00BB5D72">
        <w:rPr>
          <w:u w:color="000000"/>
          <w:bdr w:val="nil"/>
        </w:rPr>
        <w:t xml:space="preserve">12 Service-Learning standards and </w:t>
      </w:r>
      <w:r w:rsidR="002B3161">
        <w:rPr>
          <w:u w:color="000000"/>
          <w:bdr w:val="nil"/>
        </w:rPr>
        <w:t xml:space="preserve">indicators can be accessed from </w:t>
      </w:r>
      <w:hyperlink r:id="rId15" w:tooltip="NYLC K-12 Standars" w:history="1">
        <w:r w:rsidR="002B3161" w:rsidRPr="00F52B41">
          <w:rPr>
            <w:rStyle w:val="Hyperlink"/>
            <w:bdr w:val="nil"/>
          </w:rPr>
          <w:t>https://nylc.org/k-12-standards/</w:t>
        </w:r>
      </w:hyperlink>
      <w:r w:rsidR="002B3161">
        <w:rPr>
          <w:u w:color="000000"/>
          <w:bdr w:val="nil"/>
        </w:rPr>
        <w:t xml:space="preserve">. </w:t>
      </w:r>
    </w:p>
    <w:p w14:paraId="53E5778F" w14:textId="51D9B73C" w:rsidR="008F1500" w:rsidRPr="001431C7" w:rsidRDefault="00412814" w:rsidP="001431C7">
      <w:r w:rsidRPr="6595EBED">
        <w:t>The appendix provides</w:t>
      </w:r>
      <w:r w:rsidR="00931DB7" w:rsidRPr="6595EBED">
        <w:t xml:space="preserve"> a sample worksheet to </w:t>
      </w:r>
      <w:r w:rsidR="006C25AA" w:rsidRPr="6595EBED">
        <w:t>support use of the metrics and accompanying standards/indicators</w:t>
      </w:r>
      <w:r w:rsidR="00931DB7" w:rsidRPr="6595EBED">
        <w:t xml:space="preserve"> in a local </w:t>
      </w:r>
      <w:r w:rsidR="006A6D8E" w:rsidRPr="6595EBED">
        <w:t>setting</w:t>
      </w:r>
      <w:r w:rsidR="00931DB7" w:rsidRPr="6595EBED">
        <w:t>.</w:t>
      </w:r>
    </w:p>
    <w:p w14:paraId="1C07747C" w14:textId="77777777" w:rsidR="00F50A85" w:rsidRDefault="00F50A85" w:rsidP="00E6351B"/>
    <w:p w14:paraId="10FD9E33" w14:textId="3F20330F" w:rsidR="00F50A85" w:rsidRDefault="00F50A85" w:rsidP="00E6351B">
      <w:pPr>
        <w:sectPr w:rsidR="00F50A85" w:rsidSect="000B5C9C">
          <w:pgSz w:w="12240" w:h="15840" w:code="1"/>
          <w:pgMar w:top="1440" w:right="1440" w:bottom="1440" w:left="1440" w:header="720" w:footer="720" w:gutter="0"/>
          <w:cols w:space="720"/>
          <w:docGrid w:linePitch="360"/>
        </w:sectPr>
      </w:pPr>
    </w:p>
    <w:p w14:paraId="5BBD8755" w14:textId="0DE5F0DB" w:rsidR="00C07730" w:rsidRDefault="00FA4D91" w:rsidP="005F6E85">
      <w:pPr>
        <w:pStyle w:val="Heading2"/>
      </w:pPr>
      <w:bookmarkStart w:id="24" w:name="_Toc201236634"/>
      <w:bookmarkStart w:id="25" w:name="_Toc203053765"/>
      <w:r>
        <w:lastRenderedPageBreak/>
        <w:t>Model Uniform Metrics</w:t>
      </w:r>
      <w:bookmarkEnd w:id="24"/>
      <w:bookmarkEnd w:id="25"/>
    </w:p>
    <w:p w14:paraId="2F3C1EE2" w14:textId="558C5B4C" w:rsidR="00694515" w:rsidRDefault="00694515" w:rsidP="00694515">
      <w:pPr>
        <w:pStyle w:val="Heading3"/>
      </w:pPr>
      <w:bookmarkStart w:id="26" w:name="_Toc201236635"/>
      <w:bookmarkStart w:id="27" w:name="_Toc203053766"/>
      <w:r>
        <w:t>S</w:t>
      </w:r>
      <w:r w:rsidR="00271B6D">
        <w:t xml:space="preserve">tate </w:t>
      </w:r>
      <w:r>
        <w:t>S</w:t>
      </w:r>
      <w:r w:rsidR="00271B6D">
        <w:t xml:space="preserve">eal of </w:t>
      </w:r>
      <w:r>
        <w:t>C</w:t>
      </w:r>
      <w:r w:rsidR="00271B6D">
        <w:t xml:space="preserve">ivic </w:t>
      </w:r>
      <w:r>
        <w:t>E</w:t>
      </w:r>
      <w:r w:rsidR="00271B6D">
        <w:t>ngagement</w:t>
      </w:r>
      <w:r>
        <w:t xml:space="preserve"> </w:t>
      </w:r>
      <w:r w:rsidR="00D3434F">
        <w:t>Criterion</w:t>
      </w:r>
      <w:r>
        <w:t xml:space="preserve"> 1</w:t>
      </w:r>
      <w:bookmarkEnd w:id="26"/>
      <w:bookmarkEnd w:id="27"/>
    </w:p>
    <w:p w14:paraId="54EF687A" w14:textId="1F4B76C5" w:rsidR="00694515" w:rsidRDefault="00694515" w:rsidP="00694515">
      <w:pPr>
        <w:rPr>
          <w:lang w:val="en"/>
        </w:rPr>
      </w:pPr>
      <w:r>
        <w:rPr>
          <w:lang w:val="en"/>
        </w:rPr>
        <w:t>Be engaged in academic work in a productive way.</w:t>
      </w:r>
    </w:p>
    <w:p w14:paraId="7ACBDCF7" w14:textId="29EE6E6C" w:rsidR="00694515" w:rsidRPr="00694515" w:rsidRDefault="00694515" w:rsidP="6595EBED">
      <w:pPr>
        <w:pStyle w:val="ListParagraph"/>
        <w:numPr>
          <w:ilvl w:val="0"/>
          <w:numId w:val="34"/>
        </w:numPr>
        <w:contextualSpacing w:val="0"/>
      </w:pPr>
      <w:r w:rsidRPr="4925B11D">
        <w:rPr>
          <w:b/>
        </w:rPr>
        <w:t>Metric:</w:t>
      </w:r>
      <w:r w:rsidR="00D3434F">
        <w:t xml:space="preserve"> Maintain a passing grade (as defined locally) or higher in core history–social science (HSS) courses</w:t>
      </w:r>
      <w:r w:rsidR="00A0300B">
        <w:t xml:space="preserve">, </w:t>
      </w:r>
      <w:r w:rsidR="0087478F">
        <w:t>and demonstrate cross-curricular connections to civic issues, where applicable</w:t>
      </w:r>
      <w:r w:rsidR="00D3434F">
        <w:t>.</w:t>
      </w:r>
    </w:p>
    <w:p w14:paraId="7EDAD813" w14:textId="5AF0822A" w:rsidR="00694515" w:rsidRPr="00694515" w:rsidRDefault="00694515" w:rsidP="00F022EF">
      <w:pPr>
        <w:pStyle w:val="ListParagraph"/>
        <w:numPr>
          <w:ilvl w:val="0"/>
          <w:numId w:val="34"/>
        </w:numPr>
        <w:contextualSpacing w:val="0"/>
        <w:rPr>
          <w:lang w:val="en"/>
        </w:rPr>
      </w:pPr>
      <w:r w:rsidRPr="00F22877">
        <w:rPr>
          <w:b/>
          <w:bCs/>
          <w:lang w:val="en"/>
        </w:rPr>
        <w:t>Implementation:</w:t>
      </w:r>
      <w:r w:rsidR="00D3434F">
        <w:rPr>
          <w:lang w:val="en"/>
        </w:rPr>
        <w:t xml:space="preserve"> Design service-learning experiences that require students to explore and address civic issues, </w:t>
      </w:r>
      <w:r w:rsidR="00DE43E8">
        <w:rPr>
          <w:lang w:val="en"/>
        </w:rPr>
        <w:t>while also leading to</w:t>
      </w:r>
      <w:r w:rsidR="00D3434F">
        <w:rPr>
          <w:lang w:val="en"/>
        </w:rPr>
        <w:t xml:space="preserve"> a deeper understanding of governmental structures and civic responsibilities</w:t>
      </w:r>
      <w:r w:rsidR="00DE43E8">
        <w:rPr>
          <w:lang w:val="en"/>
        </w:rPr>
        <w:t xml:space="preserve">, in core HSS </w:t>
      </w:r>
      <w:r w:rsidR="0099519F">
        <w:rPr>
          <w:lang w:val="en"/>
        </w:rPr>
        <w:t xml:space="preserve">courses along with </w:t>
      </w:r>
      <w:r w:rsidR="0083730C">
        <w:rPr>
          <w:lang w:val="en"/>
        </w:rPr>
        <w:t>courses in other content areas</w:t>
      </w:r>
      <w:r w:rsidR="00D3434F">
        <w:rPr>
          <w:lang w:val="en"/>
        </w:rPr>
        <w:t xml:space="preserve">. </w:t>
      </w:r>
    </w:p>
    <w:p w14:paraId="111E66B3" w14:textId="1A21232D" w:rsidR="00694515" w:rsidRPr="00694515" w:rsidRDefault="00694515" w:rsidP="00F022EF">
      <w:pPr>
        <w:pStyle w:val="ListParagraph"/>
        <w:numPr>
          <w:ilvl w:val="0"/>
          <w:numId w:val="34"/>
        </w:numPr>
        <w:contextualSpacing w:val="0"/>
        <w:rPr>
          <w:lang w:val="en"/>
        </w:rPr>
      </w:pPr>
      <w:r w:rsidRPr="00277CB2">
        <w:rPr>
          <w:b/>
          <w:bCs/>
          <w:lang w:val="en"/>
        </w:rPr>
        <w:t>Corresponding NYLC Standard:</w:t>
      </w:r>
      <w:r w:rsidR="00D3434F">
        <w:rPr>
          <w:lang w:val="en"/>
        </w:rPr>
        <w:t xml:space="preserve"> </w:t>
      </w:r>
      <w:r w:rsidR="00D3434F" w:rsidRPr="005860A0">
        <w:rPr>
          <w:i/>
          <w:iCs/>
        </w:rPr>
        <w:t>Meaningful Service</w:t>
      </w:r>
      <w:r w:rsidR="002066DB">
        <w:t>—</w:t>
      </w:r>
      <w:r w:rsidR="00D3434F" w:rsidRPr="005860A0">
        <w:t xml:space="preserve">Engage students in </w:t>
      </w:r>
      <w:r w:rsidR="00D3434F">
        <w:t>meaningful and personally-relevant activities.</w:t>
      </w:r>
    </w:p>
    <w:p w14:paraId="0441A1A7" w14:textId="1A0BF315" w:rsidR="00694515" w:rsidRPr="00277CB2" w:rsidRDefault="00694515" w:rsidP="00F022EF">
      <w:pPr>
        <w:pStyle w:val="ListParagraph"/>
        <w:numPr>
          <w:ilvl w:val="0"/>
          <w:numId w:val="34"/>
        </w:numPr>
        <w:contextualSpacing w:val="0"/>
        <w:rPr>
          <w:b/>
          <w:bCs/>
          <w:lang w:val="en"/>
        </w:rPr>
      </w:pPr>
      <w:r w:rsidRPr="00277CB2">
        <w:rPr>
          <w:b/>
          <w:bCs/>
          <w:lang w:val="en"/>
        </w:rPr>
        <w:t>Relevant NYLC Indicators:</w:t>
      </w:r>
    </w:p>
    <w:p w14:paraId="78689A86" w14:textId="77777777" w:rsidR="00D3434F" w:rsidRPr="00A10D42" w:rsidRDefault="00D3434F" w:rsidP="6595EBED">
      <w:pPr>
        <w:pStyle w:val="ListParagraph"/>
        <w:numPr>
          <w:ilvl w:val="1"/>
          <w:numId w:val="35"/>
        </w:numPr>
        <w:contextualSpacing w:val="0"/>
      </w:pPr>
      <w:r>
        <w:t>Service-learning experiences are appropriate to participant ages and developmental abilities.</w:t>
      </w:r>
    </w:p>
    <w:p w14:paraId="5FFCF965" w14:textId="77777777" w:rsidR="00D3434F" w:rsidRPr="00A10D42" w:rsidRDefault="00D3434F" w:rsidP="00F022EF">
      <w:pPr>
        <w:pStyle w:val="ListParagraph"/>
        <w:numPr>
          <w:ilvl w:val="1"/>
          <w:numId w:val="35"/>
        </w:numPr>
        <w:contextualSpacing w:val="0"/>
        <w:rPr>
          <w:lang w:val="en"/>
        </w:rPr>
      </w:pPr>
      <w:r w:rsidRPr="00A10D42">
        <w:rPr>
          <w:lang w:val="en"/>
        </w:rPr>
        <w:t>Service-learning addresses issues that are personally relevant to the participants.</w:t>
      </w:r>
    </w:p>
    <w:p w14:paraId="06F87521" w14:textId="77777777" w:rsidR="00D3434F" w:rsidRPr="00A10D42" w:rsidRDefault="00D3434F" w:rsidP="00F022EF">
      <w:pPr>
        <w:pStyle w:val="ListParagraph"/>
        <w:numPr>
          <w:ilvl w:val="1"/>
          <w:numId w:val="35"/>
        </w:numPr>
        <w:contextualSpacing w:val="0"/>
        <w:rPr>
          <w:lang w:val="en"/>
        </w:rPr>
      </w:pPr>
      <w:r w:rsidRPr="00A10D42">
        <w:rPr>
          <w:lang w:val="en"/>
        </w:rPr>
        <w:t>Service-learning provides participants with interesting and engaging service activities.</w:t>
      </w:r>
    </w:p>
    <w:p w14:paraId="04B239E0" w14:textId="77777777" w:rsidR="00D3434F" w:rsidRPr="00A10D42" w:rsidRDefault="00D3434F" w:rsidP="00F022EF">
      <w:pPr>
        <w:pStyle w:val="ListParagraph"/>
        <w:numPr>
          <w:ilvl w:val="1"/>
          <w:numId w:val="35"/>
        </w:numPr>
        <w:contextualSpacing w:val="0"/>
        <w:rPr>
          <w:lang w:val="en"/>
        </w:rPr>
      </w:pPr>
      <w:r w:rsidRPr="00A10D42">
        <w:rPr>
          <w:lang w:val="en"/>
        </w:rPr>
        <w:t>Service-learning encourages participants to understand their service experiences in the context of the underlying societal issues being addressed.</w:t>
      </w:r>
    </w:p>
    <w:p w14:paraId="0FBF9587" w14:textId="4462F368" w:rsidR="00D3434F" w:rsidRDefault="00D3434F" w:rsidP="6595EBED">
      <w:pPr>
        <w:pStyle w:val="ListParagraph"/>
        <w:numPr>
          <w:ilvl w:val="1"/>
          <w:numId w:val="35"/>
        </w:numPr>
      </w:pPr>
      <w:r w:rsidRPr="6595EBED">
        <w:t>Service-learning leads to attainable and visible outcomes that are valued by those being served.</w:t>
      </w:r>
    </w:p>
    <w:p w14:paraId="3938AEFC" w14:textId="31CC4436" w:rsidR="00D3434F" w:rsidRDefault="00D3434F" w:rsidP="00FE2177">
      <w:pPr>
        <w:pStyle w:val="Heading3"/>
      </w:pPr>
      <w:bookmarkStart w:id="28" w:name="_Toc201236636"/>
      <w:bookmarkStart w:id="29" w:name="_Toc203053767"/>
      <w:r>
        <w:t>S</w:t>
      </w:r>
      <w:r w:rsidR="00551EE1">
        <w:t xml:space="preserve">tate </w:t>
      </w:r>
      <w:r>
        <w:t>S</w:t>
      </w:r>
      <w:r w:rsidR="00551EE1">
        <w:t xml:space="preserve">eal of </w:t>
      </w:r>
      <w:r>
        <w:t>C</w:t>
      </w:r>
      <w:r w:rsidR="00551EE1">
        <w:t xml:space="preserve">ivic </w:t>
      </w:r>
      <w:r>
        <w:t>E</w:t>
      </w:r>
      <w:r w:rsidR="00551EE1">
        <w:t>ngagement</w:t>
      </w:r>
      <w:r>
        <w:t xml:space="preserve"> Criterion 2</w:t>
      </w:r>
      <w:bookmarkEnd w:id="28"/>
      <w:bookmarkEnd w:id="29"/>
    </w:p>
    <w:p w14:paraId="12241A30" w14:textId="2F7D3FBF" w:rsidR="00FE2177" w:rsidRDefault="00FE2177" w:rsidP="00D3434F">
      <w:r w:rsidRPr="00A10D42">
        <w:t>Demonstrate a competent understanding of United States and California constitutions; functions and governance of local governments; tribal government structures and organizations; the role of the citizen in a constitutional democracy; and democratic principles, concepts, and processes</w:t>
      </w:r>
      <w:r>
        <w:t>.</w:t>
      </w:r>
    </w:p>
    <w:p w14:paraId="6B4A4C72" w14:textId="24AEFDCF" w:rsidR="00FE2177" w:rsidRPr="00694515" w:rsidRDefault="00FE2177" w:rsidP="00277CB2">
      <w:pPr>
        <w:pStyle w:val="ListParagraph"/>
        <w:numPr>
          <w:ilvl w:val="0"/>
          <w:numId w:val="34"/>
        </w:numPr>
        <w:contextualSpacing w:val="0"/>
        <w:rPr>
          <w:lang w:val="en"/>
        </w:rPr>
      </w:pPr>
      <w:r w:rsidRPr="00CF7B5C">
        <w:rPr>
          <w:b/>
          <w:bCs/>
          <w:lang w:val="en"/>
        </w:rPr>
        <w:lastRenderedPageBreak/>
        <w:t>Metric:</w:t>
      </w:r>
      <w:r>
        <w:rPr>
          <w:lang w:val="en"/>
        </w:rPr>
        <w:t xml:space="preserve"> </w:t>
      </w:r>
      <w:r w:rsidR="00D272D9">
        <w:t xml:space="preserve">Demonstrate proficiency in understanding governmental structures and democratic principles through assessments and reflective </w:t>
      </w:r>
      <w:r w:rsidR="00E57EC6">
        <w:t xml:space="preserve">civic learning </w:t>
      </w:r>
      <w:r w:rsidR="00D272D9">
        <w:t>activities.</w:t>
      </w:r>
    </w:p>
    <w:p w14:paraId="1C63A961" w14:textId="08752990" w:rsidR="00FE2177" w:rsidRPr="00694515" w:rsidRDefault="00FE2177" w:rsidP="00277CB2">
      <w:pPr>
        <w:pStyle w:val="ListParagraph"/>
        <w:numPr>
          <w:ilvl w:val="0"/>
          <w:numId w:val="34"/>
        </w:numPr>
        <w:contextualSpacing w:val="0"/>
        <w:rPr>
          <w:lang w:val="en"/>
        </w:rPr>
      </w:pPr>
      <w:r w:rsidRPr="00CF7B5C">
        <w:rPr>
          <w:b/>
          <w:bCs/>
          <w:lang w:val="en"/>
        </w:rPr>
        <w:t>Implementation:</w:t>
      </w:r>
      <w:r>
        <w:rPr>
          <w:lang w:val="en"/>
        </w:rPr>
        <w:t xml:space="preserve"> </w:t>
      </w:r>
      <w:r w:rsidR="00D272D9">
        <w:t xml:space="preserve">Integrate service-learning projects into academic curricula, </w:t>
      </w:r>
      <w:r w:rsidR="002066DB">
        <w:t>requiring</w:t>
      </w:r>
      <w:r w:rsidR="00D272D9">
        <w:t xml:space="preserve"> students to apply classroom knowledge to real-world civic issues.</w:t>
      </w:r>
    </w:p>
    <w:p w14:paraId="3665B14D" w14:textId="048ABE4C" w:rsidR="00FE2177" w:rsidRPr="00694515" w:rsidRDefault="00FE2177" w:rsidP="00277CB2">
      <w:pPr>
        <w:pStyle w:val="ListParagraph"/>
        <w:numPr>
          <w:ilvl w:val="0"/>
          <w:numId w:val="34"/>
        </w:numPr>
        <w:contextualSpacing w:val="0"/>
        <w:rPr>
          <w:lang w:val="en"/>
        </w:rPr>
      </w:pPr>
      <w:r w:rsidRPr="00CF7B5C">
        <w:rPr>
          <w:b/>
          <w:bCs/>
          <w:lang w:val="en"/>
        </w:rPr>
        <w:t>Corresponding NYLC Standard:</w:t>
      </w:r>
      <w:r>
        <w:rPr>
          <w:lang w:val="en"/>
        </w:rPr>
        <w:t xml:space="preserve"> </w:t>
      </w:r>
      <w:r w:rsidR="00D272D9" w:rsidRPr="005F759E">
        <w:rPr>
          <w:i/>
          <w:iCs/>
        </w:rPr>
        <w:t>Link to Curriculum</w:t>
      </w:r>
      <w:r w:rsidR="002066DB">
        <w:rPr>
          <w:i/>
          <w:iCs/>
        </w:rPr>
        <w:t>—</w:t>
      </w:r>
      <w:r w:rsidR="00D272D9" w:rsidRPr="00646194">
        <w:t xml:space="preserve">Service-learning </w:t>
      </w:r>
      <w:r w:rsidR="00D272D9">
        <w:t>is intentionally used as an instructional strategy to meet learning goals and/or content standards.</w:t>
      </w:r>
    </w:p>
    <w:p w14:paraId="764FA040" w14:textId="77777777" w:rsidR="00FE2177" w:rsidRPr="00CF7B5C" w:rsidRDefault="00FE2177" w:rsidP="00277CB2">
      <w:pPr>
        <w:pStyle w:val="ListParagraph"/>
        <w:numPr>
          <w:ilvl w:val="0"/>
          <w:numId w:val="34"/>
        </w:numPr>
        <w:contextualSpacing w:val="0"/>
        <w:rPr>
          <w:b/>
          <w:bCs/>
          <w:lang w:val="en"/>
        </w:rPr>
      </w:pPr>
      <w:r w:rsidRPr="00CF7B5C">
        <w:rPr>
          <w:b/>
          <w:bCs/>
          <w:lang w:val="en"/>
        </w:rPr>
        <w:t>Relevant NYLC Indicators:</w:t>
      </w:r>
    </w:p>
    <w:p w14:paraId="56CBCAF6" w14:textId="77777777" w:rsidR="00D272D9" w:rsidRPr="00A10D42" w:rsidRDefault="00D272D9" w:rsidP="00277CB2">
      <w:pPr>
        <w:pStyle w:val="ListParagraph"/>
        <w:numPr>
          <w:ilvl w:val="1"/>
          <w:numId w:val="37"/>
        </w:numPr>
        <w:contextualSpacing w:val="0"/>
        <w:rPr>
          <w:lang w:val="en"/>
        </w:rPr>
      </w:pPr>
      <w:r w:rsidRPr="00A10D42">
        <w:rPr>
          <w:lang w:val="en"/>
        </w:rPr>
        <w:t>Service-learning has clearly articulated learning goals.</w:t>
      </w:r>
    </w:p>
    <w:p w14:paraId="63361096" w14:textId="77777777" w:rsidR="00D272D9" w:rsidRPr="00A10D42" w:rsidRDefault="00D272D9" w:rsidP="00277CB2">
      <w:pPr>
        <w:pStyle w:val="ListParagraph"/>
        <w:numPr>
          <w:ilvl w:val="1"/>
          <w:numId w:val="37"/>
        </w:numPr>
        <w:contextualSpacing w:val="0"/>
        <w:rPr>
          <w:lang w:val="en"/>
        </w:rPr>
      </w:pPr>
      <w:r w:rsidRPr="00A10D42">
        <w:rPr>
          <w:lang w:val="en"/>
        </w:rPr>
        <w:t>Service-learning is aligned with the academic and/or programmatic curriculum.</w:t>
      </w:r>
    </w:p>
    <w:p w14:paraId="2C2746CD" w14:textId="77777777" w:rsidR="00D272D9" w:rsidRPr="00A10D42" w:rsidRDefault="00D272D9" w:rsidP="00277CB2">
      <w:pPr>
        <w:pStyle w:val="ListParagraph"/>
        <w:numPr>
          <w:ilvl w:val="1"/>
          <w:numId w:val="37"/>
        </w:numPr>
        <w:contextualSpacing w:val="0"/>
        <w:rPr>
          <w:lang w:val="en"/>
        </w:rPr>
      </w:pPr>
      <w:r w:rsidRPr="00A10D42">
        <w:rPr>
          <w:lang w:val="en"/>
        </w:rPr>
        <w:t>Service-learning helps participants learn how to transfer knowledge and skills from one setting to another.</w:t>
      </w:r>
    </w:p>
    <w:p w14:paraId="2A27E012" w14:textId="79D3E70F" w:rsidR="00D272D9" w:rsidRDefault="00D272D9" w:rsidP="00277CB2">
      <w:pPr>
        <w:pStyle w:val="ListParagraph"/>
        <w:numPr>
          <w:ilvl w:val="1"/>
          <w:numId w:val="37"/>
        </w:numPr>
        <w:contextualSpacing w:val="0"/>
        <w:rPr>
          <w:lang w:val="en"/>
        </w:rPr>
      </w:pPr>
      <w:r w:rsidRPr="00A10D42">
        <w:rPr>
          <w:lang w:val="en"/>
        </w:rPr>
        <w:t>Service-learning that takes place in schools is formally recognized in school board policies and student records.</w:t>
      </w:r>
    </w:p>
    <w:p w14:paraId="4DE012BD" w14:textId="22DCDBA3" w:rsidR="00D3434F" w:rsidRDefault="00D3434F" w:rsidP="00FE2177">
      <w:pPr>
        <w:pStyle w:val="Heading3"/>
      </w:pPr>
      <w:bookmarkStart w:id="30" w:name="_Toc201236637"/>
      <w:bookmarkStart w:id="31" w:name="_Toc203053768"/>
      <w:r>
        <w:t>S</w:t>
      </w:r>
      <w:r w:rsidR="00622633">
        <w:t xml:space="preserve">tate </w:t>
      </w:r>
      <w:r>
        <w:t>S</w:t>
      </w:r>
      <w:r w:rsidR="00622633">
        <w:t xml:space="preserve">eal of </w:t>
      </w:r>
      <w:r>
        <w:t>C</w:t>
      </w:r>
      <w:r w:rsidR="00622633">
        <w:t xml:space="preserve">ivic </w:t>
      </w:r>
      <w:r>
        <w:t>E</w:t>
      </w:r>
      <w:r w:rsidR="00622633">
        <w:t>ngagement</w:t>
      </w:r>
      <w:r>
        <w:t xml:space="preserve"> Criterion 3</w:t>
      </w:r>
      <w:bookmarkEnd w:id="30"/>
      <w:bookmarkEnd w:id="31"/>
    </w:p>
    <w:p w14:paraId="360D40F9" w14:textId="3582680D" w:rsidR="00FE2177" w:rsidRDefault="00FE2177" w:rsidP="00D3434F">
      <w:r w:rsidRPr="00A10D42">
        <w:t xml:space="preserve">Participate in one or more informed civic engagement project(s) that address real-world problems and require students to identify and inquire into civic needs or problems, consider varied responses, </w:t>
      </w:r>
      <w:proofErr w:type="gramStart"/>
      <w:r w:rsidRPr="00A10D42">
        <w:t>take action</w:t>
      </w:r>
      <w:proofErr w:type="gramEnd"/>
      <w:r w:rsidRPr="00A10D42">
        <w:t>, and reflect on efforts</w:t>
      </w:r>
      <w:r>
        <w:t>.</w:t>
      </w:r>
    </w:p>
    <w:p w14:paraId="183233A7" w14:textId="40C30792" w:rsidR="00FE2177" w:rsidRPr="00694515" w:rsidRDefault="00FE2177" w:rsidP="00CF7B5C">
      <w:pPr>
        <w:pStyle w:val="ListParagraph"/>
        <w:numPr>
          <w:ilvl w:val="0"/>
          <w:numId w:val="34"/>
        </w:numPr>
        <w:contextualSpacing w:val="0"/>
        <w:rPr>
          <w:lang w:val="en"/>
        </w:rPr>
      </w:pPr>
      <w:r w:rsidRPr="00CF7B5C">
        <w:rPr>
          <w:b/>
          <w:bCs/>
          <w:lang w:val="en"/>
        </w:rPr>
        <w:t>Metric:</w:t>
      </w:r>
      <w:r>
        <w:rPr>
          <w:lang w:val="en"/>
        </w:rPr>
        <w:t xml:space="preserve"> </w:t>
      </w:r>
      <w:r w:rsidR="000A0E3C" w:rsidRPr="00760C5F">
        <w:t xml:space="preserve">Completion of a </w:t>
      </w:r>
      <w:r w:rsidR="00F93C10">
        <w:t xml:space="preserve">student-led </w:t>
      </w:r>
      <w:r w:rsidR="000A0E3C" w:rsidRPr="00760C5F">
        <w:t xml:space="preserve">civic engagement project that addresses a community issue, </w:t>
      </w:r>
      <w:r w:rsidR="00E95879">
        <w:t>including documented</w:t>
      </w:r>
      <w:r w:rsidR="000A0E3C" w:rsidRPr="00760C5F">
        <w:t xml:space="preserve"> research, planning, action, and reflection.</w:t>
      </w:r>
    </w:p>
    <w:p w14:paraId="58F45A9E" w14:textId="0D024B67" w:rsidR="00FE2177" w:rsidRPr="00694515" w:rsidRDefault="00FE2177" w:rsidP="00CF7B5C">
      <w:pPr>
        <w:pStyle w:val="ListParagraph"/>
        <w:numPr>
          <w:ilvl w:val="0"/>
          <w:numId w:val="34"/>
        </w:numPr>
        <w:contextualSpacing w:val="0"/>
        <w:rPr>
          <w:lang w:val="en"/>
        </w:rPr>
      </w:pPr>
      <w:r w:rsidRPr="00CF7B5C">
        <w:rPr>
          <w:b/>
          <w:bCs/>
          <w:lang w:val="en"/>
        </w:rPr>
        <w:t>Implementation:</w:t>
      </w:r>
      <w:r>
        <w:rPr>
          <w:lang w:val="en"/>
        </w:rPr>
        <w:t xml:space="preserve"> </w:t>
      </w:r>
      <w:r w:rsidR="000A0E3C" w:rsidRPr="002903BC">
        <w:t>Encourage students to identify community needs, develop action plans, and collaborate with stakeholders to implement solutions, thereby fostering leadership and agency</w:t>
      </w:r>
      <w:r w:rsidR="000A0E3C">
        <w:t>.</w:t>
      </w:r>
    </w:p>
    <w:p w14:paraId="31454E25" w14:textId="59D98F36" w:rsidR="00FE2177" w:rsidRPr="00694515" w:rsidRDefault="00FE2177" w:rsidP="00CF7B5C">
      <w:pPr>
        <w:pStyle w:val="ListParagraph"/>
        <w:numPr>
          <w:ilvl w:val="0"/>
          <w:numId w:val="34"/>
        </w:numPr>
        <w:contextualSpacing w:val="0"/>
        <w:rPr>
          <w:lang w:val="en"/>
        </w:rPr>
      </w:pPr>
      <w:r w:rsidRPr="00CF7B5C">
        <w:rPr>
          <w:b/>
          <w:bCs/>
          <w:lang w:val="en"/>
        </w:rPr>
        <w:t>Corresponding NYLC Standard:</w:t>
      </w:r>
      <w:r>
        <w:rPr>
          <w:lang w:val="en"/>
        </w:rPr>
        <w:t xml:space="preserve"> </w:t>
      </w:r>
      <w:r w:rsidR="000A0E3C" w:rsidRPr="002903BC">
        <w:rPr>
          <w:i/>
          <w:iCs/>
        </w:rPr>
        <w:t>Youth Voice</w:t>
      </w:r>
      <w:r w:rsidR="00923DEA">
        <w:t>—</w:t>
      </w:r>
      <w:r w:rsidR="000A0E3C" w:rsidRPr="00766E01">
        <w:t>Provide students with a strong voice in planning, implementing, and evaluating service-learning experiences</w:t>
      </w:r>
      <w:r w:rsidR="000A0E3C">
        <w:t xml:space="preserve"> with guidance from adults.</w:t>
      </w:r>
    </w:p>
    <w:p w14:paraId="4AD3A6C0" w14:textId="77777777" w:rsidR="00FE2177" w:rsidRPr="00CF7B5C" w:rsidRDefault="00FE2177" w:rsidP="00CF7B5C">
      <w:pPr>
        <w:pStyle w:val="ListParagraph"/>
        <w:numPr>
          <w:ilvl w:val="0"/>
          <w:numId w:val="34"/>
        </w:numPr>
        <w:contextualSpacing w:val="0"/>
        <w:rPr>
          <w:b/>
          <w:bCs/>
          <w:lang w:val="en"/>
        </w:rPr>
      </w:pPr>
      <w:r w:rsidRPr="00CF7B5C">
        <w:rPr>
          <w:b/>
          <w:bCs/>
          <w:lang w:val="en"/>
        </w:rPr>
        <w:t>Relevant NYLC Indicators:</w:t>
      </w:r>
    </w:p>
    <w:p w14:paraId="48BF8E5F" w14:textId="77777777" w:rsidR="000A0E3C" w:rsidRPr="00A10D42" w:rsidRDefault="000A0E3C" w:rsidP="00CF7B5C">
      <w:pPr>
        <w:pStyle w:val="ListParagraph"/>
        <w:numPr>
          <w:ilvl w:val="1"/>
          <w:numId w:val="38"/>
        </w:numPr>
        <w:contextualSpacing w:val="0"/>
      </w:pPr>
      <w:r w:rsidRPr="00A10D42">
        <w:t>Service-learning engages youth in generating ideas during the planning, implementation, and evaluation processes.</w:t>
      </w:r>
    </w:p>
    <w:p w14:paraId="77C5B018" w14:textId="77777777" w:rsidR="000A0E3C" w:rsidRPr="00A10D42" w:rsidRDefault="000A0E3C" w:rsidP="00CF7B5C">
      <w:pPr>
        <w:pStyle w:val="ListParagraph"/>
        <w:numPr>
          <w:ilvl w:val="1"/>
          <w:numId w:val="38"/>
        </w:numPr>
        <w:contextualSpacing w:val="0"/>
      </w:pPr>
      <w:r w:rsidRPr="00A10D42">
        <w:lastRenderedPageBreak/>
        <w:t>Service-learning involves youth in the decision-making process throughout the service-learning experiences.</w:t>
      </w:r>
    </w:p>
    <w:p w14:paraId="760183E6" w14:textId="77777777" w:rsidR="000A0E3C" w:rsidRPr="00A10D42" w:rsidRDefault="000A0E3C" w:rsidP="00CF7B5C">
      <w:pPr>
        <w:pStyle w:val="ListParagraph"/>
        <w:numPr>
          <w:ilvl w:val="1"/>
          <w:numId w:val="38"/>
        </w:numPr>
        <w:contextualSpacing w:val="0"/>
      </w:pPr>
      <w:r w:rsidRPr="00A10D42">
        <w:t>Service-learning involves youth and adults in creating an environment that supports trust and open expression of ideas.</w:t>
      </w:r>
    </w:p>
    <w:p w14:paraId="332E0012" w14:textId="77777777" w:rsidR="000A0E3C" w:rsidRPr="00A10D42" w:rsidRDefault="000A0E3C" w:rsidP="00CF7B5C">
      <w:pPr>
        <w:pStyle w:val="ListParagraph"/>
        <w:numPr>
          <w:ilvl w:val="1"/>
          <w:numId w:val="38"/>
        </w:numPr>
        <w:contextualSpacing w:val="0"/>
      </w:pPr>
      <w:r w:rsidRPr="00A10D42">
        <w:t>Service-learning promotes acquisition of knowledge and skills to enhance youth leadership and decision-making.</w:t>
      </w:r>
    </w:p>
    <w:p w14:paraId="1C74D296" w14:textId="06C59393" w:rsidR="000A0E3C" w:rsidRDefault="000A0E3C" w:rsidP="00CF7B5C">
      <w:pPr>
        <w:pStyle w:val="ListParagraph"/>
        <w:numPr>
          <w:ilvl w:val="1"/>
          <w:numId w:val="38"/>
        </w:numPr>
        <w:contextualSpacing w:val="0"/>
        <w:rPr>
          <w:lang w:val="en"/>
        </w:rPr>
      </w:pPr>
      <w:r w:rsidRPr="00A10D42">
        <w:t>Service-learning involves youth in evaluating the quality and effectiveness of the service-learning experience.</w:t>
      </w:r>
    </w:p>
    <w:p w14:paraId="78658545" w14:textId="65E4837D" w:rsidR="00D3434F" w:rsidRDefault="00D3434F" w:rsidP="00FE2177">
      <w:pPr>
        <w:pStyle w:val="Heading3"/>
      </w:pPr>
      <w:bookmarkStart w:id="32" w:name="_Toc201236638"/>
      <w:bookmarkStart w:id="33" w:name="_Toc203053769"/>
      <w:r>
        <w:t>S</w:t>
      </w:r>
      <w:r w:rsidR="00622633">
        <w:t xml:space="preserve">tate </w:t>
      </w:r>
      <w:r>
        <w:t>S</w:t>
      </w:r>
      <w:r w:rsidR="00622633">
        <w:t xml:space="preserve">eal of </w:t>
      </w:r>
      <w:r>
        <w:t>C</w:t>
      </w:r>
      <w:r w:rsidR="00622633">
        <w:t xml:space="preserve">ivic </w:t>
      </w:r>
      <w:r>
        <w:t>E</w:t>
      </w:r>
      <w:r w:rsidR="00622633">
        <w:t>ngagement</w:t>
      </w:r>
      <w:r>
        <w:t xml:space="preserve"> Criterion 4</w:t>
      </w:r>
      <w:bookmarkEnd w:id="32"/>
      <w:bookmarkEnd w:id="33"/>
    </w:p>
    <w:p w14:paraId="11386DAE" w14:textId="3CD4648A" w:rsidR="00FE2177" w:rsidRDefault="00FE2177" w:rsidP="00D3434F">
      <w:r w:rsidRPr="00A10D42">
        <w:t>Demonstrate civic knowledge, skills, and dispositions through self-reflection</w:t>
      </w:r>
      <w:r>
        <w:t>.</w:t>
      </w:r>
    </w:p>
    <w:p w14:paraId="6CCB0B87" w14:textId="1D933F88" w:rsidR="00D272D9" w:rsidRPr="00D272D9" w:rsidRDefault="00FE2177" w:rsidP="00115402">
      <w:pPr>
        <w:pStyle w:val="ListParagraph"/>
        <w:numPr>
          <w:ilvl w:val="0"/>
          <w:numId w:val="34"/>
        </w:numPr>
        <w:contextualSpacing w:val="0"/>
        <w:rPr>
          <w:lang w:val="en"/>
        </w:rPr>
      </w:pPr>
      <w:r w:rsidRPr="00115402">
        <w:rPr>
          <w:b/>
          <w:bCs/>
          <w:lang w:val="en"/>
        </w:rPr>
        <w:t>Metric:</w:t>
      </w:r>
      <w:r w:rsidRPr="00D272D9">
        <w:rPr>
          <w:lang w:val="en"/>
        </w:rPr>
        <w:t xml:space="preserve"> </w:t>
      </w:r>
      <w:r w:rsidR="004015C7">
        <w:t xml:space="preserve">Reflective writing or multimedia projects that assess personal </w:t>
      </w:r>
      <w:r w:rsidR="000A0E3C" w:rsidRPr="00760C5F">
        <w:t xml:space="preserve">growth in civic knowledge, skills, and </w:t>
      </w:r>
      <w:r w:rsidR="004015C7">
        <w:t>dispositions</w:t>
      </w:r>
      <w:r w:rsidR="000A0E3C" w:rsidRPr="00760C5F">
        <w:t xml:space="preserve"> resulting from </w:t>
      </w:r>
      <w:r w:rsidR="004015C7">
        <w:t>service-learning</w:t>
      </w:r>
      <w:r w:rsidR="000A0E3C" w:rsidRPr="00760C5F">
        <w:t xml:space="preserve"> activities.</w:t>
      </w:r>
    </w:p>
    <w:p w14:paraId="73EF6862" w14:textId="2D7EAA69" w:rsidR="00FE2177" w:rsidRPr="00D272D9" w:rsidRDefault="00FE2177" w:rsidP="00115402">
      <w:pPr>
        <w:pStyle w:val="ListParagraph"/>
        <w:numPr>
          <w:ilvl w:val="0"/>
          <w:numId w:val="34"/>
        </w:numPr>
        <w:contextualSpacing w:val="0"/>
        <w:rPr>
          <w:lang w:val="en"/>
        </w:rPr>
      </w:pPr>
      <w:r w:rsidRPr="00115402">
        <w:rPr>
          <w:b/>
          <w:bCs/>
          <w:lang w:val="en"/>
        </w:rPr>
        <w:t>Implementation:</w:t>
      </w:r>
      <w:r w:rsidRPr="00D272D9">
        <w:rPr>
          <w:lang w:val="en"/>
        </w:rPr>
        <w:t xml:space="preserve"> </w:t>
      </w:r>
      <w:r w:rsidR="000A0E3C" w:rsidRPr="00760C5F">
        <w:t>Reflective activities that connect service experiences to civic learning objectives, fostering a deeper understanding of civic responsibilities.</w:t>
      </w:r>
    </w:p>
    <w:p w14:paraId="42847E06" w14:textId="0715E646" w:rsidR="00FE2177" w:rsidRPr="00694515" w:rsidRDefault="00FE2177" w:rsidP="00115402">
      <w:pPr>
        <w:pStyle w:val="ListParagraph"/>
        <w:numPr>
          <w:ilvl w:val="0"/>
          <w:numId w:val="34"/>
        </w:numPr>
        <w:contextualSpacing w:val="0"/>
        <w:rPr>
          <w:lang w:val="en"/>
        </w:rPr>
      </w:pPr>
      <w:r w:rsidRPr="00115402">
        <w:rPr>
          <w:b/>
          <w:bCs/>
          <w:lang w:val="en"/>
        </w:rPr>
        <w:t>Corresponding NYLC Standard:</w:t>
      </w:r>
      <w:r>
        <w:rPr>
          <w:lang w:val="en"/>
        </w:rPr>
        <w:t xml:space="preserve"> </w:t>
      </w:r>
      <w:r w:rsidR="000A0E3C" w:rsidRPr="00F10C62">
        <w:rPr>
          <w:i/>
          <w:iCs/>
        </w:rPr>
        <w:t>Reflection</w:t>
      </w:r>
      <w:r w:rsidR="008F73E0">
        <w:t>—</w:t>
      </w:r>
      <w:r w:rsidR="000A0E3C" w:rsidRPr="00F10C62">
        <w:t>Incorporate multiple challenging reflection activities that prompt deep thinking about oneself and one’s relationship to society.</w:t>
      </w:r>
    </w:p>
    <w:p w14:paraId="6FE380EC" w14:textId="3B8CF66E" w:rsidR="00FE2177" w:rsidRPr="00115402" w:rsidRDefault="00FE2177" w:rsidP="00115402">
      <w:pPr>
        <w:pStyle w:val="ListParagraph"/>
        <w:numPr>
          <w:ilvl w:val="0"/>
          <w:numId w:val="34"/>
        </w:numPr>
        <w:contextualSpacing w:val="0"/>
        <w:rPr>
          <w:b/>
          <w:bCs/>
          <w:lang w:val="en"/>
        </w:rPr>
      </w:pPr>
      <w:r w:rsidRPr="00115402">
        <w:rPr>
          <w:b/>
          <w:bCs/>
          <w:lang w:val="en"/>
        </w:rPr>
        <w:t>Relevant NYLC Indicators:</w:t>
      </w:r>
      <w:r w:rsidR="000A0E3C" w:rsidRPr="00115402">
        <w:rPr>
          <w:b/>
          <w:bCs/>
          <w:lang w:val="en"/>
        </w:rPr>
        <w:t xml:space="preserve"> </w:t>
      </w:r>
    </w:p>
    <w:p w14:paraId="34875238" w14:textId="77777777" w:rsidR="000A0E3C" w:rsidRPr="00A10D42" w:rsidRDefault="000A0E3C" w:rsidP="00115402">
      <w:pPr>
        <w:pStyle w:val="ListParagraph"/>
        <w:numPr>
          <w:ilvl w:val="1"/>
          <w:numId w:val="39"/>
        </w:numPr>
        <w:contextualSpacing w:val="0"/>
      </w:pPr>
      <w:r w:rsidRPr="00A10D42">
        <w:t>Service-learning reflection includes a variety of verbal, written, artistic, and nonverbal activities to demonstrate understanding and changes in participants’ knowledge, skills, and/or attitudes.</w:t>
      </w:r>
    </w:p>
    <w:p w14:paraId="4669FA19" w14:textId="77777777" w:rsidR="000A0E3C" w:rsidRPr="00A10D42" w:rsidRDefault="000A0E3C" w:rsidP="00115402">
      <w:pPr>
        <w:pStyle w:val="ListParagraph"/>
        <w:numPr>
          <w:ilvl w:val="1"/>
          <w:numId w:val="39"/>
        </w:numPr>
        <w:contextualSpacing w:val="0"/>
      </w:pPr>
      <w:r w:rsidRPr="00A10D42">
        <w:t>Service-learning reflection occurs before, during, and after the service experience.</w:t>
      </w:r>
    </w:p>
    <w:p w14:paraId="6AAC740F" w14:textId="77777777" w:rsidR="000A0E3C" w:rsidRPr="00A10D42" w:rsidRDefault="000A0E3C" w:rsidP="00115402">
      <w:pPr>
        <w:pStyle w:val="ListParagraph"/>
        <w:numPr>
          <w:ilvl w:val="1"/>
          <w:numId w:val="39"/>
        </w:numPr>
        <w:contextualSpacing w:val="0"/>
      </w:pPr>
      <w:r w:rsidRPr="00A10D42">
        <w:t>Service-learning reflection prompts participants to think deeply about complex community problems and alternative solutions.</w:t>
      </w:r>
    </w:p>
    <w:p w14:paraId="74ED61A0" w14:textId="77777777" w:rsidR="000A0E3C" w:rsidRPr="00A10D42" w:rsidRDefault="000A0E3C" w:rsidP="00115402">
      <w:pPr>
        <w:pStyle w:val="ListParagraph"/>
        <w:numPr>
          <w:ilvl w:val="1"/>
          <w:numId w:val="39"/>
        </w:numPr>
        <w:contextualSpacing w:val="0"/>
      </w:pPr>
      <w:r w:rsidRPr="00A10D42">
        <w:t xml:space="preserve">Service-learning reflection encourages participants to examine their preconceptions and assumptions </w:t>
      </w:r>
      <w:proofErr w:type="gramStart"/>
      <w:r w:rsidRPr="00A10D42">
        <w:t>in order to</w:t>
      </w:r>
      <w:proofErr w:type="gramEnd"/>
      <w:r w:rsidRPr="00A10D42">
        <w:t xml:space="preserve"> explore and understand their roles and responsibilities as citizens.</w:t>
      </w:r>
    </w:p>
    <w:p w14:paraId="02709817" w14:textId="51C732D5" w:rsidR="000A0E3C" w:rsidRDefault="000A0E3C" w:rsidP="00115402">
      <w:pPr>
        <w:pStyle w:val="ListParagraph"/>
        <w:numPr>
          <w:ilvl w:val="1"/>
          <w:numId w:val="39"/>
        </w:numPr>
        <w:contextualSpacing w:val="0"/>
        <w:rPr>
          <w:lang w:val="en"/>
        </w:rPr>
      </w:pPr>
      <w:r w:rsidRPr="00A10D42">
        <w:t>Service-learning reflection encourages participants to examine a variety of social and civic issues related to their service-learning experience so that participants understand connections to public policy and civic life.</w:t>
      </w:r>
    </w:p>
    <w:p w14:paraId="7F1EC852" w14:textId="42A53DC5" w:rsidR="00D3434F" w:rsidRDefault="00D3434F" w:rsidP="00FE2177">
      <w:pPr>
        <w:pStyle w:val="Heading3"/>
      </w:pPr>
      <w:bookmarkStart w:id="34" w:name="_Toc201236639"/>
      <w:bookmarkStart w:id="35" w:name="_Toc203053770"/>
      <w:r>
        <w:lastRenderedPageBreak/>
        <w:t>S</w:t>
      </w:r>
      <w:r w:rsidR="00622633">
        <w:t xml:space="preserve">tate </w:t>
      </w:r>
      <w:r>
        <w:t>S</w:t>
      </w:r>
      <w:r w:rsidR="00622633">
        <w:t xml:space="preserve">eal of </w:t>
      </w:r>
      <w:r>
        <w:t>C</w:t>
      </w:r>
      <w:r w:rsidR="00622633">
        <w:t xml:space="preserve">ivic </w:t>
      </w:r>
      <w:r>
        <w:t>E</w:t>
      </w:r>
      <w:r w:rsidR="00622633">
        <w:t>ngagement</w:t>
      </w:r>
      <w:r>
        <w:t xml:space="preserve"> Criterion 5</w:t>
      </w:r>
      <w:bookmarkEnd w:id="34"/>
      <w:bookmarkEnd w:id="35"/>
    </w:p>
    <w:p w14:paraId="12F65101" w14:textId="0E8E4B30" w:rsidR="00FE2177" w:rsidRDefault="00FE2177" w:rsidP="00E17794">
      <w:r w:rsidRPr="00A10D42">
        <w:t xml:space="preserve">Exhibit character traits that reflect civic-mindedness and a commitment to positively </w:t>
      </w:r>
      <w:proofErr w:type="gramStart"/>
      <w:r w:rsidRPr="00A10D42">
        <w:t>impact</w:t>
      </w:r>
      <w:proofErr w:type="gramEnd"/>
      <w:r w:rsidRPr="00A10D42">
        <w:t xml:space="preserve"> the classroom, school, community and/or society.</w:t>
      </w:r>
    </w:p>
    <w:p w14:paraId="0796F5CC" w14:textId="2E24AD77" w:rsidR="00FE2177" w:rsidRPr="00694515" w:rsidRDefault="00FE2177" w:rsidP="00E17794">
      <w:pPr>
        <w:pStyle w:val="ListParagraph"/>
        <w:numPr>
          <w:ilvl w:val="0"/>
          <w:numId w:val="34"/>
        </w:numPr>
        <w:contextualSpacing w:val="0"/>
        <w:rPr>
          <w:lang w:val="en"/>
        </w:rPr>
      </w:pPr>
      <w:r w:rsidRPr="00E17794">
        <w:rPr>
          <w:b/>
          <w:bCs/>
          <w:lang w:val="en"/>
        </w:rPr>
        <w:t>Metric:</w:t>
      </w:r>
      <w:r>
        <w:rPr>
          <w:lang w:val="en"/>
        </w:rPr>
        <w:t xml:space="preserve"> </w:t>
      </w:r>
      <w:r w:rsidR="00D272D9" w:rsidRPr="003216C9">
        <w:t>Demonstration of traits such as responsibility, respect, and commitment through teacher evaluations, peer reviews, or community partner feedback</w:t>
      </w:r>
      <w:r w:rsidR="00D272D9">
        <w:t>.</w:t>
      </w:r>
    </w:p>
    <w:p w14:paraId="456053EC" w14:textId="4057BED3" w:rsidR="00FE2177" w:rsidRPr="00694515" w:rsidRDefault="00FE2177" w:rsidP="00E17794">
      <w:pPr>
        <w:pStyle w:val="ListParagraph"/>
        <w:numPr>
          <w:ilvl w:val="0"/>
          <w:numId w:val="34"/>
        </w:numPr>
        <w:contextualSpacing w:val="0"/>
        <w:rPr>
          <w:lang w:val="en"/>
        </w:rPr>
      </w:pPr>
      <w:r w:rsidRPr="00E17794">
        <w:rPr>
          <w:b/>
          <w:bCs/>
          <w:lang w:val="en"/>
        </w:rPr>
        <w:t>Implementation:</w:t>
      </w:r>
      <w:r>
        <w:rPr>
          <w:lang w:val="en"/>
        </w:rPr>
        <w:t xml:space="preserve"> </w:t>
      </w:r>
      <w:r w:rsidR="00D272D9" w:rsidRPr="00EE309A">
        <w:t>Foster inclusive service-learning environments that respect diverse perspectives and encourage students to engage empathetically with various community members</w:t>
      </w:r>
      <w:r w:rsidR="00D272D9">
        <w:t>.</w:t>
      </w:r>
    </w:p>
    <w:p w14:paraId="1B806326" w14:textId="2DCA6E40" w:rsidR="00FE2177" w:rsidRPr="00694515" w:rsidRDefault="00FE2177" w:rsidP="00E17794">
      <w:pPr>
        <w:pStyle w:val="ListParagraph"/>
        <w:numPr>
          <w:ilvl w:val="0"/>
          <w:numId w:val="34"/>
        </w:numPr>
        <w:contextualSpacing w:val="0"/>
        <w:rPr>
          <w:lang w:val="en"/>
        </w:rPr>
      </w:pPr>
      <w:r w:rsidRPr="00E17794">
        <w:rPr>
          <w:b/>
          <w:bCs/>
          <w:lang w:val="en"/>
        </w:rPr>
        <w:t>Corresponding NYLC Standard:</w:t>
      </w:r>
      <w:r>
        <w:rPr>
          <w:lang w:val="en"/>
        </w:rPr>
        <w:t xml:space="preserve"> </w:t>
      </w:r>
      <w:r w:rsidR="00D272D9" w:rsidRPr="00EE309A">
        <w:rPr>
          <w:i/>
          <w:iCs/>
        </w:rPr>
        <w:t>Diversity</w:t>
      </w:r>
      <w:r w:rsidR="006F626D">
        <w:t>—</w:t>
      </w:r>
      <w:r w:rsidR="00D272D9" w:rsidRPr="00EE309A">
        <w:t>Promote understanding and mutual respect among all participants.</w:t>
      </w:r>
    </w:p>
    <w:p w14:paraId="27685730" w14:textId="77777777" w:rsidR="00FE2177" w:rsidRPr="00E17794" w:rsidRDefault="00FE2177" w:rsidP="00E17794">
      <w:pPr>
        <w:pStyle w:val="ListParagraph"/>
        <w:numPr>
          <w:ilvl w:val="0"/>
          <w:numId w:val="34"/>
        </w:numPr>
        <w:contextualSpacing w:val="0"/>
        <w:rPr>
          <w:b/>
          <w:bCs/>
          <w:lang w:val="en"/>
        </w:rPr>
      </w:pPr>
      <w:r w:rsidRPr="00E17794">
        <w:rPr>
          <w:b/>
          <w:bCs/>
          <w:lang w:val="en"/>
        </w:rPr>
        <w:t>Relevant NYLC Indicators:</w:t>
      </w:r>
    </w:p>
    <w:p w14:paraId="45FC340C" w14:textId="77777777" w:rsidR="00D272D9" w:rsidRPr="00A10D42" w:rsidRDefault="00D272D9" w:rsidP="00E17794">
      <w:pPr>
        <w:pStyle w:val="ListParagraph"/>
        <w:numPr>
          <w:ilvl w:val="1"/>
          <w:numId w:val="36"/>
        </w:numPr>
        <w:contextualSpacing w:val="0"/>
      </w:pPr>
      <w:r w:rsidRPr="00A10D42">
        <w:t>Service-learning helps participants identify and analyze different points of view to gain understanding of multiple perspectives.</w:t>
      </w:r>
    </w:p>
    <w:p w14:paraId="7765950F" w14:textId="77777777" w:rsidR="00D272D9" w:rsidRPr="00A10D42" w:rsidRDefault="00D272D9" w:rsidP="00E17794">
      <w:pPr>
        <w:pStyle w:val="ListParagraph"/>
        <w:numPr>
          <w:ilvl w:val="1"/>
          <w:numId w:val="36"/>
        </w:numPr>
        <w:contextualSpacing w:val="0"/>
      </w:pPr>
      <w:r w:rsidRPr="00A10D42">
        <w:t>Service-learning helps participants develop interpersonal skills in conflict resolution and group decision-making.</w:t>
      </w:r>
    </w:p>
    <w:p w14:paraId="0F146573" w14:textId="77777777" w:rsidR="00D272D9" w:rsidRPr="00A10D42" w:rsidRDefault="00D272D9" w:rsidP="00E17794">
      <w:pPr>
        <w:pStyle w:val="ListParagraph"/>
        <w:numPr>
          <w:ilvl w:val="1"/>
          <w:numId w:val="36"/>
        </w:numPr>
        <w:contextualSpacing w:val="0"/>
      </w:pPr>
      <w:r w:rsidRPr="00A10D42">
        <w:t>Service-learning helps participants actively seek to understand and value the diverse backgrounds and perspectives of those offering and receiving service.</w:t>
      </w:r>
    </w:p>
    <w:p w14:paraId="132322D6" w14:textId="1C84B024" w:rsidR="00D272D9" w:rsidRDefault="00D272D9" w:rsidP="00E17794">
      <w:pPr>
        <w:pStyle w:val="ListParagraph"/>
        <w:numPr>
          <w:ilvl w:val="1"/>
          <w:numId w:val="36"/>
        </w:numPr>
        <w:contextualSpacing w:val="0"/>
        <w:rPr>
          <w:lang w:val="en"/>
        </w:rPr>
      </w:pPr>
      <w:r w:rsidRPr="00A10D42">
        <w:t>Service-learning encourages participants to recognize and overcome stereotypes.</w:t>
      </w:r>
    </w:p>
    <w:p w14:paraId="0FFF2620" w14:textId="77777777" w:rsidR="00A212BF" w:rsidRDefault="00A212BF" w:rsidP="00E6351B">
      <w:pPr>
        <w:sectPr w:rsidR="00A212BF" w:rsidSect="000B5C9C">
          <w:pgSz w:w="12240" w:h="15840" w:code="1"/>
          <w:pgMar w:top="1440" w:right="1440" w:bottom="1440" w:left="1440" w:header="720" w:footer="720" w:gutter="0"/>
          <w:cols w:space="720"/>
          <w:docGrid w:linePitch="360"/>
        </w:sectPr>
      </w:pPr>
    </w:p>
    <w:p w14:paraId="779D9E3E" w14:textId="740A24C0" w:rsidR="001A2277" w:rsidRPr="005F6E85" w:rsidRDefault="00484186" w:rsidP="005F6E85">
      <w:pPr>
        <w:pStyle w:val="Heading2"/>
      </w:pPr>
      <w:bookmarkStart w:id="36" w:name="_Toc201236640"/>
      <w:bookmarkStart w:id="37" w:name="_Toc203053771"/>
      <w:r w:rsidRPr="005F6E85">
        <w:lastRenderedPageBreak/>
        <w:t>Appendix A: Metric Alignment Worksheet</w:t>
      </w:r>
      <w:bookmarkEnd w:id="36"/>
      <w:bookmarkEnd w:id="37"/>
    </w:p>
    <w:p w14:paraId="5AB7804D" w14:textId="32673B71" w:rsidR="005D7528" w:rsidRDefault="005821D8" w:rsidP="005D7528">
      <w:r>
        <w:t>This worksheet may be used to map</w:t>
      </w:r>
      <w:r w:rsidR="005D7528">
        <w:t xml:space="preserve"> proposed service-learning activities to the five SSCE criteria and corresponding </w:t>
      </w:r>
      <w:r>
        <w:t>model uniform metrics</w:t>
      </w:r>
      <w:r w:rsidR="005D7528">
        <w:t>. This tool is designed to support implementation planning and data collection.</w:t>
      </w:r>
    </w:p>
    <w:tbl>
      <w:tblPr>
        <w:tblStyle w:val="TableGrid"/>
        <w:tblW w:w="5000" w:type="pct"/>
        <w:tblLook w:val="04A0" w:firstRow="1" w:lastRow="0" w:firstColumn="1" w:lastColumn="0" w:noHBand="0" w:noVBand="1"/>
        <w:tblDescription w:val="Metric Alignment Worksheet"/>
      </w:tblPr>
      <w:tblGrid>
        <w:gridCol w:w="1978"/>
        <w:gridCol w:w="2248"/>
        <w:gridCol w:w="2250"/>
        <w:gridCol w:w="2874"/>
      </w:tblGrid>
      <w:tr w:rsidR="00774EE4" w14:paraId="77739AC8" w14:textId="77777777" w:rsidTr="00FD4C27">
        <w:trPr>
          <w:cantSplit/>
          <w:tblHeader/>
        </w:trPr>
        <w:tc>
          <w:tcPr>
            <w:tcW w:w="1058" w:type="pct"/>
            <w:shd w:val="clear" w:color="auto" w:fill="404040" w:themeFill="text1" w:themeFillTint="BF"/>
          </w:tcPr>
          <w:p w14:paraId="4CC1F319" w14:textId="44016DCB" w:rsidR="005D7528" w:rsidRPr="00EA2090" w:rsidRDefault="005D7528" w:rsidP="00BB5F68">
            <w:pPr>
              <w:rPr>
                <w:b/>
                <w:bCs/>
                <w:color w:val="FFFFFF" w:themeColor="background1"/>
              </w:rPr>
            </w:pPr>
            <w:r w:rsidRPr="00EA2090">
              <w:rPr>
                <w:b/>
                <w:bCs/>
                <w:color w:val="FFFFFF" w:themeColor="background1"/>
              </w:rPr>
              <w:t xml:space="preserve">SSCE </w:t>
            </w:r>
            <w:r w:rsidR="008F5295" w:rsidRPr="00EA2090">
              <w:rPr>
                <w:b/>
                <w:bCs/>
                <w:color w:val="FFFFFF" w:themeColor="background1"/>
              </w:rPr>
              <w:t>Criteria</w:t>
            </w:r>
          </w:p>
        </w:tc>
        <w:tc>
          <w:tcPr>
            <w:tcW w:w="1202" w:type="pct"/>
            <w:shd w:val="clear" w:color="auto" w:fill="404040" w:themeFill="text1" w:themeFillTint="BF"/>
          </w:tcPr>
          <w:p w14:paraId="4797D9DA" w14:textId="77777777" w:rsidR="005D7528" w:rsidRPr="00EA2090" w:rsidRDefault="005D7528" w:rsidP="00BB5F68">
            <w:pPr>
              <w:rPr>
                <w:b/>
                <w:bCs/>
                <w:color w:val="FFFFFF" w:themeColor="background1"/>
              </w:rPr>
            </w:pPr>
            <w:r w:rsidRPr="00EA2090">
              <w:rPr>
                <w:b/>
                <w:bCs/>
                <w:color w:val="FFFFFF" w:themeColor="background1"/>
              </w:rPr>
              <w:t>Metric(s) to be Used</w:t>
            </w:r>
          </w:p>
        </w:tc>
        <w:tc>
          <w:tcPr>
            <w:tcW w:w="1203" w:type="pct"/>
            <w:shd w:val="clear" w:color="auto" w:fill="404040" w:themeFill="text1" w:themeFillTint="BF"/>
          </w:tcPr>
          <w:p w14:paraId="278D5CE2" w14:textId="33BFD086" w:rsidR="005D7528" w:rsidRPr="00EA2090" w:rsidRDefault="005D7528" w:rsidP="00BB5F68">
            <w:pPr>
              <w:rPr>
                <w:b/>
                <w:bCs/>
                <w:color w:val="FFFFFF" w:themeColor="background1"/>
              </w:rPr>
            </w:pPr>
            <w:r w:rsidRPr="00EA2090">
              <w:rPr>
                <w:b/>
                <w:bCs/>
                <w:color w:val="FFFFFF" w:themeColor="background1"/>
              </w:rPr>
              <w:t>Measurement Approach/Tools</w:t>
            </w:r>
          </w:p>
        </w:tc>
        <w:tc>
          <w:tcPr>
            <w:tcW w:w="1537" w:type="pct"/>
            <w:shd w:val="clear" w:color="auto" w:fill="404040" w:themeFill="text1" w:themeFillTint="BF"/>
          </w:tcPr>
          <w:p w14:paraId="75311806" w14:textId="461FD6CD" w:rsidR="005D7528" w:rsidRPr="00EA2090" w:rsidRDefault="008F5295" w:rsidP="00BB5F68">
            <w:pPr>
              <w:rPr>
                <w:b/>
                <w:bCs/>
                <w:color w:val="FFFFFF" w:themeColor="background1"/>
              </w:rPr>
            </w:pPr>
            <w:r w:rsidRPr="00EA2090">
              <w:rPr>
                <w:b/>
                <w:bCs/>
                <w:color w:val="FFFFFF" w:themeColor="background1"/>
              </w:rPr>
              <w:t>Key Standard/Indicator</w:t>
            </w:r>
          </w:p>
        </w:tc>
      </w:tr>
      <w:tr w:rsidR="00774EE4" w14:paraId="5B1229DE" w14:textId="77777777" w:rsidTr="00FD4C27">
        <w:trPr>
          <w:cantSplit/>
          <w:trHeight w:val="1800"/>
          <w:tblHeader/>
        </w:trPr>
        <w:tc>
          <w:tcPr>
            <w:tcW w:w="1058" w:type="pct"/>
          </w:tcPr>
          <w:p w14:paraId="2905ED8F" w14:textId="21EC7C99" w:rsidR="005D7528" w:rsidRDefault="008F5295" w:rsidP="008A7961">
            <w:pPr>
              <w:spacing w:after="240"/>
            </w:pPr>
            <w:r>
              <w:t>1</w:t>
            </w:r>
            <w:r w:rsidR="005D7528">
              <w:t>: Academic Work</w:t>
            </w:r>
          </w:p>
        </w:tc>
        <w:tc>
          <w:tcPr>
            <w:tcW w:w="1202" w:type="pct"/>
          </w:tcPr>
          <w:p w14:paraId="63774703" w14:textId="717ADFF8" w:rsidR="005D7528" w:rsidRDefault="005D7528" w:rsidP="008A7961">
            <w:pPr>
              <w:spacing w:after="240"/>
            </w:pPr>
          </w:p>
        </w:tc>
        <w:tc>
          <w:tcPr>
            <w:tcW w:w="1203" w:type="pct"/>
          </w:tcPr>
          <w:p w14:paraId="71EC238A" w14:textId="5FFFC023" w:rsidR="00EA2090" w:rsidRDefault="00EA2090" w:rsidP="008A7961">
            <w:pPr>
              <w:spacing w:after="240"/>
            </w:pPr>
          </w:p>
        </w:tc>
        <w:tc>
          <w:tcPr>
            <w:tcW w:w="1537" w:type="pct"/>
          </w:tcPr>
          <w:p w14:paraId="0B1C6317" w14:textId="4C25C4E7" w:rsidR="005D7528" w:rsidRDefault="005D7528" w:rsidP="008A7961">
            <w:pPr>
              <w:spacing w:after="240"/>
            </w:pPr>
          </w:p>
        </w:tc>
      </w:tr>
      <w:tr w:rsidR="00774EE4" w14:paraId="5D948BEA" w14:textId="77777777" w:rsidTr="00FD4C27">
        <w:trPr>
          <w:cantSplit/>
          <w:trHeight w:val="1800"/>
          <w:tblHeader/>
        </w:trPr>
        <w:tc>
          <w:tcPr>
            <w:tcW w:w="1058" w:type="pct"/>
          </w:tcPr>
          <w:p w14:paraId="62DD128C" w14:textId="58E98F08" w:rsidR="00791E82" w:rsidRDefault="00791E82" w:rsidP="00791E82">
            <w:pPr>
              <w:spacing w:after="240"/>
            </w:pPr>
            <w:r>
              <w:t>2: Understanding of Government</w:t>
            </w:r>
          </w:p>
        </w:tc>
        <w:tc>
          <w:tcPr>
            <w:tcW w:w="1202" w:type="pct"/>
          </w:tcPr>
          <w:p w14:paraId="561D6A16" w14:textId="72524A51" w:rsidR="00791E82" w:rsidRDefault="00791E82" w:rsidP="00791E82">
            <w:pPr>
              <w:spacing w:after="240"/>
            </w:pPr>
          </w:p>
        </w:tc>
        <w:tc>
          <w:tcPr>
            <w:tcW w:w="1203" w:type="pct"/>
          </w:tcPr>
          <w:p w14:paraId="417BB70B" w14:textId="1E565D9E" w:rsidR="00791E82" w:rsidRDefault="00791E82" w:rsidP="00791E82">
            <w:pPr>
              <w:spacing w:after="240"/>
            </w:pPr>
          </w:p>
        </w:tc>
        <w:tc>
          <w:tcPr>
            <w:tcW w:w="1537" w:type="pct"/>
          </w:tcPr>
          <w:p w14:paraId="4229EDCC" w14:textId="11EF2475" w:rsidR="00791E82" w:rsidRDefault="00791E82" w:rsidP="00791E82">
            <w:pPr>
              <w:spacing w:after="240"/>
            </w:pPr>
          </w:p>
        </w:tc>
      </w:tr>
      <w:tr w:rsidR="00774EE4" w14:paraId="6ED0AC23" w14:textId="77777777" w:rsidTr="00FD4C27">
        <w:trPr>
          <w:cantSplit/>
          <w:trHeight w:val="1800"/>
          <w:tblHeader/>
        </w:trPr>
        <w:tc>
          <w:tcPr>
            <w:tcW w:w="1058" w:type="pct"/>
          </w:tcPr>
          <w:p w14:paraId="26C883EC" w14:textId="14BB64FC" w:rsidR="00791E82" w:rsidRDefault="00791E82" w:rsidP="008A7961">
            <w:pPr>
              <w:spacing w:after="240"/>
            </w:pPr>
            <w:r>
              <w:t>3: Civic Engagement Project(s)</w:t>
            </w:r>
          </w:p>
        </w:tc>
        <w:tc>
          <w:tcPr>
            <w:tcW w:w="1202" w:type="pct"/>
          </w:tcPr>
          <w:p w14:paraId="7579CE7F" w14:textId="5A3594A4" w:rsidR="00791E82" w:rsidRDefault="00791E82" w:rsidP="008A7961">
            <w:pPr>
              <w:spacing w:after="240"/>
            </w:pPr>
          </w:p>
        </w:tc>
        <w:tc>
          <w:tcPr>
            <w:tcW w:w="1203" w:type="pct"/>
          </w:tcPr>
          <w:p w14:paraId="5CF3CF34" w14:textId="647AE87B" w:rsidR="00791E82" w:rsidRDefault="00791E82" w:rsidP="008A7961">
            <w:pPr>
              <w:spacing w:after="240"/>
            </w:pPr>
          </w:p>
        </w:tc>
        <w:tc>
          <w:tcPr>
            <w:tcW w:w="1537" w:type="pct"/>
          </w:tcPr>
          <w:p w14:paraId="1060DB7B" w14:textId="59F9F00C" w:rsidR="00791E82" w:rsidRDefault="00791E82" w:rsidP="008A7961">
            <w:pPr>
              <w:spacing w:after="240"/>
            </w:pPr>
          </w:p>
        </w:tc>
      </w:tr>
      <w:tr w:rsidR="00774EE4" w14:paraId="1A10E16F" w14:textId="77777777" w:rsidTr="00FD4C27">
        <w:trPr>
          <w:cantSplit/>
          <w:trHeight w:val="1800"/>
          <w:tblHeader/>
        </w:trPr>
        <w:tc>
          <w:tcPr>
            <w:tcW w:w="1058" w:type="pct"/>
          </w:tcPr>
          <w:p w14:paraId="5668AC3B" w14:textId="4CE2422B" w:rsidR="00791E82" w:rsidRDefault="00791E82" w:rsidP="00791E82">
            <w:pPr>
              <w:spacing w:after="240"/>
            </w:pPr>
            <w:r>
              <w:t>4: Reflection on Civic Knowledge and Skills</w:t>
            </w:r>
          </w:p>
        </w:tc>
        <w:tc>
          <w:tcPr>
            <w:tcW w:w="1202" w:type="pct"/>
          </w:tcPr>
          <w:p w14:paraId="08A43478" w14:textId="0DF8F95F" w:rsidR="00791E82" w:rsidRDefault="00791E82" w:rsidP="00791E82">
            <w:pPr>
              <w:spacing w:after="240"/>
            </w:pPr>
          </w:p>
        </w:tc>
        <w:tc>
          <w:tcPr>
            <w:tcW w:w="1203" w:type="pct"/>
          </w:tcPr>
          <w:p w14:paraId="1E7D9BB0" w14:textId="58B0B412" w:rsidR="00791E82" w:rsidRDefault="00791E82" w:rsidP="00791E82">
            <w:pPr>
              <w:spacing w:after="240"/>
            </w:pPr>
          </w:p>
        </w:tc>
        <w:tc>
          <w:tcPr>
            <w:tcW w:w="1537" w:type="pct"/>
          </w:tcPr>
          <w:p w14:paraId="53CA7C56" w14:textId="54944F3D" w:rsidR="00791E82" w:rsidRDefault="00791E82" w:rsidP="00791E82">
            <w:pPr>
              <w:spacing w:after="240"/>
            </w:pPr>
          </w:p>
        </w:tc>
      </w:tr>
      <w:tr w:rsidR="00774EE4" w14:paraId="3DAA7A0A" w14:textId="77777777" w:rsidTr="00FD4C27">
        <w:trPr>
          <w:cantSplit/>
          <w:trHeight w:val="1800"/>
          <w:tblHeader/>
        </w:trPr>
        <w:tc>
          <w:tcPr>
            <w:tcW w:w="1058" w:type="pct"/>
          </w:tcPr>
          <w:p w14:paraId="14A53246" w14:textId="64AB53AC" w:rsidR="00791E82" w:rsidRDefault="00791E82" w:rsidP="00791E82">
            <w:pPr>
              <w:spacing w:after="240"/>
            </w:pPr>
            <w:r>
              <w:t>5: Civic-Minded Character Traits</w:t>
            </w:r>
          </w:p>
        </w:tc>
        <w:tc>
          <w:tcPr>
            <w:tcW w:w="1202" w:type="pct"/>
          </w:tcPr>
          <w:p w14:paraId="20865DD4" w14:textId="4F8E4DD3" w:rsidR="00791E82" w:rsidRDefault="00791E82" w:rsidP="00791E82">
            <w:pPr>
              <w:spacing w:after="240"/>
            </w:pPr>
          </w:p>
        </w:tc>
        <w:tc>
          <w:tcPr>
            <w:tcW w:w="1203" w:type="pct"/>
          </w:tcPr>
          <w:p w14:paraId="5DCA62E8" w14:textId="062188EB" w:rsidR="00791E82" w:rsidRDefault="00791E82" w:rsidP="00791E82">
            <w:pPr>
              <w:spacing w:after="240"/>
            </w:pPr>
          </w:p>
        </w:tc>
        <w:tc>
          <w:tcPr>
            <w:tcW w:w="1537" w:type="pct"/>
          </w:tcPr>
          <w:p w14:paraId="384156C4" w14:textId="23837B65" w:rsidR="00791E82" w:rsidRDefault="00791E82" w:rsidP="00791E82">
            <w:pPr>
              <w:spacing w:after="240"/>
            </w:pPr>
          </w:p>
        </w:tc>
      </w:tr>
    </w:tbl>
    <w:p w14:paraId="5DC4AF23" w14:textId="77777777" w:rsidR="005D7528" w:rsidRDefault="005D7528" w:rsidP="005D7528"/>
    <w:p w14:paraId="6C637106" w14:textId="77777777" w:rsidR="00613A3F" w:rsidRDefault="00613A3F" w:rsidP="00E6351B">
      <w:pPr>
        <w:sectPr w:rsidR="00613A3F" w:rsidSect="000B5C9C">
          <w:headerReference w:type="default" r:id="rId16"/>
          <w:pgSz w:w="12240" w:h="15840" w:code="1"/>
          <w:pgMar w:top="1440" w:right="1440" w:bottom="1440" w:left="1440" w:header="720" w:footer="720" w:gutter="0"/>
          <w:cols w:space="720"/>
          <w:docGrid w:linePitch="360"/>
        </w:sectPr>
      </w:pPr>
    </w:p>
    <w:p w14:paraId="4F06F3CD" w14:textId="25E19227" w:rsidR="00613A3F" w:rsidRPr="00B31A89" w:rsidRDefault="00613A3F" w:rsidP="00613A3F">
      <w:pPr>
        <w:pStyle w:val="Heading2"/>
      </w:pPr>
      <w:bookmarkStart w:id="38" w:name="_Toc167277573"/>
      <w:bookmarkStart w:id="39" w:name="_Toc203053772"/>
      <w:r w:rsidRPr="00B31A89">
        <w:lastRenderedPageBreak/>
        <w:t xml:space="preserve">Appendix </w:t>
      </w:r>
      <w:r>
        <w:t>B:</w:t>
      </w:r>
      <w:r w:rsidRPr="00B31A89">
        <w:t xml:space="preserve"> Definitions</w:t>
      </w:r>
      <w:bookmarkEnd w:id="38"/>
      <w:bookmarkEnd w:id="39"/>
    </w:p>
    <w:p w14:paraId="58C3E36D" w14:textId="5DB28A1D" w:rsidR="00613A3F" w:rsidRPr="00B31A89" w:rsidRDefault="009A1639" w:rsidP="00613A3F">
      <w:r>
        <w:rPr>
          <w:b/>
          <w:bCs/>
        </w:rPr>
        <w:t>C</w:t>
      </w:r>
      <w:r w:rsidR="00613A3F" w:rsidRPr="00B31A89">
        <w:rPr>
          <w:b/>
          <w:bCs/>
        </w:rPr>
        <w:t>ivic engagement:</w:t>
      </w:r>
      <w:r w:rsidR="00613A3F" w:rsidRPr="00B31A89">
        <w:t xml:space="preserve"> Civic engagement involves “working to make a difference in the civic life of one’s community and developing the combination of knowledge, skills, values and motivation to make that difference. It means promoting the quality of life in a community, through both political and non-political processes.”</w:t>
      </w:r>
      <w:r w:rsidR="00DB19AA">
        <w:rPr>
          <w:rStyle w:val="FootnoteReference"/>
        </w:rPr>
        <w:footnoteReference w:id="2"/>
      </w:r>
      <w:r w:rsidR="00613A3F" w:rsidRPr="00B31A89">
        <w:t xml:space="preserve"> </w:t>
      </w:r>
      <w:r w:rsidR="00613A3F">
        <w:t>C</w:t>
      </w:r>
      <w:r w:rsidR="00613A3F" w:rsidRPr="00B31A89">
        <w:t xml:space="preserve">ivic engagement includes both paid and unpaid forms of political activism, environmentalism, and community and national service. Volunteering, national service, and service-learning </w:t>
      </w:r>
      <w:r w:rsidR="00B42099">
        <w:t>can</w:t>
      </w:r>
      <w:r w:rsidR="00613A3F" w:rsidRPr="00B31A89">
        <w:t xml:space="preserve"> </w:t>
      </w:r>
      <w:r w:rsidR="00B42099">
        <w:t>be</w:t>
      </w:r>
      <w:r w:rsidR="00613A3F" w:rsidRPr="00B31A89">
        <w:t xml:space="preserve"> forms of civic engagement.</w:t>
      </w:r>
      <w:r w:rsidR="00613A3F" w:rsidRPr="00B31A89">
        <w:rPr>
          <w:rStyle w:val="FootnoteReference"/>
        </w:rPr>
        <w:footnoteReference w:id="3"/>
      </w:r>
      <w:r w:rsidR="00613A3F" w:rsidRPr="00B31A89">
        <w:t xml:space="preserve"> Research has identified four interrelated </w:t>
      </w:r>
      <w:proofErr w:type="gramStart"/>
      <w:r w:rsidR="00613A3F" w:rsidRPr="00B31A89">
        <w:t>constructs</w:t>
      </w:r>
      <w:proofErr w:type="gramEnd"/>
      <w:r w:rsidR="00613A3F" w:rsidRPr="00B31A89">
        <w:t xml:space="preserve"> that are necessary for civic engagement:</w:t>
      </w:r>
    </w:p>
    <w:p w14:paraId="6DF8B246" w14:textId="77777777" w:rsidR="00613A3F" w:rsidRPr="00B31A89" w:rsidRDefault="00613A3F" w:rsidP="00613A3F">
      <w:pPr>
        <w:pStyle w:val="ListParagraph"/>
        <w:numPr>
          <w:ilvl w:val="0"/>
          <w:numId w:val="40"/>
        </w:numPr>
        <w:ind w:left="720"/>
        <w:contextualSpacing w:val="0"/>
      </w:pPr>
      <w:r w:rsidRPr="00B31A89">
        <w:t>Civic action, or participation in activities such as volunteering or service-learning to help better the community</w:t>
      </w:r>
      <w:r>
        <w:t>.</w:t>
      </w:r>
    </w:p>
    <w:p w14:paraId="78DC13EC" w14:textId="77777777" w:rsidR="00613A3F" w:rsidRPr="00B31A89" w:rsidRDefault="00613A3F" w:rsidP="00613A3F">
      <w:pPr>
        <w:pStyle w:val="ListParagraph"/>
        <w:numPr>
          <w:ilvl w:val="0"/>
          <w:numId w:val="40"/>
        </w:numPr>
        <w:ind w:left="720"/>
        <w:contextualSpacing w:val="0"/>
      </w:pPr>
      <w:r w:rsidRPr="00B31A89">
        <w:t xml:space="preserve">Civic </w:t>
      </w:r>
      <w:r>
        <w:t>c</w:t>
      </w:r>
      <w:r w:rsidRPr="00B31A89">
        <w:t xml:space="preserve">ommitment or </w:t>
      </w:r>
      <w:r>
        <w:t>d</w:t>
      </w:r>
      <w:r w:rsidRPr="00B31A89">
        <w:t>uty, or the willingness to make positive contributions to society</w:t>
      </w:r>
      <w:r>
        <w:t>.</w:t>
      </w:r>
    </w:p>
    <w:p w14:paraId="2DF5458A" w14:textId="77777777" w:rsidR="00613A3F" w:rsidRPr="00B31A89" w:rsidRDefault="00613A3F" w:rsidP="00613A3F">
      <w:pPr>
        <w:pStyle w:val="ListParagraph"/>
        <w:numPr>
          <w:ilvl w:val="0"/>
          <w:numId w:val="40"/>
        </w:numPr>
        <w:ind w:left="720"/>
        <w:contextualSpacing w:val="0"/>
      </w:pPr>
      <w:r w:rsidRPr="00B31A89">
        <w:t>Civic skills, or the ability to be involved in civil society, politics, and democracy</w:t>
      </w:r>
      <w:r>
        <w:t>.</w:t>
      </w:r>
    </w:p>
    <w:p w14:paraId="35797BE7" w14:textId="77777777" w:rsidR="00613A3F" w:rsidRPr="00B31A89" w:rsidRDefault="00613A3F" w:rsidP="00613A3F">
      <w:pPr>
        <w:pStyle w:val="ListParagraph"/>
        <w:numPr>
          <w:ilvl w:val="0"/>
          <w:numId w:val="40"/>
        </w:numPr>
        <w:ind w:left="720"/>
      </w:pPr>
      <w:r w:rsidRPr="00B31A89">
        <w:t>Social cohesion, or a sense o</w:t>
      </w:r>
      <w:r>
        <w:t>f</w:t>
      </w:r>
      <w:r w:rsidRPr="00B31A89">
        <w:t xml:space="preserve"> reciprocity, trust, and bonding to others</w:t>
      </w:r>
      <w:r>
        <w:t>.</w:t>
      </w:r>
    </w:p>
    <w:p w14:paraId="10930C4F" w14:textId="530184DB" w:rsidR="00613A3F" w:rsidRPr="00B31A89" w:rsidRDefault="009A1639" w:rsidP="00613A3F">
      <w:r w:rsidRPr="00B31A89">
        <w:rPr>
          <w:b/>
          <w:bCs/>
        </w:rPr>
        <w:t>Civic</w:t>
      </w:r>
      <w:r w:rsidR="00613A3F" w:rsidRPr="00B31A89">
        <w:rPr>
          <w:b/>
          <w:bCs/>
        </w:rPr>
        <w:t xml:space="preserve"> learning:</w:t>
      </w:r>
      <w:r w:rsidR="00613A3F" w:rsidRPr="00B31A89">
        <w:t xml:space="preserve"> Civic learning is a process through which young people develop the knowledge, skills, and commitments to interact effectively with fellow community members to address shared problems. It includes preparation for both civic engagement (or practices seeking to promote the public good through nongovernmental organizations and informal community work) and political engagement (or activities aiming to influence state action through formal avenues such as voting, lobbying, or petitioning).</w:t>
      </w:r>
      <w:r w:rsidR="00613A3F" w:rsidRPr="00B31A89">
        <w:rPr>
          <w:rStyle w:val="FootnoteReference"/>
        </w:rPr>
        <w:footnoteReference w:id="4"/>
      </w:r>
      <w:r w:rsidR="00613A3F" w:rsidRPr="00B31A89">
        <w:t xml:space="preserve"> There are many practices that directly improve the quality and effectiveness of civic learning in schools, including civic action projects; digital literacy education and engagement; classroom instruction in government, history, law</w:t>
      </w:r>
      <w:r w:rsidR="00613A3F">
        <w:t>,</w:t>
      </w:r>
      <w:r w:rsidR="00613A3F" w:rsidRPr="00B31A89">
        <w:t xml:space="preserve"> and democracy; discussion of current events; service-learning; extracurricular or co-</w:t>
      </w:r>
      <w:r w:rsidR="00613A3F" w:rsidRPr="00B31A89">
        <w:lastRenderedPageBreak/>
        <w:t>curricular activities; student voice in school governance; and simulations of democratic processes.</w:t>
      </w:r>
      <w:r w:rsidR="00613A3F" w:rsidRPr="00B31A89">
        <w:rPr>
          <w:rStyle w:val="FootnoteReference"/>
        </w:rPr>
        <w:footnoteReference w:id="5"/>
      </w:r>
      <w:r w:rsidR="00613A3F">
        <w:rPr>
          <w:rStyle w:val="HeaderChar"/>
          <w:vertAlign w:val="superscript"/>
        </w:rPr>
        <w:t xml:space="preserve"> </w:t>
      </w:r>
      <w:r w:rsidR="00613A3F" w:rsidRPr="00B31A89">
        <w:rPr>
          <w:rStyle w:val="FootnoteReference"/>
        </w:rPr>
        <w:footnoteReference w:id="6"/>
      </w:r>
    </w:p>
    <w:p w14:paraId="744BFFCC" w14:textId="2C26F398" w:rsidR="00613A3F" w:rsidRPr="00B31A89" w:rsidRDefault="009A1639" w:rsidP="00613A3F">
      <w:r>
        <w:rPr>
          <w:b/>
          <w:bCs/>
        </w:rPr>
        <w:t>C</w:t>
      </w:r>
      <w:r w:rsidR="00613A3F" w:rsidRPr="00B31A89">
        <w:rPr>
          <w:b/>
          <w:bCs/>
        </w:rPr>
        <w:t>ivics:</w:t>
      </w:r>
      <w:r w:rsidR="00613A3F" w:rsidRPr="00B31A89">
        <w:t xml:space="preserve"> </w:t>
      </w:r>
      <w:r w:rsidR="00074B27">
        <w:t xml:space="preserve">Along with the study of politics and society, civics </w:t>
      </w:r>
      <w:r w:rsidR="00613A3F" w:rsidRPr="00B31A89">
        <w:t xml:space="preserve">encompasses participation in classrooms and schools, neighborhoods, groups, and organizations. In civics, students learn to contribute appropriately to public processes and discussions of real issues. Their contributions to public discussions may take many forms, ranging from personal testimony to abstract arguments. They will also learn civic practices such as voting, volunteering, jury service, and joining with others to improve society. Civics </w:t>
      </w:r>
      <w:proofErr w:type="gramStart"/>
      <w:r w:rsidR="00613A3F" w:rsidRPr="00B31A89">
        <w:t>enables</w:t>
      </w:r>
      <w:proofErr w:type="gramEnd"/>
      <w:r w:rsidR="00613A3F" w:rsidRPr="00B31A89">
        <w:t xml:space="preserve"> students to study how others participate</w:t>
      </w:r>
      <w:r w:rsidR="00141541">
        <w:t xml:space="preserve">, </w:t>
      </w:r>
      <w:r w:rsidR="00E2373C">
        <w:t>and</w:t>
      </w:r>
      <w:r w:rsidR="00613A3F" w:rsidRPr="00B31A89" w:rsidDel="00E2373C">
        <w:t xml:space="preserve"> </w:t>
      </w:r>
      <w:r w:rsidR="00613A3F" w:rsidRPr="00B31A89">
        <w:t>to practice participating and taking informed action themselves.</w:t>
      </w:r>
      <w:r w:rsidR="00613A3F" w:rsidRPr="00B31A89">
        <w:rPr>
          <w:rStyle w:val="FootnoteReference"/>
        </w:rPr>
        <w:footnoteReference w:id="7"/>
      </w:r>
    </w:p>
    <w:p w14:paraId="228607D4" w14:textId="3EF0D254" w:rsidR="00613A3F" w:rsidRPr="00B31A89" w:rsidRDefault="009A1639" w:rsidP="00613A3F">
      <w:r>
        <w:rPr>
          <w:b/>
          <w:bCs/>
        </w:rPr>
        <w:t>S</w:t>
      </w:r>
      <w:r w:rsidR="00613A3F" w:rsidRPr="00B31A89">
        <w:rPr>
          <w:b/>
          <w:bCs/>
        </w:rPr>
        <w:t>ervice-learning:</w:t>
      </w:r>
      <w:r w:rsidR="00613A3F" w:rsidRPr="00B31A89">
        <w:t xml:space="preserve"> </w:t>
      </w:r>
      <w:r w:rsidR="363730EC" w:rsidRPr="00B31A89">
        <w:t>Service</w:t>
      </w:r>
      <w:r w:rsidR="005A6D32">
        <w:t>-</w:t>
      </w:r>
      <w:r w:rsidR="363730EC" w:rsidRPr="00B31A89">
        <w:t>learning is an e</w:t>
      </w:r>
      <w:r w:rsidR="00613A3F" w:rsidRPr="00B31A89">
        <w:t>ducational approach that intentionally combines meaningful community service activities with instruction and reflection to support pupil progress toward academic and civic engagement learning objectives while meeting societal needs</w:t>
      </w:r>
      <w:r w:rsidR="00613A3F">
        <w:t>.</w:t>
      </w:r>
      <w:r w:rsidR="00613A3F" w:rsidRPr="00B31A89">
        <w:rPr>
          <w:rStyle w:val="FootnoteReference"/>
        </w:rPr>
        <w:footnoteReference w:id="8"/>
      </w:r>
    </w:p>
    <w:sectPr w:rsidR="00613A3F" w:rsidRPr="00B31A89" w:rsidSect="000B5C9C">
      <w:headerReference w:type="even" r:id="rId17"/>
      <w:headerReference w:type="default" r:id="rId18"/>
      <w:head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63F5" w14:textId="77777777" w:rsidR="00C652FF" w:rsidRDefault="00C652FF" w:rsidP="00E6351B">
      <w:r>
        <w:separator/>
      </w:r>
    </w:p>
  </w:endnote>
  <w:endnote w:type="continuationSeparator" w:id="0">
    <w:p w14:paraId="13B7BCA4" w14:textId="77777777" w:rsidR="00C652FF" w:rsidRDefault="00C652FF" w:rsidP="00E6351B">
      <w:r>
        <w:continuationSeparator/>
      </w:r>
    </w:p>
  </w:endnote>
  <w:endnote w:type="continuationNotice" w:id="1">
    <w:p w14:paraId="641B7E4D" w14:textId="77777777" w:rsidR="00C652FF" w:rsidRDefault="00C652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905794"/>
      <w:docPartObj>
        <w:docPartGallery w:val="Page Numbers (Bottom of Page)"/>
        <w:docPartUnique/>
      </w:docPartObj>
    </w:sdtPr>
    <w:sdtEndPr>
      <w:rPr>
        <w:noProof/>
      </w:rPr>
    </w:sdtEndPr>
    <w:sdtContent>
      <w:p w14:paraId="1C802119" w14:textId="7208D6E5" w:rsidR="00C03087" w:rsidRDefault="00C030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C84D" w14:textId="3BF7ACC3" w:rsidR="00A040FB" w:rsidRDefault="00A040FB" w:rsidP="001E23F4">
    <w:pPr>
      <w:pStyle w:val="Footer"/>
      <w:tabs>
        <w:tab w:val="clear" w:pos="4680"/>
        <w:tab w:val="clear" w:pos="9360"/>
        <w:tab w:val="left" w:pos="3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4CAF" w14:textId="77777777" w:rsidR="00C652FF" w:rsidRDefault="00C652FF" w:rsidP="00E6351B">
      <w:r>
        <w:separator/>
      </w:r>
    </w:p>
  </w:footnote>
  <w:footnote w:type="continuationSeparator" w:id="0">
    <w:p w14:paraId="76FF78E5" w14:textId="77777777" w:rsidR="00C652FF" w:rsidRDefault="00C652FF" w:rsidP="00E6351B">
      <w:r>
        <w:continuationSeparator/>
      </w:r>
    </w:p>
  </w:footnote>
  <w:footnote w:type="continuationNotice" w:id="1">
    <w:p w14:paraId="11CD8CE5" w14:textId="77777777" w:rsidR="00C652FF" w:rsidRDefault="00C652FF">
      <w:pPr>
        <w:spacing w:after="0"/>
      </w:pPr>
    </w:p>
  </w:footnote>
  <w:footnote w:id="2">
    <w:p w14:paraId="582D0B17" w14:textId="4299110C" w:rsidR="00DB19AA" w:rsidRPr="009B461C" w:rsidRDefault="00DB19AA">
      <w:pPr>
        <w:pStyle w:val="FootnoteText"/>
        <w:rPr>
          <w:sz w:val="24"/>
          <w:szCs w:val="24"/>
        </w:rPr>
      </w:pPr>
      <w:r w:rsidRPr="009B461C">
        <w:rPr>
          <w:rStyle w:val="FootnoteReference"/>
          <w:sz w:val="24"/>
          <w:szCs w:val="24"/>
          <w:vertAlign w:val="baseline"/>
        </w:rPr>
        <w:footnoteRef/>
      </w:r>
      <w:r w:rsidR="009B461C">
        <w:rPr>
          <w:sz w:val="24"/>
          <w:szCs w:val="24"/>
        </w:rPr>
        <w:t>.</w:t>
      </w:r>
      <w:r w:rsidRPr="009B461C">
        <w:rPr>
          <w:sz w:val="24"/>
          <w:szCs w:val="24"/>
        </w:rPr>
        <w:t xml:space="preserve"> </w:t>
      </w:r>
      <w:r w:rsidR="00BE1D92" w:rsidRPr="009B461C">
        <w:rPr>
          <w:sz w:val="24"/>
          <w:szCs w:val="24"/>
        </w:rPr>
        <w:t xml:space="preserve">Ehrlich, Thomas. 2000. </w:t>
      </w:r>
      <w:r w:rsidR="00AC25C0" w:rsidRPr="009B461C">
        <w:rPr>
          <w:i/>
          <w:iCs/>
          <w:sz w:val="24"/>
          <w:szCs w:val="24"/>
        </w:rPr>
        <w:t xml:space="preserve">Civic Responsibility and Higher Education. </w:t>
      </w:r>
      <w:r w:rsidR="00184B61" w:rsidRPr="009B461C">
        <w:rPr>
          <w:sz w:val="24"/>
          <w:szCs w:val="24"/>
        </w:rPr>
        <w:t>W</w:t>
      </w:r>
      <w:r w:rsidR="009B461C" w:rsidRPr="009B461C">
        <w:rPr>
          <w:sz w:val="24"/>
          <w:szCs w:val="24"/>
        </w:rPr>
        <w:t xml:space="preserve">estport, CT: </w:t>
      </w:r>
      <w:r w:rsidR="004B48A6" w:rsidRPr="009B461C">
        <w:rPr>
          <w:sz w:val="24"/>
          <w:szCs w:val="24"/>
        </w:rPr>
        <w:t xml:space="preserve">Rowman &amp; Littlefield. </w:t>
      </w:r>
    </w:p>
  </w:footnote>
  <w:footnote w:id="3">
    <w:p w14:paraId="5CDC7AAB" w14:textId="77818CEC" w:rsidR="00613A3F" w:rsidRPr="0014671F" w:rsidRDefault="00613A3F" w:rsidP="00613A3F">
      <w:pPr>
        <w:pStyle w:val="FootnoteText"/>
        <w:rPr>
          <w:sz w:val="24"/>
          <w:szCs w:val="24"/>
        </w:rPr>
      </w:pPr>
      <w:r w:rsidRPr="0014671F">
        <w:rPr>
          <w:rStyle w:val="FootnoteReference"/>
          <w:sz w:val="24"/>
          <w:szCs w:val="24"/>
          <w:vertAlign w:val="baseline"/>
        </w:rPr>
        <w:footnoteRef/>
      </w:r>
      <w:r w:rsidRPr="0014671F">
        <w:rPr>
          <w:sz w:val="24"/>
          <w:szCs w:val="24"/>
        </w:rPr>
        <w:t xml:space="preserve">. </w:t>
      </w:r>
      <w:r w:rsidR="00E20238" w:rsidRPr="0014671F">
        <w:rPr>
          <w:sz w:val="24"/>
          <w:szCs w:val="24"/>
        </w:rPr>
        <w:t>The Policy Circle</w:t>
      </w:r>
      <w:r w:rsidRPr="0014671F">
        <w:rPr>
          <w:sz w:val="24"/>
          <w:szCs w:val="24"/>
        </w:rPr>
        <w:t>.</w:t>
      </w:r>
      <w:r w:rsidR="00E20238" w:rsidRPr="0014671F">
        <w:rPr>
          <w:sz w:val="24"/>
          <w:szCs w:val="24"/>
        </w:rPr>
        <w:t xml:space="preserve"> 2025.</w:t>
      </w:r>
      <w:r w:rsidR="00950861" w:rsidRPr="0014671F">
        <w:rPr>
          <w:sz w:val="24"/>
          <w:szCs w:val="24"/>
        </w:rPr>
        <w:t xml:space="preserve"> </w:t>
      </w:r>
      <w:r w:rsidR="00352273">
        <w:rPr>
          <w:sz w:val="24"/>
          <w:szCs w:val="24"/>
        </w:rPr>
        <w:t>Policy Circle Brief: Civic Engagement</w:t>
      </w:r>
      <w:r w:rsidR="00950861" w:rsidRPr="0014671F">
        <w:rPr>
          <w:sz w:val="24"/>
          <w:szCs w:val="24"/>
        </w:rPr>
        <w:t xml:space="preserve">. </w:t>
      </w:r>
      <w:hyperlink r:id="rId1" w:tooltip="Policy Circle Brief: Civic Engagement" w:history="1">
        <w:r w:rsidR="0014671F" w:rsidRPr="0014671F">
          <w:rPr>
            <w:rStyle w:val="Hyperlink"/>
            <w:szCs w:val="24"/>
          </w:rPr>
          <w:t>https://www.thepolicycircle.org/briefs/civic-engagement/</w:t>
        </w:r>
      </w:hyperlink>
      <w:r w:rsidR="0014671F" w:rsidRPr="0014671F">
        <w:rPr>
          <w:sz w:val="24"/>
          <w:szCs w:val="24"/>
        </w:rPr>
        <w:t xml:space="preserve">. </w:t>
      </w:r>
    </w:p>
  </w:footnote>
  <w:footnote w:id="4">
    <w:p w14:paraId="115AC778" w14:textId="55CB520F" w:rsidR="00613A3F" w:rsidRPr="005E6736" w:rsidRDefault="00613A3F" w:rsidP="00613A3F">
      <w:pPr>
        <w:pStyle w:val="FootnoteText"/>
        <w:rPr>
          <w:sz w:val="24"/>
          <w:szCs w:val="24"/>
        </w:rPr>
      </w:pPr>
      <w:r w:rsidRPr="009A1639">
        <w:rPr>
          <w:rStyle w:val="FootnoteReference"/>
          <w:sz w:val="24"/>
          <w:szCs w:val="24"/>
          <w:vertAlign w:val="baseline"/>
        </w:rPr>
        <w:footnoteRef/>
      </w:r>
      <w:r>
        <w:rPr>
          <w:sz w:val="24"/>
          <w:szCs w:val="24"/>
        </w:rPr>
        <w:t>.</w:t>
      </w:r>
      <w:r w:rsidRPr="005E6736">
        <w:rPr>
          <w:sz w:val="24"/>
          <w:szCs w:val="24"/>
        </w:rPr>
        <w:t xml:space="preserve"> </w:t>
      </w:r>
      <w:r>
        <w:rPr>
          <w:sz w:val="24"/>
          <w:szCs w:val="24"/>
        </w:rPr>
        <w:t xml:space="preserve">Verba, Sidney, </w:t>
      </w:r>
      <w:r w:rsidRPr="005E6736">
        <w:rPr>
          <w:sz w:val="24"/>
          <w:szCs w:val="24"/>
        </w:rPr>
        <w:t xml:space="preserve">Kay Lehman Schlozman, and Henry </w:t>
      </w:r>
      <w:r>
        <w:rPr>
          <w:sz w:val="24"/>
          <w:szCs w:val="24"/>
        </w:rPr>
        <w:t xml:space="preserve">E. </w:t>
      </w:r>
      <w:r w:rsidRPr="005E6736">
        <w:rPr>
          <w:sz w:val="24"/>
          <w:szCs w:val="24"/>
        </w:rPr>
        <w:t>Brady</w:t>
      </w:r>
      <w:r>
        <w:rPr>
          <w:sz w:val="24"/>
          <w:szCs w:val="24"/>
        </w:rPr>
        <w:t xml:space="preserve">. </w:t>
      </w:r>
      <w:r w:rsidRPr="005E6736">
        <w:rPr>
          <w:sz w:val="24"/>
          <w:szCs w:val="24"/>
        </w:rPr>
        <w:t>1995</w:t>
      </w:r>
      <w:r>
        <w:rPr>
          <w:sz w:val="24"/>
          <w:szCs w:val="24"/>
        </w:rPr>
        <w:t xml:space="preserve">. </w:t>
      </w:r>
      <w:r w:rsidRPr="00A264A1">
        <w:rPr>
          <w:i/>
          <w:iCs/>
          <w:sz w:val="24"/>
          <w:szCs w:val="24"/>
        </w:rPr>
        <w:t>Voice and Equality: Civic Voluntarism in American Politics</w:t>
      </w:r>
      <w:r w:rsidRPr="005B0134">
        <w:rPr>
          <w:sz w:val="24"/>
          <w:szCs w:val="24"/>
        </w:rPr>
        <w:t xml:space="preserve">. </w:t>
      </w:r>
      <w:r w:rsidRPr="005E6736">
        <w:rPr>
          <w:sz w:val="24"/>
          <w:szCs w:val="24"/>
        </w:rPr>
        <w:t>Cambridge</w:t>
      </w:r>
      <w:r>
        <w:rPr>
          <w:sz w:val="24"/>
          <w:szCs w:val="24"/>
        </w:rPr>
        <w:t>, MA</w:t>
      </w:r>
      <w:r w:rsidRPr="005E6736">
        <w:rPr>
          <w:sz w:val="24"/>
          <w:szCs w:val="24"/>
        </w:rPr>
        <w:t>: Harvard University Press.</w:t>
      </w:r>
    </w:p>
  </w:footnote>
  <w:footnote w:id="5">
    <w:p w14:paraId="62A2F5CC" w14:textId="1D01F893" w:rsidR="00613A3F" w:rsidRPr="0090135B" w:rsidRDefault="00613A3F" w:rsidP="00613A3F">
      <w:pPr>
        <w:spacing w:after="0"/>
        <w:rPr>
          <w:rFonts w:eastAsia="Times New Roman" w:cs="Times New Roman"/>
        </w:rPr>
      </w:pPr>
      <w:r w:rsidRPr="009A1639">
        <w:rPr>
          <w:rStyle w:val="FootnoteReference"/>
          <w:vertAlign w:val="baseline"/>
        </w:rPr>
        <w:footnoteRef/>
      </w:r>
      <w:r>
        <w:t>.</w:t>
      </w:r>
      <w:r w:rsidRPr="00DD2BF2">
        <w:t xml:space="preserve"> </w:t>
      </w:r>
      <w:r w:rsidRPr="005E6736">
        <w:rPr>
          <w:rFonts w:eastAsia="Times New Roman" w:cs="Times New Roman"/>
        </w:rPr>
        <w:t>Gould, Jonathan, Kathleen Hall Jamieson, Peter Levine, Ted McConnell, and David B. Smith, eds. 2011</w:t>
      </w:r>
      <w:r>
        <w:rPr>
          <w:rFonts w:eastAsia="Times New Roman" w:cs="Times New Roman"/>
        </w:rPr>
        <w:t xml:space="preserve">. </w:t>
      </w:r>
      <w:r w:rsidRPr="00A264A1">
        <w:rPr>
          <w:rFonts w:eastAsia="Times New Roman" w:cs="Times New Roman"/>
          <w:i/>
          <w:iCs/>
        </w:rPr>
        <w:t>Guardian of Democracy: The Civic Mission of Schools</w:t>
      </w:r>
      <w:r>
        <w:rPr>
          <w:rFonts w:eastAsia="Times New Roman" w:cs="Times New Roman"/>
        </w:rPr>
        <w:t xml:space="preserve">. </w:t>
      </w:r>
      <w:r w:rsidRPr="005E6736">
        <w:rPr>
          <w:rFonts w:eastAsia="Times New Roman" w:cs="Times New Roman"/>
        </w:rPr>
        <w:t xml:space="preserve">Philadelphia, </w:t>
      </w:r>
      <w:r>
        <w:rPr>
          <w:rFonts w:eastAsia="Times New Roman" w:cs="Times New Roman"/>
        </w:rPr>
        <w:t xml:space="preserve">PA: </w:t>
      </w:r>
      <w:r w:rsidRPr="00C62DE6">
        <w:rPr>
          <w:rFonts w:eastAsia="Times New Roman" w:cs="Times New Roman"/>
        </w:rPr>
        <w:t xml:space="preserve">Leonore Annenberg Institute for Civics of the Annenberg Public Policy Center at the </w:t>
      </w:r>
      <w:r w:rsidRPr="0090135B">
        <w:rPr>
          <w:rFonts w:eastAsia="Times New Roman" w:cs="Times New Roman"/>
        </w:rPr>
        <w:t xml:space="preserve">University of Pennsylvania. </w:t>
      </w:r>
      <w:hyperlink r:id="rId2" w:tooltip="Guardian of Democracy: The Civic Mission of Schools report" w:history="1">
        <w:r w:rsidRPr="0090135B">
          <w:rPr>
            <w:rStyle w:val="Hyperlink"/>
            <w:rFonts w:eastAsia="Times New Roman" w:cs="Times New Roman"/>
          </w:rPr>
          <w:t>https://www.carnegie.org/publications/guardian-of-democracy-the-civic-mission-of-schools</w:t>
        </w:r>
      </w:hyperlink>
      <w:r w:rsidRPr="0090135B">
        <w:rPr>
          <w:rFonts w:eastAsia="Times New Roman" w:cs="Times New Roman"/>
        </w:rPr>
        <w:t>.</w:t>
      </w:r>
    </w:p>
  </w:footnote>
  <w:footnote w:id="6">
    <w:p w14:paraId="20BC7D96" w14:textId="7F67D129" w:rsidR="00613A3F" w:rsidRPr="0090135B" w:rsidRDefault="00613A3F" w:rsidP="00613A3F">
      <w:pPr>
        <w:pStyle w:val="FootnoteText"/>
        <w:rPr>
          <w:sz w:val="24"/>
          <w:szCs w:val="24"/>
        </w:rPr>
      </w:pPr>
      <w:r w:rsidRPr="0090135B">
        <w:rPr>
          <w:rStyle w:val="FootnoteReference"/>
          <w:sz w:val="24"/>
          <w:szCs w:val="24"/>
          <w:vertAlign w:val="baseline"/>
        </w:rPr>
        <w:footnoteRef/>
      </w:r>
      <w:r w:rsidRPr="0090135B">
        <w:rPr>
          <w:sz w:val="24"/>
          <w:szCs w:val="24"/>
        </w:rPr>
        <w:t xml:space="preserve">. Leveraging Equity &amp; Access in Democratic Education. 2023. What Is Civic Learning? </w:t>
      </w:r>
      <w:hyperlink r:id="rId3" w:tooltip="What is Civic Learning? article" w:history="1">
        <w:r w:rsidR="008F07D1" w:rsidRPr="0090135B">
          <w:rPr>
            <w:rStyle w:val="Hyperlink"/>
            <w:szCs w:val="24"/>
          </w:rPr>
          <w:t>https://centerx.gseis.ucla.edu/leade/civic-learning/</w:t>
        </w:r>
      </w:hyperlink>
      <w:r w:rsidR="008F07D1" w:rsidRPr="0090135B">
        <w:rPr>
          <w:sz w:val="24"/>
          <w:szCs w:val="24"/>
        </w:rPr>
        <w:t>.</w:t>
      </w:r>
    </w:p>
  </w:footnote>
  <w:footnote w:id="7">
    <w:p w14:paraId="7A2A9B3C" w14:textId="5234AF71" w:rsidR="00613A3F" w:rsidRPr="00035DB7" w:rsidRDefault="009A1639" w:rsidP="00613A3F">
      <w:pPr>
        <w:pStyle w:val="FootnoteText"/>
        <w:rPr>
          <w:i/>
          <w:iCs/>
          <w:sz w:val="24"/>
          <w:szCs w:val="24"/>
        </w:rPr>
      </w:pPr>
      <w:r w:rsidRPr="0090135B">
        <w:rPr>
          <w:rStyle w:val="FootnoteReference"/>
          <w:sz w:val="24"/>
          <w:szCs w:val="24"/>
          <w:vertAlign w:val="baseline"/>
        </w:rPr>
        <w:t>5</w:t>
      </w:r>
      <w:r w:rsidRPr="0090135B">
        <w:rPr>
          <w:sz w:val="24"/>
          <w:szCs w:val="24"/>
        </w:rPr>
        <w:t>.</w:t>
      </w:r>
      <w:r w:rsidR="00613A3F" w:rsidRPr="0090135B">
        <w:rPr>
          <w:sz w:val="24"/>
          <w:szCs w:val="24"/>
        </w:rPr>
        <w:t xml:space="preserve"> National Council for the Social Studies. 2013. </w:t>
      </w:r>
      <w:r w:rsidR="00613A3F" w:rsidRPr="0090135B">
        <w:rPr>
          <w:i/>
          <w:iCs/>
          <w:sz w:val="24"/>
          <w:szCs w:val="24"/>
        </w:rPr>
        <w:t>College, Career, and Civic Life Framework for Social Studies</w:t>
      </w:r>
      <w:r w:rsidR="00613A3F" w:rsidRPr="00035DB7">
        <w:rPr>
          <w:i/>
          <w:iCs/>
          <w:sz w:val="24"/>
          <w:szCs w:val="24"/>
        </w:rPr>
        <w:t xml:space="preserve"> State Standards: Guidance for Enhancing the Rigor of K-12 Civics, Economics, Geography,</w:t>
      </w:r>
      <w:r w:rsidR="00613A3F">
        <w:rPr>
          <w:i/>
          <w:iCs/>
          <w:sz w:val="24"/>
          <w:szCs w:val="24"/>
        </w:rPr>
        <w:t xml:space="preserve"> </w:t>
      </w:r>
      <w:r w:rsidR="00613A3F" w:rsidRPr="00035DB7">
        <w:rPr>
          <w:i/>
          <w:iCs/>
          <w:sz w:val="24"/>
          <w:szCs w:val="24"/>
        </w:rPr>
        <w:t>and History</w:t>
      </w:r>
      <w:r w:rsidR="00613A3F" w:rsidRPr="005B0134">
        <w:rPr>
          <w:sz w:val="24"/>
          <w:szCs w:val="24"/>
        </w:rPr>
        <w:t>.</w:t>
      </w:r>
      <w:r w:rsidR="00613A3F" w:rsidRPr="00C62DE6">
        <w:rPr>
          <w:sz w:val="24"/>
          <w:szCs w:val="24"/>
        </w:rPr>
        <w:t xml:space="preserve"> </w:t>
      </w:r>
      <w:r w:rsidR="00613A3F" w:rsidRPr="005E6736">
        <w:rPr>
          <w:sz w:val="24"/>
          <w:szCs w:val="24"/>
        </w:rPr>
        <w:t>Silver Spring, MD: NCSS</w:t>
      </w:r>
      <w:r w:rsidR="00613A3F">
        <w:rPr>
          <w:sz w:val="24"/>
          <w:szCs w:val="24"/>
        </w:rPr>
        <w:t xml:space="preserve">, </w:t>
      </w:r>
      <w:r w:rsidR="00613A3F" w:rsidRPr="005E6736">
        <w:rPr>
          <w:sz w:val="24"/>
          <w:szCs w:val="24"/>
        </w:rPr>
        <w:t>31</w:t>
      </w:r>
      <w:r w:rsidR="00613A3F">
        <w:rPr>
          <w:sz w:val="24"/>
          <w:szCs w:val="24"/>
        </w:rPr>
        <w:t xml:space="preserve">. </w:t>
      </w:r>
      <w:hyperlink r:id="rId4" w:tooltip="College, National Council for the Social Studies Career, and Civic Life Framework for Social Studies State Standards report" w:history="1">
        <w:r w:rsidR="00613A3F" w:rsidRPr="00923A23">
          <w:rPr>
            <w:rStyle w:val="Hyperlink"/>
            <w:szCs w:val="24"/>
          </w:rPr>
          <w:t>https://www.socialstudies.org/system/files/2022/c3-framework-for-social-studies-rev0617.2.pdf</w:t>
        </w:r>
      </w:hyperlink>
      <w:r w:rsidR="00613A3F">
        <w:rPr>
          <w:sz w:val="24"/>
          <w:szCs w:val="24"/>
        </w:rPr>
        <w:t>.</w:t>
      </w:r>
    </w:p>
  </w:footnote>
  <w:footnote w:id="8">
    <w:p w14:paraId="3B6FC170" w14:textId="4E6D6512" w:rsidR="00613A3F" w:rsidRPr="005E6736" w:rsidRDefault="00613A3F" w:rsidP="00613A3F">
      <w:pPr>
        <w:pStyle w:val="FootnoteText"/>
        <w:rPr>
          <w:sz w:val="24"/>
          <w:szCs w:val="24"/>
        </w:rPr>
      </w:pPr>
      <w:r w:rsidRPr="009A1639">
        <w:rPr>
          <w:rStyle w:val="FootnoteReference"/>
          <w:sz w:val="24"/>
          <w:szCs w:val="24"/>
          <w:vertAlign w:val="baseline"/>
        </w:rPr>
        <w:footnoteRef/>
      </w:r>
      <w:r>
        <w:rPr>
          <w:sz w:val="24"/>
          <w:szCs w:val="24"/>
        </w:rPr>
        <w:t>.</w:t>
      </w:r>
      <w:r w:rsidRPr="005E6736">
        <w:rPr>
          <w:sz w:val="24"/>
          <w:szCs w:val="24"/>
        </w:rPr>
        <w:t xml:space="preserve"> </w:t>
      </w:r>
      <w:r>
        <w:rPr>
          <w:sz w:val="24"/>
          <w:szCs w:val="24"/>
        </w:rPr>
        <w:t xml:space="preserve">California Legislative Information. </w:t>
      </w:r>
      <w:r w:rsidRPr="006C482F">
        <w:rPr>
          <w:sz w:val="24"/>
          <w:szCs w:val="24"/>
        </w:rPr>
        <w:t>Assembly Bill 181, Statutes of 2022</w:t>
      </w:r>
      <w:r>
        <w:rPr>
          <w:sz w:val="24"/>
          <w:szCs w:val="24"/>
        </w:rPr>
        <w:t>.</w:t>
      </w:r>
      <w:r w:rsidRPr="00035DB7">
        <w:rPr>
          <w:i/>
          <w:iCs/>
          <w:sz w:val="24"/>
          <w:szCs w:val="24"/>
        </w:rPr>
        <w:t xml:space="preserve"> </w:t>
      </w:r>
      <w:hyperlink r:id="rId5" w:anchor=":~:text=SEC.%2071.,appropriation%20is%20made" w:tooltip="California Legislative Information web page" w:history="1">
        <w:r w:rsidRPr="00923A23">
          <w:rPr>
            <w:rStyle w:val="Hyperlink"/>
            <w:szCs w:val="24"/>
          </w:rPr>
          <w:t>https://leginfo.legislature.ca.gov/faces/billNavClient.xhtml?bill_id=202120220AB181#:~:text=SEC.%2071.,appropriation%20is%20made</w:t>
        </w:r>
      </w:hyperlink>
      <w:r w:rsidRPr="005E6736">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E845" w14:textId="77777777" w:rsidR="00BD18CA" w:rsidRPr="00694515" w:rsidRDefault="00BD18CA" w:rsidP="00095646">
    <w:pPr>
      <w:pStyle w:val="Header"/>
      <w:jc w:val="right"/>
    </w:pPr>
    <w: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A9DF" w14:textId="77777777" w:rsidR="00613A3F" w:rsidRDefault="00613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0E77" w14:textId="77777777" w:rsidR="00613A3F" w:rsidRDefault="00613A3F" w:rsidP="00BB5F68">
    <w:pPr>
      <w:pStyle w:val="Header"/>
    </w:pPr>
    <w:r>
      <w:tab/>
    </w:r>
    <w:r>
      <w:tab/>
    </w:r>
    <w:r w:rsidRPr="00D900B4">
      <w:t xml:space="preserve">Appendix </w:t>
    </w:r>
    <w:r>
      <w:t>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F247" w14:textId="77777777" w:rsidR="00613A3F" w:rsidRDefault="0061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893"/>
    <w:multiLevelType w:val="hybridMultilevel"/>
    <w:tmpl w:val="92B0E9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71A06"/>
    <w:multiLevelType w:val="hybridMultilevel"/>
    <w:tmpl w:val="35A42B6C"/>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600E7D"/>
    <w:multiLevelType w:val="hybridMultilevel"/>
    <w:tmpl w:val="027C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269F"/>
    <w:multiLevelType w:val="multilevel"/>
    <w:tmpl w:val="BDFE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14F68"/>
    <w:multiLevelType w:val="multilevel"/>
    <w:tmpl w:val="249E491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FB11A6"/>
    <w:multiLevelType w:val="hybridMultilevel"/>
    <w:tmpl w:val="2364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C4544"/>
    <w:multiLevelType w:val="hybridMultilevel"/>
    <w:tmpl w:val="87A8A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173EA"/>
    <w:multiLevelType w:val="hybridMultilevel"/>
    <w:tmpl w:val="3D5C5FB0"/>
    <w:lvl w:ilvl="0" w:tplc="04090015">
      <w:start w:val="1"/>
      <w:numFmt w:val="upperLetter"/>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 w15:restartNumberingAfterBreak="0">
    <w:nsid w:val="23065C4C"/>
    <w:multiLevelType w:val="hybridMultilevel"/>
    <w:tmpl w:val="2DB2893E"/>
    <w:lvl w:ilvl="0" w:tplc="0409001B">
      <w:start w:val="1"/>
      <w:numFmt w:val="lowerRoman"/>
      <w:lvlText w:val="%1."/>
      <w:lvlJc w:val="righ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24A05202"/>
    <w:multiLevelType w:val="hybridMultilevel"/>
    <w:tmpl w:val="E1E2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B132F"/>
    <w:multiLevelType w:val="hybridMultilevel"/>
    <w:tmpl w:val="5218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F6BD9"/>
    <w:multiLevelType w:val="hybridMultilevel"/>
    <w:tmpl w:val="87A8A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74B11"/>
    <w:multiLevelType w:val="hybridMultilevel"/>
    <w:tmpl w:val="D1B6B7AA"/>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D15426"/>
    <w:multiLevelType w:val="hybridMultilevel"/>
    <w:tmpl w:val="C326F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06090"/>
    <w:multiLevelType w:val="hybridMultilevel"/>
    <w:tmpl w:val="8B248B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D0613"/>
    <w:multiLevelType w:val="hybridMultilevel"/>
    <w:tmpl w:val="B226FC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C43B48"/>
    <w:multiLevelType w:val="hybridMultilevel"/>
    <w:tmpl w:val="6792E16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2F2587"/>
    <w:multiLevelType w:val="hybridMultilevel"/>
    <w:tmpl w:val="378AF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D4245"/>
    <w:multiLevelType w:val="hybridMultilevel"/>
    <w:tmpl w:val="B6E8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636E"/>
    <w:multiLevelType w:val="hybridMultilevel"/>
    <w:tmpl w:val="8F76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7625D"/>
    <w:multiLevelType w:val="hybridMultilevel"/>
    <w:tmpl w:val="7206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95FA1"/>
    <w:multiLevelType w:val="hybridMultilevel"/>
    <w:tmpl w:val="374CA7F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C7627E"/>
    <w:multiLevelType w:val="hybridMultilevel"/>
    <w:tmpl w:val="249E4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F38F0"/>
    <w:multiLevelType w:val="hybridMultilevel"/>
    <w:tmpl w:val="F3E09CD8"/>
    <w:lvl w:ilvl="0" w:tplc="0409001B">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4" w15:restartNumberingAfterBreak="0">
    <w:nsid w:val="55D16EC9"/>
    <w:multiLevelType w:val="hybridMultilevel"/>
    <w:tmpl w:val="4294AE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C3B57"/>
    <w:multiLevelType w:val="hybridMultilevel"/>
    <w:tmpl w:val="BC3E38BA"/>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A560F3"/>
    <w:multiLevelType w:val="hybridMultilevel"/>
    <w:tmpl w:val="7C14801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2B6ECF"/>
    <w:multiLevelType w:val="multilevel"/>
    <w:tmpl w:val="249E4918"/>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466DA8"/>
    <w:multiLevelType w:val="hybridMultilevel"/>
    <w:tmpl w:val="17C2B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E663D"/>
    <w:multiLevelType w:val="hybridMultilevel"/>
    <w:tmpl w:val="F50423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8E2F71"/>
    <w:multiLevelType w:val="hybridMultilevel"/>
    <w:tmpl w:val="40C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5253E"/>
    <w:multiLevelType w:val="hybridMultilevel"/>
    <w:tmpl w:val="7CC65680"/>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0D40C1"/>
    <w:multiLevelType w:val="hybridMultilevel"/>
    <w:tmpl w:val="759C402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DC5136"/>
    <w:multiLevelType w:val="hybridMultilevel"/>
    <w:tmpl w:val="A476E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2C4F91"/>
    <w:multiLevelType w:val="hybridMultilevel"/>
    <w:tmpl w:val="C1EE5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3253"/>
    <w:multiLevelType w:val="hybridMultilevel"/>
    <w:tmpl w:val="561A9DA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A65C15"/>
    <w:multiLevelType w:val="hybridMultilevel"/>
    <w:tmpl w:val="B3844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2259E"/>
    <w:multiLevelType w:val="hybridMultilevel"/>
    <w:tmpl w:val="993C3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C7DD8"/>
    <w:multiLevelType w:val="hybridMultilevel"/>
    <w:tmpl w:val="0FA6A406"/>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AC4C06"/>
    <w:multiLevelType w:val="hybridMultilevel"/>
    <w:tmpl w:val="E55EF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314750">
    <w:abstractNumId w:val="22"/>
  </w:num>
  <w:num w:numId="2" w16cid:durableId="900872383">
    <w:abstractNumId w:val="20"/>
  </w:num>
  <w:num w:numId="3" w16cid:durableId="721176766">
    <w:abstractNumId w:val="34"/>
  </w:num>
  <w:num w:numId="4" w16cid:durableId="1549994885">
    <w:abstractNumId w:val="11"/>
  </w:num>
  <w:num w:numId="5" w16cid:durableId="744112119">
    <w:abstractNumId w:val="30"/>
  </w:num>
  <w:num w:numId="6" w16cid:durableId="1309285423">
    <w:abstractNumId w:val="39"/>
  </w:num>
  <w:num w:numId="7" w16cid:durableId="1174612931">
    <w:abstractNumId w:val="5"/>
  </w:num>
  <w:num w:numId="8" w16cid:durableId="1378434384">
    <w:abstractNumId w:val="9"/>
  </w:num>
  <w:num w:numId="9" w16cid:durableId="1766462020">
    <w:abstractNumId w:val="13"/>
  </w:num>
  <w:num w:numId="10" w16cid:durableId="1670518193">
    <w:abstractNumId w:val="18"/>
  </w:num>
  <w:num w:numId="11" w16cid:durableId="167646810">
    <w:abstractNumId w:val="6"/>
  </w:num>
  <w:num w:numId="12" w16cid:durableId="999581919">
    <w:abstractNumId w:val="15"/>
  </w:num>
  <w:num w:numId="13" w16cid:durableId="1627158729">
    <w:abstractNumId w:val="21"/>
  </w:num>
  <w:num w:numId="14" w16cid:durableId="1524515028">
    <w:abstractNumId w:val="32"/>
  </w:num>
  <w:num w:numId="15" w16cid:durableId="1600408771">
    <w:abstractNumId w:val="7"/>
  </w:num>
  <w:num w:numId="16" w16cid:durableId="737291674">
    <w:abstractNumId w:val="14"/>
  </w:num>
  <w:num w:numId="17" w16cid:durableId="7603122">
    <w:abstractNumId w:val="23"/>
  </w:num>
  <w:num w:numId="18" w16cid:durableId="1971788158">
    <w:abstractNumId w:val="16"/>
  </w:num>
  <w:num w:numId="19" w16cid:durableId="138234192">
    <w:abstractNumId w:val="26"/>
  </w:num>
  <w:num w:numId="20" w16cid:durableId="1700626174">
    <w:abstractNumId w:val="8"/>
  </w:num>
  <w:num w:numId="21" w16cid:durableId="557479209">
    <w:abstractNumId w:val="33"/>
  </w:num>
  <w:num w:numId="22" w16cid:durableId="1193031911">
    <w:abstractNumId w:val="35"/>
  </w:num>
  <w:num w:numId="23" w16cid:durableId="1209730710">
    <w:abstractNumId w:val="29"/>
  </w:num>
  <w:num w:numId="24" w16cid:durableId="640695342">
    <w:abstractNumId w:val="37"/>
  </w:num>
  <w:num w:numId="25" w16cid:durableId="702170045">
    <w:abstractNumId w:val="36"/>
  </w:num>
  <w:num w:numId="26" w16cid:durableId="822624701">
    <w:abstractNumId w:val="17"/>
  </w:num>
  <w:num w:numId="27" w16cid:durableId="557209587">
    <w:abstractNumId w:val="28"/>
  </w:num>
  <w:num w:numId="28" w16cid:durableId="307518193">
    <w:abstractNumId w:val="4"/>
  </w:num>
  <w:num w:numId="29" w16cid:durableId="1354263207">
    <w:abstractNumId w:val="27"/>
  </w:num>
  <w:num w:numId="30" w16cid:durableId="1625036109">
    <w:abstractNumId w:val="24"/>
  </w:num>
  <w:num w:numId="31" w16cid:durableId="1631475972">
    <w:abstractNumId w:val="10"/>
  </w:num>
  <w:num w:numId="32" w16cid:durableId="506484911">
    <w:abstractNumId w:val="3"/>
  </w:num>
  <w:num w:numId="33" w16cid:durableId="1651516736">
    <w:abstractNumId w:val="19"/>
  </w:num>
  <w:num w:numId="34" w16cid:durableId="533152515">
    <w:abstractNumId w:val="2"/>
  </w:num>
  <w:num w:numId="35" w16cid:durableId="702638529">
    <w:abstractNumId w:val="25"/>
  </w:num>
  <w:num w:numId="36" w16cid:durableId="191963315">
    <w:abstractNumId w:val="1"/>
  </w:num>
  <w:num w:numId="37" w16cid:durableId="54789801">
    <w:abstractNumId w:val="31"/>
  </w:num>
  <w:num w:numId="38" w16cid:durableId="84107759">
    <w:abstractNumId w:val="12"/>
  </w:num>
  <w:num w:numId="39" w16cid:durableId="278418654">
    <w:abstractNumId w:val="38"/>
  </w:num>
  <w:num w:numId="40" w16cid:durableId="98011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69"/>
    <w:rsid w:val="00001639"/>
    <w:rsid w:val="00006227"/>
    <w:rsid w:val="00015EB1"/>
    <w:rsid w:val="0002052F"/>
    <w:rsid w:val="000365A2"/>
    <w:rsid w:val="00043ADC"/>
    <w:rsid w:val="00046A9C"/>
    <w:rsid w:val="00057194"/>
    <w:rsid w:val="00071B87"/>
    <w:rsid w:val="000734D9"/>
    <w:rsid w:val="00074B27"/>
    <w:rsid w:val="00075EF4"/>
    <w:rsid w:val="000903F9"/>
    <w:rsid w:val="00095646"/>
    <w:rsid w:val="000A0E3C"/>
    <w:rsid w:val="000B5C9C"/>
    <w:rsid w:val="000B61FA"/>
    <w:rsid w:val="000E06AB"/>
    <w:rsid w:val="000E0E19"/>
    <w:rsid w:val="000E1900"/>
    <w:rsid w:val="000F78A5"/>
    <w:rsid w:val="00115402"/>
    <w:rsid w:val="001260BC"/>
    <w:rsid w:val="00137C73"/>
    <w:rsid w:val="00141541"/>
    <w:rsid w:val="001431C7"/>
    <w:rsid w:val="00144B86"/>
    <w:rsid w:val="001459C1"/>
    <w:rsid w:val="0014671F"/>
    <w:rsid w:val="00152D1A"/>
    <w:rsid w:val="001567D3"/>
    <w:rsid w:val="00157BB8"/>
    <w:rsid w:val="001613A5"/>
    <w:rsid w:val="001678ED"/>
    <w:rsid w:val="0017556C"/>
    <w:rsid w:val="00184B61"/>
    <w:rsid w:val="00193BE6"/>
    <w:rsid w:val="0019521C"/>
    <w:rsid w:val="001A0D31"/>
    <w:rsid w:val="001A2277"/>
    <w:rsid w:val="001A6FC4"/>
    <w:rsid w:val="001B6BF1"/>
    <w:rsid w:val="001C619F"/>
    <w:rsid w:val="001C78A5"/>
    <w:rsid w:val="001E23F4"/>
    <w:rsid w:val="001E283A"/>
    <w:rsid w:val="001E5806"/>
    <w:rsid w:val="001F0B4F"/>
    <w:rsid w:val="00204EF3"/>
    <w:rsid w:val="00205626"/>
    <w:rsid w:val="002066DB"/>
    <w:rsid w:val="0021716B"/>
    <w:rsid w:val="002242A9"/>
    <w:rsid w:val="002368B7"/>
    <w:rsid w:val="00243F71"/>
    <w:rsid w:val="00250F68"/>
    <w:rsid w:val="00252DF6"/>
    <w:rsid w:val="0025623D"/>
    <w:rsid w:val="00271B6D"/>
    <w:rsid w:val="00273D60"/>
    <w:rsid w:val="00277CB2"/>
    <w:rsid w:val="00284BBA"/>
    <w:rsid w:val="002872BD"/>
    <w:rsid w:val="002903BC"/>
    <w:rsid w:val="002A72E9"/>
    <w:rsid w:val="002A7810"/>
    <w:rsid w:val="002B3161"/>
    <w:rsid w:val="002B7F79"/>
    <w:rsid w:val="002C20E3"/>
    <w:rsid w:val="002C2A34"/>
    <w:rsid w:val="002D4D92"/>
    <w:rsid w:val="002D7634"/>
    <w:rsid w:val="002E1924"/>
    <w:rsid w:val="002E2311"/>
    <w:rsid w:val="003006B8"/>
    <w:rsid w:val="003013DC"/>
    <w:rsid w:val="003143B6"/>
    <w:rsid w:val="003216C9"/>
    <w:rsid w:val="003461A2"/>
    <w:rsid w:val="00352273"/>
    <w:rsid w:val="003574A4"/>
    <w:rsid w:val="00357711"/>
    <w:rsid w:val="00363427"/>
    <w:rsid w:val="0037686C"/>
    <w:rsid w:val="00384169"/>
    <w:rsid w:val="003856F2"/>
    <w:rsid w:val="003B31D1"/>
    <w:rsid w:val="003C010F"/>
    <w:rsid w:val="003D2BDB"/>
    <w:rsid w:val="003D673A"/>
    <w:rsid w:val="003E181B"/>
    <w:rsid w:val="003F77A1"/>
    <w:rsid w:val="003F79E9"/>
    <w:rsid w:val="004015C7"/>
    <w:rsid w:val="00406E12"/>
    <w:rsid w:val="00412814"/>
    <w:rsid w:val="004223E2"/>
    <w:rsid w:val="00425A29"/>
    <w:rsid w:val="00440FEC"/>
    <w:rsid w:val="00444427"/>
    <w:rsid w:val="00473055"/>
    <w:rsid w:val="004801E3"/>
    <w:rsid w:val="0048349C"/>
    <w:rsid w:val="00484186"/>
    <w:rsid w:val="004A4822"/>
    <w:rsid w:val="004B48A6"/>
    <w:rsid w:val="004C2184"/>
    <w:rsid w:val="004C34D8"/>
    <w:rsid w:val="004C6C0E"/>
    <w:rsid w:val="004D0AE1"/>
    <w:rsid w:val="004D2390"/>
    <w:rsid w:val="004D3447"/>
    <w:rsid w:val="004E3EFB"/>
    <w:rsid w:val="004E6B45"/>
    <w:rsid w:val="004F1945"/>
    <w:rsid w:val="0050073A"/>
    <w:rsid w:val="00515C2C"/>
    <w:rsid w:val="0052590B"/>
    <w:rsid w:val="00535C09"/>
    <w:rsid w:val="0053605F"/>
    <w:rsid w:val="00542EE7"/>
    <w:rsid w:val="00551EE1"/>
    <w:rsid w:val="0055634D"/>
    <w:rsid w:val="00577119"/>
    <w:rsid w:val="00581C0B"/>
    <w:rsid w:val="005821D8"/>
    <w:rsid w:val="005860A0"/>
    <w:rsid w:val="0059559C"/>
    <w:rsid w:val="005957D0"/>
    <w:rsid w:val="005A0F16"/>
    <w:rsid w:val="005A5A2A"/>
    <w:rsid w:val="005A5B95"/>
    <w:rsid w:val="005A5FB8"/>
    <w:rsid w:val="005A6D32"/>
    <w:rsid w:val="005B278D"/>
    <w:rsid w:val="005B4875"/>
    <w:rsid w:val="005B4B49"/>
    <w:rsid w:val="005C277A"/>
    <w:rsid w:val="005C6171"/>
    <w:rsid w:val="005C7BE0"/>
    <w:rsid w:val="005D2125"/>
    <w:rsid w:val="005D7528"/>
    <w:rsid w:val="005E209B"/>
    <w:rsid w:val="005E6F4E"/>
    <w:rsid w:val="005F2236"/>
    <w:rsid w:val="005F5043"/>
    <w:rsid w:val="005F6E85"/>
    <w:rsid w:val="005F759E"/>
    <w:rsid w:val="00605A54"/>
    <w:rsid w:val="0061116D"/>
    <w:rsid w:val="0061307A"/>
    <w:rsid w:val="00613A3F"/>
    <w:rsid w:val="00616D86"/>
    <w:rsid w:val="0061730F"/>
    <w:rsid w:val="00622633"/>
    <w:rsid w:val="00625386"/>
    <w:rsid w:val="006349FC"/>
    <w:rsid w:val="006364C9"/>
    <w:rsid w:val="00646194"/>
    <w:rsid w:val="006609D6"/>
    <w:rsid w:val="00661D4A"/>
    <w:rsid w:val="00670E28"/>
    <w:rsid w:val="006732F0"/>
    <w:rsid w:val="0068472E"/>
    <w:rsid w:val="00687676"/>
    <w:rsid w:val="00694515"/>
    <w:rsid w:val="0069757B"/>
    <w:rsid w:val="006A4D3B"/>
    <w:rsid w:val="006A6D8E"/>
    <w:rsid w:val="006B5F94"/>
    <w:rsid w:val="006C25AA"/>
    <w:rsid w:val="006E2603"/>
    <w:rsid w:val="006E44D1"/>
    <w:rsid w:val="006F0263"/>
    <w:rsid w:val="006F626D"/>
    <w:rsid w:val="00721ACD"/>
    <w:rsid w:val="00724982"/>
    <w:rsid w:val="007270E6"/>
    <w:rsid w:val="0073164C"/>
    <w:rsid w:val="00734347"/>
    <w:rsid w:val="00734604"/>
    <w:rsid w:val="00734945"/>
    <w:rsid w:val="00740425"/>
    <w:rsid w:val="00742DA3"/>
    <w:rsid w:val="00745397"/>
    <w:rsid w:val="007540A0"/>
    <w:rsid w:val="00760C5F"/>
    <w:rsid w:val="00766E01"/>
    <w:rsid w:val="00773878"/>
    <w:rsid w:val="00774EE4"/>
    <w:rsid w:val="00776185"/>
    <w:rsid w:val="0078468A"/>
    <w:rsid w:val="00791E82"/>
    <w:rsid w:val="007A1F31"/>
    <w:rsid w:val="007B528E"/>
    <w:rsid w:val="007B6C97"/>
    <w:rsid w:val="007C1E37"/>
    <w:rsid w:val="007C5217"/>
    <w:rsid w:val="007C75E2"/>
    <w:rsid w:val="007D075B"/>
    <w:rsid w:val="007E5EF4"/>
    <w:rsid w:val="00806A3F"/>
    <w:rsid w:val="008079E5"/>
    <w:rsid w:val="00816FF7"/>
    <w:rsid w:val="00827B46"/>
    <w:rsid w:val="008370AA"/>
    <w:rsid w:val="0083730C"/>
    <w:rsid w:val="00847276"/>
    <w:rsid w:val="008654EE"/>
    <w:rsid w:val="00871B9B"/>
    <w:rsid w:val="0087478F"/>
    <w:rsid w:val="008757A9"/>
    <w:rsid w:val="00891532"/>
    <w:rsid w:val="0089233B"/>
    <w:rsid w:val="008931FA"/>
    <w:rsid w:val="008936E2"/>
    <w:rsid w:val="008A4166"/>
    <w:rsid w:val="008A7961"/>
    <w:rsid w:val="008B63B1"/>
    <w:rsid w:val="008C60E8"/>
    <w:rsid w:val="008C7966"/>
    <w:rsid w:val="008E015F"/>
    <w:rsid w:val="008E1E83"/>
    <w:rsid w:val="008E6DD2"/>
    <w:rsid w:val="008F07D1"/>
    <w:rsid w:val="008F1500"/>
    <w:rsid w:val="008F5295"/>
    <w:rsid w:val="008F5B37"/>
    <w:rsid w:val="008F73E0"/>
    <w:rsid w:val="0090135B"/>
    <w:rsid w:val="009021CE"/>
    <w:rsid w:val="0090641A"/>
    <w:rsid w:val="00915CD8"/>
    <w:rsid w:val="009215A5"/>
    <w:rsid w:val="00923DEA"/>
    <w:rsid w:val="009302EA"/>
    <w:rsid w:val="00931DB7"/>
    <w:rsid w:val="00936B5F"/>
    <w:rsid w:val="00937837"/>
    <w:rsid w:val="00947E94"/>
    <w:rsid w:val="00950861"/>
    <w:rsid w:val="00955BF2"/>
    <w:rsid w:val="00960976"/>
    <w:rsid w:val="00961014"/>
    <w:rsid w:val="00982565"/>
    <w:rsid w:val="00987D98"/>
    <w:rsid w:val="00993001"/>
    <w:rsid w:val="0099519F"/>
    <w:rsid w:val="009978DB"/>
    <w:rsid w:val="009A1639"/>
    <w:rsid w:val="009A5BD1"/>
    <w:rsid w:val="009B056C"/>
    <w:rsid w:val="009B29A0"/>
    <w:rsid w:val="009B412F"/>
    <w:rsid w:val="009B461C"/>
    <w:rsid w:val="009B621C"/>
    <w:rsid w:val="009C1811"/>
    <w:rsid w:val="009C377E"/>
    <w:rsid w:val="009D2465"/>
    <w:rsid w:val="009D2897"/>
    <w:rsid w:val="009E0AEC"/>
    <w:rsid w:val="009E1EA1"/>
    <w:rsid w:val="009E49E3"/>
    <w:rsid w:val="009F50D3"/>
    <w:rsid w:val="00A01BD6"/>
    <w:rsid w:val="00A0300B"/>
    <w:rsid w:val="00A040FB"/>
    <w:rsid w:val="00A107BB"/>
    <w:rsid w:val="00A10D42"/>
    <w:rsid w:val="00A1397B"/>
    <w:rsid w:val="00A212BF"/>
    <w:rsid w:val="00A22425"/>
    <w:rsid w:val="00A31D45"/>
    <w:rsid w:val="00A3488A"/>
    <w:rsid w:val="00A42070"/>
    <w:rsid w:val="00A46F20"/>
    <w:rsid w:val="00A5202B"/>
    <w:rsid w:val="00A62BF9"/>
    <w:rsid w:val="00A75B66"/>
    <w:rsid w:val="00A8155B"/>
    <w:rsid w:val="00A850A2"/>
    <w:rsid w:val="00A9684C"/>
    <w:rsid w:val="00AA0F69"/>
    <w:rsid w:val="00AA4DAA"/>
    <w:rsid w:val="00AB20B0"/>
    <w:rsid w:val="00AC16E1"/>
    <w:rsid w:val="00AC25C0"/>
    <w:rsid w:val="00AD1AE0"/>
    <w:rsid w:val="00AD77DC"/>
    <w:rsid w:val="00AE080D"/>
    <w:rsid w:val="00AE3CB5"/>
    <w:rsid w:val="00B23E2D"/>
    <w:rsid w:val="00B26F65"/>
    <w:rsid w:val="00B318D8"/>
    <w:rsid w:val="00B32BD1"/>
    <w:rsid w:val="00B42099"/>
    <w:rsid w:val="00B44D5E"/>
    <w:rsid w:val="00B54901"/>
    <w:rsid w:val="00B61916"/>
    <w:rsid w:val="00B62003"/>
    <w:rsid w:val="00B66CA2"/>
    <w:rsid w:val="00B67C57"/>
    <w:rsid w:val="00B86C8E"/>
    <w:rsid w:val="00BA112A"/>
    <w:rsid w:val="00BB1181"/>
    <w:rsid w:val="00BB580A"/>
    <w:rsid w:val="00BB5D72"/>
    <w:rsid w:val="00BB5F68"/>
    <w:rsid w:val="00BB6C1A"/>
    <w:rsid w:val="00BC7B0E"/>
    <w:rsid w:val="00BD18CA"/>
    <w:rsid w:val="00BE0993"/>
    <w:rsid w:val="00BE1D92"/>
    <w:rsid w:val="00BF42CE"/>
    <w:rsid w:val="00BF5482"/>
    <w:rsid w:val="00C03087"/>
    <w:rsid w:val="00C041F5"/>
    <w:rsid w:val="00C0633F"/>
    <w:rsid w:val="00C07730"/>
    <w:rsid w:val="00C400E7"/>
    <w:rsid w:val="00C44DC2"/>
    <w:rsid w:val="00C577BE"/>
    <w:rsid w:val="00C63D1C"/>
    <w:rsid w:val="00C652FF"/>
    <w:rsid w:val="00C701BC"/>
    <w:rsid w:val="00C74819"/>
    <w:rsid w:val="00C76EF4"/>
    <w:rsid w:val="00C86FE6"/>
    <w:rsid w:val="00C914D0"/>
    <w:rsid w:val="00C91717"/>
    <w:rsid w:val="00CA1E46"/>
    <w:rsid w:val="00CA3DE1"/>
    <w:rsid w:val="00CB2312"/>
    <w:rsid w:val="00CB73DD"/>
    <w:rsid w:val="00CB78DC"/>
    <w:rsid w:val="00CC6438"/>
    <w:rsid w:val="00CE05B3"/>
    <w:rsid w:val="00CE0D15"/>
    <w:rsid w:val="00CF0208"/>
    <w:rsid w:val="00CF6D97"/>
    <w:rsid w:val="00CF7B5C"/>
    <w:rsid w:val="00D10281"/>
    <w:rsid w:val="00D232B7"/>
    <w:rsid w:val="00D24179"/>
    <w:rsid w:val="00D24392"/>
    <w:rsid w:val="00D244F1"/>
    <w:rsid w:val="00D272D9"/>
    <w:rsid w:val="00D3434F"/>
    <w:rsid w:val="00D4772F"/>
    <w:rsid w:val="00D6337A"/>
    <w:rsid w:val="00D700C1"/>
    <w:rsid w:val="00D70BB8"/>
    <w:rsid w:val="00D74A60"/>
    <w:rsid w:val="00D902BB"/>
    <w:rsid w:val="00DA58A8"/>
    <w:rsid w:val="00DA73BC"/>
    <w:rsid w:val="00DB19AA"/>
    <w:rsid w:val="00DB310F"/>
    <w:rsid w:val="00DB4289"/>
    <w:rsid w:val="00DB6E02"/>
    <w:rsid w:val="00DD7566"/>
    <w:rsid w:val="00DE2F05"/>
    <w:rsid w:val="00DE43E8"/>
    <w:rsid w:val="00DF0B91"/>
    <w:rsid w:val="00DF0F6E"/>
    <w:rsid w:val="00DF245B"/>
    <w:rsid w:val="00DF554F"/>
    <w:rsid w:val="00E17794"/>
    <w:rsid w:val="00E20238"/>
    <w:rsid w:val="00E22774"/>
    <w:rsid w:val="00E2373C"/>
    <w:rsid w:val="00E31142"/>
    <w:rsid w:val="00E411EC"/>
    <w:rsid w:val="00E41384"/>
    <w:rsid w:val="00E46492"/>
    <w:rsid w:val="00E47DF9"/>
    <w:rsid w:val="00E57EC6"/>
    <w:rsid w:val="00E6351B"/>
    <w:rsid w:val="00E679CA"/>
    <w:rsid w:val="00E7253B"/>
    <w:rsid w:val="00E81A40"/>
    <w:rsid w:val="00E87969"/>
    <w:rsid w:val="00E95879"/>
    <w:rsid w:val="00EA2090"/>
    <w:rsid w:val="00EC5C7A"/>
    <w:rsid w:val="00EE309A"/>
    <w:rsid w:val="00EF3D1C"/>
    <w:rsid w:val="00F022EF"/>
    <w:rsid w:val="00F10C62"/>
    <w:rsid w:val="00F15593"/>
    <w:rsid w:val="00F2118B"/>
    <w:rsid w:val="00F21974"/>
    <w:rsid w:val="00F22877"/>
    <w:rsid w:val="00F23A25"/>
    <w:rsid w:val="00F26243"/>
    <w:rsid w:val="00F31747"/>
    <w:rsid w:val="00F4250B"/>
    <w:rsid w:val="00F4621F"/>
    <w:rsid w:val="00F46B9D"/>
    <w:rsid w:val="00F50A85"/>
    <w:rsid w:val="00F51FF2"/>
    <w:rsid w:val="00F61E28"/>
    <w:rsid w:val="00F63D29"/>
    <w:rsid w:val="00F6629D"/>
    <w:rsid w:val="00F71449"/>
    <w:rsid w:val="00F7425D"/>
    <w:rsid w:val="00F777DD"/>
    <w:rsid w:val="00F80823"/>
    <w:rsid w:val="00F857F1"/>
    <w:rsid w:val="00F93C10"/>
    <w:rsid w:val="00F9522B"/>
    <w:rsid w:val="00F96849"/>
    <w:rsid w:val="00FA4D85"/>
    <w:rsid w:val="00FA4D91"/>
    <w:rsid w:val="00FA640E"/>
    <w:rsid w:val="00FB20B1"/>
    <w:rsid w:val="00FD2806"/>
    <w:rsid w:val="00FD4C27"/>
    <w:rsid w:val="00FE2177"/>
    <w:rsid w:val="00FF2640"/>
    <w:rsid w:val="00FF2DFB"/>
    <w:rsid w:val="03546C12"/>
    <w:rsid w:val="10A162C6"/>
    <w:rsid w:val="16B42C5B"/>
    <w:rsid w:val="21945496"/>
    <w:rsid w:val="21AC9F46"/>
    <w:rsid w:val="25935B84"/>
    <w:rsid w:val="2C6BEAD8"/>
    <w:rsid w:val="2FAF5115"/>
    <w:rsid w:val="32C4DD19"/>
    <w:rsid w:val="363730EC"/>
    <w:rsid w:val="39A7F596"/>
    <w:rsid w:val="3EFECE1D"/>
    <w:rsid w:val="43FBB357"/>
    <w:rsid w:val="44A014BB"/>
    <w:rsid w:val="4925B11D"/>
    <w:rsid w:val="4BC4FC9B"/>
    <w:rsid w:val="5EF826BA"/>
    <w:rsid w:val="5FB5BC90"/>
    <w:rsid w:val="60194D63"/>
    <w:rsid w:val="64FBFEA8"/>
    <w:rsid w:val="6595E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16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1B"/>
    <w:rPr>
      <w:szCs w:val="24"/>
    </w:rPr>
  </w:style>
  <w:style w:type="paragraph" w:styleId="Heading1">
    <w:name w:val="heading 1"/>
    <w:basedOn w:val="Normal"/>
    <w:next w:val="Normal"/>
    <w:link w:val="Heading1Char"/>
    <w:uiPriority w:val="9"/>
    <w:qFormat/>
    <w:rsid w:val="00D24392"/>
    <w:pPr>
      <w:jc w:val="center"/>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5F6E85"/>
    <w:pPr>
      <w:spacing w:before="480" w:line="276" w:lineRule="auto"/>
      <w:jc w:val="center"/>
      <w:outlineLvl w:val="1"/>
    </w:pPr>
    <w:rPr>
      <w:rFonts w:eastAsia="Arial"/>
      <w:b/>
      <w:bCs/>
      <w:color w:val="000000"/>
      <w:sz w:val="40"/>
      <w:szCs w:val="40"/>
      <w:lang w:val="en"/>
    </w:rPr>
  </w:style>
  <w:style w:type="paragraph" w:styleId="Heading3">
    <w:name w:val="heading 3"/>
    <w:basedOn w:val="Normal"/>
    <w:next w:val="Normal"/>
    <w:link w:val="Heading3Char"/>
    <w:uiPriority w:val="9"/>
    <w:unhideWhenUsed/>
    <w:qFormat/>
    <w:rsid w:val="00982565"/>
    <w:pPr>
      <w:keepNext/>
      <w:keepLines/>
      <w:spacing w:before="480"/>
      <w:outlineLvl w:val="2"/>
    </w:pPr>
    <w:rPr>
      <w:rFonts w:eastAsia="Arial"/>
      <w:b/>
      <w:color w:val="000000"/>
      <w:sz w:val="32"/>
      <w:szCs w:val="32"/>
      <w:lang w:val="en"/>
    </w:rPr>
  </w:style>
  <w:style w:type="paragraph" w:styleId="Heading4">
    <w:name w:val="heading 4"/>
    <w:basedOn w:val="Normal"/>
    <w:next w:val="Normal"/>
    <w:link w:val="Heading4Char"/>
    <w:uiPriority w:val="9"/>
    <w:unhideWhenUsed/>
    <w:qFormat/>
    <w:rsid w:val="005B278D"/>
    <w:pPr>
      <w:keepNext/>
      <w:keepLines/>
      <w:spacing w:before="480"/>
      <w:outlineLvl w:val="3"/>
    </w:pPr>
    <w:rPr>
      <w:rFonts w:eastAsia="Arial"/>
      <w:b/>
      <w:i/>
      <w:iCs/>
      <w:color w:val="000000"/>
      <w:sz w:val="28"/>
      <w:szCs w:val="28"/>
      <w:u w:color="000000"/>
      <w:bdr w:val="ni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86C8E"/>
    <w:rPr>
      <w:rFonts w:ascii="Arial" w:hAnsi="Arial"/>
      <w:color w:val="002DEB"/>
      <w:sz w:val="24"/>
      <w:u w:val="single"/>
    </w:rPr>
  </w:style>
  <w:style w:type="character" w:styleId="FollowedHyperlink">
    <w:name w:val="FollowedHyperlink"/>
    <w:basedOn w:val="DefaultParagraphFont"/>
    <w:uiPriority w:val="99"/>
    <w:semiHidden/>
    <w:unhideWhenUsed/>
    <w:rsid w:val="00B86C8E"/>
    <w:rPr>
      <w:rFonts w:ascii="Arial" w:hAnsi="Arial"/>
      <w:color w:val="002DEB"/>
      <w:sz w:val="24"/>
      <w:u w:val="single"/>
    </w:rPr>
  </w:style>
  <w:style w:type="paragraph" w:styleId="TOC1">
    <w:name w:val="toc 1"/>
    <w:basedOn w:val="Normal"/>
    <w:next w:val="Normal"/>
    <w:autoRedefine/>
    <w:uiPriority w:val="39"/>
    <w:unhideWhenUsed/>
    <w:rsid w:val="00D902BB"/>
    <w:pPr>
      <w:tabs>
        <w:tab w:val="right" w:leader="dot" w:pos="9350"/>
      </w:tabs>
      <w:spacing w:after="100"/>
      <w:jc w:val="center"/>
    </w:pPr>
    <w:rPr>
      <w:rFonts w:cstheme="minorBidi"/>
    </w:rPr>
  </w:style>
  <w:style w:type="paragraph" w:styleId="ListParagraph">
    <w:name w:val="List Paragraph"/>
    <w:basedOn w:val="Normal"/>
    <w:uiPriority w:val="34"/>
    <w:qFormat/>
    <w:rsid w:val="00BC7B0E"/>
    <w:pPr>
      <w:ind w:left="720"/>
      <w:contextualSpacing/>
    </w:pPr>
  </w:style>
  <w:style w:type="table" w:styleId="TableGrid">
    <w:name w:val="Table Grid"/>
    <w:basedOn w:val="TableNormal"/>
    <w:uiPriority w:val="59"/>
    <w:rsid w:val="00BC7B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7B0E"/>
    <w:pPr>
      <w:spacing w:after="0"/>
    </w:pPr>
    <w:rPr>
      <w:sz w:val="20"/>
      <w:szCs w:val="20"/>
    </w:rPr>
  </w:style>
  <w:style w:type="character" w:customStyle="1" w:styleId="FootnoteTextChar">
    <w:name w:val="Footnote Text Char"/>
    <w:basedOn w:val="DefaultParagraphFont"/>
    <w:link w:val="FootnoteText"/>
    <w:uiPriority w:val="99"/>
    <w:rsid w:val="00BC7B0E"/>
    <w:rPr>
      <w:sz w:val="20"/>
      <w:szCs w:val="20"/>
    </w:rPr>
  </w:style>
  <w:style w:type="character" w:styleId="FootnoteReference">
    <w:name w:val="footnote reference"/>
    <w:basedOn w:val="DefaultParagraphFont"/>
    <w:uiPriority w:val="99"/>
    <w:unhideWhenUsed/>
    <w:rsid w:val="00BC7B0E"/>
    <w:rPr>
      <w:vertAlign w:val="superscript"/>
    </w:rPr>
  </w:style>
  <w:style w:type="character" w:styleId="UnresolvedMention">
    <w:name w:val="Unresolved Mention"/>
    <w:basedOn w:val="DefaultParagraphFont"/>
    <w:uiPriority w:val="99"/>
    <w:semiHidden/>
    <w:unhideWhenUsed/>
    <w:rsid w:val="00BC7B0E"/>
    <w:rPr>
      <w:color w:val="605E5C"/>
      <w:shd w:val="clear" w:color="auto" w:fill="E1DFDD"/>
    </w:rPr>
  </w:style>
  <w:style w:type="numbering" w:customStyle="1" w:styleId="CurrentList1">
    <w:name w:val="Current List1"/>
    <w:uiPriority w:val="99"/>
    <w:rsid w:val="00BF5482"/>
    <w:pPr>
      <w:numPr>
        <w:numId w:val="28"/>
      </w:numPr>
    </w:pPr>
  </w:style>
  <w:style w:type="numbering" w:customStyle="1" w:styleId="CurrentList2">
    <w:name w:val="Current List2"/>
    <w:uiPriority w:val="99"/>
    <w:rsid w:val="00BF5482"/>
    <w:pPr>
      <w:numPr>
        <w:numId w:val="29"/>
      </w:numPr>
    </w:pPr>
  </w:style>
  <w:style w:type="paragraph" w:styleId="Header">
    <w:name w:val="header"/>
    <w:basedOn w:val="Normal"/>
    <w:link w:val="HeaderChar"/>
    <w:uiPriority w:val="99"/>
    <w:unhideWhenUsed/>
    <w:rsid w:val="00C701BC"/>
    <w:pPr>
      <w:tabs>
        <w:tab w:val="center" w:pos="4680"/>
        <w:tab w:val="right" w:pos="9360"/>
      </w:tabs>
      <w:spacing w:after="0"/>
    </w:pPr>
  </w:style>
  <w:style w:type="character" w:customStyle="1" w:styleId="HeaderChar">
    <w:name w:val="Header Char"/>
    <w:basedOn w:val="DefaultParagraphFont"/>
    <w:link w:val="Header"/>
    <w:uiPriority w:val="99"/>
    <w:rsid w:val="00C701BC"/>
    <w:rPr>
      <w:szCs w:val="24"/>
    </w:rPr>
  </w:style>
  <w:style w:type="paragraph" w:styleId="Footer">
    <w:name w:val="footer"/>
    <w:basedOn w:val="Normal"/>
    <w:link w:val="FooterChar"/>
    <w:uiPriority w:val="99"/>
    <w:unhideWhenUsed/>
    <w:rsid w:val="00C701BC"/>
    <w:pPr>
      <w:tabs>
        <w:tab w:val="center" w:pos="4680"/>
        <w:tab w:val="right" w:pos="9360"/>
      </w:tabs>
      <w:spacing w:after="0"/>
    </w:pPr>
  </w:style>
  <w:style w:type="character" w:customStyle="1" w:styleId="FooterChar">
    <w:name w:val="Footer Char"/>
    <w:basedOn w:val="DefaultParagraphFont"/>
    <w:link w:val="Footer"/>
    <w:uiPriority w:val="99"/>
    <w:rsid w:val="00C701BC"/>
    <w:rPr>
      <w:szCs w:val="24"/>
    </w:rPr>
  </w:style>
  <w:style w:type="paragraph" w:styleId="TOC3">
    <w:name w:val="toc 3"/>
    <w:basedOn w:val="Normal"/>
    <w:next w:val="Normal"/>
    <w:autoRedefine/>
    <w:uiPriority w:val="39"/>
    <w:unhideWhenUsed/>
    <w:rsid w:val="00721ACD"/>
    <w:pPr>
      <w:spacing w:after="100"/>
      <w:ind w:left="480"/>
    </w:pPr>
  </w:style>
  <w:style w:type="paragraph" w:styleId="TOC4">
    <w:name w:val="toc 4"/>
    <w:basedOn w:val="Normal"/>
    <w:next w:val="Normal"/>
    <w:autoRedefine/>
    <w:uiPriority w:val="39"/>
    <w:unhideWhenUsed/>
    <w:rsid w:val="00721ACD"/>
    <w:pPr>
      <w:spacing w:after="100"/>
      <w:ind w:left="720"/>
    </w:pPr>
  </w:style>
  <w:style w:type="character" w:customStyle="1" w:styleId="Heading1Char">
    <w:name w:val="Heading 1 Char"/>
    <w:basedOn w:val="DefaultParagraphFont"/>
    <w:link w:val="Heading1"/>
    <w:uiPriority w:val="9"/>
    <w:rsid w:val="00D24392"/>
    <w:rPr>
      <w:rFonts w:eastAsia="Times New Roman"/>
      <w:b/>
      <w:bCs/>
      <w:sz w:val="28"/>
      <w:szCs w:val="28"/>
    </w:rPr>
  </w:style>
  <w:style w:type="character" w:customStyle="1" w:styleId="Heading2Char">
    <w:name w:val="Heading 2 Char"/>
    <w:basedOn w:val="DefaultParagraphFont"/>
    <w:link w:val="Heading2"/>
    <w:uiPriority w:val="9"/>
    <w:rsid w:val="005F6E85"/>
    <w:rPr>
      <w:rFonts w:eastAsia="Arial"/>
      <w:b/>
      <w:bCs/>
      <w:color w:val="000000"/>
      <w:sz w:val="40"/>
      <w:szCs w:val="40"/>
      <w:lang w:val="en"/>
    </w:rPr>
  </w:style>
  <w:style w:type="paragraph" w:styleId="TOC2">
    <w:name w:val="toc 2"/>
    <w:basedOn w:val="Normal"/>
    <w:next w:val="Normal"/>
    <w:autoRedefine/>
    <w:uiPriority w:val="39"/>
    <w:unhideWhenUsed/>
    <w:rsid w:val="00721ACD"/>
    <w:pPr>
      <w:spacing w:after="100" w:line="276" w:lineRule="auto"/>
      <w:ind w:left="240"/>
    </w:pPr>
    <w:rPr>
      <w:rFonts w:eastAsia="Arial"/>
      <w:color w:val="000000"/>
      <w:lang w:val="en"/>
    </w:rPr>
  </w:style>
  <w:style w:type="character" w:customStyle="1" w:styleId="Heading3Char">
    <w:name w:val="Heading 3 Char"/>
    <w:basedOn w:val="DefaultParagraphFont"/>
    <w:link w:val="Heading3"/>
    <w:uiPriority w:val="9"/>
    <w:rsid w:val="00982565"/>
    <w:rPr>
      <w:rFonts w:eastAsia="Arial"/>
      <w:b/>
      <w:color w:val="000000"/>
      <w:sz w:val="32"/>
      <w:szCs w:val="32"/>
      <w:lang w:val="en"/>
    </w:rPr>
  </w:style>
  <w:style w:type="character" w:customStyle="1" w:styleId="Heading4Char">
    <w:name w:val="Heading 4 Char"/>
    <w:basedOn w:val="DefaultParagraphFont"/>
    <w:link w:val="Heading4"/>
    <w:uiPriority w:val="9"/>
    <w:rsid w:val="005B278D"/>
    <w:rPr>
      <w:rFonts w:eastAsia="Arial"/>
      <w:b/>
      <w:i/>
      <w:iCs/>
      <w:color w:val="000000"/>
      <w:sz w:val="28"/>
      <w:szCs w:val="28"/>
      <w:u w:color="000000"/>
      <w:bdr w:val="nil"/>
      <w:lang w:val="en"/>
    </w:rPr>
  </w:style>
  <w:style w:type="paragraph" w:styleId="Revision">
    <w:name w:val="Revision"/>
    <w:hidden/>
    <w:uiPriority w:val="99"/>
    <w:semiHidden/>
    <w:rsid w:val="006E2603"/>
    <w:pPr>
      <w:spacing w:after="0"/>
    </w:pPr>
    <w:rPr>
      <w:szCs w:val="24"/>
    </w:rPr>
  </w:style>
  <w:style w:type="paragraph" w:styleId="CommentText">
    <w:name w:val="annotation text"/>
    <w:basedOn w:val="Normal"/>
    <w:link w:val="CommentTextChar"/>
    <w:uiPriority w:val="99"/>
    <w:unhideWhenUsed/>
    <w:rsid w:val="00827B46"/>
    <w:rPr>
      <w:sz w:val="20"/>
      <w:szCs w:val="20"/>
    </w:rPr>
  </w:style>
  <w:style w:type="character" w:customStyle="1" w:styleId="CommentTextChar">
    <w:name w:val="Comment Text Char"/>
    <w:basedOn w:val="DefaultParagraphFont"/>
    <w:link w:val="CommentText"/>
    <w:uiPriority w:val="99"/>
    <w:rsid w:val="00827B46"/>
    <w:rPr>
      <w:sz w:val="20"/>
      <w:szCs w:val="20"/>
    </w:rPr>
  </w:style>
  <w:style w:type="character" w:styleId="CommentReference">
    <w:name w:val="annotation reference"/>
    <w:basedOn w:val="DefaultParagraphFont"/>
    <w:uiPriority w:val="99"/>
    <w:semiHidden/>
    <w:unhideWhenUsed/>
    <w:rsid w:val="00827B46"/>
    <w:rPr>
      <w:sz w:val="16"/>
      <w:szCs w:val="16"/>
    </w:rPr>
  </w:style>
  <w:style w:type="paragraph" w:styleId="CommentSubject">
    <w:name w:val="annotation subject"/>
    <w:basedOn w:val="CommentText"/>
    <w:next w:val="CommentText"/>
    <w:link w:val="CommentSubjectChar"/>
    <w:uiPriority w:val="99"/>
    <w:semiHidden/>
    <w:unhideWhenUsed/>
    <w:rsid w:val="007540A0"/>
    <w:rPr>
      <w:b/>
      <w:bCs/>
    </w:rPr>
  </w:style>
  <w:style w:type="character" w:customStyle="1" w:styleId="CommentSubjectChar">
    <w:name w:val="Comment Subject Char"/>
    <w:basedOn w:val="CommentTextChar"/>
    <w:link w:val="CommentSubject"/>
    <w:uiPriority w:val="99"/>
    <w:semiHidden/>
    <w:rsid w:val="007540A0"/>
    <w:rPr>
      <w:b/>
      <w:bCs/>
      <w:sz w:val="20"/>
      <w:szCs w:val="20"/>
    </w:rPr>
  </w:style>
  <w:style w:type="character" w:styleId="Mention">
    <w:name w:val="Mention"/>
    <w:basedOn w:val="DefaultParagraphFont"/>
    <w:uiPriority w:val="99"/>
    <w:unhideWhenUsed/>
    <w:rsid w:val="007540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814">
      <w:bodyDiv w:val="1"/>
      <w:marLeft w:val="0"/>
      <w:marRight w:val="0"/>
      <w:marTop w:val="0"/>
      <w:marBottom w:val="0"/>
      <w:divBdr>
        <w:top w:val="none" w:sz="0" w:space="0" w:color="auto"/>
        <w:left w:val="none" w:sz="0" w:space="0" w:color="auto"/>
        <w:bottom w:val="none" w:sz="0" w:space="0" w:color="auto"/>
        <w:right w:val="none" w:sz="0" w:space="0" w:color="auto"/>
      </w:divBdr>
    </w:div>
    <w:div w:id="494879267">
      <w:bodyDiv w:val="1"/>
      <w:marLeft w:val="0"/>
      <w:marRight w:val="0"/>
      <w:marTop w:val="0"/>
      <w:marBottom w:val="0"/>
      <w:divBdr>
        <w:top w:val="none" w:sz="0" w:space="0" w:color="auto"/>
        <w:left w:val="none" w:sz="0" w:space="0" w:color="auto"/>
        <w:bottom w:val="none" w:sz="0" w:space="0" w:color="auto"/>
        <w:right w:val="none" w:sz="0" w:space="0" w:color="auto"/>
      </w:divBdr>
    </w:div>
    <w:div w:id="602960568">
      <w:bodyDiv w:val="1"/>
      <w:marLeft w:val="0"/>
      <w:marRight w:val="0"/>
      <w:marTop w:val="0"/>
      <w:marBottom w:val="0"/>
      <w:divBdr>
        <w:top w:val="none" w:sz="0" w:space="0" w:color="auto"/>
        <w:left w:val="none" w:sz="0" w:space="0" w:color="auto"/>
        <w:bottom w:val="none" w:sz="0" w:space="0" w:color="auto"/>
        <w:right w:val="none" w:sz="0" w:space="0" w:color="auto"/>
      </w:divBdr>
    </w:div>
    <w:div w:id="931157906">
      <w:bodyDiv w:val="1"/>
      <w:marLeft w:val="0"/>
      <w:marRight w:val="0"/>
      <w:marTop w:val="0"/>
      <w:marBottom w:val="0"/>
      <w:divBdr>
        <w:top w:val="none" w:sz="0" w:space="0" w:color="auto"/>
        <w:left w:val="none" w:sz="0" w:space="0" w:color="auto"/>
        <w:bottom w:val="none" w:sz="0" w:space="0" w:color="auto"/>
        <w:right w:val="none" w:sz="0" w:space="0" w:color="auto"/>
      </w:divBdr>
    </w:div>
    <w:div w:id="1896695370">
      <w:bodyDiv w:val="1"/>
      <w:marLeft w:val="0"/>
      <w:marRight w:val="0"/>
      <w:marTop w:val="0"/>
      <w:marBottom w:val="0"/>
      <w:divBdr>
        <w:top w:val="none" w:sz="0" w:space="0" w:color="auto"/>
        <w:left w:val="none" w:sz="0" w:space="0" w:color="auto"/>
        <w:bottom w:val="none" w:sz="0" w:space="0" w:color="auto"/>
        <w:right w:val="none" w:sz="0" w:space="0" w:color="auto"/>
      </w:divBdr>
    </w:div>
    <w:div w:id="21385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ci/pl/californiaserves.as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e.ca.gov/ci/pl/caserveslegreport.as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pd/ca/hs/hssstateseal.asp" TargetMode="External"/><Relationship Id="rId5" Type="http://schemas.openxmlformats.org/officeDocument/2006/relationships/webSettings" Target="webSettings.xml"/><Relationship Id="rId15" Type="http://schemas.openxmlformats.org/officeDocument/2006/relationships/hyperlink" Target="https://nylc.org/k-12-standards/" TargetMode="External"/><Relationship Id="rId10" Type="http://schemas.openxmlformats.org/officeDocument/2006/relationships/hyperlink" Target="https://www.cde.ca.gov/ci/pl/californiaserves.asp"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ca.gov/ci/pl/californiaserve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enterx.gseis.ucla.edu/leade/civic-learning/" TargetMode="External"/><Relationship Id="rId2" Type="http://schemas.openxmlformats.org/officeDocument/2006/relationships/hyperlink" Target="https://www.carnegie.org/publications/guardian-of-democracy-the-civic-mission-of-schools/" TargetMode="External"/><Relationship Id="rId1" Type="http://schemas.openxmlformats.org/officeDocument/2006/relationships/hyperlink" Target="https://www.thepolicycircle.org/briefs/civic-engagement/" TargetMode="External"/><Relationship Id="rId5" Type="http://schemas.openxmlformats.org/officeDocument/2006/relationships/hyperlink" Target="https://leginfo.legislature.ca.gov/faces/billNavClient.xhtml?bill_id=202120220AB181" TargetMode="External"/><Relationship Id="rId4" Type="http://schemas.openxmlformats.org/officeDocument/2006/relationships/hyperlink" Target="https://www.socialstudies.org/system/files/2022/c3-framework-for-social-studies-rev061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081A-5C16-45DE-9FB6-58033058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2292</Words>
  <Characters>14971</Characters>
  <Application>Microsoft Office Word</Application>
  <DocSecurity>0</DocSecurity>
  <Lines>340</Lines>
  <Paragraphs>169</Paragraphs>
  <ScaleCrop>false</ScaleCrop>
  <HeadingPairs>
    <vt:vector size="2" baseType="variant">
      <vt:variant>
        <vt:lpstr>Title</vt:lpstr>
      </vt:variant>
      <vt:variant>
        <vt:i4>1</vt:i4>
      </vt:variant>
    </vt:vector>
  </HeadingPairs>
  <TitlesOfParts>
    <vt:vector size="1" baseType="lpstr">
      <vt:lpstr>CA Serves Grant Model Uniform Metrics - Professional Learning (CA Dept of Education)</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Serves Grant Model Uniform Metrics - Professional Learning (CA Dept of Education)</dc:title>
  <dc:subject>CDE, in partnership with California Volunteers, developed model uniform metrics, based on the recommended criteria for the SSCE, for the measurement of pupil progress toward academic, civic engagement, and other learning objectives.</dc:subject>
  <dc:creator/>
  <cp:keywords/>
  <dc:description/>
  <cp:lastModifiedBy/>
  <cp:revision>1</cp:revision>
  <dcterms:created xsi:type="dcterms:W3CDTF">2025-08-19T16:34:00Z</dcterms:created>
  <dcterms:modified xsi:type="dcterms:W3CDTF">2025-08-20T18:27:00Z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701aa5656a97a405c39cf8bef25e9dea9b54439977f3aa071f7587e9eaf72b11</vt:lpwstr>
  </property>
</Properties>
</file>