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9E41" w14:textId="77777777" w:rsidR="004A78D0" w:rsidRDefault="004A78D0"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56399E42" w14:textId="77777777" w:rsidR="004A78D0" w:rsidRPr="00F05864" w:rsidRDefault="004A78D0"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4A78D0" w:rsidRPr="009529EF" w14:paraId="56399E45"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6399E43" w14:textId="77777777" w:rsidR="004A78D0" w:rsidRPr="009529EF" w:rsidRDefault="004A78D0"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6399E44" w14:textId="77777777" w:rsidR="004A78D0" w:rsidRPr="009529EF" w:rsidRDefault="004A78D0" w:rsidP="00C332CB">
            <w:pPr>
              <w:spacing w:after="160"/>
              <w:rPr>
                <w:rFonts w:ascii="Arial" w:hAnsi="Arial" w:cs="Arial"/>
                <w:b/>
                <w:bCs/>
              </w:rPr>
            </w:pPr>
            <w:r>
              <w:rPr>
                <w:rFonts w:ascii="Arial" w:hAnsi="Arial" w:cs="Arial"/>
                <w:b/>
                <w:bCs/>
                <w:color w:val="FFFFFF" w:themeColor="background1"/>
              </w:rPr>
              <w:t>Program Name</w:t>
            </w:r>
          </w:p>
        </w:tc>
      </w:tr>
      <w:tr w:rsidR="004A78D0" w:rsidRPr="009529EF" w14:paraId="56399E49"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399E46" w14:textId="77777777" w:rsidR="004A78D0" w:rsidRPr="00F6275D" w:rsidRDefault="004A78D0" w:rsidP="00C332CB">
            <w:pPr>
              <w:spacing w:after="160"/>
              <w:rPr>
                <w:rFonts w:ascii="Arial" w:hAnsi="Arial" w:cs="Arial"/>
              </w:rPr>
            </w:pPr>
            <w:r w:rsidRPr="002D5DC9">
              <w:rPr>
                <w:rFonts w:ascii="Arial" w:hAnsi="Arial" w:cs="Arial"/>
                <w:noProof/>
              </w:rPr>
              <w:t>Sacramento County Office of Education</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99E47" w14:textId="77777777" w:rsidR="004A78D0" w:rsidRPr="002D5DC9" w:rsidRDefault="004A78D0" w:rsidP="006714FD">
            <w:pPr>
              <w:ind w:left="1"/>
              <w:rPr>
                <w:rFonts w:ascii="Arial" w:hAnsi="Arial" w:cs="Arial"/>
                <w:noProof/>
              </w:rPr>
            </w:pPr>
            <w:r w:rsidRPr="002D5DC9">
              <w:rPr>
                <w:rFonts w:ascii="Arial" w:hAnsi="Arial" w:cs="Arial"/>
                <w:noProof/>
              </w:rPr>
              <w:t>Program Title: California READS</w:t>
            </w:r>
            <w:r>
              <w:rPr>
                <w:rFonts w:ascii="Arial" w:hAnsi="Arial" w:cs="Arial"/>
                <w:noProof/>
              </w:rPr>
              <w:t xml:space="preserve"> </w:t>
            </w:r>
            <w:r w:rsidRPr="002D5DC9">
              <w:rPr>
                <w:rFonts w:ascii="Arial" w:hAnsi="Arial" w:cs="Arial"/>
                <w:noProof/>
              </w:rPr>
              <w:t>(Rights. Equity. Access. Diversity. Success.)</w:t>
            </w:r>
          </w:p>
          <w:p w14:paraId="56399E48" w14:textId="6A127305" w:rsidR="004A78D0" w:rsidRPr="00F6275D" w:rsidRDefault="004A78D0" w:rsidP="00C332CB">
            <w:pPr>
              <w:spacing w:after="160"/>
              <w:ind w:left="1"/>
              <w:rPr>
                <w:rFonts w:ascii="Arial" w:hAnsi="Arial" w:cs="Arial"/>
              </w:rPr>
            </w:pPr>
            <w:r w:rsidRPr="002D5DC9">
              <w:rPr>
                <w:rFonts w:ascii="Arial" w:hAnsi="Arial" w:cs="Arial"/>
                <w:noProof/>
              </w:rPr>
              <w:t>Program Series Titles: California READS Introduction, California READS Module 1 Literacy Assessment, California READS Module 2 Oral Language and Comprehensive English Language Development, California READS Module 3 Pr</w:t>
            </w:r>
            <w:r w:rsidR="00FB5319" w:rsidRPr="00FB5319">
              <w:rPr>
                <w:rFonts w:ascii="Arial" w:hAnsi="Arial" w:cs="Arial"/>
                <w:noProof/>
              </w:rPr>
              <w:t>rint Concepts, California READS Module 4 Phonological Awareness and Phonemic Awareness, California READS Module 5 Early Phonics, California READS Module 6 Multisyllabic Word Decoding  California READS Module 7 Fluency, California READS Module 8 Vocabulary, California READS Module 9 Background Knowledge and Comprehension, California READS Module 10 Foundations of Skilled Writing California READS Wrap Up</w:t>
            </w:r>
          </w:p>
        </w:tc>
      </w:tr>
    </w:tbl>
    <w:p w14:paraId="56399E4A" w14:textId="77777777" w:rsidR="004A78D0" w:rsidRPr="009529EF" w:rsidRDefault="004A78D0"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56399E4B" w14:textId="77777777" w:rsidR="004A78D0" w:rsidRPr="009529EF" w:rsidRDefault="004A78D0"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56399E4C" w14:textId="77777777" w:rsidR="004A78D0" w:rsidRPr="009529EF" w:rsidRDefault="004A78D0" w:rsidP="7EB55DE3">
      <w:pPr>
        <w:spacing w:before="240" w:after="240"/>
        <w:rPr>
          <w:rFonts w:ascii="Arial" w:hAnsi="Arial" w:cs="Arial"/>
        </w:rPr>
      </w:pPr>
      <w:r w:rsidRPr="42DEA662">
        <w:rPr>
          <w:rFonts w:ascii="Arial" w:hAnsi="Arial" w:cs="Arial"/>
        </w:rPr>
        <w:t xml:space="preserve">Each professional development provider submitted a detailed narrative response and citations to evidentiary materials for each criterion. Program submissions were evaluated by a review committee with expertise in evidence-based literacy instruction, </w:t>
      </w:r>
      <w:r w:rsidRPr="42DEA662">
        <w:rPr>
          <w:rFonts w:ascii="Arial" w:hAnsi="Arial" w:cs="Arial"/>
        </w:rPr>
        <w:lastRenderedPageBreak/>
        <w:t>English language development, and effective professional development; all members attested to no conflict of interest with the programs they reviewed.</w:t>
      </w:r>
    </w:p>
    <w:p w14:paraId="56399E4D" w14:textId="77777777" w:rsidR="004A78D0" w:rsidRPr="009529EF" w:rsidRDefault="004A78D0"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56399E4E" w14:textId="77777777" w:rsidR="004A78D0" w:rsidRPr="005F7169" w:rsidRDefault="004A78D0" w:rsidP="00667FE5">
      <w:pPr>
        <w:pStyle w:val="Heading2"/>
      </w:pPr>
      <w:r w:rsidRPr="005F7169">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4A78D0" w:rsidRPr="009529EF" w14:paraId="56399E51"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6399E4F" w14:textId="77777777" w:rsidR="004A78D0" w:rsidRPr="009529EF" w:rsidRDefault="004A78D0"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6399E50" w14:textId="77777777" w:rsidR="004A78D0" w:rsidRPr="009529EF" w:rsidRDefault="004A78D0"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4A78D0" w:rsidRPr="009529EF" w14:paraId="56399E54"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52" w14:textId="77777777" w:rsidR="004A78D0" w:rsidRPr="00106D84" w:rsidRDefault="004A78D0"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53" w14:textId="77777777" w:rsidR="004A78D0" w:rsidRPr="00F6275D" w:rsidRDefault="004A78D0" w:rsidP="3C4C67CA">
            <w:pPr>
              <w:spacing w:after="240"/>
              <w:ind w:left="1"/>
              <w:rPr>
                <w:rFonts w:ascii="Arial" w:hAnsi="Arial" w:cs="Arial"/>
              </w:rPr>
            </w:pPr>
            <w:r w:rsidRPr="002D5DC9">
              <w:rPr>
                <w:rFonts w:ascii="Arial" w:hAnsi="Arial" w:cs="Arial"/>
                <w:noProof/>
              </w:rPr>
              <w:t xml:space="preserve">California READS is a </w:t>
            </w:r>
            <w:r>
              <w:rPr>
                <w:rFonts w:ascii="Arial" w:hAnsi="Arial" w:cs="Arial"/>
                <w:noProof/>
              </w:rPr>
              <w:t>transitional kindergarten through grade five</w:t>
            </w:r>
            <w:r w:rsidRPr="002D5DC9">
              <w:rPr>
                <w:rFonts w:ascii="Arial" w:hAnsi="Arial" w:cs="Arial"/>
                <w:noProof/>
              </w:rPr>
              <w:t xml:space="preserve"> literacy professional learning program that builds educator capacity to implement evidence-based, standards-aligned literacy instruction for all learners, with an emphasis on English learners , students with reading difficulties, and students with or at risk for dyslexia. Grounded in the California </w:t>
            </w:r>
            <w:r>
              <w:rPr>
                <w:rFonts w:ascii="Arial" w:hAnsi="Arial" w:cs="Arial"/>
                <w:noProof/>
              </w:rPr>
              <w:t>English Language Arts/English Language Development</w:t>
            </w:r>
            <w:r w:rsidRPr="002D5DC9">
              <w:rPr>
                <w:rFonts w:ascii="Arial" w:hAnsi="Arial" w:cs="Arial"/>
                <w:noProof/>
              </w:rPr>
              <w:t xml:space="preserve"> Framework, </w:t>
            </w:r>
            <w:r>
              <w:rPr>
                <w:rFonts w:ascii="Arial" w:hAnsi="Arial" w:cs="Arial"/>
                <w:noProof/>
              </w:rPr>
              <w:t>English Language Arts</w:t>
            </w:r>
            <w:r w:rsidRPr="002D5DC9">
              <w:rPr>
                <w:rFonts w:ascii="Arial" w:hAnsi="Arial" w:cs="Arial"/>
                <w:noProof/>
              </w:rPr>
              <w:t xml:space="preserve"> Standards, and the California Dyslexia Guidelines, the program includes an introduction, </w:t>
            </w:r>
            <w:r>
              <w:rPr>
                <w:rFonts w:ascii="Arial" w:hAnsi="Arial" w:cs="Arial"/>
                <w:noProof/>
              </w:rPr>
              <w:t xml:space="preserve">10 </w:t>
            </w:r>
            <w:r w:rsidRPr="002D5DC9">
              <w:rPr>
                <w:rFonts w:ascii="Arial" w:hAnsi="Arial" w:cs="Arial"/>
                <w:noProof/>
              </w:rPr>
              <w:t xml:space="preserve">sequenced literacy modules, and a wrap-up session totaling 33 hours of sustained professional learning. The program develops educator expertise across foundational skills, language development, comprehension, writing, and comprehensive </w:t>
            </w:r>
            <w:r>
              <w:rPr>
                <w:rFonts w:ascii="Arial" w:hAnsi="Arial" w:cs="Arial"/>
                <w:noProof/>
              </w:rPr>
              <w:t>English langauge development</w:t>
            </w:r>
            <w:r w:rsidRPr="002D5DC9">
              <w:rPr>
                <w:rFonts w:ascii="Arial" w:hAnsi="Arial" w:cs="Arial"/>
                <w:noProof/>
              </w:rPr>
              <w:t xml:space="preserve">. It integrates data-informed decision-making, job-embedded coaching, collaborative inquiry, and reflection. Educators learn to use ongoing diagnostic assessment to inform early intervention, differentiated instruction, and tiered supports within an </w:t>
            </w:r>
            <w:r>
              <w:rPr>
                <w:rFonts w:ascii="Arial" w:hAnsi="Arial" w:cs="Arial"/>
                <w:noProof/>
              </w:rPr>
              <w:t>Multi-Tiered System of Support</w:t>
            </w:r>
            <w:r w:rsidRPr="002D5DC9">
              <w:rPr>
                <w:rFonts w:ascii="Arial" w:hAnsi="Arial" w:cs="Arial"/>
                <w:noProof/>
              </w:rPr>
              <w:t xml:space="preserve"> framework.</w:t>
            </w:r>
          </w:p>
        </w:tc>
      </w:tr>
      <w:tr w:rsidR="004A78D0" w:rsidRPr="009529EF" w14:paraId="56399E5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55" w14:textId="77777777" w:rsidR="004A78D0" w:rsidRDefault="004A78D0" w:rsidP="00CD7E12">
            <w:pPr>
              <w:rPr>
                <w:rFonts w:ascii="Arial" w:hAnsi="Arial" w:cs="Arial"/>
                <w:b/>
                <w:color w:val="122240"/>
              </w:rPr>
            </w:pPr>
            <w:r>
              <w:rPr>
                <w:rFonts w:ascii="Arial" w:hAnsi="Arial" w:cs="Arial"/>
                <w:b/>
                <w:color w:val="122240"/>
              </w:rPr>
              <w:lastRenderedPageBreak/>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56" w14:textId="77777777" w:rsidR="004A78D0" w:rsidRPr="00F6275D" w:rsidRDefault="004A78D0" w:rsidP="00106D84">
            <w:pPr>
              <w:spacing w:after="240"/>
              <w:ind w:left="1"/>
              <w:rPr>
                <w:rFonts w:ascii="Arial" w:hAnsi="Arial" w:cs="Arial"/>
              </w:rPr>
            </w:pPr>
            <w:r w:rsidRPr="002D5DC9">
              <w:rPr>
                <w:rFonts w:ascii="Arial" w:hAnsi="Arial" w:cs="Arial"/>
                <w:noProof/>
              </w:rPr>
              <w:t>The California READS program is a 12-module series that can be delivered virtually, in person, or hybrid. When delivered virtually, the blended professional learning format includes both synchronous and asynchronous components. Core modules are designed to be completed synchronously in a virtual group setting, with participants engaging in facilitated sessions that include direct instruction, discussion, collaborative activities, and reflection. Each module also includes independent, asynchronous components, such as pre-session preparation, application of strategies in the classroom, completion of checks for understanding, and reflection activities between sessions. The program incorporates job-embedded coaching and feedback, which may occur virtually or in person, depending on local implementation needs. This flexible format supports collaborative learning while allowing educators time to independently apply evidence-based literacy practices in their instructional settings.</w:t>
            </w:r>
          </w:p>
        </w:tc>
      </w:tr>
      <w:tr w:rsidR="004A78D0" w:rsidRPr="00F6275D" w14:paraId="56399E5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58" w14:textId="77777777" w:rsidR="004A78D0" w:rsidRPr="00F6275D" w:rsidRDefault="004A78D0"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59" w14:textId="77777777" w:rsidR="004A78D0" w:rsidRPr="00F6275D" w:rsidRDefault="004A78D0" w:rsidP="3C4C67CA">
            <w:pPr>
              <w:spacing w:after="240"/>
              <w:ind w:left="1"/>
              <w:rPr>
                <w:rFonts w:ascii="Arial" w:hAnsi="Arial" w:cs="Arial"/>
              </w:rPr>
            </w:pPr>
            <w:r w:rsidRPr="002D5DC9">
              <w:rPr>
                <w:rFonts w:ascii="Arial" w:hAnsi="Arial" w:cs="Arial"/>
                <w:noProof/>
              </w:rPr>
              <w:t xml:space="preserve">California READS is designed for 33 hours of synchronous (or in person) professional learning. There are asynchronous “Give It a Try!” activities that add an additional </w:t>
            </w:r>
            <w:r>
              <w:rPr>
                <w:rFonts w:ascii="Arial" w:hAnsi="Arial" w:cs="Arial"/>
                <w:noProof/>
              </w:rPr>
              <w:t>six</w:t>
            </w:r>
            <w:r w:rsidRPr="002D5DC9">
              <w:rPr>
                <w:rFonts w:ascii="Arial" w:hAnsi="Arial" w:cs="Arial"/>
                <w:noProof/>
              </w:rPr>
              <w:t xml:space="preserve"> hours of learning and application. The pre- and post- tests are designed to be completed asynchronously and will take up to </w:t>
            </w:r>
            <w:r>
              <w:rPr>
                <w:rFonts w:ascii="Arial" w:hAnsi="Arial" w:cs="Arial"/>
                <w:noProof/>
              </w:rPr>
              <w:t>one</w:t>
            </w:r>
            <w:r w:rsidRPr="002D5DC9">
              <w:rPr>
                <w:rFonts w:ascii="Arial" w:hAnsi="Arial" w:cs="Arial"/>
                <w:noProof/>
              </w:rPr>
              <w:t xml:space="preserve"> hour total. The total package reflects 40 hours of professional learning time.</w:t>
            </w:r>
          </w:p>
        </w:tc>
      </w:tr>
      <w:tr w:rsidR="004A78D0" w:rsidRPr="00F6275D" w14:paraId="56399E5D"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5B" w14:textId="77777777" w:rsidR="004A78D0" w:rsidRPr="00F6275D" w:rsidRDefault="004A78D0"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5C" w14:textId="77777777" w:rsidR="004A78D0" w:rsidRPr="00F6275D" w:rsidRDefault="004A78D0" w:rsidP="3C4C67CA">
            <w:pPr>
              <w:spacing w:after="240"/>
              <w:ind w:left="1"/>
              <w:rPr>
                <w:rFonts w:ascii="Arial" w:eastAsia="Times New Roman" w:hAnsi="Arial" w:cs="Arial"/>
              </w:rPr>
            </w:pPr>
            <w:r w:rsidRPr="002D5DC9">
              <w:rPr>
                <w:rFonts w:ascii="Arial" w:eastAsia="Times New Roman" w:hAnsi="Arial" w:cs="Arial"/>
                <w:noProof/>
              </w:rPr>
              <w:t>The pricing structure is $500 per person for the series. Pricing includes materials, facilitation, and access to resources aligned to California’s guiding documents and policies. This pricing reflects $15 per hour, per person, for the 33 hours of synchronous professional learning.</w:t>
            </w:r>
          </w:p>
        </w:tc>
      </w:tr>
      <w:tr w:rsidR="004A78D0" w:rsidRPr="00F6275D" w14:paraId="56399E60"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5E" w14:textId="77777777" w:rsidR="004A78D0" w:rsidRPr="00F6275D" w:rsidRDefault="004A78D0"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5F" w14:textId="77777777" w:rsidR="004A78D0" w:rsidRPr="00F6275D" w:rsidRDefault="004A78D0" w:rsidP="00106D84">
            <w:pPr>
              <w:spacing w:after="240"/>
              <w:ind w:left="1"/>
              <w:rPr>
                <w:rFonts w:ascii="Arial" w:hAnsi="Arial" w:cs="Arial"/>
              </w:rPr>
            </w:pPr>
            <w:r w:rsidRPr="002D5DC9">
              <w:rPr>
                <w:rFonts w:ascii="Arial" w:hAnsi="Arial" w:cs="Arial"/>
                <w:noProof/>
              </w:rPr>
              <w:t>https://www.scoe.net/</w:t>
            </w:r>
          </w:p>
        </w:tc>
      </w:tr>
    </w:tbl>
    <w:p w14:paraId="56399E61" w14:textId="77777777" w:rsidR="004A78D0" w:rsidRPr="00F6275D" w:rsidRDefault="004A78D0"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56399E62" w14:textId="77777777" w:rsidR="004A78D0" w:rsidRPr="00F6275D" w:rsidRDefault="004A78D0" w:rsidP="004A78D0">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56399E63" w14:textId="77777777" w:rsidR="004A78D0" w:rsidRPr="00F6275D" w:rsidRDefault="004A78D0" w:rsidP="004A78D0">
      <w:pPr>
        <w:pStyle w:val="ListParagraph"/>
        <w:numPr>
          <w:ilvl w:val="0"/>
          <w:numId w:val="1"/>
        </w:numPr>
        <w:spacing w:before="240" w:after="240"/>
        <w:contextualSpacing w:val="0"/>
        <w:rPr>
          <w:rFonts w:ascii="Arial" w:hAnsi="Arial" w:cs="Arial"/>
          <w:sz w:val="24"/>
        </w:rPr>
      </w:pPr>
      <w:r w:rsidRPr="00F6275D">
        <w:rPr>
          <w:rFonts w:ascii="Arial" w:hAnsi="Arial" w:cs="Arial"/>
          <w:sz w:val="24"/>
        </w:rPr>
        <w:lastRenderedPageBreak/>
        <w:t>Moderate Evidence indicates the criterion was addressed with some gaps in the submission</w:t>
      </w:r>
    </w:p>
    <w:p w14:paraId="56399E64" w14:textId="77777777" w:rsidR="004A78D0" w:rsidRPr="00F6275D" w:rsidRDefault="004A78D0" w:rsidP="004A78D0">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56399E65" w14:textId="77777777" w:rsidR="004A78D0" w:rsidRPr="00F6275D" w:rsidRDefault="004A78D0"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4A78D0" w:rsidRPr="00F6275D" w14:paraId="56399E68"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6399E66" w14:textId="77777777" w:rsidR="004A78D0" w:rsidRPr="00F6275D" w:rsidRDefault="004A78D0"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6399E67" w14:textId="77777777" w:rsidR="004A78D0" w:rsidRPr="00F6275D" w:rsidRDefault="004A78D0" w:rsidP="00C332CB">
            <w:pPr>
              <w:spacing w:after="160"/>
              <w:rPr>
                <w:rFonts w:ascii="Arial" w:hAnsi="Arial" w:cs="Arial"/>
                <w:b/>
                <w:bCs/>
              </w:rPr>
            </w:pPr>
            <w:r w:rsidRPr="00F6275D">
              <w:rPr>
                <w:rFonts w:ascii="Arial" w:hAnsi="Arial" w:cs="Arial"/>
                <w:b/>
                <w:bCs/>
                <w:color w:val="FFFFFF" w:themeColor="background1"/>
              </w:rPr>
              <w:t>Level of Evidence</w:t>
            </w:r>
          </w:p>
        </w:tc>
      </w:tr>
      <w:tr w:rsidR="004A78D0" w:rsidRPr="00F6275D" w14:paraId="56399E6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69" w14:textId="77777777" w:rsidR="004A78D0" w:rsidRPr="00F6275D" w:rsidRDefault="004A78D0"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6A" w14:textId="77777777" w:rsidR="004A78D0" w:rsidRPr="00F6275D" w:rsidRDefault="004A78D0" w:rsidP="00C332CB">
            <w:pPr>
              <w:spacing w:after="160"/>
              <w:ind w:left="1"/>
              <w:rPr>
                <w:rFonts w:ascii="Arial" w:hAnsi="Arial" w:cs="Arial"/>
              </w:rPr>
            </w:pPr>
            <w:r w:rsidRPr="002D5DC9">
              <w:rPr>
                <w:rFonts w:ascii="Arial" w:hAnsi="Arial" w:cs="Arial"/>
                <w:noProof/>
              </w:rPr>
              <w:t>Strong Evidence</w:t>
            </w:r>
          </w:p>
        </w:tc>
      </w:tr>
      <w:tr w:rsidR="004A78D0" w:rsidRPr="00F6275D" w14:paraId="56399E6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6C" w14:textId="77777777" w:rsidR="004A78D0" w:rsidRPr="00F6275D" w:rsidRDefault="004A78D0"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6D" w14:textId="77777777" w:rsidR="004A78D0" w:rsidRPr="00F6275D" w:rsidRDefault="004A78D0"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4A78D0" w:rsidRPr="00F6275D" w14:paraId="56399E7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6F" w14:textId="77777777" w:rsidR="004A78D0" w:rsidRPr="00F6275D" w:rsidRDefault="004A78D0"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70" w14:textId="77777777" w:rsidR="004A78D0" w:rsidRPr="00F6275D" w:rsidRDefault="004A78D0"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4A78D0" w:rsidRPr="00F6275D" w14:paraId="56399E7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72" w14:textId="77777777" w:rsidR="004A78D0" w:rsidRPr="00F6275D" w:rsidRDefault="004A78D0"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73" w14:textId="77777777" w:rsidR="004A78D0" w:rsidRPr="00F6275D" w:rsidRDefault="004A78D0"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56399E75" w14:textId="77777777" w:rsidR="004A78D0" w:rsidRPr="00F6275D" w:rsidRDefault="004A78D0"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4A78D0" w:rsidRPr="00F6275D" w14:paraId="56399E78"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6399E76" w14:textId="77777777" w:rsidR="004A78D0" w:rsidRPr="00F6275D" w:rsidRDefault="004A78D0"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6399E77" w14:textId="77777777" w:rsidR="004A78D0" w:rsidRPr="00F6275D" w:rsidRDefault="004A78D0" w:rsidP="00C332CB">
            <w:pPr>
              <w:spacing w:after="160"/>
              <w:rPr>
                <w:rFonts w:ascii="Arial" w:hAnsi="Arial" w:cs="Arial"/>
                <w:b/>
                <w:bCs/>
              </w:rPr>
            </w:pPr>
            <w:r w:rsidRPr="00F6275D">
              <w:rPr>
                <w:rFonts w:ascii="Arial" w:hAnsi="Arial" w:cs="Arial"/>
                <w:b/>
                <w:bCs/>
                <w:color w:val="FFFFFF" w:themeColor="background1"/>
              </w:rPr>
              <w:t>Level of Evidence</w:t>
            </w:r>
          </w:p>
        </w:tc>
      </w:tr>
      <w:tr w:rsidR="004A78D0" w:rsidRPr="00F6275D" w14:paraId="56399E7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79" w14:textId="77777777" w:rsidR="004A78D0" w:rsidRPr="00F6275D" w:rsidRDefault="004A78D0"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7A" w14:textId="77777777" w:rsidR="004A78D0" w:rsidRPr="00F6275D" w:rsidRDefault="004A78D0" w:rsidP="00C332CB">
            <w:pPr>
              <w:spacing w:after="160"/>
              <w:ind w:left="1"/>
              <w:rPr>
                <w:rFonts w:ascii="Arial" w:hAnsi="Arial" w:cs="Arial"/>
              </w:rPr>
            </w:pPr>
            <w:r w:rsidRPr="002D5DC9">
              <w:rPr>
                <w:rFonts w:ascii="Arial" w:hAnsi="Arial" w:cs="Arial"/>
                <w:noProof/>
              </w:rPr>
              <w:t>Moderate Evidence</w:t>
            </w:r>
          </w:p>
        </w:tc>
      </w:tr>
      <w:tr w:rsidR="004A78D0" w:rsidRPr="00F6275D" w14:paraId="56399E7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7C" w14:textId="77777777" w:rsidR="004A78D0" w:rsidRPr="00F6275D" w:rsidRDefault="004A78D0"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7D" w14:textId="77777777" w:rsidR="004A78D0" w:rsidRPr="00F6275D" w:rsidRDefault="004A78D0"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4A78D0" w:rsidRPr="00F6275D" w14:paraId="56399E8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7F" w14:textId="77777777" w:rsidR="004A78D0" w:rsidRPr="00F6275D" w:rsidRDefault="004A78D0"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80" w14:textId="77777777" w:rsidR="004A78D0" w:rsidRPr="00F6275D" w:rsidRDefault="004A78D0" w:rsidP="00C332CB">
            <w:pPr>
              <w:spacing w:after="160"/>
              <w:ind w:left="1"/>
              <w:rPr>
                <w:rFonts w:ascii="Arial" w:hAnsi="Arial" w:cs="Arial"/>
              </w:rPr>
            </w:pPr>
            <w:r w:rsidRPr="002D5DC9">
              <w:rPr>
                <w:rFonts w:ascii="Arial" w:hAnsi="Arial" w:cs="Arial"/>
                <w:noProof/>
              </w:rPr>
              <w:t>Moderate Evidence</w:t>
            </w:r>
          </w:p>
        </w:tc>
      </w:tr>
      <w:tr w:rsidR="004A78D0" w:rsidRPr="00F6275D" w14:paraId="56399E8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82" w14:textId="77777777" w:rsidR="004A78D0" w:rsidRPr="00F6275D" w:rsidRDefault="004A78D0"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83" w14:textId="77777777" w:rsidR="004A78D0" w:rsidRPr="00F6275D" w:rsidRDefault="004A78D0" w:rsidP="00C332CB">
            <w:pPr>
              <w:spacing w:after="160"/>
              <w:ind w:left="1"/>
              <w:rPr>
                <w:rFonts w:ascii="Arial" w:hAnsi="Arial" w:cs="Arial"/>
              </w:rPr>
            </w:pPr>
            <w:r w:rsidRPr="002D5DC9">
              <w:rPr>
                <w:rFonts w:ascii="Arial" w:hAnsi="Arial" w:cs="Arial"/>
                <w:noProof/>
              </w:rPr>
              <w:t>Strong Evidence</w:t>
            </w:r>
          </w:p>
        </w:tc>
      </w:tr>
      <w:tr w:rsidR="004A78D0" w:rsidRPr="00F6275D" w14:paraId="56399E8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85" w14:textId="77777777" w:rsidR="004A78D0" w:rsidRPr="00F6275D" w:rsidRDefault="004A78D0"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86" w14:textId="77777777" w:rsidR="004A78D0" w:rsidRPr="00F6275D" w:rsidRDefault="004A78D0" w:rsidP="00C332CB">
            <w:pPr>
              <w:spacing w:after="160"/>
              <w:ind w:left="1"/>
              <w:rPr>
                <w:rFonts w:ascii="Arial" w:hAnsi="Arial" w:cs="Arial"/>
              </w:rPr>
            </w:pPr>
            <w:r w:rsidRPr="002D5DC9">
              <w:rPr>
                <w:rFonts w:ascii="Arial" w:hAnsi="Arial" w:cs="Arial"/>
                <w:noProof/>
              </w:rPr>
              <w:t>Strong Evidence</w:t>
            </w:r>
          </w:p>
        </w:tc>
      </w:tr>
      <w:tr w:rsidR="004A78D0" w:rsidRPr="00F6275D" w14:paraId="56399E8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88" w14:textId="77777777" w:rsidR="004A78D0" w:rsidRPr="00F6275D" w:rsidRDefault="004A78D0"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89" w14:textId="77777777" w:rsidR="004A78D0" w:rsidRPr="00F6275D" w:rsidRDefault="004A78D0" w:rsidP="00C332CB">
            <w:pPr>
              <w:spacing w:after="160"/>
              <w:ind w:left="1"/>
              <w:rPr>
                <w:rFonts w:ascii="Arial" w:hAnsi="Arial" w:cs="Arial"/>
              </w:rPr>
            </w:pPr>
            <w:r w:rsidRPr="002D5DC9">
              <w:rPr>
                <w:rFonts w:ascii="Arial" w:hAnsi="Arial" w:cs="Arial"/>
                <w:noProof/>
              </w:rPr>
              <w:t>Strong Evidence</w:t>
            </w:r>
          </w:p>
        </w:tc>
      </w:tr>
      <w:tr w:rsidR="004A78D0" w:rsidRPr="00F6275D" w14:paraId="56399E8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8B" w14:textId="77777777" w:rsidR="004A78D0" w:rsidRPr="00F6275D" w:rsidRDefault="004A78D0" w:rsidP="00C332CB">
            <w:pPr>
              <w:spacing w:after="160" w:line="278" w:lineRule="auto"/>
              <w:rPr>
                <w:rFonts w:ascii="Arial" w:hAnsi="Arial" w:cs="Arial"/>
              </w:rPr>
            </w:pPr>
            <w:r w:rsidRPr="00F6275D">
              <w:rPr>
                <w:rFonts w:ascii="Arial" w:hAnsi="Arial" w:cs="Arial"/>
              </w:rPr>
              <w:lastRenderedPageBreak/>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8C" w14:textId="77777777" w:rsidR="004A78D0" w:rsidRPr="00F6275D" w:rsidRDefault="004A78D0" w:rsidP="00C332CB">
            <w:pPr>
              <w:spacing w:after="160"/>
              <w:ind w:left="1"/>
              <w:rPr>
                <w:rFonts w:ascii="Arial" w:hAnsi="Arial" w:cs="Arial"/>
              </w:rPr>
            </w:pPr>
            <w:r w:rsidRPr="002D5DC9">
              <w:rPr>
                <w:rFonts w:ascii="Arial" w:hAnsi="Arial" w:cs="Arial"/>
                <w:noProof/>
              </w:rPr>
              <w:t>Strong Evidence</w:t>
            </w:r>
          </w:p>
        </w:tc>
      </w:tr>
      <w:tr w:rsidR="004A78D0" w:rsidRPr="00F6275D" w14:paraId="56399E9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8E" w14:textId="77777777" w:rsidR="004A78D0" w:rsidRPr="00F6275D" w:rsidRDefault="004A78D0"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8F" w14:textId="77777777" w:rsidR="004A78D0" w:rsidRPr="00F6275D" w:rsidRDefault="004A78D0" w:rsidP="00C332CB">
            <w:pPr>
              <w:spacing w:after="160"/>
              <w:ind w:left="1"/>
              <w:rPr>
                <w:rFonts w:ascii="Arial" w:hAnsi="Arial" w:cs="Arial"/>
              </w:rPr>
            </w:pPr>
            <w:r w:rsidRPr="002D5DC9">
              <w:rPr>
                <w:rFonts w:ascii="Arial" w:hAnsi="Arial" w:cs="Arial"/>
                <w:noProof/>
              </w:rPr>
              <w:t>Strong Evidence</w:t>
            </w:r>
          </w:p>
        </w:tc>
      </w:tr>
      <w:tr w:rsidR="004A78D0" w:rsidRPr="00F6275D" w14:paraId="56399E9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91" w14:textId="77777777" w:rsidR="004A78D0" w:rsidRPr="00F6275D" w:rsidRDefault="004A78D0"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92" w14:textId="77777777" w:rsidR="004A78D0" w:rsidRPr="00F6275D" w:rsidRDefault="004A78D0" w:rsidP="00C332CB">
            <w:pPr>
              <w:spacing w:after="160"/>
              <w:ind w:left="1"/>
              <w:rPr>
                <w:rFonts w:ascii="Arial" w:hAnsi="Arial" w:cs="Arial"/>
              </w:rPr>
            </w:pPr>
            <w:r w:rsidRPr="002D5DC9">
              <w:rPr>
                <w:rFonts w:ascii="Arial" w:hAnsi="Arial" w:cs="Arial"/>
                <w:noProof/>
              </w:rPr>
              <w:t>Moderate Evidence</w:t>
            </w:r>
          </w:p>
        </w:tc>
      </w:tr>
      <w:tr w:rsidR="004A78D0" w:rsidRPr="00F6275D" w14:paraId="56399E9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94" w14:textId="77777777" w:rsidR="004A78D0" w:rsidRPr="00F6275D" w:rsidRDefault="004A78D0"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95" w14:textId="77777777" w:rsidR="004A78D0" w:rsidRPr="00F6275D" w:rsidRDefault="004A78D0" w:rsidP="00C332CB">
            <w:pPr>
              <w:spacing w:after="160"/>
              <w:ind w:left="1"/>
              <w:rPr>
                <w:rFonts w:ascii="Arial" w:hAnsi="Arial" w:cs="Arial"/>
              </w:rPr>
            </w:pPr>
            <w:r w:rsidRPr="002D5DC9">
              <w:rPr>
                <w:rFonts w:ascii="Arial" w:hAnsi="Arial" w:cs="Arial"/>
                <w:noProof/>
              </w:rPr>
              <w:t>Strong Evidence</w:t>
            </w:r>
          </w:p>
        </w:tc>
      </w:tr>
      <w:tr w:rsidR="004A78D0" w:rsidRPr="00F6275D" w14:paraId="56399E9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97" w14:textId="77777777" w:rsidR="004A78D0" w:rsidRPr="00F6275D" w:rsidRDefault="004A78D0"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98" w14:textId="77777777" w:rsidR="004A78D0" w:rsidRPr="00F6275D" w:rsidRDefault="004A78D0" w:rsidP="00C332CB">
            <w:pPr>
              <w:spacing w:after="160"/>
              <w:ind w:left="1"/>
              <w:rPr>
                <w:rFonts w:ascii="Arial" w:hAnsi="Arial" w:cs="Arial"/>
              </w:rPr>
            </w:pPr>
            <w:r w:rsidRPr="002D5DC9">
              <w:rPr>
                <w:rFonts w:ascii="Arial" w:hAnsi="Arial" w:cs="Arial"/>
                <w:noProof/>
              </w:rPr>
              <w:t>Moderate Evidence</w:t>
            </w:r>
          </w:p>
        </w:tc>
      </w:tr>
      <w:tr w:rsidR="004A78D0" w:rsidRPr="00F6275D" w14:paraId="56399E9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9A" w14:textId="77777777" w:rsidR="004A78D0" w:rsidRPr="00F6275D" w:rsidRDefault="004A78D0"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9B" w14:textId="77777777" w:rsidR="004A78D0" w:rsidRPr="00F6275D" w:rsidRDefault="004A78D0" w:rsidP="00C332CB">
            <w:pPr>
              <w:spacing w:after="160"/>
              <w:ind w:left="1"/>
              <w:rPr>
                <w:rFonts w:ascii="Arial" w:hAnsi="Arial" w:cs="Arial"/>
              </w:rPr>
            </w:pPr>
            <w:r w:rsidRPr="002D5DC9">
              <w:rPr>
                <w:rFonts w:ascii="Arial" w:hAnsi="Arial" w:cs="Arial"/>
                <w:noProof/>
              </w:rPr>
              <w:t>Strong Evidence</w:t>
            </w:r>
          </w:p>
        </w:tc>
      </w:tr>
      <w:tr w:rsidR="004A78D0" w:rsidRPr="00F6275D" w14:paraId="56399E9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9D" w14:textId="77777777" w:rsidR="004A78D0" w:rsidRPr="00F6275D" w:rsidRDefault="004A78D0"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9E" w14:textId="77777777" w:rsidR="004A78D0" w:rsidRPr="00F6275D" w:rsidRDefault="004A78D0" w:rsidP="00C332CB">
            <w:pPr>
              <w:spacing w:after="160"/>
              <w:ind w:left="1"/>
              <w:rPr>
                <w:rFonts w:ascii="Arial" w:hAnsi="Arial" w:cs="Arial"/>
              </w:rPr>
            </w:pPr>
            <w:r w:rsidRPr="002D5DC9">
              <w:rPr>
                <w:rFonts w:ascii="Arial" w:hAnsi="Arial" w:cs="Arial"/>
                <w:noProof/>
              </w:rPr>
              <w:t>Strong Evidence</w:t>
            </w:r>
          </w:p>
        </w:tc>
      </w:tr>
      <w:tr w:rsidR="004A78D0" w:rsidRPr="00F6275D" w14:paraId="56399EA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A0" w14:textId="77777777" w:rsidR="004A78D0" w:rsidRPr="00F6275D" w:rsidRDefault="004A78D0"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A1" w14:textId="77777777" w:rsidR="004A78D0" w:rsidRPr="00F6275D" w:rsidRDefault="004A78D0" w:rsidP="00C332CB">
            <w:pPr>
              <w:spacing w:after="160"/>
              <w:ind w:left="1"/>
              <w:rPr>
                <w:rFonts w:ascii="Arial" w:hAnsi="Arial" w:cs="Arial"/>
              </w:rPr>
            </w:pPr>
            <w:r w:rsidRPr="002D5DC9">
              <w:rPr>
                <w:rFonts w:ascii="Arial" w:hAnsi="Arial" w:cs="Arial"/>
                <w:noProof/>
              </w:rPr>
              <w:t>Moderate Evidence</w:t>
            </w:r>
          </w:p>
        </w:tc>
      </w:tr>
    </w:tbl>
    <w:p w14:paraId="56399EA3" w14:textId="77777777" w:rsidR="004A78D0" w:rsidRPr="00F6275D" w:rsidRDefault="004A78D0"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4A78D0" w:rsidRPr="00F6275D" w14:paraId="56399EA6"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6399EA4" w14:textId="77777777" w:rsidR="004A78D0" w:rsidRPr="00F6275D" w:rsidRDefault="004A78D0"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56399EA5" w14:textId="77777777" w:rsidR="004A78D0" w:rsidRPr="00F6275D" w:rsidRDefault="004A78D0" w:rsidP="00C332CB">
            <w:pPr>
              <w:spacing w:after="160"/>
              <w:rPr>
                <w:rFonts w:ascii="Arial" w:hAnsi="Arial" w:cs="Arial"/>
                <w:b/>
                <w:bCs/>
              </w:rPr>
            </w:pPr>
            <w:r w:rsidRPr="00F6275D">
              <w:rPr>
                <w:rFonts w:ascii="Arial" w:hAnsi="Arial" w:cs="Arial"/>
                <w:b/>
                <w:bCs/>
                <w:color w:val="FFFFFF" w:themeColor="background1"/>
              </w:rPr>
              <w:t>Level of Evidence</w:t>
            </w:r>
          </w:p>
        </w:tc>
      </w:tr>
      <w:tr w:rsidR="004A78D0" w:rsidRPr="00191DCA" w14:paraId="56399EAA"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56399EA7" w14:textId="77777777" w:rsidR="004A78D0" w:rsidRPr="00F6275D" w:rsidRDefault="004A78D0"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56399EA8" w14:textId="77777777" w:rsidR="004A78D0" w:rsidRPr="00F6275D" w:rsidRDefault="004A78D0"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99EA9" w14:textId="77777777" w:rsidR="004A78D0" w:rsidRPr="0012716A" w:rsidRDefault="004A78D0" w:rsidP="00C332CB">
            <w:pPr>
              <w:spacing w:after="160"/>
              <w:ind w:left="1"/>
              <w:rPr>
                <w:rFonts w:ascii="Arial" w:hAnsi="Arial" w:cs="Arial"/>
              </w:rPr>
            </w:pPr>
            <w:r w:rsidRPr="002D5DC9">
              <w:rPr>
                <w:rFonts w:ascii="Arial" w:hAnsi="Arial" w:cs="Arial"/>
                <w:noProof/>
              </w:rPr>
              <w:t>Not Applicable</w:t>
            </w:r>
          </w:p>
        </w:tc>
      </w:tr>
    </w:tbl>
    <w:p w14:paraId="56399EAC" w14:textId="77777777" w:rsidR="00033454" w:rsidRDefault="00033454"/>
    <w:sectPr w:rsidR="000334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B5D58" w14:textId="77777777" w:rsidR="0061529D" w:rsidRDefault="0061529D" w:rsidP="000619F1">
      <w:pPr>
        <w:spacing w:after="0" w:line="240" w:lineRule="auto"/>
      </w:pPr>
      <w:r>
        <w:separator/>
      </w:r>
    </w:p>
  </w:endnote>
  <w:endnote w:type="continuationSeparator" w:id="0">
    <w:p w14:paraId="51C039D0" w14:textId="77777777" w:rsidR="0061529D" w:rsidRDefault="0061529D" w:rsidP="00061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1AA50" w14:textId="77777777" w:rsidR="0061529D" w:rsidRDefault="0061529D" w:rsidP="000619F1">
      <w:pPr>
        <w:spacing w:after="0" w:line="240" w:lineRule="auto"/>
      </w:pPr>
      <w:r>
        <w:separator/>
      </w:r>
    </w:p>
  </w:footnote>
  <w:footnote w:type="continuationSeparator" w:id="0">
    <w:p w14:paraId="0ECEB0CB" w14:textId="77777777" w:rsidR="0061529D" w:rsidRDefault="0061529D" w:rsidP="00061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8D0"/>
    <w:rsid w:val="00033454"/>
    <w:rsid w:val="000619F1"/>
    <w:rsid w:val="00172A3E"/>
    <w:rsid w:val="004A78D0"/>
    <w:rsid w:val="0061529D"/>
    <w:rsid w:val="00C37932"/>
    <w:rsid w:val="00EE186F"/>
    <w:rsid w:val="00FB5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99E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8D0"/>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4A78D0"/>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A78D0"/>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4A78D0"/>
    <w:rPr>
      <w:rFonts w:ascii="Arial" w:eastAsia="Calibri" w:hAnsi="Arial" w:cs="Arial"/>
      <w:b/>
      <w:bCs/>
    </w:rPr>
  </w:style>
  <w:style w:type="table" w:customStyle="1" w:styleId="TableGrid">
    <w:name w:val="TableGrid"/>
    <w:rsid w:val="004A78D0"/>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A78D0"/>
    <w:rPr>
      <w:color w:val="467886" w:themeColor="hyperlink"/>
      <w:u w:val="single"/>
    </w:rPr>
  </w:style>
  <w:style w:type="paragraph" w:styleId="ListParagraph">
    <w:name w:val="List Paragraph"/>
    <w:basedOn w:val="Normal"/>
    <w:uiPriority w:val="34"/>
    <w:qFormat/>
    <w:rsid w:val="004A78D0"/>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061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9F1"/>
  </w:style>
  <w:style w:type="paragraph" w:styleId="Footer">
    <w:name w:val="footer"/>
    <w:basedOn w:val="Normal"/>
    <w:link w:val="FooterChar"/>
    <w:uiPriority w:val="99"/>
    <w:unhideWhenUsed/>
    <w:rsid w:val="00061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Sacramento COE California READS - Professional Learning (CA Dept of Education)</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Sacramento COE California READS - Professional Learning (CA Dept of Education)</dc:title>
  <dc:subject>Program memo for California READS (Rights. Equity. Access. Diversity. Success.) and its module series from the Sacramento County Office of Education (COE).</dc:subject>
  <dc:creator/>
  <cp:keywords/>
  <dc:description/>
  <cp:lastModifiedBy/>
  <cp:revision>1</cp:revision>
  <dcterms:created xsi:type="dcterms:W3CDTF">2026-08-20T21:43:00Z</dcterms:created>
  <dcterms:modified xsi:type="dcterms:W3CDTF">2026-08-20T21:43:00Z</dcterms:modified>
</cp:coreProperties>
</file>