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71F55" w14:textId="77777777" w:rsidR="006C054A" w:rsidRDefault="006C054A"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0D371F56" w14:textId="77777777" w:rsidR="006C054A" w:rsidRPr="00F05864" w:rsidRDefault="006C054A"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6C054A" w:rsidRPr="009529EF" w14:paraId="0D371F59"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D371F57" w14:textId="77777777" w:rsidR="006C054A" w:rsidRPr="009529EF" w:rsidRDefault="006C054A"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0D371F58" w14:textId="77777777" w:rsidR="006C054A" w:rsidRPr="009529EF" w:rsidRDefault="006C054A" w:rsidP="00C332CB">
            <w:pPr>
              <w:spacing w:after="160"/>
              <w:rPr>
                <w:rFonts w:ascii="Arial" w:hAnsi="Arial" w:cs="Arial"/>
                <w:b/>
                <w:bCs/>
              </w:rPr>
            </w:pPr>
            <w:r>
              <w:rPr>
                <w:rFonts w:ascii="Arial" w:hAnsi="Arial" w:cs="Arial"/>
                <w:b/>
                <w:bCs/>
                <w:color w:val="FFFFFF" w:themeColor="background1"/>
              </w:rPr>
              <w:t>Program Name</w:t>
            </w:r>
          </w:p>
        </w:tc>
      </w:tr>
      <w:tr w:rsidR="006C054A" w:rsidRPr="009529EF" w14:paraId="0D371F5C"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D371F5A" w14:textId="77777777" w:rsidR="006C054A" w:rsidRPr="00F6275D" w:rsidRDefault="006C054A" w:rsidP="00C332CB">
            <w:pPr>
              <w:spacing w:after="160"/>
              <w:rPr>
                <w:rFonts w:ascii="Arial" w:hAnsi="Arial" w:cs="Arial"/>
              </w:rPr>
            </w:pPr>
            <w:r w:rsidRPr="002D5DC9">
              <w:rPr>
                <w:rFonts w:ascii="Arial" w:hAnsi="Arial" w:cs="Arial"/>
                <w:noProof/>
              </w:rPr>
              <w:t xml:space="preserve">Study Smart Tutors, </w:t>
            </w:r>
            <w:r>
              <w:rPr>
                <w:rFonts w:ascii="Arial" w:hAnsi="Arial" w:cs="Arial"/>
                <w:noProof/>
              </w:rPr>
              <w:t>Incorporated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71F5B" w14:textId="77777777" w:rsidR="006C054A" w:rsidRPr="00F6275D" w:rsidRDefault="006C054A" w:rsidP="00C332CB">
            <w:pPr>
              <w:spacing w:after="160"/>
              <w:ind w:left="1"/>
              <w:rPr>
                <w:rFonts w:ascii="Arial" w:hAnsi="Arial" w:cs="Arial"/>
              </w:rPr>
            </w:pPr>
            <w:r w:rsidRPr="002D5DC9">
              <w:rPr>
                <w:rFonts w:ascii="Arial" w:hAnsi="Arial" w:cs="Arial"/>
                <w:noProof/>
              </w:rPr>
              <w:t>Study Smart Tutors Early Literacy PD Program (TK–5)</w:t>
            </w:r>
          </w:p>
        </w:tc>
      </w:tr>
    </w:tbl>
    <w:p w14:paraId="0D371F5D" w14:textId="77777777" w:rsidR="006C054A" w:rsidRPr="009529EF" w:rsidRDefault="006C054A"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0D371F5E" w14:textId="77777777" w:rsidR="006C054A" w:rsidRPr="009529EF" w:rsidRDefault="006C054A"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0D371F5F" w14:textId="77777777" w:rsidR="006C054A" w:rsidRPr="009529EF" w:rsidRDefault="006C054A"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0D371F60" w14:textId="77777777" w:rsidR="006C054A" w:rsidRPr="009529EF" w:rsidRDefault="006C054A"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0D371F61" w14:textId="77777777" w:rsidR="006C054A" w:rsidRPr="005F7169" w:rsidRDefault="006C054A"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6C054A" w:rsidRPr="009529EF" w14:paraId="0D371F64"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D371F62" w14:textId="77777777" w:rsidR="006C054A" w:rsidRPr="009529EF" w:rsidRDefault="006C054A"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D371F63" w14:textId="77777777" w:rsidR="006C054A" w:rsidRPr="009529EF" w:rsidRDefault="006C054A"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6C054A" w:rsidRPr="009529EF" w14:paraId="0D371F67"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65" w14:textId="77777777" w:rsidR="006C054A" w:rsidRPr="00106D84" w:rsidRDefault="006C054A"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66" w14:textId="77777777" w:rsidR="006C054A" w:rsidRPr="00F6275D" w:rsidRDefault="006C054A" w:rsidP="3C4C67CA">
            <w:pPr>
              <w:spacing w:after="240"/>
              <w:ind w:left="1"/>
              <w:rPr>
                <w:rFonts w:ascii="Arial" w:hAnsi="Arial" w:cs="Arial"/>
              </w:rPr>
            </w:pPr>
            <w:r w:rsidRPr="002D5DC9">
              <w:rPr>
                <w:rFonts w:ascii="Arial" w:hAnsi="Arial" w:cs="Arial"/>
                <w:noProof/>
              </w:rPr>
              <w:t xml:space="preserve">Study Smart Tutors’ Early Literacy Professional Development Program (TK–5) is a sustained, research-based coaching model grounded in the Science of Reading and Structured Literacy. The program moves beyond one-time workshops by providing a 10–12 week cycle that includes onboarding, self-paced learning modules, collaborative Communities of Practice, site-based implementation support, and sustainability planning. Educators build skills in phonological awareness, phonics, fluency, language development, comprehension, and writing while analyzing student data and refining instruction. The program aligns with the </w:t>
            </w:r>
            <w:r>
              <w:rPr>
                <w:rFonts w:ascii="Arial" w:hAnsi="Arial" w:cs="Arial"/>
                <w:noProof/>
              </w:rPr>
              <w:t>California</w:t>
            </w:r>
            <w:r w:rsidRPr="002D5DC9">
              <w:rPr>
                <w:rFonts w:ascii="Arial" w:hAnsi="Arial" w:cs="Arial"/>
                <w:noProof/>
              </w:rPr>
              <w:t xml:space="preserve"> </w:t>
            </w:r>
            <w:r>
              <w:rPr>
                <w:rFonts w:ascii="Arial" w:hAnsi="Arial" w:cs="Arial"/>
                <w:noProof/>
              </w:rPr>
              <w:t>English Language Arts/English Language Development</w:t>
            </w:r>
            <w:r w:rsidRPr="002D5DC9">
              <w:rPr>
                <w:rFonts w:ascii="Arial" w:hAnsi="Arial" w:cs="Arial"/>
                <w:noProof/>
              </w:rPr>
              <w:t xml:space="preserve"> Framework, California Dyslexia Guidelines, and Quality Professional Learning Standards, and emphasizes explicit, systematic, and multisensory instruction. Participants complete structured modules, submit student work artifacts, and engage in collaborative problem-solving to ensure classroom impact and long-term instructional improvement.</w:t>
            </w:r>
          </w:p>
        </w:tc>
      </w:tr>
      <w:tr w:rsidR="006C054A" w:rsidRPr="009529EF" w14:paraId="0D371F6A"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68" w14:textId="77777777" w:rsidR="006C054A" w:rsidRDefault="006C054A"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69" w14:textId="77777777" w:rsidR="006C054A" w:rsidRPr="00F6275D" w:rsidRDefault="006C054A" w:rsidP="00106D84">
            <w:pPr>
              <w:spacing w:after="240"/>
              <w:ind w:left="1"/>
              <w:rPr>
                <w:rFonts w:ascii="Arial" w:hAnsi="Arial" w:cs="Arial"/>
              </w:rPr>
            </w:pPr>
            <w:r w:rsidRPr="002D5DC9">
              <w:rPr>
                <w:rFonts w:ascii="Arial" w:hAnsi="Arial" w:cs="Arial"/>
                <w:noProof/>
              </w:rPr>
              <w:t>The program is delivered through a blended professional learning model combining live, synchronous sessions with independent, asynchronous coursework across a 10–12 week cycle for 8</w:t>
            </w:r>
            <w:r w:rsidRPr="00562B2F">
              <w:rPr>
                <w:rFonts w:ascii="Arial" w:hAnsi="Arial" w:cs="Arial"/>
                <w:noProof/>
              </w:rPr>
              <w:t>–</w:t>
            </w:r>
            <w:r w:rsidRPr="002D5DC9">
              <w:rPr>
                <w:rFonts w:ascii="Arial" w:hAnsi="Arial" w:cs="Arial"/>
                <w:noProof/>
              </w:rPr>
              <w:t xml:space="preserve">12 hours. Synchronous components include a </w:t>
            </w:r>
            <w:r>
              <w:rPr>
                <w:rFonts w:ascii="Arial" w:hAnsi="Arial" w:cs="Arial"/>
                <w:noProof/>
              </w:rPr>
              <w:t>one</w:t>
            </w:r>
            <w:r w:rsidRPr="002D5DC9">
              <w:rPr>
                <w:rFonts w:ascii="Arial" w:hAnsi="Arial" w:cs="Arial"/>
                <w:noProof/>
              </w:rPr>
              <w:t xml:space="preserve">-hour live onboarding session, </w:t>
            </w:r>
            <w:r>
              <w:rPr>
                <w:rFonts w:ascii="Arial" w:hAnsi="Arial" w:cs="Arial"/>
                <w:noProof/>
              </w:rPr>
              <w:t>four to six</w:t>
            </w:r>
            <w:r w:rsidRPr="002D5DC9">
              <w:rPr>
                <w:rFonts w:ascii="Arial" w:hAnsi="Arial" w:cs="Arial"/>
                <w:noProof/>
              </w:rPr>
              <w:t xml:space="preserve"> live Communities of Practice sessions (60 minutes each), and a </w:t>
            </w:r>
            <w:r>
              <w:rPr>
                <w:rFonts w:ascii="Arial" w:hAnsi="Arial" w:cs="Arial"/>
                <w:noProof/>
              </w:rPr>
              <w:t>one</w:t>
            </w:r>
            <w:r w:rsidRPr="002D5DC9">
              <w:rPr>
                <w:rFonts w:ascii="Arial" w:hAnsi="Arial" w:cs="Arial"/>
                <w:noProof/>
              </w:rPr>
              <w:t xml:space="preserve">-hour live off-boarding session focused on reflection and sustainability. Asynchronous components are completed independently through self-paced LMS modules, embedded assessments, implementation reflections, and artifact submissions (approximately </w:t>
            </w:r>
            <w:r>
              <w:rPr>
                <w:rFonts w:ascii="Arial" w:hAnsi="Arial" w:cs="Arial"/>
                <w:noProof/>
              </w:rPr>
              <w:t>two to three</w:t>
            </w:r>
            <w:r w:rsidRPr="002D5DC9">
              <w:rPr>
                <w:rFonts w:ascii="Arial" w:hAnsi="Arial" w:cs="Arial"/>
                <w:noProof/>
              </w:rPr>
              <w:t xml:space="preserve"> hours total). Educators complete structured literacy coursework independently, then apply learning during live collaborative sessions centered on student work analysis and instructional refinement.</w:t>
            </w:r>
          </w:p>
        </w:tc>
      </w:tr>
      <w:tr w:rsidR="006C054A" w:rsidRPr="00F6275D" w14:paraId="0D371F6D"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6B" w14:textId="77777777" w:rsidR="006C054A" w:rsidRPr="00F6275D" w:rsidRDefault="006C054A"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6C" w14:textId="77777777" w:rsidR="006C054A" w:rsidRPr="00F6275D" w:rsidRDefault="006C054A" w:rsidP="3C4C67CA">
            <w:pPr>
              <w:spacing w:after="240"/>
              <w:ind w:left="1"/>
              <w:rPr>
                <w:rFonts w:ascii="Arial" w:hAnsi="Arial" w:cs="Arial"/>
              </w:rPr>
            </w:pPr>
            <w:r w:rsidRPr="002D5DC9">
              <w:rPr>
                <w:rFonts w:ascii="Arial" w:hAnsi="Arial" w:cs="Arial"/>
                <w:noProof/>
              </w:rPr>
              <w:t xml:space="preserve">Educators complete approximately 8–12 total professional learning hours over a 10–12 week cycle. This includes a </w:t>
            </w:r>
            <w:r>
              <w:rPr>
                <w:rFonts w:ascii="Arial" w:hAnsi="Arial" w:cs="Arial"/>
                <w:noProof/>
              </w:rPr>
              <w:t>one</w:t>
            </w:r>
            <w:r w:rsidRPr="002D5DC9">
              <w:rPr>
                <w:rFonts w:ascii="Arial" w:hAnsi="Arial" w:cs="Arial"/>
                <w:noProof/>
              </w:rPr>
              <w:t xml:space="preserve">-hour onboarding session, </w:t>
            </w:r>
            <w:r>
              <w:rPr>
                <w:rFonts w:ascii="Arial" w:hAnsi="Arial" w:cs="Arial"/>
                <w:noProof/>
              </w:rPr>
              <w:t>four to six</w:t>
            </w:r>
            <w:r w:rsidRPr="002D5DC9">
              <w:rPr>
                <w:rFonts w:ascii="Arial" w:hAnsi="Arial" w:cs="Arial"/>
                <w:noProof/>
              </w:rPr>
              <w:t xml:space="preserve"> Communities of Practice sessions (60 minutes each), a </w:t>
            </w:r>
            <w:r>
              <w:rPr>
                <w:rFonts w:ascii="Arial" w:hAnsi="Arial" w:cs="Arial"/>
                <w:noProof/>
              </w:rPr>
              <w:t>one</w:t>
            </w:r>
            <w:r w:rsidRPr="002D5DC9">
              <w:rPr>
                <w:rFonts w:ascii="Arial" w:hAnsi="Arial" w:cs="Arial"/>
                <w:noProof/>
              </w:rPr>
              <w:t xml:space="preserve">-hour off-boarding session, and approximately </w:t>
            </w:r>
            <w:r>
              <w:rPr>
                <w:rFonts w:ascii="Arial" w:hAnsi="Arial" w:cs="Arial"/>
                <w:noProof/>
              </w:rPr>
              <w:t>two to three</w:t>
            </w:r>
            <w:r w:rsidRPr="002D5DC9">
              <w:rPr>
                <w:rFonts w:ascii="Arial" w:hAnsi="Arial" w:cs="Arial"/>
                <w:noProof/>
              </w:rPr>
              <w:t xml:space="preserve"> hours of independent asynchronous LMS coursework, reflections, and artifact submissions.</w:t>
            </w:r>
          </w:p>
        </w:tc>
      </w:tr>
      <w:tr w:rsidR="006C054A" w:rsidRPr="00F6275D" w14:paraId="0D371F70"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6E" w14:textId="77777777" w:rsidR="006C054A" w:rsidRPr="00F6275D" w:rsidRDefault="006C054A"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6F" w14:textId="77777777" w:rsidR="006C054A" w:rsidRPr="00F6275D" w:rsidRDefault="006C054A" w:rsidP="3C4C67CA">
            <w:pPr>
              <w:spacing w:after="240"/>
              <w:ind w:left="1"/>
              <w:rPr>
                <w:rFonts w:ascii="Arial" w:eastAsia="Times New Roman" w:hAnsi="Arial" w:cs="Arial"/>
              </w:rPr>
            </w:pPr>
            <w:r w:rsidRPr="002D5DC9">
              <w:rPr>
                <w:rFonts w:ascii="Arial" w:eastAsia="Times New Roman" w:hAnsi="Arial" w:cs="Arial"/>
                <w:noProof/>
              </w:rPr>
              <w:t xml:space="preserve">Pricing is structured around the program’s blended professional learning model, with rates aligned to the mix of synchronous and asynchronous components across the 10–12 week cycle (approximately 8–12 total hours). Costs are based on live facilitation time, including the </w:t>
            </w:r>
            <w:r>
              <w:rPr>
                <w:rFonts w:ascii="Arial" w:eastAsia="Times New Roman" w:hAnsi="Arial" w:cs="Arial"/>
                <w:noProof/>
              </w:rPr>
              <w:t>one</w:t>
            </w:r>
            <w:r w:rsidRPr="002D5DC9">
              <w:rPr>
                <w:rFonts w:ascii="Arial" w:eastAsia="Times New Roman" w:hAnsi="Arial" w:cs="Arial"/>
                <w:noProof/>
              </w:rPr>
              <w:t xml:space="preserve">-hour onboarding session, </w:t>
            </w:r>
            <w:r>
              <w:rPr>
                <w:rFonts w:ascii="Arial" w:eastAsia="Times New Roman" w:hAnsi="Arial" w:cs="Arial"/>
                <w:noProof/>
              </w:rPr>
              <w:t>four to six</w:t>
            </w:r>
            <w:r w:rsidRPr="002D5DC9">
              <w:rPr>
                <w:rFonts w:ascii="Arial" w:eastAsia="Times New Roman" w:hAnsi="Arial" w:cs="Arial"/>
                <w:noProof/>
              </w:rPr>
              <w:t xml:space="preserve"> Communities of Practice sessions, and </w:t>
            </w:r>
            <w:r>
              <w:rPr>
                <w:rFonts w:ascii="Arial" w:eastAsia="Times New Roman" w:hAnsi="Arial" w:cs="Arial"/>
                <w:noProof/>
              </w:rPr>
              <w:t>one</w:t>
            </w:r>
            <w:r w:rsidRPr="002D5DC9">
              <w:rPr>
                <w:rFonts w:ascii="Arial" w:eastAsia="Times New Roman" w:hAnsi="Arial" w:cs="Arial"/>
                <w:noProof/>
              </w:rPr>
              <w:t>-hour off-boarding session, as well as access to self-paced LMS modules, assessments, reflections, and artifact review (</w:t>
            </w:r>
            <w:r>
              <w:rPr>
                <w:rFonts w:ascii="Arial" w:eastAsia="Times New Roman" w:hAnsi="Arial" w:cs="Arial"/>
                <w:noProof/>
              </w:rPr>
              <w:t>two to three</w:t>
            </w:r>
            <w:r w:rsidRPr="002D5DC9">
              <w:rPr>
                <w:rFonts w:ascii="Arial" w:eastAsia="Times New Roman" w:hAnsi="Arial" w:cs="Arial"/>
                <w:noProof/>
              </w:rPr>
              <w:t xml:space="preserve"> hours). This structure allows partners to scale the number of sessions, participants, and delivery formats (virtual or in person) based on site priorities, scheduling, and budget. Study Smart Tutors offers flexible pricing models—per participant, per cohort, or per site—to align with district needs while maintaining the full implementation cycle of training, practice, feedback, and refinement.</w:t>
            </w:r>
          </w:p>
        </w:tc>
      </w:tr>
      <w:tr w:rsidR="006C054A" w:rsidRPr="00F6275D" w14:paraId="0D371F73"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71" w14:textId="77777777" w:rsidR="006C054A" w:rsidRPr="00F6275D" w:rsidRDefault="006C054A"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72" w14:textId="77777777" w:rsidR="006C054A" w:rsidRPr="00F6275D" w:rsidRDefault="006C054A" w:rsidP="00106D84">
            <w:pPr>
              <w:spacing w:after="240"/>
              <w:ind w:left="1"/>
              <w:rPr>
                <w:rFonts w:ascii="Arial" w:hAnsi="Arial" w:cs="Arial"/>
              </w:rPr>
            </w:pPr>
            <w:r w:rsidRPr="002D5DC9">
              <w:rPr>
                <w:rFonts w:ascii="Arial" w:hAnsi="Arial" w:cs="Arial"/>
                <w:noProof/>
              </w:rPr>
              <w:t>https://studysmarttutors.com/</w:t>
            </w:r>
          </w:p>
        </w:tc>
      </w:tr>
    </w:tbl>
    <w:p w14:paraId="0D371F74" w14:textId="77777777" w:rsidR="006C054A" w:rsidRPr="00F6275D" w:rsidRDefault="006C054A"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0D371F75" w14:textId="77777777" w:rsidR="006C054A" w:rsidRPr="00F6275D" w:rsidRDefault="006C054A" w:rsidP="006C054A">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0D371F76" w14:textId="77777777" w:rsidR="006C054A" w:rsidRPr="00F6275D" w:rsidRDefault="006C054A" w:rsidP="006C054A">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0D371F77" w14:textId="77777777" w:rsidR="006C054A" w:rsidRPr="00F6275D" w:rsidRDefault="006C054A" w:rsidP="006C054A">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0D371F78" w14:textId="77777777" w:rsidR="006C054A" w:rsidRPr="00F6275D" w:rsidRDefault="006C054A"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6C054A" w:rsidRPr="00F6275D" w14:paraId="0D371F7B"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D371F79" w14:textId="77777777" w:rsidR="006C054A" w:rsidRPr="00F6275D" w:rsidRDefault="006C054A"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D371F7A" w14:textId="77777777" w:rsidR="006C054A" w:rsidRPr="00F6275D" w:rsidRDefault="006C054A" w:rsidP="00C332CB">
            <w:pPr>
              <w:spacing w:after="160"/>
              <w:rPr>
                <w:rFonts w:ascii="Arial" w:hAnsi="Arial" w:cs="Arial"/>
                <w:b/>
                <w:bCs/>
              </w:rPr>
            </w:pPr>
            <w:r w:rsidRPr="00F6275D">
              <w:rPr>
                <w:rFonts w:ascii="Arial" w:hAnsi="Arial" w:cs="Arial"/>
                <w:b/>
                <w:bCs/>
                <w:color w:val="FFFFFF" w:themeColor="background1"/>
              </w:rPr>
              <w:t>Level of Evidence</w:t>
            </w:r>
          </w:p>
        </w:tc>
      </w:tr>
      <w:tr w:rsidR="006C054A" w:rsidRPr="00F6275D" w14:paraId="0D371F7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7C" w14:textId="77777777" w:rsidR="006C054A" w:rsidRPr="00F6275D" w:rsidRDefault="006C054A"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PD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7D" w14:textId="77777777" w:rsidR="006C054A" w:rsidRPr="00F6275D" w:rsidRDefault="006C054A" w:rsidP="00C332CB">
            <w:pPr>
              <w:spacing w:after="160"/>
              <w:ind w:left="1"/>
              <w:rPr>
                <w:rFonts w:ascii="Arial" w:hAnsi="Arial" w:cs="Arial"/>
              </w:rPr>
            </w:pPr>
            <w:r w:rsidRPr="002D5DC9">
              <w:rPr>
                <w:rFonts w:ascii="Arial" w:hAnsi="Arial" w:cs="Arial"/>
                <w:noProof/>
              </w:rPr>
              <w:t>Moderate Evidence</w:t>
            </w:r>
          </w:p>
        </w:tc>
      </w:tr>
      <w:tr w:rsidR="006C054A" w:rsidRPr="00F6275D" w14:paraId="0D371F8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7F" w14:textId="77777777" w:rsidR="006C054A" w:rsidRPr="00F6275D" w:rsidRDefault="006C054A"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80" w14:textId="77777777" w:rsidR="006C054A" w:rsidRPr="00F6275D" w:rsidRDefault="006C054A" w:rsidP="00C332CB">
            <w:pPr>
              <w:spacing w:after="160"/>
              <w:ind w:left="1"/>
              <w:rPr>
                <w:rFonts w:ascii="Arial" w:eastAsia="Times New Roman" w:hAnsi="Arial" w:cs="Arial"/>
              </w:rPr>
            </w:pPr>
            <w:r w:rsidRPr="002D5DC9">
              <w:rPr>
                <w:rFonts w:ascii="Arial" w:eastAsia="Times New Roman" w:hAnsi="Arial" w:cs="Arial"/>
                <w:noProof/>
              </w:rPr>
              <w:t>Minimal Evidence</w:t>
            </w:r>
          </w:p>
        </w:tc>
      </w:tr>
      <w:tr w:rsidR="006C054A" w:rsidRPr="00F6275D" w14:paraId="0D371F8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82" w14:textId="77777777" w:rsidR="006C054A" w:rsidRPr="00F6275D" w:rsidRDefault="006C054A"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83" w14:textId="77777777" w:rsidR="006C054A" w:rsidRPr="00F6275D" w:rsidRDefault="006C054A"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6C054A" w:rsidRPr="00F6275D" w14:paraId="0D371F8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85" w14:textId="77777777" w:rsidR="006C054A" w:rsidRPr="00F6275D" w:rsidRDefault="006C054A"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86" w14:textId="77777777" w:rsidR="006C054A" w:rsidRPr="00F6275D" w:rsidRDefault="006C054A"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0D371F88" w14:textId="77777777" w:rsidR="006C054A" w:rsidRPr="00F6275D" w:rsidRDefault="006C054A"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6C054A" w:rsidRPr="00F6275D" w14:paraId="0D371F8B"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D371F89" w14:textId="77777777" w:rsidR="006C054A" w:rsidRPr="00F6275D" w:rsidRDefault="006C054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D371F8A" w14:textId="77777777" w:rsidR="006C054A" w:rsidRPr="00F6275D" w:rsidRDefault="006C054A" w:rsidP="00C332CB">
            <w:pPr>
              <w:spacing w:after="160"/>
              <w:rPr>
                <w:rFonts w:ascii="Arial" w:hAnsi="Arial" w:cs="Arial"/>
                <w:b/>
                <w:bCs/>
              </w:rPr>
            </w:pPr>
            <w:r w:rsidRPr="00F6275D">
              <w:rPr>
                <w:rFonts w:ascii="Arial" w:hAnsi="Arial" w:cs="Arial"/>
                <w:b/>
                <w:bCs/>
                <w:color w:val="FFFFFF" w:themeColor="background1"/>
              </w:rPr>
              <w:t>Level of Evidence</w:t>
            </w:r>
          </w:p>
        </w:tc>
      </w:tr>
      <w:tr w:rsidR="006C054A" w:rsidRPr="00F6275D" w14:paraId="0D371F8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8C" w14:textId="77777777" w:rsidR="006C054A" w:rsidRPr="00F6275D" w:rsidRDefault="006C054A"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8D" w14:textId="77777777" w:rsidR="006C054A" w:rsidRPr="00F6275D" w:rsidRDefault="006C054A" w:rsidP="00C332CB">
            <w:pPr>
              <w:spacing w:after="160"/>
              <w:ind w:left="1"/>
              <w:rPr>
                <w:rFonts w:ascii="Arial" w:hAnsi="Arial" w:cs="Arial"/>
              </w:rPr>
            </w:pPr>
            <w:r w:rsidRPr="002D5DC9">
              <w:rPr>
                <w:rFonts w:ascii="Arial" w:hAnsi="Arial" w:cs="Arial"/>
                <w:noProof/>
              </w:rPr>
              <w:t>Minimal Evidence</w:t>
            </w:r>
          </w:p>
        </w:tc>
      </w:tr>
      <w:tr w:rsidR="006C054A" w:rsidRPr="00F6275D" w14:paraId="0D371F9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8F" w14:textId="77777777" w:rsidR="006C054A" w:rsidRPr="00F6275D" w:rsidRDefault="006C054A"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90" w14:textId="77777777" w:rsidR="006C054A" w:rsidRPr="00F6275D" w:rsidRDefault="006C054A"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6C054A" w:rsidRPr="00F6275D" w14:paraId="0D371F9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92" w14:textId="77777777" w:rsidR="006C054A" w:rsidRPr="00F6275D" w:rsidRDefault="006C054A"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93" w14:textId="77777777" w:rsidR="006C054A" w:rsidRPr="00F6275D" w:rsidRDefault="006C054A" w:rsidP="00C332CB">
            <w:pPr>
              <w:spacing w:after="160"/>
              <w:ind w:left="1"/>
              <w:rPr>
                <w:rFonts w:ascii="Arial" w:hAnsi="Arial" w:cs="Arial"/>
              </w:rPr>
            </w:pPr>
            <w:r w:rsidRPr="002D5DC9">
              <w:rPr>
                <w:rFonts w:ascii="Arial" w:hAnsi="Arial" w:cs="Arial"/>
                <w:noProof/>
              </w:rPr>
              <w:t>Moderate Evidence</w:t>
            </w:r>
          </w:p>
        </w:tc>
      </w:tr>
      <w:tr w:rsidR="006C054A" w:rsidRPr="00F6275D" w14:paraId="0D371F9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95" w14:textId="77777777" w:rsidR="006C054A" w:rsidRPr="00F6275D" w:rsidRDefault="006C054A"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96" w14:textId="77777777" w:rsidR="006C054A" w:rsidRPr="00F6275D" w:rsidRDefault="006C054A" w:rsidP="00C332CB">
            <w:pPr>
              <w:spacing w:after="160"/>
              <w:ind w:left="1"/>
              <w:rPr>
                <w:rFonts w:ascii="Arial" w:hAnsi="Arial" w:cs="Arial"/>
              </w:rPr>
            </w:pPr>
            <w:r w:rsidRPr="002D5DC9">
              <w:rPr>
                <w:rFonts w:ascii="Arial" w:hAnsi="Arial" w:cs="Arial"/>
                <w:noProof/>
              </w:rPr>
              <w:t>Moderate Evidence</w:t>
            </w:r>
          </w:p>
        </w:tc>
      </w:tr>
      <w:tr w:rsidR="006C054A" w:rsidRPr="00F6275D" w14:paraId="0D371F9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98" w14:textId="77777777" w:rsidR="006C054A" w:rsidRPr="00F6275D" w:rsidRDefault="006C054A"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99" w14:textId="77777777" w:rsidR="006C054A" w:rsidRPr="00F6275D" w:rsidRDefault="006C054A" w:rsidP="00C332CB">
            <w:pPr>
              <w:spacing w:after="160"/>
              <w:ind w:left="1"/>
              <w:rPr>
                <w:rFonts w:ascii="Arial" w:hAnsi="Arial" w:cs="Arial"/>
              </w:rPr>
            </w:pPr>
            <w:r w:rsidRPr="002D5DC9">
              <w:rPr>
                <w:rFonts w:ascii="Arial" w:hAnsi="Arial" w:cs="Arial"/>
                <w:noProof/>
              </w:rPr>
              <w:t>Minimal Evidence</w:t>
            </w:r>
          </w:p>
        </w:tc>
      </w:tr>
      <w:tr w:rsidR="006C054A" w:rsidRPr="00F6275D" w14:paraId="0D371F9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9B" w14:textId="77777777" w:rsidR="006C054A" w:rsidRPr="00F6275D" w:rsidRDefault="006C054A"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9C" w14:textId="77777777" w:rsidR="006C054A" w:rsidRPr="00F6275D" w:rsidRDefault="006C054A" w:rsidP="00C332CB">
            <w:pPr>
              <w:spacing w:after="160"/>
              <w:ind w:left="1"/>
              <w:rPr>
                <w:rFonts w:ascii="Arial" w:hAnsi="Arial" w:cs="Arial"/>
              </w:rPr>
            </w:pPr>
            <w:r w:rsidRPr="002D5DC9">
              <w:rPr>
                <w:rFonts w:ascii="Arial" w:hAnsi="Arial" w:cs="Arial"/>
                <w:noProof/>
              </w:rPr>
              <w:t>Minimal Evidence</w:t>
            </w:r>
          </w:p>
        </w:tc>
      </w:tr>
      <w:tr w:rsidR="006C054A" w:rsidRPr="00F6275D" w14:paraId="0D371FA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9E" w14:textId="77777777" w:rsidR="006C054A" w:rsidRPr="00F6275D" w:rsidRDefault="006C054A"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9F" w14:textId="77777777" w:rsidR="006C054A" w:rsidRPr="00F6275D" w:rsidRDefault="006C054A" w:rsidP="00C332CB">
            <w:pPr>
              <w:spacing w:after="160"/>
              <w:ind w:left="1"/>
              <w:rPr>
                <w:rFonts w:ascii="Arial" w:hAnsi="Arial" w:cs="Arial"/>
              </w:rPr>
            </w:pPr>
            <w:r w:rsidRPr="002D5DC9">
              <w:rPr>
                <w:rFonts w:ascii="Arial" w:hAnsi="Arial" w:cs="Arial"/>
                <w:noProof/>
              </w:rPr>
              <w:t>Minimal Evidence</w:t>
            </w:r>
          </w:p>
        </w:tc>
      </w:tr>
      <w:tr w:rsidR="006C054A" w:rsidRPr="00F6275D" w14:paraId="0D371FA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A1" w14:textId="77777777" w:rsidR="006C054A" w:rsidRPr="00F6275D" w:rsidRDefault="006C054A"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A2" w14:textId="77777777" w:rsidR="006C054A" w:rsidRPr="00F6275D" w:rsidRDefault="006C054A" w:rsidP="00C332CB">
            <w:pPr>
              <w:spacing w:after="160"/>
              <w:ind w:left="1"/>
              <w:rPr>
                <w:rFonts w:ascii="Arial" w:hAnsi="Arial" w:cs="Arial"/>
              </w:rPr>
            </w:pPr>
            <w:r w:rsidRPr="002D5DC9">
              <w:rPr>
                <w:rFonts w:ascii="Arial" w:hAnsi="Arial" w:cs="Arial"/>
                <w:noProof/>
              </w:rPr>
              <w:t>Minimal Evidence</w:t>
            </w:r>
          </w:p>
        </w:tc>
      </w:tr>
      <w:tr w:rsidR="006C054A" w:rsidRPr="00F6275D" w14:paraId="0D371FA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A4" w14:textId="77777777" w:rsidR="006C054A" w:rsidRPr="00F6275D" w:rsidRDefault="006C054A"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A5" w14:textId="77777777" w:rsidR="006C054A" w:rsidRPr="00F6275D" w:rsidRDefault="006C054A" w:rsidP="00C332CB">
            <w:pPr>
              <w:spacing w:after="160"/>
              <w:ind w:left="1"/>
              <w:rPr>
                <w:rFonts w:ascii="Arial" w:hAnsi="Arial" w:cs="Arial"/>
              </w:rPr>
            </w:pPr>
            <w:r w:rsidRPr="002D5DC9">
              <w:rPr>
                <w:rFonts w:ascii="Arial" w:hAnsi="Arial" w:cs="Arial"/>
                <w:noProof/>
              </w:rPr>
              <w:t>Minimal Evidence</w:t>
            </w:r>
          </w:p>
        </w:tc>
      </w:tr>
      <w:tr w:rsidR="006C054A" w:rsidRPr="00F6275D" w14:paraId="0D371FA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A7" w14:textId="77777777" w:rsidR="006C054A" w:rsidRPr="00F6275D" w:rsidRDefault="006C054A" w:rsidP="00C332CB">
            <w:pPr>
              <w:spacing w:after="160" w:line="278" w:lineRule="auto"/>
              <w:rPr>
                <w:rFonts w:ascii="Arial" w:hAnsi="Arial" w:cs="Arial"/>
              </w:rPr>
            </w:pPr>
            <w:r w:rsidRPr="00F6275D">
              <w:rPr>
                <w:rFonts w:ascii="Arial" w:hAnsi="Arial" w:cs="Arial"/>
                <w:color w:val="333333"/>
              </w:rPr>
              <w:lastRenderedPageBreak/>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A8" w14:textId="77777777" w:rsidR="006C054A" w:rsidRPr="00F6275D" w:rsidRDefault="006C054A" w:rsidP="00C332CB">
            <w:pPr>
              <w:spacing w:after="160"/>
              <w:ind w:left="1"/>
              <w:rPr>
                <w:rFonts w:ascii="Arial" w:hAnsi="Arial" w:cs="Arial"/>
              </w:rPr>
            </w:pPr>
            <w:r w:rsidRPr="002D5DC9">
              <w:rPr>
                <w:rFonts w:ascii="Arial" w:hAnsi="Arial" w:cs="Arial"/>
                <w:noProof/>
              </w:rPr>
              <w:t>Minimal Evidence</w:t>
            </w:r>
          </w:p>
        </w:tc>
      </w:tr>
      <w:tr w:rsidR="006C054A" w:rsidRPr="00F6275D" w14:paraId="0D371FA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AA" w14:textId="77777777" w:rsidR="006C054A" w:rsidRPr="00F6275D" w:rsidRDefault="006C054A"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AB" w14:textId="77777777" w:rsidR="006C054A" w:rsidRPr="00F6275D" w:rsidRDefault="006C054A" w:rsidP="00C332CB">
            <w:pPr>
              <w:spacing w:after="160"/>
              <w:ind w:left="1"/>
              <w:rPr>
                <w:rFonts w:ascii="Arial" w:hAnsi="Arial" w:cs="Arial"/>
              </w:rPr>
            </w:pPr>
            <w:r w:rsidRPr="002D5DC9">
              <w:rPr>
                <w:rFonts w:ascii="Arial" w:hAnsi="Arial" w:cs="Arial"/>
                <w:noProof/>
              </w:rPr>
              <w:t>Moderate Evidence</w:t>
            </w:r>
          </w:p>
        </w:tc>
      </w:tr>
      <w:tr w:rsidR="006C054A" w:rsidRPr="00F6275D" w14:paraId="0D371FA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AD" w14:textId="77777777" w:rsidR="006C054A" w:rsidRPr="00F6275D" w:rsidRDefault="006C054A"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AE" w14:textId="77777777" w:rsidR="006C054A" w:rsidRPr="00F6275D" w:rsidRDefault="006C054A" w:rsidP="00C332CB">
            <w:pPr>
              <w:spacing w:after="160"/>
              <w:ind w:left="1"/>
              <w:rPr>
                <w:rFonts w:ascii="Arial" w:hAnsi="Arial" w:cs="Arial"/>
              </w:rPr>
            </w:pPr>
            <w:r w:rsidRPr="002D5DC9">
              <w:rPr>
                <w:rFonts w:ascii="Arial" w:hAnsi="Arial" w:cs="Arial"/>
                <w:noProof/>
              </w:rPr>
              <w:t>Minimal Evidence</w:t>
            </w:r>
          </w:p>
        </w:tc>
      </w:tr>
      <w:tr w:rsidR="006C054A" w:rsidRPr="00F6275D" w14:paraId="0D371FB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B0" w14:textId="77777777" w:rsidR="006C054A" w:rsidRPr="00F6275D" w:rsidRDefault="006C054A"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B1" w14:textId="77777777" w:rsidR="006C054A" w:rsidRPr="00F6275D" w:rsidRDefault="006C054A" w:rsidP="00C332CB">
            <w:pPr>
              <w:spacing w:after="160"/>
              <w:ind w:left="1"/>
              <w:rPr>
                <w:rFonts w:ascii="Arial" w:hAnsi="Arial" w:cs="Arial"/>
              </w:rPr>
            </w:pPr>
            <w:r w:rsidRPr="002D5DC9">
              <w:rPr>
                <w:rFonts w:ascii="Arial" w:hAnsi="Arial" w:cs="Arial"/>
                <w:noProof/>
              </w:rPr>
              <w:t>Minimal Evidence</w:t>
            </w:r>
          </w:p>
        </w:tc>
      </w:tr>
      <w:tr w:rsidR="006C054A" w:rsidRPr="00F6275D" w14:paraId="0D371FB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B3" w14:textId="77777777" w:rsidR="006C054A" w:rsidRPr="00F6275D" w:rsidRDefault="006C054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B4" w14:textId="77777777" w:rsidR="006C054A" w:rsidRPr="00F6275D" w:rsidRDefault="006C054A" w:rsidP="00C332CB">
            <w:pPr>
              <w:spacing w:after="160"/>
              <w:ind w:left="1"/>
              <w:rPr>
                <w:rFonts w:ascii="Arial" w:hAnsi="Arial" w:cs="Arial"/>
              </w:rPr>
            </w:pPr>
            <w:r w:rsidRPr="002D5DC9">
              <w:rPr>
                <w:rFonts w:ascii="Arial" w:hAnsi="Arial" w:cs="Arial"/>
                <w:noProof/>
              </w:rPr>
              <w:t>Minimal Evidence</w:t>
            </w:r>
          </w:p>
        </w:tc>
      </w:tr>
    </w:tbl>
    <w:p w14:paraId="0D371FB6" w14:textId="77777777" w:rsidR="006C054A" w:rsidRPr="00F6275D" w:rsidRDefault="006C054A"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6C054A" w:rsidRPr="00F6275D" w14:paraId="0D371FB9"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D371FB7" w14:textId="77777777" w:rsidR="006C054A" w:rsidRPr="00F6275D" w:rsidRDefault="006C054A"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0D371FB8" w14:textId="77777777" w:rsidR="006C054A" w:rsidRPr="00F6275D" w:rsidRDefault="006C054A" w:rsidP="00C332CB">
            <w:pPr>
              <w:spacing w:after="160"/>
              <w:rPr>
                <w:rFonts w:ascii="Arial" w:hAnsi="Arial" w:cs="Arial"/>
                <w:b/>
                <w:bCs/>
              </w:rPr>
            </w:pPr>
            <w:r w:rsidRPr="00F6275D">
              <w:rPr>
                <w:rFonts w:ascii="Arial" w:hAnsi="Arial" w:cs="Arial"/>
                <w:b/>
                <w:bCs/>
                <w:color w:val="FFFFFF" w:themeColor="background1"/>
              </w:rPr>
              <w:t>Level of Evidence</w:t>
            </w:r>
          </w:p>
        </w:tc>
      </w:tr>
      <w:tr w:rsidR="006C054A" w:rsidRPr="00191DCA" w14:paraId="0D371FBD"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0D371FBA" w14:textId="77777777" w:rsidR="006C054A" w:rsidRPr="00F6275D" w:rsidRDefault="006C054A"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0D371FBB" w14:textId="77777777" w:rsidR="006C054A" w:rsidRPr="00F6275D" w:rsidRDefault="006C054A"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71FBC" w14:textId="77777777" w:rsidR="006C054A" w:rsidRPr="0012716A" w:rsidRDefault="006C054A" w:rsidP="00C332CB">
            <w:pPr>
              <w:spacing w:after="160"/>
              <w:ind w:left="1"/>
              <w:rPr>
                <w:rFonts w:ascii="Arial" w:hAnsi="Arial" w:cs="Arial"/>
              </w:rPr>
            </w:pPr>
            <w:r w:rsidRPr="002D5DC9">
              <w:rPr>
                <w:rFonts w:ascii="Arial" w:hAnsi="Arial" w:cs="Arial"/>
                <w:noProof/>
              </w:rPr>
              <w:t>Not Applicable</w:t>
            </w:r>
          </w:p>
        </w:tc>
      </w:tr>
    </w:tbl>
    <w:p w14:paraId="0D371FBF" w14:textId="77777777" w:rsidR="00766DFC" w:rsidRDefault="00766DFC"/>
    <w:sectPr w:rsidR="00766D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9A088" w14:textId="77777777" w:rsidR="000A0A23" w:rsidRDefault="000A0A23" w:rsidP="00674E73">
      <w:pPr>
        <w:spacing w:after="0" w:line="240" w:lineRule="auto"/>
      </w:pPr>
      <w:r>
        <w:separator/>
      </w:r>
    </w:p>
  </w:endnote>
  <w:endnote w:type="continuationSeparator" w:id="0">
    <w:p w14:paraId="39974B3D" w14:textId="77777777" w:rsidR="000A0A23" w:rsidRDefault="000A0A23" w:rsidP="00674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9C535" w14:textId="77777777" w:rsidR="000A0A23" w:rsidRDefault="000A0A23" w:rsidP="00674E73">
      <w:pPr>
        <w:spacing w:after="0" w:line="240" w:lineRule="auto"/>
      </w:pPr>
      <w:r>
        <w:separator/>
      </w:r>
    </w:p>
  </w:footnote>
  <w:footnote w:type="continuationSeparator" w:id="0">
    <w:p w14:paraId="661B5D01" w14:textId="77777777" w:rsidR="000A0A23" w:rsidRDefault="000A0A23" w:rsidP="00674E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4A"/>
    <w:rsid w:val="000A0A23"/>
    <w:rsid w:val="00153099"/>
    <w:rsid w:val="00172A3E"/>
    <w:rsid w:val="003E6D7A"/>
    <w:rsid w:val="00674E73"/>
    <w:rsid w:val="006C054A"/>
    <w:rsid w:val="00766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71F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54A"/>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6C054A"/>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054A"/>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6C054A"/>
    <w:rPr>
      <w:rFonts w:ascii="Arial" w:eastAsia="Calibri" w:hAnsi="Arial" w:cs="Arial"/>
      <w:b/>
      <w:bCs/>
    </w:rPr>
  </w:style>
  <w:style w:type="table" w:customStyle="1" w:styleId="TableGrid">
    <w:name w:val="TableGrid"/>
    <w:rsid w:val="006C054A"/>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C054A"/>
    <w:rPr>
      <w:color w:val="467886" w:themeColor="hyperlink"/>
      <w:u w:val="single"/>
    </w:rPr>
  </w:style>
  <w:style w:type="paragraph" w:styleId="ListParagraph">
    <w:name w:val="List Paragraph"/>
    <w:basedOn w:val="Normal"/>
    <w:uiPriority w:val="34"/>
    <w:qFormat/>
    <w:rsid w:val="006C054A"/>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674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E73"/>
  </w:style>
  <w:style w:type="paragraph" w:styleId="Footer">
    <w:name w:val="footer"/>
    <w:basedOn w:val="Normal"/>
    <w:link w:val="FooterChar"/>
    <w:uiPriority w:val="99"/>
    <w:unhideWhenUsed/>
    <w:rsid w:val="00674E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Study Smart Tutors Early Literacy Program - Professional Learning (CA Dept of Education)</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Smart Tutors Early Literacy Program - Professional Learning (CA Dept of Education)</dc:title>
  <dc:subject>Program memo for the transitional kindergarten through grade five early literacy program from Study Smart Tutors.</dc:subject>
  <dc:creator/>
  <cp:keywords/>
  <dc:description/>
  <cp:lastModifiedBy/>
  <cp:revision>1</cp:revision>
  <dcterms:created xsi:type="dcterms:W3CDTF">2026-08-20T22:55:00Z</dcterms:created>
  <dcterms:modified xsi:type="dcterms:W3CDTF">2026-08-20T22:55:00Z</dcterms:modified>
</cp:coreProperties>
</file>