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67780" w14:textId="77777777" w:rsidR="004D7996" w:rsidRDefault="004D7996"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40067781" w14:textId="77777777" w:rsidR="004D7996" w:rsidRPr="00F05864" w:rsidRDefault="004D7996"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4D7996" w:rsidRPr="009529EF" w14:paraId="40067784"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40067782" w14:textId="77777777" w:rsidR="004D7996" w:rsidRPr="009529EF" w:rsidRDefault="004D7996"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40067783" w14:textId="77777777" w:rsidR="004D7996" w:rsidRPr="009529EF" w:rsidRDefault="004D7996" w:rsidP="00C332CB">
            <w:pPr>
              <w:spacing w:after="160"/>
              <w:rPr>
                <w:rFonts w:ascii="Arial" w:hAnsi="Arial" w:cs="Arial"/>
                <w:b/>
                <w:bCs/>
              </w:rPr>
            </w:pPr>
            <w:r>
              <w:rPr>
                <w:rFonts w:ascii="Arial" w:hAnsi="Arial" w:cs="Arial"/>
                <w:b/>
                <w:bCs/>
                <w:color w:val="FFFFFF" w:themeColor="background1"/>
              </w:rPr>
              <w:t>Program Name</w:t>
            </w:r>
          </w:p>
        </w:tc>
      </w:tr>
      <w:tr w:rsidR="004D7996" w:rsidRPr="009529EF" w14:paraId="40067787"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0067785" w14:textId="77777777" w:rsidR="004D7996" w:rsidRPr="00F6275D" w:rsidRDefault="004D7996" w:rsidP="00C332CB">
            <w:pPr>
              <w:spacing w:after="160"/>
              <w:rPr>
                <w:rFonts w:ascii="Arial" w:hAnsi="Arial" w:cs="Arial"/>
              </w:rPr>
            </w:pPr>
            <w:r w:rsidRPr="002D5DC9">
              <w:rPr>
                <w:rFonts w:ascii="Arial" w:hAnsi="Arial" w:cs="Arial"/>
                <w:noProof/>
              </w:rPr>
              <w:t>Teaching Lab</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67786" w14:textId="77777777" w:rsidR="004D7996" w:rsidRPr="00F6275D" w:rsidRDefault="004D7996" w:rsidP="00C332CB">
            <w:pPr>
              <w:spacing w:after="160"/>
              <w:ind w:left="1"/>
              <w:rPr>
                <w:rFonts w:ascii="Arial" w:hAnsi="Arial" w:cs="Arial"/>
              </w:rPr>
            </w:pPr>
            <w:r w:rsidRPr="002D5DC9">
              <w:rPr>
                <w:rFonts w:ascii="Arial" w:hAnsi="Arial" w:cs="Arial"/>
                <w:noProof/>
              </w:rPr>
              <w:t>Teaching Lab + Relay: TK–5 Structured Literacy Professional Learning Program</w:t>
            </w:r>
          </w:p>
        </w:tc>
      </w:tr>
    </w:tbl>
    <w:p w14:paraId="40067788" w14:textId="77777777" w:rsidR="004D7996" w:rsidRPr="009529EF" w:rsidRDefault="004D7996"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40067789" w14:textId="77777777" w:rsidR="004D7996" w:rsidRPr="009529EF" w:rsidRDefault="004D7996"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4006778A" w14:textId="77777777" w:rsidR="004D7996" w:rsidRPr="009529EF" w:rsidRDefault="004D7996"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4006778B" w14:textId="77777777" w:rsidR="004D7996" w:rsidRPr="009529EF" w:rsidRDefault="004D7996"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szCs w:val="22"/>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4006778C" w14:textId="77777777" w:rsidR="004D7996" w:rsidRPr="005F7169" w:rsidRDefault="004D7996"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4D7996" w:rsidRPr="009529EF" w14:paraId="4006778F"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006778D" w14:textId="77777777" w:rsidR="004D7996" w:rsidRPr="009529EF" w:rsidRDefault="004D7996"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006778E" w14:textId="77777777" w:rsidR="004D7996" w:rsidRPr="009529EF" w:rsidRDefault="004D7996"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4D7996" w:rsidRPr="009529EF" w14:paraId="40067792"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90" w14:textId="77777777" w:rsidR="004D7996" w:rsidRPr="00106D84" w:rsidRDefault="004D7996"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91" w14:textId="77777777" w:rsidR="004D7996" w:rsidRPr="00F6275D" w:rsidRDefault="004D7996" w:rsidP="3C4C67CA">
            <w:pPr>
              <w:spacing w:after="240"/>
              <w:ind w:left="1"/>
              <w:rPr>
                <w:rFonts w:ascii="Arial" w:hAnsi="Arial" w:cs="Arial"/>
              </w:rPr>
            </w:pPr>
            <w:r w:rsidRPr="002D5DC9">
              <w:rPr>
                <w:rFonts w:ascii="Arial" w:hAnsi="Arial" w:cs="Arial"/>
                <w:noProof/>
              </w:rPr>
              <w:t xml:space="preserve">Teaching Lab and Relay’s TK–5 Structured Literacy Professional Learning Program is an evidence-based professional learning model designed to strengthen literacy outcomes across Tier 1–3. Grounded in the Science of Reading and aligned to the California </w:t>
            </w:r>
            <w:r>
              <w:rPr>
                <w:rFonts w:ascii="Arial" w:hAnsi="Arial" w:cs="Arial"/>
                <w:noProof/>
              </w:rPr>
              <w:t>English Language Arts/English Language Development</w:t>
            </w:r>
            <w:r w:rsidRPr="002D5DC9">
              <w:rPr>
                <w:rFonts w:ascii="Arial" w:hAnsi="Arial" w:cs="Arial"/>
                <w:noProof/>
              </w:rPr>
              <w:t xml:space="preserve"> Framework, Dyslexia Guidelines, and English Learner Roadmap, the program integrates sequenced professional learning modules with differentiated, job-embedded coaching and supported planning for teachers, school leaders, and district leaders. Educators build expertise in foundational skills, language development, comprehension, writing, and comprehensive </w:t>
            </w:r>
            <w:r>
              <w:rPr>
                <w:rFonts w:ascii="Arial" w:hAnsi="Arial" w:cs="Arial"/>
                <w:noProof/>
              </w:rPr>
              <w:t>English language development</w:t>
            </w:r>
            <w:r w:rsidRPr="002D5DC9">
              <w:rPr>
                <w:rFonts w:ascii="Arial" w:hAnsi="Arial" w:cs="Arial"/>
                <w:noProof/>
              </w:rPr>
              <w:t xml:space="preserve"> while strengthening </w:t>
            </w:r>
            <w:r>
              <w:rPr>
                <w:rFonts w:ascii="Arial" w:hAnsi="Arial" w:cs="Arial"/>
                <w:noProof/>
              </w:rPr>
              <w:t>Multi-Tiered System of Support</w:t>
            </w:r>
            <w:r w:rsidRPr="002D5DC9">
              <w:rPr>
                <w:rFonts w:ascii="Arial" w:hAnsi="Arial" w:cs="Arial"/>
                <w:noProof/>
              </w:rPr>
              <w:t>-aligned intervention and assessment practices. The program emphasizes equity, implementation coherence, and continuous improvement to support all students, including multilingual learners and students with dyslexia.</w:t>
            </w:r>
          </w:p>
        </w:tc>
      </w:tr>
      <w:tr w:rsidR="004D7996" w:rsidRPr="009529EF" w14:paraId="40067795"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93" w14:textId="77777777" w:rsidR="004D7996" w:rsidRDefault="004D7996"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94" w14:textId="77777777" w:rsidR="004D7996" w:rsidRPr="00F6275D" w:rsidRDefault="004D7996" w:rsidP="00106D84">
            <w:pPr>
              <w:spacing w:after="240"/>
              <w:ind w:left="1"/>
              <w:rPr>
                <w:rFonts w:ascii="Arial" w:hAnsi="Arial" w:cs="Arial"/>
              </w:rPr>
            </w:pPr>
            <w:r w:rsidRPr="002D5DC9">
              <w:rPr>
                <w:rFonts w:ascii="Arial" w:hAnsi="Arial" w:cs="Arial"/>
                <w:noProof/>
              </w:rPr>
              <w:t>The Teaching Lab + Relay TK–5 Structured Literacy Professional Learning Program is delivered through a combination of synchronous professional learning and job-embedded coaching.</w:t>
            </w:r>
            <w:r>
              <w:rPr>
                <w:rFonts w:ascii="Arial" w:hAnsi="Arial" w:cs="Arial"/>
                <w:noProof/>
              </w:rPr>
              <w:t xml:space="preserve"> </w:t>
            </w:r>
            <w:r w:rsidRPr="002D5DC9">
              <w:rPr>
                <w:rFonts w:ascii="Arial" w:hAnsi="Arial" w:cs="Arial"/>
                <w:noProof/>
              </w:rPr>
              <w:t>Professional Learning Modules are delivered synchronously in person in group settings through monthly 60-minute sessions for teachers and school leaders. Sessions are interactive and collaborative, incorporating modeling, guided practice, rehearsal, and structured reflection.</w:t>
            </w:r>
            <w:r>
              <w:rPr>
                <w:rFonts w:ascii="Arial" w:hAnsi="Arial" w:cs="Arial"/>
                <w:noProof/>
              </w:rPr>
              <w:t xml:space="preserve"> </w:t>
            </w:r>
            <w:r w:rsidRPr="002D5DC9">
              <w:rPr>
                <w:rFonts w:ascii="Arial" w:hAnsi="Arial" w:cs="Arial"/>
                <w:noProof/>
              </w:rPr>
              <w:t xml:space="preserve">Teacher coaching is synchronous and job-embedded, conducted one-on-one in classrooms (in person) through </w:t>
            </w:r>
            <w:r>
              <w:rPr>
                <w:rFonts w:ascii="Arial" w:hAnsi="Arial" w:cs="Arial"/>
                <w:noProof/>
              </w:rPr>
              <w:t>six to eight</w:t>
            </w:r>
            <w:r w:rsidRPr="002D5DC9">
              <w:rPr>
                <w:rFonts w:ascii="Arial" w:hAnsi="Arial" w:cs="Arial"/>
                <w:noProof/>
              </w:rPr>
              <w:t xml:space="preserve"> week inquiry cycles that include observation, modeling, co-planning, feedback, and analysis of student work. Instruction introduced during monthly professional learning sessions is reinforced through these coaching cycles. School leader coaching is synchronous (individual or small group, in person) and includes structured walkthroughs and supported planning. District leader coaching is synchronous, small-group or team-based, deli</w:t>
            </w:r>
            <w:r>
              <w:rPr>
                <w:rFonts w:ascii="Arial" w:hAnsi="Arial" w:cs="Arial"/>
                <w:noProof/>
              </w:rPr>
              <w:t xml:space="preserve">. . . </w:t>
            </w:r>
          </w:p>
        </w:tc>
      </w:tr>
      <w:tr w:rsidR="004D7996" w:rsidRPr="00F6275D" w14:paraId="40067798"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96" w14:textId="77777777" w:rsidR="004D7996" w:rsidRPr="00F6275D" w:rsidRDefault="004D7996"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97" w14:textId="77777777" w:rsidR="004D7996" w:rsidRPr="00F6275D" w:rsidRDefault="004D7996" w:rsidP="3C4C67CA">
            <w:pPr>
              <w:spacing w:after="240"/>
              <w:ind w:left="1"/>
              <w:rPr>
                <w:rFonts w:ascii="Arial" w:hAnsi="Arial" w:cs="Arial"/>
              </w:rPr>
            </w:pPr>
            <w:r w:rsidRPr="002D5DC9">
              <w:rPr>
                <w:rFonts w:ascii="Arial" w:hAnsi="Arial" w:cs="Arial"/>
                <w:noProof/>
              </w:rPr>
              <w:t>Educators participate in monthly 60-minute professional learning sessions (~9–10 hours per cohort/year) and engage in ongoing 6–8 week teacher coaching cycles (~18–24 hours per teacher/year). School leaders receive bi-monthly coaching (~6–8 hours/year) and district leaders receive monthly coaching (~6–9 hours/year)</w:t>
            </w:r>
          </w:p>
        </w:tc>
      </w:tr>
      <w:tr w:rsidR="004D7996" w:rsidRPr="00F6275D" w14:paraId="4006779B"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99" w14:textId="77777777" w:rsidR="004D7996" w:rsidRPr="00F6275D" w:rsidRDefault="004D7996"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9A" w14:textId="77777777" w:rsidR="004D7996" w:rsidRPr="00F6275D" w:rsidRDefault="004D7996" w:rsidP="3C4C67CA">
            <w:pPr>
              <w:spacing w:after="240"/>
              <w:ind w:left="1"/>
              <w:rPr>
                <w:rFonts w:ascii="Arial" w:eastAsia="Times New Roman" w:hAnsi="Arial" w:cs="Arial"/>
              </w:rPr>
            </w:pPr>
            <w:r w:rsidRPr="002D5DC9">
              <w:rPr>
                <w:rFonts w:ascii="Arial" w:eastAsia="Times New Roman" w:hAnsi="Arial" w:cs="Arial"/>
                <w:noProof/>
              </w:rPr>
              <w:t>The program from Teaching Lab and Relay Graduate School of Education is structured as a bundled, yearlong professional learning package rather than a menu of à-la-carte services. Pricing would be organized around cohorts and roles served (teachers, school leaders, district leaders) and reflects integrated delivery of monthly professional learning modules plus ongoing, job-embedded coaching cycles. Our daily rates for the services that are part of the program and outlined in our proposal are: Professional Learning: In-person: $3,000</w:t>
            </w:r>
            <w:r w:rsidRPr="00562B2F">
              <w:rPr>
                <w:rFonts w:ascii="Arial" w:hAnsi="Arial" w:cs="Arial"/>
                <w:noProof/>
              </w:rPr>
              <w:t>–</w:t>
            </w:r>
            <w:r w:rsidRPr="002D5DC9">
              <w:rPr>
                <w:rFonts w:ascii="Arial" w:eastAsia="Times New Roman" w:hAnsi="Arial" w:cs="Arial"/>
                <w:noProof/>
              </w:rPr>
              <w:t>$5,500 per day, Virtual: $1,500</w:t>
            </w:r>
            <w:r w:rsidRPr="00562B2F">
              <w:rPr>
                <w:rFonts w:ascii="Arial" w:hAnsi="Arial" w:cs="Arial"/>
                <w:noProof/>
              </w:rPr>
              <w:t>–</w:t>
            </w:r>
            <w:r w:rsidRPr="002D5DC9">
              <w:rPr>
                <w:rFonts w:ascii="Arial" w:eastAsia="Times New Roman" w:hAnsi="Arial" w:cs="Arial"/>
                <w:noProof/>
              </w:rPr>
              <w:t>$2,000 per day. Coaching: In-person: $2,800</w:t>
            </w:r>
            <w:r w:rsidRPr="00562B2F">
              <w:rPr>
                <w:rFonts w:ascii="Arial" w:hAnsi="Arial" w:cs="Arial"/>
                <w:noProof/>
              </w:rPr>
              <w:t>–</w:t>
            </w:r>
            <w:r w:rsidRPr="002D5DC9">
              <w:rPr>
                <w:rFonts w:ascii="Arial" w:eastAsia="Times New Roman" w:hAnsi="Arial" w:cs="Arial"/>
                <w:noProof/>
              </w:rPr>
              <w:t>$ 3</w:t>
            </w:r>
            <w:r>
              <w:rPr>
                <w:rFonts w:ascii="Arial" w:eastAsia="Times New Roman" w:hAnsi="Arial" w:cs="Arial"/>
                <w:noProof/>
              </w:rPr>
              <w:t>.</w:t>
            </w:r>
            <w:r w:rsidRPr="002D5DC9">
              <w:rPr>
                <w:rFonts w:ascii="Arial" w:eastAsia="Times New Roman" w:hAnsi="Arial" w:cs="Arial"/>
                <w:noProof/>
              </w:rPr>
              <w:t>650 per day, Virtual: $1500</w:t>
            </w:r>
            <w:r w:rsidRPr="00562B2F">
              <w:rPr>
                <w:rFonts w:ascii="Arial" w:hAnsi="Arial" w:cs="Arial"/>
                <w:noProof/>
              </w:rPr>
              <w:t>–</w:t>
            </w:r>
            <w:r w:rsidRPr="002D5DC9">
              <w:rPr>
                <w:rFonts w:ascii="Arial" w:eastAsia="Times New Roman" w:hAnsi="Arial" w:cs="Arial"/>
                <w:noProof/>
              </w:rPr>
              <w:t>$2,000 per day. Consulting/Strategic Planning/System-Wide Support: $250</w:t>
            </w:r>
            <w:r w:rsidRPr="00562B2F">
              <w:rPr>
                <w:rFonts w:ascii="Arial" w:hAnsi="Arial" w:cs="Arial"/>
                <w:noProof/>
              </w:rPr>
              <w:t>–</w:t>
            </w:r>
            <w:r w:rsidRPr="002D5DC9">
              <w:rPr>
                <w:rFonts w:ascii="Arial" w:eastAsia="Times New Roman" w:hAnsi="Arial" w:cs="Arial"/>
                <w:noProof/>
              </w:rPr>
              <w:t>$500 an hour.</w:t>
            </w:r>
          </w:p>
        </w:tc>
      </w:tr>
      <w:tr w:rsidR="004D7996" w:rsidRPr="00F6275D" w14:paraId="4006779E"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9C" w14:textId="77777777" w:rsidR="004D7996" w:rsidRPr="00F6275D" w:rsidRDefault="004D7996"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9D" w14:textId="77777777" w:rsidR="004D7996" w:rsidRPr="00F6275D" w:rsidRDefault="004D7996" w:rsidP="00106D84">
            <w:pPr>
              <w:spacing w:after="240"/>
              <w:ind w:left="1"/>
              <w:rPr>
                <w:rFonts w:ascii="Arial" w:hAnsi="Arial" w:cs="Arial"/>
              </w:rPr>
            </w:pPr>
            <w:r w:rsidRPr="002D5DC9">
              <w:rPr>
                <w:rFonts w:ascii="Arial" w:hAnsi="Arial" w:cs="Arial"/>
                <w:noProof/>
              </w:rPr>
              <w:t>https://teachinglab.org/</w:t>
            </w:r>
          </w:p>
        </w:tc>
      </w:tr>
    </w:tbl>
    <w:p w14:paraId="4006779F" w14:textId="77777777" w:rsidR="004D7996" w:rsidRPr="00F6275D" w:rsidRDefault="004D7996"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400677A0" w14:textId="77777777" w:rsidR="004D7996" w:rsidRPr="00F6275D" w:rsidRDefault="004D7996" w:rsidP="004D7996">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400677A1" w14:textId="77777777" w:rsidR="004D7996" w:rsidRPr="00F6275D" w:rsidRDefault="004D7996" w:rsidP="004D7996">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400677A2" w14:textId="77777777" w:rsidR="004D7996" w:rsidRPr="00F6275D" w:rsidRDefault="004D7996" w:rsidP="004D7996">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400677A3" w14:textId="77777777" w:rsidR="004D7996" w:rsidRPr="00F6275D" w:rsidRDefault="004D7996"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4D7996" w:rsidRPr="00F6275D" w14:paraId="400677A6"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00677A4" w14:textId="77777777" w:rsidR="004D7996" w:rsidRPr="00F6275D" w:rsidRDefault="004D7996" w:rsidP="00C332CB">
            <w:pPr>
              <w:spacing w:after="160"/>
              <w:rPr>
                <w:rFonts w:ascii="Arial" w:hAnsi="Arial" w:cs="Arial"/>
                <w:b/>
                <w:bCs/>
              </w:rPr>
            </w:pPr>
            <w:r w:rsidRPr="00F6275D">
              <w:rPr>
                <w:rFonts w:ascii="Arial" w:hAnsi="Arial" w:cs="Arial"/>
                <w:b/>
                <w:bCs/>
                <w:color w:val="FFFFFF" w:themeColor="background1"/>
              </w:rPr>
              <w:lastRenderedPageBreak/>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00677A5" w14:textId="77777777" w:rsidR="004D7996" w:rsidRPr="00F6275D" w:rsidRDefault="004D7996" w:rsidP="00C332CB">
            <w:pPr>
              <w:spacing w:after="160"/>
              <w:rPr>
                <w:rFonts w:ascii="Arial" w:hAnsi="Arial" w:cs="Arial"/>
                <w:b/>
                <w:bCs/>
              </w:rPr>
            </w:pPr>
            <w:r w:rsidRPr="00F6275D">
              <w:rPr>
                <w:rFonts w:ascii="Arial" w:hAnsi="Arial" w:cs="Arial"/>
                <w:b/>
                <w:bCs/>
                <w:color w:val="FFFFFF" w:themeColor="background1"/>
              </w:rPr>
              <w:t>Level of Evidence</w:t>
            </w:r>
          </w:p>
        </w:tc>
      </w:tr>
      <w:tr w:rsidR="004D7996" w:rsidRPr="00F6275D" w14:paraId="400677A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A7" w14:textId="77777777" w:rsidR="004D7996" w:rsidRPr="00F6275D" w:rsidRDefault="004D7996"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PD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A8" w14:textId="77777777" w:rsidR="004D7996" w:rsidRPr="00F6275D" w:rsidRDefault="004D7996" w:rsidP="00C332CB">
            <w:pPr>
              <w:spacing w:after="160"/>
              <w:ind w:left="1"/>
              <w:rPr>
                <w:rFonts w:ascii="Arial" w:hAnsi="Arial" w:cs="Arial"/>
              </w:rPr>
            </w:pPr>
            <w:r w:rsidRPr="002D5DC9">
              <w:rPr>
                <w:rFonts w:ascii="Arial" w:hAnsi="Arial" w:cs="Arial"/>
                <w:noProof/>
              </w:rPr>
              <w:t>Strong Evidence</w:t>
            </w:r>
          </w:p>
        </w:tc>
      </w:tr>
      <w:tr w:rsidR="004D7996" w:rsidRPr="00F6275D" w14:paraId="400677A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AA" w14:textId="77777777" w:rsidR="004D7996" w:rsidRPr="00F6275D" w:rsidRDefault="004D7996"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AB" w14:textId="77777777" w:rsidR="004D7996" w:rsidRPr="00F6275D" w:rsidRDefault="004D7996"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4D7996" w:rsidRPr="00F6275D" w14:paraId="400677A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AD" w14:textId="77777777" w:rsidR="004D7996" w:rsidRPr="00F6275D" w:rsidRDefault="004D7996"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AE" w14:textId="77777777" w:rsidR="004D7996" w:rsidRPr="00F6275D" w:rsidRDefault="004D7996"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4D7996" w:rsidRPr="00F6275D" w14:paraId="400677B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B0" w14:textId="77777777" w:rsidR="004D7996" w:rsidRPr="00F6275D" w:rsidRDefault="004D7996"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B1" w14:textId="77777777" w:rsidR="004D7996" w:rsidRPr="00F6275D" w:rsidRDefault="004D7996" w:rsidP="00C332CB">
            <w:pPr>
              <w:spacing w:after="160"/>
              <w:ind w:left="1"/>
              <w:rPr>
                <w:rFonts w:ascii="Arial" w:eastAsia="Times New Roman" w:hAnsi="Arial" w:cs="Arial"/>
              </w:rPr>
            </w:pPr>
            <w:r w:rsidRPr="002D5DC9">
              <w:rPr>
                <w:rFonts w:ascii="Arial" w:eastAsia="Times New Roman" w:hAnsi="Arial" w:cs="Arial"/>
                <w:noProof/>
              </w:rPr>
              <w:t>Strong Evidence</w:t>
            </w:r>
          </w:p>
        </w:tc>
      </w:tr>
    </w:tbl>
    <w:p w14:paraId="400677B3" w14:textId="77777777" w:rsidR="004D7996" w:rsidRPr="00F6275D" w:rsidRDefault="004D7996"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4D7996" w:rsidRPr="00F6275D" w14:paraId="400677B6"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00677B4" w14:textId="77777777" w:rsidR="004D7996" w:rsidRPr="00F6275D" w:rsidRDefault="004D7996"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00677B5" w14:textId="77777777" w:rsidR="004D7996" w:rsidRPr="00F6275D" w:rsidRDefault="004D7996" w:rsidP="00C332CB">
            <w:pPr>
              <w:spacing w:after="160"/>
              <w:rPr>
                <w:rFonts w:ascii="Arial" w:hAnsi="Arial" w:cs="Arial"/>
                <w:b/>
                <w:bCs/>
              </w:rPr>
            </w:pPr>
            <w:r w:rsidRPr="00F6275D">
              <w:rPr>
                <w:rFonts w:ascii="Arial" w:hAnsi="Arial" w:cs="Arial"/>
                <w:b/>
                <w:bCs/>
                <w:color w:val="FFFFFF" w:themeColor="background1"/>
              </w:rPr>
              <w:t>Level of Evidence</w:t>
            </w:r>
          </w:p>
        </w:tc>
      </w:tr>
      <w:tr w:rsidR="004D7996" w:rsidRPr="00F6275D" w14:paraId="400677B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B7" w14:textId="77777777" w:rsidR="004D7996" w:rsidRPr="00F6275D" w:rsidRDefault="004D7996"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B8" w14:textId="77777777" w:rsidR="004D7996" w:rsidRPr="00F6275D" w:rsidRDefault="004D7996" w:rsidP="00C332CB">
            <w:pPr>
              <w:spacing w:after="160"/>
              <w:ind w:left="1"/>
              <w:rPr>
                <w:rFonts w:ascii="Arial" w:hAnsi="Arial" w:cs="Arial"/>
              </w:rPr>
            </w:pPr>
            <w:r w:rsidRPr="002D5DC9">
              <w:rPr>
                <w:rFonts w:ascii="Arial" w:hAnsi="Arial" w:cs="Arial"/>
                <w:noProof/>
              </w:rPr>
              <w:t>Strong Evidence</w:t>
            </w:r>
          </w:p>
        </w:tc>
      </w:tr>
      <w:tr w:rsidR="004D7996" w:rsidRPr="00F6275D" w14:paraId="400677B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BA" w14:textId="77777777" w:rsidR="004D7996" w:rsidRPr="00F6275D" w:rsidRDefault="004D7996"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BB" w14:textId="77777777" w:rsidR="004D7996" w:rsidRPr="00F6275D" w:rsidRDefault="004D7996"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4D7996" w:rsidRPr="00F6275D" w14:paraId="400677B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BD" w14:textId="77777777" w:rsidR="004D7996" w:rsidRPr="00F6275D" w:rsidRDefault="004D7996"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BE" w14:textId="77777777" w:rsidR="004D7996" w:rsidRPr="00F6275D" w:rsidRDefault="004D7996" w:rsidP="00C332CB">
            <w:pPr>
              <w:spacing w:after="160"/>
              <w:ind w:left="1"/>
              <w:rPr>
                <w:rFonts w:ascii="Arial" w:hAnsi="Arial" w:cs="Arial"/>
              </w:rPr>
            </w:pPr>
            <w:r w:rsidRPr="002D5DC9">
              <w:rPr>
                <w:rFonts w:ascii="Arial" w:hAnsi="Arial" w:cs="Arial"/>
                <w:noProof/>
              </w:rPr>
              <w:t>Minimal Evidence</w:t>
            </w:r>
          </w:p>
        </w:tc>
      </w:tr>
      <w:tr w:rsidR="004D7996" w:rsidRPr="00F6275D" w14:paraId="400677C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C0" w14:textId="77777777" w:rsidR="004D7996" w:rsidRPr="00F6275D" w:rsidRDefault="004D7996"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C1" w14:textId="77777777" w:rsidR="004D7996" w:rsidRPr="00F6275D" w:rsidRDefault="004D7996" w:rsidP="00C332CB">
            <w:pPr>
              <w:spacing w:after="160"/>
              <w:ind w:left="1"/>
              <w:rPr>
                <w:rFonts w:ascii="Arial" w:hAnsi="Arial" w:cs="Arial"/>
              </w:rPr>
            </w:pPr>
            <w:r w:rsidRPr="002D5DC9">
              <w:rPr>
                <w:rFonts w:ascii="Arial" w:hAnsi="Arial" w:cs="Arial"/>
                <w:noProof/>
              </w:rPr>
              <w:t>Strong Evidence</w:t>
            </w:r>
          </w:p>
        </w:tc>
      </w:tr>
      <w:tr w:rsidR="004D7996" w:rsidRPr="00F6275D" w14:paraId="400677C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C3" w14:textId="77777777" w:rsidR="004D7996" w:rsidRPr="00F6275D" w:rsidRDefault="004D7996"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C4" w14:textId="77777777" w:rsidR="004D7996" w:rsidRPr="00F6275D" w:rsidRDefault="004D7996" w:rsidP="00C332CB">
            <w:pPr>
              <w:spacing w:after="160"/>
              <w:ind w:left="1"/>
              <w:rPr>
                <w:rFonts w:ascii="Arial" w:hAnsi="Arial" w:cs="Arial"/>
              </w:rPr>
            </w:pPr>
            <w:r w:rsidRPr="002D5DC9">
              <w:rPr>
                <w:rFonts w:ascii="Arial" w:hAnsi="Arial" w:cs="Arial"/>
                <w:noProof/>
              </w:rPr>
              <w:t>Moderate Evidence</w:t>
            </w:r>
          </w:p>
        </w:tc>
      </w:tr>
      <w:tr w:rsidR="004D7996" w:rsidRPr="00F6275D" w14:paraId="400677C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C6" w14:textId="77777777" w:rsidR="004D7996" w:rsidRPr="00F6275D" w:rsidRDefault="004D7996"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C7" w14:textId="77777777" w:rsidR="004D7996" w:rsidRPr="00F6275D" w:rsidRDefault="004D7996" w:rsidP="00C332CB">
            <w:pPr>
              <w:spacing w:after="160"/>
              <w:ind w:left="1"/>
              <w:rPr>
                <w:rFonts w:ascii="Arial" w:hAnsi="Arial" w:cs="Arial"/>
              </w:rPr>
            </w:pPr>
            <w:r w:rsidRPr="002D5DC9">
              <w:rPr>
                <w:rFonts w:ascii="Arial" w:hAnsi="Arial" w:cs="Arial"/>
                <w:noProof/>
              </w:rPr>
              <w:t>Moderate Evidence</w:t>
            </w:r>
          </w:p>
        </w:tc>
      </w:tr>
      <w:tr w:rsidR="004D7996" w:rsidRPr="00F6275D" w14:paraId="400677C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C9" w14:textId="77777777" w:rsidR="004D7996" w:rsidRPr="00F6275D" w:rsidRDefault="004D7996"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CA" w14:textId="77777777" w:rsidR="004D7996" w:rsidRPr="00F6275D" w:rsidRDefault="004D7996" w:rsidP="00C332CB">
            <w:pPr>
              <w:spacing w:after="160"/>
              <w:ind w:left="1"/>
              <w:rPr>
                <w:rFonts w:ascii="Arial" w:hAnsi="Arial" w:cs="Arial"/>
              </w:rPr>
            </w:pPr>
            <w:r w:rsidRPr="002D5DC9">
              <w:rPr>
                <w:rFonts w:ascii="Arial" w:hAnsi="Arial" w:cs="Arial"/>
                <w:noProof/>
              </w:rPr>
              <w:t>Minimal Evidence</w:t>
            </w:r>
          </w:p>
        </w:tc>
      </w:tr>
      <w:tr w:rsidR="004D7996" w:rsidRPr="00F6275D" w14:paraId="400677C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CC" w14:textId="77777777" w:rsidR="004D7996" w:rsidRPr="00F6275D" w:rsidRDefault="004D7996"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CD" w14:textId="77777777" w:rsidR="004D7996" w:rsidRPr="00F6275D" w:rsidRDefault="004D7996" w:rsidP="00C332CB">
            <w:pPr>
              <w:spacing w:after="160"/>
              <w:ind w:left="1"/>
              <w:rPr>
                <w:rFonts w:ascii="Arial" w:hAnsi="Arial" w:cs="Arial"/>
              </w:rPr>
            </w:pPr>
            <w:r w:rsidRPr="002D5DC9">
              <w:rPr>
                <w:rFonts w:ascii="Arial" w:hAnsi="Arial" w:cs="Arial"/>
                <w:noProof/>
              </w:rPr>
              <w:t>Moderate Evidence</w:t>
            </w:r>
          </w:p>
        </w:tc>
      </w:tr>
      <w:tr w:rsidR="004D7996" w:rsidRPr="00F6275D" w14:paraId="400677D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CF" w14:textId="77777777" w:rsidR="004D7996" w:rsidRPr="00F6275D" w:rsidRDefault="004D7996"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D0" w14:textId="77777777" w:rsidR="004D7996" w:rsidRPr="00F6275D" w:rsidRDefault="004D7996" w:rsidP="00C332CB">
            <w:pPr>
              <w:spacing w:after="160"/>
              <w:ind w:left="1"/>
              <w:rPr>
                <w:rFonts w:ascii="Arial" w:hAnsi="Arial" w:cs="Arial"/>
              </w:rPr>
            </w:pPr>
            <w:r w:rsidRPr="002D5DC9">
              <w:rPr>
                <w:rFonts w:ascii="Arial" w:hAnsi="Arial" w:cs="Arial"/>
                <w:noProof/>
              </w:rPr>
              <w:t>Moderate Evidence</w:t>
            </w:r>
          </w:p>
        </w:tc>
      </w:tr>
      <w:tr w:rsidR="004D7996" w:rsidRPr="00F6275D" w14:paraId="400677D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D2" w14:textId="77777777" w:rsidR="004D7996" w:rsidRPr="00F6275D" w:rsidRDefault="004D7996" w:rsidP="00C332CB">
            <w:pPr>
              <w:spacing w:after="160" w:line="278" w:lineRule="auto"/>
              <w:rPr>
                <w:rFonts w:ascii="Arial" w:hAnsi="Arial" w:cs="Arial"/>
              </w:rPr>
            </w:pPr>
            <w:r w:rsidRPr="00F6275D">
              <w:rPr>
                <w:rFonts w:ascii="Arial" w:hAnsi="Arial" w:cs="Arial"/>
                <w:color w:val="333333"/>
              </w:rPr>
              <w:lastRenderedPageBreak/>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D3" w14:textId="77777777" w:rsidR="004D7996" w:rsidRPr="00F6275D" w:rsidRDefault="004D7996" w:rsidP="00C332CB">
            <w:pPr>
              <w:spacing w:after="160"/>
              <w:ind w:left="1"/>
              <w:rPr>
                <w:rFonts w:ascii="Arial" w:hAnsi="Arial" w:cs="Arial"/>
              </w:rPr>
            </w:pPr>
            <w:r w:rsidRPr="002D5DC9">
              <w:rPr>
                <w:rFonts w:ascii="Arial" w:hAnsi="Arial" w:cs="Arial"/>
                <w:noProof/>
              </w:rPr>
              <w:t>Minimal Evidence</w:t>
            </w:r>
          </w:p>
        </w:tc>
      </w:tr>
      <w:tr w:rsidR="004D7996" w:rsidRPr="00F6275D" w14:paraId="400677D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D5" w14:textId="77777777" w:rsidR="004D7996" w:rsidRPr="00F6275D" w:rsidRDefault="004D7996"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D6" w14:textId="77777777" w:rsidR="004D7996" w:rsidRPr="00F6275D" w:rsidRDefault="004D7996" w:rsidP="00C332CB">
            <w:pPr>
              <w:spacing w:after="160"/>
              <w:ind w:left="1"/>
              <w:rPr>
                <w:rFonts w:ascii="Arial" w:hAnsi="Arial" w:cs="Arial"/>
              </w:rPr>
            </w:pPr>
            <w:r w:rsidRPr="002D5DC9">
              <w:rPr>
                <w:rFonts w:ascii="Arial" w:hAnsi="Arial" w:cs="Arial"/>
                <w:noProof/>
              </w:rPr>
              <w:t>Moderate Evidence</w:t>
            </w:r>
          </w:p>
        </w:tc>
      </w:tr>
      <w:tr w:rsidR="004D7996" w:rsidRPr="00F6275D" w14:paraId="400677D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D8" w14:textId="77777777" w:rsidR="004D7996" w:rsidRPr="00F6275D" w:rsidRDefault="004D7996"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D9" w14:textId="77777777" w:rsidR="004D7996" w:rsidRPr="00F6275D" w:rsidRDefault="004D7996" w:rsidP="00C332CB">
            <w:pPr>
              <w:spacing w:after="160"/>
              <w:ind w:left="1"/>
              <w:rPr>
                <w:rFonts w:ascii="Arial" w:hAnsi="Arial" w:cs="Arial"/>
              </w:rPr>
            </w:pPr>
            <w:r w:rsidRPr="002D5DC9">
              <w:rPr>
                <w:rFonts w:ascii="Arial" w:hAnsi="Arial" w:cs="Arial"/>
                <w:noProof/>
              </w:rPr>
              <w:t>Moderate Evidence</w:t>
            </w:r>
          </w:p>
        </w:tc>
      </w:tr>
      <w:tr w:rsidR="004D7996" w:rsidRPr="00F6275D" w14:paraId="400677D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DB" w14:textId="77777777" w:rsidR="004D7996" w:rsidRPr="00F6275D" w:rsidRDefault="004D7996"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DC" w14:textId="77777777" w:rsidR="004D7996" w:rsidRPr="00F6275D" w:rsidRDefault="004D7996" w:rsidP="00C332CB">
            <w:pPr>
              <w:spacing w:after="160"/>
              <w:ind w:left="1"/>
              <w:rPr>
                <w:rFonts w:ascii="Arial" w:hAnsi="Arial" w:cs="Arial"/>
              </w:rPr>
            </w:pPr>
            <w:r w:rsidRPr="002D5DC9">
              <w:rPr>
                <w:rFonts w:ascii="Arial" w:hAnsi="Arial" w:cs="Arial"/>
                <w:noProof/>
              </w:rPr>
              <w:t>Minimal Evidence</w:t>
            </w:r>
          </w:p>
        </w:tc>
      </w:tr>
      <w:tr w:rsidR="004D7996" w:rsidRPr="00F6275D" w14:paraId="400677E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DE" w14:textId="77777777" w:rsidR="004D7996" w:rsidRPr="00F6275D" w:rsidRDefault="004D7996"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DF" w14:textId="77777777" w:rsidR="004D7996" w:rsidRPr="00F6275D" w:rsidRDefault="004D7996" w:rsidP="00C332CB">
            <w:pPr>
              <w:spacing w:after="160"/>
              <w:ind w:left="1"/>
              <w:rPr>
                <w:rFonts w:ascii="Arial" w:hAnsi="Arial" w:cs="Arial"/>
              </w:rPr>
            </w:pPr>
            <w:r w:rsidRPr="002D5DC9">
              <w:rPr>
                <w:rFonts w:ascii="Arial" w:hAnsi="Arial" w:cs="Arial"/>
                <w:noProof/>
              </w:rPr>
              <w:t>Minimal Evidence</w:t>
            </w:r>
          </w:p>
        </w:tc>
      </w:tr>
    </w:tbl>
    <w:p w14:paraId="400677E1" w14:textId="77777777" w:rsidR="004D7996" w:rsidRPr="00F6275D" w:rsidRDefault="004D7996"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4D7996" w:rsidRPr="00F6275D" w14:paraId="400677E4"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00677E2" w14:textId="77777777" w:rsidR="004D7996" w:rsidRPr="00F6275D" w:rsidRDefault="004D7996"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00677E3" w14:textId="77777777" w:rsidR="004D7996" w:rsidRPr="00F6275D" w:rsidRDefault="004D7996" w:rsidP="00C332CB">
            <w:pPr>
              <w:spacing w:after="160"/>
              <w:rPr>
                <w:rFonts w:ascii="Arial" w:hAnsi="Arial" w:cs="Arial"/>
                <w:b/>
                <w:bCs/>
              </w:rPr>
            </w:pPr>
            <w:r w:rsidRPr="00F6275D">
              <w:rPr>
                <w:rFonts w:ascii="Arial" w:hAnsi="Arial" w:cs="Arial"/>
                <w:b/>
                <w:bCs/>
                <w:color w:val="FFFFFF" w:themeColor="background1"/>
              </w:rPr>
              <w:t>Level of Evidence</w:t>
            </w:r>
          </w:p>
        </w:tc>
      </w:tr>
      <w:tr w:rsidR="004D7996" w:rsidRPr="00191DCA" w14:paraId="400677E8"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00677E5" w14:textId="77777777" w:rsidR="004D7996" w:rsidRPr="00F6275D" w:rsidRDefault="004D7996"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400677E6" w14:textId="77777777" w:rsidR="004D7996" w:rsidRPr="00F6275D" w:rsidRDefault="004D7996"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77E7" w14:textId="77777777" w:rsidR="004D7996" w:rsidRPr="0012716A" w:rsidRDefault="004D7996" w:rsidP="00C332CB">
            <w:pPr>
              <w:spacing w:after="160"/>
              <w:ind w:left="1"/>
              <w:rPr>
                <w:rFonts w:ascii="Arial" w:hAnsi="Arial" w:cs="Arial"/>
              </w:rPr>
            </w:pPr>
            <w:r w:rsidRPr="002D5DC9">
              <w:rPr>
                <w:rFonts w:ascii="Arial" w:hAnsi="Arial" w:cs="Arial"/>
                <w:noProof/>
              </w:rPr>
              <w:t>Not Applicable</w:t>
            </w:r>
          </w:p>
        </w:tc>
      </w:tr>
    </w:tbl>
    <w:p w14:paraId="400677EA" w14:textId="77777777" w:rsidR="00543D8F" w:rsidRDefault="00543D8F"/>
    <w:sectPr w:rsidR="00543D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FC56C" w14:textId="77777777" w:rsidR="00F12EC5" w:rsidRDefault="00F12EC5" w:rsidP="00A60E29">
      <w:pPr>
        <w:spacing w:after="0" w:line="240" w:lineRule="auto"/>
      </w:pPr>
      <w:r>
        <w:separator/>
      </w:r>
    </w:p>
  </w:endnote>
  <w:endnote w:type="continuationSeparator" w:id="0">
    <w:p w14:paraId="75BDE412" w14:textId="77777777" w:rsidR="00F12EC5" w:rsidRDefault="00F12EC5" w:rsidP="00A60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217DF" w14:textId="77777777" w:rsidR="00F12EC5" w:rsidRDefault="00F12EC5" w:rsidP="00A60E29">
      <w:pPr>
        <w:spacing w:after="0" w:line="240" w:lineRule="auto"/>
      </w:pPr>
      <w:r>
        <w:separator/>
      </w:r>
    </w:p>
  </w:footnote>
  <w:footnote w:type="continuationSeparator" w:id="0">
    <w:p w14:paraId="034CBF2F" w14:textId="77777777" w:rsidR="00F12EC5" w:rsidRDefault="00F12EC5" w:rsidP="00A60E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996"/>
    <w:rsid w:val="00172A3E"/>
    <w:rsid w:val="004D7996"/>
    <w:rsid w:val="00543D8F"/>
    <w:rsid w:val="005E2B69"/>
    <w:rsid w:val="008A459C"/>
    <w:rsid w:val="00A60E29"/>
    <w:rsid w:val="00F12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677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7996"/>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4D7996"/>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D7996"/>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4D7996"/>
    <w:rPr>
      <w:rFonts w:ascii="Arial" w:eastAsia="Calibri" w:hAnsi="Arial" w:cs="Arial"/>
      <w:b/>
      <w:bCs/>
    </w:rPr>
  </w:style>
  <w:style w:type="table" w:customStyle="1" w:styleId="TableGrid">
    <w:name w:val="TableGrid"/>
    <w:rsid w:val="004D7996"/>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D7996"/>
    <w:rPr>
      <w:color w:val="467886" w:themeColor="hyperlink"/>
      <w:u w:val="single"/>
    </w:rPr>
  </w:style>
  <w:style w:type="paragraph" w:styleId="ListParagraph">
    <w:name w:val="List Paragraph"/>
    <w:basedOn w:val="Normal"/>
    <w:uiPriority w:val="34"/>
    <w:qFormat/>
    <w:rsid w:val="004D7996"/>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A60E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E29"/>
  </w:style>
  <w:style w:type="paragraph" w:styleId="Footer">
    <w:name w:val="footer"/>
    <w:basedOn w:val="Normal"/>
    <w:link w:val="FooterChar"/>
    <w:uiPriority w:val="99"/>
    <w:unhideWhenUsed/>
    <w:rsid w:val="00A60E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1334</Words>
  <Characters>7610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Teaching Lab + Relay Structured Literacy - Professional Learning (CA Dept of Education)</vt:lpstr>
    </vt:vector>
  </TitlesOfParts>
  <Company/>
  <LinksUpToDate>false</LinksUpToDate>
  <CharactersWithSpaces>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Lab + Relay Structured Literacy - Professional Learning (CA Dept of Education)</dc:title>
  <dc:subject>Program memo for the transitional kindergarten through grade five structured literacy program from Teaching Lab and Relay.</dc:subject>
  <dc:creator/>
  <cp:keywords/>
  <dc:description/>
  <cp:lastModifiedBy/>
  <cp:revision>1</cp:revision>
  <dcterms:created xsi:type="dcterms:W3CDTF">2026-08-20T22:55:00Z</dcterms:created>
  <dcterms:modified xsi:type="dcterms:W3CDTF">2026-08-20T22:56:00Z</dcterms:modified>
</cp:coreProperties>
</file>