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DB106" w14:textId="77777777" w:rsidR="0070460D" w:rsidRDefault="0070460D"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76EDB107" w14:textId="77777777" w:rsidR="0070460D" w:rsidRPr="00F05864" w:rsidRDefault="0070460D"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70460D" w:rsidRPr="009529EF" w14:paraId="76EDB10A"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6EDB108" w14:textId="77777777" w:rsidR="0070460D" w:rsidRPr="009529EF" w:rsidRDefault="0070460D"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6EDB109" w14:textId="77777777" w:rsidR="0070460D" w:rsidRPr="009529EF" w:rsidRDefault="0070460D" w:rsidP="00C332CB">
            <w:pPr>
              <w:spacing w:after="160"/>
              <w:rPr>
                <w:rFonts w:ascii="Arial" w:hAnsi="Arial" w:cs="Arial"/>
                <w:b/>
                <w:bCs/>
              </w:rPr>
            </w:pPr>
            <w:r>
              <w:rPr>
                <w:rFonts w:ascii="Arial" w:hAnsi="Arial" w:cs="Arial"/>
                <w:b/>
                <w:bCs/>
                <w:color w:val="FFFFFF" w:themeColor="background1"/>
              </w:rPr>
              <w:t>Program Name</w:t>
            </w:r>
          </w:p>
        </w:tc>
      </w:tr>
      <w:tr w:rsidR="0070460D" w:rsidRPr="009529EF" w14:paraId="76EDB10D"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EDB10B" w14:textId="77777777" w:rsidR="0070460D" w:rsidRPr="00F6275D" w:rsidRDefault="0070460D" w:rsidP="00C332CB">
            <w:pPr>
              <w:spacing w:after="160"/>
              <w:rPr>
                <w:rFonts w:ascii="Arial" w:hAnsi="Arial" w:cs="Arial"/>
              </w:rPr>
            </w:pPr>
            <w:r w:rsidRPr="002D5DC9">
              <w:rPr>
                <w:rFonts w:ascii="Arial" w:hAnsi="Arial" w:cs="Arial"/>
                <w:noProof/>
              </w:rPr>
              <w:t>The Reading League</w:t>
            </w:r>
            <w:r>
              <w:rPr>
                <w:rFonts w:ascii="Arial" w:hAnsi="Arial" w:cs="Arial"/>
                <w:noProof/>
              </w:rPr>
              <w:t xml:space="preserve"> (TRL)</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DB10C" w14:textId="0659EE4A" w:rsidR="0070460D" w:rsidRPr="00F6275D" w:rsidRDefault="0070460D" w:rsidP="00C332CB">
            <w:pPr>
              <w:spacing w:after="160"/>
              <w:ind w:left="1"/>
              <w:rPr>
                <w:rFonts w:ascii="Arial" w:hAnsi="Arial" w:cs="Arial"/>
              </w:rPr>
            </w:pPr>
            <w:r w:rsidRPr="002D5DC9">
              <w:rPr>
                <w:rFonts w:ascii="Arial" w:hAnsi="Arial" w:cs="Arial"/>
                <w:noProof/>
              </w:rPr>
              <w:t>Building Coherent, Evidence-Aligned Literacy Systems; Professional Learning Series for Teachers &amp; Leaders; Building Coherent Literacy Systems through the Science of Reading: What Leaders Need to Know Teaching Reading With Intention &amp; Evidence; Essentials</w:t>
            </w:r>
            <w:r w:rsidR="00A20318">
              <w:rPr>
                <w:rFonts w:ascii="Arial" w:hAnsi="Arial" w:cs="Arial"/>
                <w:noProof/>
              </w:rPr>
              <w:t xml:space="preserve"> </w:t>
            </w:r>
            <w:r w:rsidR="00A20318" w:rsidRPr="00A20318">
              <w:rPr>
                <w:rFonts w:ascii="Arial" w:hAnsi="Arial" w:cs="Arial"/>
                <w:noProof/>
              </w:rPr>
              <w:t>of Phonemic Awareness; Essentials of Phonic Knowledge; Remediating Gaps in Word Recognition; Essentials of Fluency;  Essentials of Assessment; Advanced Word Study; Language &amp; Vocabulary Development; Building Comprehension: Knowledge, Complex Text, &amp; Metacognition; Essentials of Writing; Sentence Level Comprehension &amp; Composition; Data-Driven Literacy Instruction: Practical Guide to Assessment, Analysis, &amp; Intervention; Leading Instructional Shifts: Focus on Implementation &amp; De-Implementation</w:t>
            </w:r>
          </w:p>
        </w:tc>
      </w:tr>
    </w:tbl>
    <w:p w14:paraId="76EDB10E" w14:textId="77777777" w:rsidR="0070460D" w:rsidRPr="009529EF" w:rsidRDefault="0070460D"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76EDB10F" w14:textId="77777777" w:rsidR="0070460D" w:rsidRPr="009529EF" w:rsidRDefault="0070460D"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76EDB110" w14:textId="77777777" w:rsidR="0070460D" w:rsidRPr="009529EF" w:rsidRDefault="0070460D" w:rsidP="7EB55DE3">
      <w:pPr>
        <w:spacing w:before="240" w:after="240"/>
        <w:rPr>
          <w:rFonts w:ascii="Arial" w:hAnsi="Arial" w:cs="Arial"/>
        </w:rPr>
      </w:pPr>
      <w:r w:rsidRPr="42DEA662">
        <w:rPr>
          <w:rFonts w:ascii="Arial" w:hAnsi="Arial" w:cs="Arial"/>
        </w:rPr>
        <w:t xml:space="preserve">Each professional development provider submitted a detailed narrative response and citations to evidentiary materials for each criterion. Program submissions were evaluated by a review committee with expertise in evidence-based literacy instruction, </w:t>
      </w:r>
      <w:r w:rsidRPr="42DEA662">
        <w:rPr>
          <w:rFonts w:ascii="Arial" w:hAnsi="Arial" w:cs="Arial"/>
        </w:rPr>
        <w:lastRenderedPageBreak/>
        <w:t>English language development, and effective professional development; all members attested to no conflict of interest with the programs they reviewed.</w:t>
      </w:r>
    </w:p>
    <w:p w14:paraId="76EDB111" w14:textId="77777777" w:rsidR="0070460D" w:rsidRPr="009529EF" w:rsidRDefault="0070460D"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76EDB112" w14:textId="77777777" w:rsidR="0070460D" w:rsidRPr="005F7169" w:rsidRDefault="0070460D" w:rsidP="00667FE5">
      <w:pPr>
        <w:pStyle w:val="Heading2"/>
      </w:pPr>
      <w:r w:rsidRPr="005F7169">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70460D" w:rsidRPr="009529EF" w14:paraId="76EDB115"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6EDB113" w14:textId="77777777" w:rsidR="0070460D" w:rsidRPr="009529EF" w:rsidRDefault="0070460D"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6EDB114" w14:textId="77777777" w:rsidR="0070460D" w:rsidRPr="009529EF" w:rsidRDefault="0070460D"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70460D" w:rsidRPr="009529EF" w14:paraId="76EDB11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16" w14:textId="77777777" w:rsidR="0070460D" w:rsidRPr="00106D84" w:rsidRDefault="0070460D"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17" w14:textId="77777777" w:rsidR="0070460D" w:rsidRPr="00F6275D" w:rsidRDefault="0070460D" w:rsidP="3C4C67CA">
            <w:pPr>
              <w:spacing w:after="240"/>
              <w:ind w:left="1"/>
              <w:rPr>
                <w:rFonts w:ascii="Arial" w:hAnsi="Arial" w:cs="Arial"/>
              </w:rPr>
            </w:pPr>
            <w:r w:rsidRPr="002D5DC9">
              <w:rPr>
                <w:rFonts w:ascii="Arial" w:hAnsi="Arial" w:cs="Arial"/>
                <w:noProof/>
              </w:rPr>
              <w:t>TRL</w:t>
            </w:r>
            <w:r>
              <w:rPr>
                <w:rFonts w:ascii="Arial" w:hAnsi="Arial" w:cs="Arial"/>
                <w:noProof/>
              </w:rPr>
              <w:t>’s</w:t>
            </w:r>
            <w:r w:rsidRPr="002D5DC9">
              <w:rPr>
                <w:rFonts w:ascii="Arial" w:hAnsi="Arial" w:cs="Arial"/>
                <w:noProof/>
              </w:rPr>
              <w:t xml:space="preserve"> professional learning program is a structured, evidence-aligned literacy professional development model designed to support </w:t>
            </w:r>
            <w:r>
              <w:rPr>
                <w:rFonts w:ascii="Arial" w:hAnsi="Arial" w:cs="Arial"/>
                <w:noProof/>
              </w:rPr>
              <w:t>transitional kindergarten through grade five</w:t>
            </w:r>
            <w:r w:rsidRPr="002D5DC9">
              <w:rPr>
                <w:rFonts w:ascii="Arial" w:hAnsi="Arial" w:cs="Arial"/>
                <w:noProof/>
              </w:rPr>
              <w:t xml:space="preserve"> educators, school leaders, and instructional support staff in implementing effective literacy instruction. The program builds educator knowledge of foundational literacy skills, language comprehension, and instructional decision-making aligned to California’s </w:t>
            </w:r>
            <w:r>
              <w:rPr>
                <w:rFonts w:ascii="Arial" w:hAnsi="Arial" w:cs="Arial"/>
                <w:noProof/>
              </w:rPr>
              <w:t>English Language Arts/English Language Development</w:t>
            </w:r>
            <w:r w:rsidRPr="002D5DC9">
              <w:rPr>
                <w:rFonts w:ascii="Arial" w:hAnsi="Arial" w:cs="Arial"/>
                <w:noProof/>
              </w:rPr>
              <w:t xml:space="preserve"> Framework and Dyslexia Guidelines. Through sequenced learning experiences, collaborative application, and implementation support, participants strengthen their ability to deliver systematic, explicit literacy instruction responsive to diverse learners, including English learners and students with reading difficulties. The program is designed to support sustained instructional improvement through shared learning, reflection, and ongoing coaching.</w:t>
            </w:r>
          </w:p>
        </w:tc>
      </w:tr>
      <w:tr w:rsidR="0070460D" w:rsidRPr="009529EF" w14:paraId="76EDB11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19" w14:textId="77777777" w:rsidR="0070460D" w:rsidRDefault="0070460D" w:rsidP="00CD7E12">
            <w:pPr>
              <w:rPr>
                <w:rFonts w:ascii="Arial" w:hAnsi="Arial" w:cs="Arial"/>
                <w:b/>
                <w:color w:val="122240"/>
              </w:rPr>
            </w:pPr>
            <w:r>
              <w:rPr>
                <w:rFonts w:ascii="Arial" w:hAnsi="Arial" w:cs="Arial"/>
                <w:b/>
                <w:color w:val="122240"/>
              </w:rPr>
              <w:lastRenderedPageBreak/>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1A" w14:textId="77777777" w:rsidR="0070460D" w:rsidRPr="00F6275D" w:rsidRDefault="0070460D" w:rsidP="00106D84">
            <w:pPr>
              <w:spacing w:after="240"/>
              <w:ind w:left="1"/>
              <w:rPr>
                <w:rFonts w:ascii="Arial" w:hAnsi="Arial" w:cs="Arial"/>
              </w:rPr>
            </w:pPr>
            <w:r w:rsidRPr="002D5DC9">
              <w:rPr>
                <w:rFonts w:ascii="Arial" w:hAnsi="Arial" w:cs="Arial"/>
                <w:noProof/>
              </w:rPr>
              <w:t>TRL delivers professional learning through a structured blended model that integrates virtual and in-person Core Knowledge Sessions, delivered synchronously to groups of educators, administrators, or leadership teams, with independent engagement. These facilitator-led sessions emphasize interactive learning, discussion, and application of evidence-aligned literacy practices. Implementation support is provided through a combination of scheduled virtual meetings and in-person site visits, allowing for coaching, feedback, and reflection. Prior to delivery, TRL collaborates with school and district leaders to integrate local curricula, instructional priorities, and instructional structures into the design and delivery of the professional learning. Independent learning opportunities, including access to curated resources and materials, are available to all participants to reinforce and extend learning.</w:t>
            </w:r>
          </w:p>
        </w:tc>
      </w:tr>
      <w:tr w:rsidR="0070460D" w:rsidRPr="00F6275D" w14:paraId="76EDB11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1C" w14:textId="77777777" w:rsidR="0070460D" w:rsidRPr="00F6275D" w:rsidRDefault="0070460D"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1D" w14:textId="77777777" w:rsidR="0070460D" w:rsidRPr="00F6275D" w:rsidRDefault="0070460D" w:rsidP="3C4C67CA">
            <w:pPr>
              <w:spacing w:after="240"/>
              <w:ind w:left="1"/>
              <w:rPr>
                <w:rFonts w:ascii="Arial" w:hAnsi="Arial" w:cs="Arial"/>
              </w:rPr>
            </w:pPr>
            <w:r w:rsidRPr="002D5DC9">
              <w:rPr>
                <w:rFonts w:ascii="Arial" w:hAnsi="Arial" w:cs="Arial"/>
                <w:noProof/>
              </w:rPr>
              <w:t xml:space="preserve">The time required to complete training is determined by the services selected by the district. Core Knowledge Sessions are delivered as full-day professional learning experiences. Educators may participate in one or multiple sessions based on district goals and implementation plans. Educator coaching is provided over a </w:t>
            </w:r>
            <w:r>
              <w:rPr>
                <w:rFonts w:ascii="Arial" w:hAnsi="Arial" w:cs="Arial"/>
                <w:noProof/>
              </w:rPr>
              <w:t>nine</w:t>
            </w:r>
            <w:r w:rsidRPr="002D5DC9">
              <w:rPr>
                <w:rFonts w:ascii="Arial" w:hAnsi="Arial" w:cs="Arial"/>
                <w:noProof/>
              </w:rPr>
              <w:t>-month school-year term through regularly scheduled sessions that support instructional implementation. Administrator coaching is delivered over a 10-month school-year term, aligning the work of administrators in creating systems and structures that complement educators’ instructional goals. Optional services require additional time. All services are delivered within defined timeframes and are non-recurring unless renewed.</w:t>
            </w:r>
          </w:p>
        </w:tc>
      </w:tr>
      <w:tr w:rsidR="0070460D" w:rsidRPr="00F6275D" w14:paraId="76EDB12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1F" w14:textId="77777777" w:rsidR="0070460D" w:rsidRPr="00F6275D" w:rsidRDefault="0070460D" w:rsidP="00CD7E12">
            <w:pPr>
              <w:rPr>
                <w:rFonts w:ascii="Arial" w:hAnsi="Arial" w:cs="Arial"/>
              </w:rPr>
            </w:pPr>
            <w:r w:rsidRPr="00F6275D">
              <w:rPr>
                <w:rFonts w:ascii="Arial" w:hAnsi="Arial" w:cs="Arial"/>
                <w:b/>
                <w:color w:val="122240"/>
              </w:rPr>
              <w:lastRenderedPageBreak/>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20" w14:textId="77777777" w:rsidR="0070460D" w:rsidRPr="00F6275D" w:rsidRDefault="0070460D" w:rsidP="3C4C67CA">
            <w:pPr>
              <w:spacing w:after="240"/>
              <w:ind w:left="1"/>
              <w:rPr>
                <w:rFonts w:ascii="Arial" w:eastAsia="Times New Roman" w:hAnsi="Arial" w:cs="Arial"/>
              </w:rPr>
            </w:pPr>
            <w:r w:rsidRPr="002D5DC9">
              <w:rPr>
                <w:rFonts w:ascii="Arial" w:eastAsia="Times New Roman" w:hAnsi="Arial" w:cs="Arial"/>
                <w:noProof/>
              </w:rPr>
              <w:t>The Reading League’s pricing structure is transparent, predictable, and service-based. Core Knowledge Sessions are priced per full day, with virtual sessions at $4,000 and in-person sessions at $6,500; travel costs are included in all in-person rates. Educator coaching and administrator coaching are offered as fixed-fee packages aligned to defined school-year terms. Additional services, including consulting hours, boot camps, access to TRL’s virtual learning offerings, and supplemental resources, are priced separately based on the service selected. Pricing reflects the scope, duration, and delivery format of services and supports LEA planning and budgeting.</w:t>
            </w:r>
          </w:p>
        </w:tc>
      </w:tr>
      <w:tr w:rsidR="0070460D" w:rsidRPr="00F6275D" w14:paraId="76EDB124"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22" w14:textId="77777777" w:rsidR="0070460D" w:rsidRPr="00F6275D" w:rsidRDefault="0070460D"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23" w14:textId="77777777" w:rsidR="0070460D" w:rsidRPr="00F6275D" w:rsidRDefault="0070460D" w:rsidP="00106D84">
            <w:pPr>
              <w:spacing w:after="240"/>
              <w:ind w:left="1"/>
              <w:rPr>
                <w:rFonts w:ascii="Arial" w:hAnsi="Arial" w:cs="Arial"/>
              </w:rPr>
            </w:pPr>
            <w:r w:rsidRPr="002D5DC9">
              <w:rPr>
                <w:rFonts w:ascii="Arial" w:hAnsi="Arial" w:cs="Arial"/>
                <w:noProof/>
              </w:rPr>
              <w:t>https://www.thereadingleague.org/</w:t>
            </w:r>
          </w:p>
        </w:tc>
      </w:tr>
    </w:tbl>
    <w:p w14:paraId="76EDB125" w14:textId="77777777" w:rsidR="0070460D" w:rsidRPr="00F6275D" w:rsidRDefault="0070460D"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76EDB126" w14:textId="77777777" w:rsidR="0070460D" w:rsidRPr="00F6275D" w:rsidRDefault="0070460D" w:rsidP="0070460D">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76EDB127" w14:textId="77777777" w:rsidR="0070460D" w:rsidRPr="00F6275D" w:rsidRDefault="0070460D" w:rsidP="0070460D">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76EDB128" w14:textId="77777777" w:rsidR="0070460D" w:rsidRPr="00F6275D" w:rsidRDefault="0070460D" w:rsidP="0070460D">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76EDB129" w14:textId="77777777" w:rsidR="0070460D" w:rsidRPr="00F6275D" w:rsidRDefault="0070460D"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70460D" w:rsidRPr="00F6275D" w14:paraId="76EDB12C"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6EDB12A" w14:textId="77777777" w:rsidR="0070460D" w:rsidRPr="00F6275D" w:rsidRDefault="0070460D"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6EDB12B" w14:textId="77777777" w:rsidR="0070460D" w:rsidRPr="00F6275D" w:rsidRDefault="0070460D" w:rsidP="00C332CB">
            <w:pPr>
              <w:spacing w:after="160"/>
              <w:rPr>
                <w:rFonts w:ascii="Arial" w:hAnsi="Arial" w:cs="Arial"/>
                <w:b/>
                <w:bCs/>
              </w:rPr>
            </w:pPr>
            <w:r w:rsidRPr="00F6275D">
              <w:rPr>
                <w:rFonts w:ascii="Arial" w:hAnsi="Arial" w:cs="Arial"/>
                <w:b/>
                <w:bCs/>
                <w:color w:val="FFFFFF" w:themeColor="background1"/>
              </w:rPr>
              <w:t>Level of Evidence</w:t>
            </w:r>
          </w:p>
        </w:tc>
      </w:tr>
      <w:tr w:rsidR="0070460D" w:rsidRPr="00F6275D" w14:paraId="76EDB12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2D" w14:textId="77777777" w:rsidR="0070460D" w:rsidRPr="00F6275D" w:rsidRDefault="0070460D"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PD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2E" w14:textId="77777777" w:rsidR="0070460D" w:rsidRPr="00F6275D" w:rsidRDefault="0070460D" w:rsidP="00C332CB">
            <w:pPr>
              <w:spacing w:after="160"/>
              <w:ind w:left="1"/>
              <w:rPr>
                <w:rFonts w:ascii="Arial" w:hAnsi="Arial" w:cs="Arial"/>
              </w:rPr>
            </w:pPr>
            <w:r w:rsidRPr="002D5DC9">
              <w:rPr>
                <w:rFonts w:ascii="Arial" w:hAnsi="Arial" w:cs="Arial"/>
                <w:noProof/>
              </w:rPr>
              <w:t>Strong Evidence</w:t>
            </w:r>
          </w:p>
        </w:tc>
      </w:tr>
      <w:tr w:rsidR="0070460D" w:rsidRPr="00F6275D" w14:paraId="76EDB13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30" w14:textId="77777777" w:rsidR="0070460D" w:rsidRPr="00F6275D" w:rsidRDefault="0070460D"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31" w14:textId="77777777" w:rsidR="0070460D" w:rsidRPr="00F6275D" w:rsidRDefault="0070460D"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70460D" w:rsidRPr="00F6275D" w14:paraId="76EDB13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33" w14:textId="77777777" w:rsidR="0070460D" w:rsidRPr="00F6275D" w:rsidRDefault="0070460D"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34" w14:textId="77777777" w:rsidR="0070460D" w:rsidRPr="00F6275D" w:rsidRDefault="0070460D"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70460D" w:rsidRPr="00F6275D" w14:paraId="76EDB13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36" w14:textId="77777777" w:rsidR="0070460D" w:rsidRPr="00F6275D" w:rsidRDefault="0070460D" w:rsidP="00C332CB">
            <w:pPr>
              <w:spacing w:after="160"/>
              <w:rPr>
                <w:rFonts w:ascii="Arial" w:hAnsi="Arial" w:cs="Arial"/>
              </w:rPr>
            </w:pPr>
            <w:r w:rsidRPr="00F6275D">
              <w:rPr>
                <w:rFonts w:ascii="Arial" w:hAnsi="Arial" w:cs="Arial"/>
              </w:rPr>
              <w:lastRenderedPageBreak/>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37" w14:textId="77777777" w:rsidR="0070460D" w:rsidRPr="00F6275D" w:rsidRDefault="0070460D"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76EDB139" w14:textId="77777777" w:rsidR="0070460D" w:rsidRPr="00F6275D" w:rsidRDefault="0070460D"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70460D" w:rsidRPr="00F6275D" w14:paraId="76EDB13C"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6EDB13A" w14:textId="77777777" w:rsidR="0070460D" w:rsidRPr="00F6275D" w:rsidRDefault="0070460D"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6EDB13B" w14:textId="77777777" w:rsidR="0070460D" w:rsidRPr="00F6275D" w:rsidRDefault="0070460D" w:rsidP="00C332CB">
            <w:pPr>
              <w:spacing w:after="160"/>
              <w:rPr>
                <w:rFonts w:ascii="Arial" w:hAnsi="Arial" w:cs="Arial"/>
                <w:b/>
                <w:bCs/>
              </w:rPr>
            </w:pPr>
            <w:r w:rsidRPr="00F6275D">
              <w:rPr>
                <w:rFonts w:ascii="Arial" w:hAnsi="Arial" w:cs="Arial"/>
                <w:b/>
                <w:bCs/>
                <w:color w:val="FFFFFF" w:themeColor="background1"/>
              </w:rPr>
              <w:t>Level of Evidence</w:t>
            </w:r>
          </w:p>
        </w:tc>
      </w:tr>
      <w:tr w:rsidR="0070460D" w:rsidRPr="00F6275D" w14:paraId="76EDB13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3D" w14:textId="77777777" w:rsidR="0070460D" w:rsidRPr="00F6275D" w:rsidRDefault="0070460D" w:rsidP="00C332CB">
            <w:pPr>
              <w:spacing w:after="160" w:line="278" w:lineRule="auto"/>
              <w:rPr>
                <w:rFonts w:ascii="Arial" w:hAnsi="Arial" w:cs="Arial"/>
              </w:rPr>
            </w:pPr>
            <w:r w:rsidRPr="00F6275D">
              <w:rPr>
                <w:rFonts w:ascii="Arial" w:hAnsi="Arial" w:cs="Arial"/>
                <w:color w:val="333333"/>
              </w:rPr>
              <w:t xml:space="preserve">D1. The program attends to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3E" w14:textId="77777777" w:rsidR="0070460D" w:rsidRPr="00F6275D" w:rsidRDefault="0070460D" w:rsidP="00C332CB">
            <w:pPr>
              <w:spacing w:after="160"/>
              <w:ind w:left="1"/>
              <w:rPr>
                <w:rFonts w:ascii="Arial" w:hAnsi="Arial" w:cs="Arial"/>
              </w:rPr>
            </w:pPr>
            <w:r w:rsidRPr="002D5DC9">
              <w:rPr>
                <w:rFonts w:ascii="Arial" w:hAnsi="Arial" w:cs="Arial"/>
                <w:noProof/>
              </w:rPr>
              <w:t>Moderate Evidence</w:t>
            </w:r>
          </w:p>
        </w:tc>
      </w:tr>
      <w:tr w:rsidR="0070460D" w:rsidRPr="00F6275D" w14:paraId="76EDB14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40" w14:textId="77777777" w:rsidR="0070460D" w:rsidRPr="00F6275D" w:rsidRDefault="0070460D" w:rsidP="00C332CB">
            <w:pPr>
              <w:spacing w:after="160" w:line="278" w:lineRule="auto"/>
              <w:rPr>
                <w:rFonts w:ascii="Arial" w:hAnsi="Arial" w:cs="Arial"/>
              </w:rPr>
            </w:pPr>
            <w:r w:rsidRPr="00F6275D">
              <w:rPr>
                <w:rFonts w:ascii="Arial" w:hAnsi="Arial" w:cs="Arial"/>
                <w:color w:val="333333"/>
              </w:rPr>
              <w:t xml:space="preserve">D2. The program attends to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41" w14:textId="77777777" w:rsidR="0070460D" w:rsidRPr="00F6275D" w:rsidRDefault="0070460D"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70460D" w:rsidRPr="00F6275D" w14:paraId="76EDB14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43" w14:textId="77777777" w:rsidR="0070460D" w:rsidRPr="00F6275D" w:rsidRDefault="0070460D"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44" w14:textId="77777777" w:rsidR="0070460D" w:rsidRPr="00F6275D" w:rsidRDefault="0070460D" w:rsidP="00C332CB">
            <w:pPr>
              <w:spacing w:after="160"/>
              <w:ind w:left="1"/>
              <w:rPr>
                <w:rFonts w:ascii="Arial" w:hAnsi="Arial" w:cs="Arial"/>
              </w:rPr>
            </w:pPr>
            <w:r w:rsidRPr="002D5DC9">
              <w:rPr>
                <w:rFonts w:ascii="Arial" w:hAnsi="Arial" w:cs="Arial"/>
                <w:noProof/>
              </w:rPr>
              <w:t>Moderate Evidence</w:t>
            </w:r>
          </w:p>
        </w:tc>
      </w:tr>
      <w:tr w:rsidR="0070460D" w:rsidRPr="00F6275D" w14:paraId="76EDB14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46" w14:textId="77777777" w:rsidR="0070460D" w:rsidRPr="00F6275D" w:rsidRDefault="0070460D"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attends to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47" w14:textId="77777777" w:rsidR="0070460D" w:rsidRPr="00F6275D" w:rsidRDefault="0070460D" w:rsidP="00C332CB">
            <w:pPr>
              <w:spacing w:after="160"/>
              <w:ind w:left="1"/>
              <w:rPr>
                <w:rFonts w:ascii="Arial" w:hAnsi="Arial" w:cs="Arial"/>
              </w:rPr>
            </w:pPr>
            <w:r w:rsidRPr="002D5DC9">
              <w:rPr>
                <w:rFonts w:ascii="Arial" w:hAnsi="Arial" w:cs="Arial"/>
                <w:noProof/>
              </w:rPr>
              <w:t>Strong Evidence</w:t>
            </w:r>
          </w:p>
        </w:tc>
      </w:tr>
      <w:tr w:rsidR="0070460D" w:rsidRPr="00F6275D" w14:paraId="76EDB14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49" w14:textId="77777777" w:rsidR="0070460D" w:rsidRPr="00F6275D" w:rsidRDefault="0070460D" w:rsidP="00C332CB">
            <w:pPr>
              <w:spacing w:after="160" w:line="278" w:lineRule="auto"/>
              <w:rPr>
                <w:rFonts w:ascii="Arial" w:eastAsia="Arial" w:hAnsi="Arial" w:cs="Arial"/>
              </w:rPr>
            </w:pPr>
            <w:r w:rsidRPr="00F6275D">
              <w:rPr>
                <w:rFonts w:ascii="Arial" w:hAnsi="Arial" w:cs="Arial"/>
                <w:color w:val="333333"/>
              </w:rPr>
              <w:t xml:space="preserve">E1. The program attends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4A" w14:textId="77777777" w:rsidR="0070460D" w:rsidRPr="00F6275D" w:rsidRDefault="0070460D" w:rsidP="00C332CB">
            <w:pPr>
              <w:spacing w:after="160"/>
              <w:ind w:left="1"/>
              <w:rPr>
                <w:rFonts w:ascii="Arial" w:hAnsi="Arial" w:cs="Arial"/>
              </w:rPr>
            </w:pPr>
            <w:r w:rsidRPr="002D5DC9">
              <w:rPr>
                <w:rFonts w:ascii="Arial" w:hAnsi="Arial" w:cs="Arial"/>
                <w:noProof/>
              </w:rPr>
              <w:t>Strong Evidence</w:t>
            </w:r>
          </w:p>
        </w:tc>
      </w:tr>
      <w:tr w:rsidR="0070460D" w:rsidRPr="00F6275D" w14:paraId="76EDB14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4C" w14:textId="77777777" w:rsidR="0070460D" w:rsidRPr="00F6275D" w:rsidRDefault="0070460D"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attends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4D" w14:textId="77777777" w:rsidR="0070460D" w:rsidRPr="00F6275D" w:rsidRDefault="0070460D" w:rsidP="00C332CB">
            <w:pPr>
              <w:spacing w:after="160"/>
              <w:ind w:left="1"/>
              <w:rPr>
                <w:rFonts w:ascii="Arial" w:hAnsi="Arial" w:cs="Arial"/>
              </w:rPr>
            </w:pPr>
            <w:r w:rsidRPr="002D5DC9">
              <w:rPr>
                <w:rFonts w:ascii="Arial" w:hAnsi="Arial" w:cs="Arial"/>
                <w:noProof/>
              </w:rPr>
              <w:t>Moderate Evidence</w:t>
            </w:r>
          </w:p>
        </w:tc>
      </w:tr>
      <w:tr w:rsidR="0070460D" w:rsidRPr="00F6275D" w14:paraId="76EDB15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4F" w14:textId="77777777" w:rsidR="0070460D" w:rsidRPr="00F6275D" w:rsidRDefault="0070460D"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attends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50" w14:textId="77777777" w:rsidR="0070460D" w:rsidRPr="00F6275D" w:rsidRDefault="0070460D" w:rsidP="00C332CB">
            <w:pPr>
              <w:spacing w:after="160"/>
              <w:ind w:left="1"/>
              <w:rPr>
                <w:rFonts w:ascii="Arial" w:hAnsi="Arial" w:cs="Arial"/>
              </w:rPr>
            </w:pPr>
            <w:r w:rsidRPr="002D5DC9">
              <w:rPr>
                <w:rFonts w:ascii="Arial" w:hAnsi="Arial" w:cs="Arial"/>
                <w:noProof/>
              </w:rPr>
              <w:t>Moderate Evidence</w:t>
            </w:r>
          </w:p>
        </w:tc>
      </w:tr>
      <w:tr w:rsidR="0070460D" w:rsidRPr="00F6275D" w14:paraId="76EDB15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52" w14:textId="77777777" w:rsidR="0070460D" w:rsidRPr="00F6275D" w:rsidRDefault="0070460D"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attends to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53" w14:textId="77777777" w:rsidR="0070460D" w:rsidRPr="00F6275D" w:rsidRDefault="0070460D" w:rsidP="00C332CB">
            <w:pPr>
              <w:spacing w:after="160"/>
              <w:ind w:left="1"/>
              <w:rPr>
                <w:rFonts w:ascii="Arial" w:hAnsi="Arial" w:cs="Arial"/>
              </w:rPr>
            </w:pPr>
            <w:r w:rsidRPr="002D5DC9">
              <w:rPr>
                <w:rFonts w:ascii="Arial" w:hAnsi="Arial" w:cs="Arial"/>
                <w:noProof/>
              </w:rPr>
              <w:t>Moderate Evidence</w:t>
            </w:r>
          </w:p>
        </w:tc>
      </w:tr>
      <w:tr w:rsidR="0070460D" w:rsidRPr="00F6275D" w14:paraId="76EDB15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55" w14:textId="77777777" w:rsidR="0070460D" w:rsidRPr="00F6275D" w:rsidRDefault="0070460D"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attends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56" w14:textId="77777777" w:rsidR="0070460D" w:rsidRPr="00F6275D" w:rsidRDefault="0070460D" w:rsidP="00C332CB">
            <w:pPr>
              <w:spacing w:after="160"/>
              <w:ind w:left="1"/>
              <w:rPr>
                <w:rFonts w:ascii="Arial" w:hAnsi="Arial" w:cs="Arial"/>
              </w:rPr>
            </w:pPr>
            <w:r w:rsidRPr="002D5DC9">
              <w:rPr>
                <w:rFonts w:ascii="Arial" w:hAnsi="Arial" w:cs="Arial"/>
                <w:noProof/>
              </w:rPr>
              <w:t>Strong Evidence</w:t>
            </w:r>
          </w:p>
        </w:tc>
      </w:tr>
      <w:tr w:rsidR="0070460D" w:rsidRPr="00F6275D" w14:paraId="76EDB15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58" w14:textId="77777777" w:rsidR="0070460D" w:rsidRPr="00F6275D" w:rsidRDefault="0070460D"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59" w14:textId="77777777" w:rsidR="0070460D" w:rsidRPr="00F6275D" w:rsidRDefault="0070460D" w:rsidP="00C332CB">
            <w:pPr>
              <w:spacing w:after="160"/>
              <w:ind w:left="1"/>
              <w:rPr>
                <w:rFonts w:ascii="Arial" w:hAnsi="Arial" w:cs="Arial"/>
              </w:rPr>
            </w:pPr>
            <w:r w:rsidRPr="002D5DC9">
              <w:rPr>
                <w:rFonts w:ascii="Arial" w:hAnsi="Arial" w:cs="Arial"/>
                <w:noProof/>
              </w:rPr>
              <w:t>Minimal Evidence</w:t>
            </w:r>
          </w:p>
        </w:tc>
      </w:tr>
      <w:tr w:rsidR="0070460D" w:rsidRPr="00F6275D" w14:paraId="76EDB15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5B" w14:textId="77777777" w:rsidR="0070460D" w:rsidRPr="00F6275D" w:rsidRDefault="0070460D" w:rsidP="00C332CB">
            <w:pPr>
              <w:spacing w:after="160" w:line="278" w:lineRule="auto"/>
              <w:rPr>
                <w:rFonts w:ascii="Arial" w:hAnsi="Arial" w:cs="Arial"/>
              </w:rPr>
            </w:pPr>
            <w:r w:rsidRPr="00F6275D">
              <w:rPr>
                <w:rFonts w:ascii="Arial" w:hAnsi="Arial" w:cs="Arial"/>
              </w:rPr>
              <w:t>G. The program attends to early intervention techniques and tiered supports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5C" w14:textId="77777777" w:rsidR="0070460D" w:rsidRPr="00F6275D" w:rsidRDefault="0070460D" w:rsidP="00C332CB">
            <w:pPr>
              <w:spacing w:after="160"/>
              <w:ind w:left="1"/>
              <w:rPr>
                <w:rFonts w:ascii="Arial" w:hAnsi="Arial" w:cs="Arial"/>
              </w:rPr>
            </w:pPr>
            <w:r w:rsidRPr="002D5DC9">
              <w:rPr>
                <w:rFonts w:ascii="Arial" w:hAnsi="Arial" w:cs="Arial"/>
                <w:noProof/>
              </w:rPr>
              <w:t>Strong Evidence</w:t>
            </w:r>
          </w:p>
        </w:tc>
      </w:tr>
      <w:tr w:rsidR="0070460D" w:rsidRPr="00F6275D" w14:paraId="76EDB16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5E" w14:textId="77777777" w:rsidR="0070460D" w:rsidRPr="00F6275D" w:rsidRDefault="0070460D" w:rsidP="00C332CB">
            <w:pPr>
              <w:spacing w:after="160" w:line="278" w:lineRule="auto"/>
              <w:rPr>
                <w:rFonts w:ascii="Arial" w:hAnsi="Arial" w:cs="Arial"/>
              </w:rPr>
            </w:pPr>
            <w:r w:rsidRPr="00F6275D">
              <w:rPr>
                <w:rFonts w:ascii="Arial" w:hAnsi="Arial" w:cs="Arial"/>
              </w:rPr>
              <w:lastRenderedPageBreak/>
              <w:t>H. The program attends to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5F" w14:textId="77777777" w:rsidR="0070460D" w:rsidRPr="00F6275D" w:rsidRDefault="0070460D" w:rsidP="00C332CB">
            <w:pPr>
              <w:spacing w:after="160"/>
              <w:ind w:left="1"/>
              <w:rPr>
                <w:rFonts w:ascii="Arial" w:hAnsi="Arial" w:cs="Arial"/>
              </w:rPr>
            </w:pPr>
            <w:r w:rsidRPr="002D5DC9">
              <w:rPr>
                <w:rFonts w:ascii="Arial" w:hAnsi="Arial" w:cs="Arial"/>
                <w:noProof/>
              </w:rPr>
              <w:t>Strong Evidence</w:t>
            </w:r>
          </w:p>
        </w:tc>
      </w:tr>
      <w:tr w:rsidR="0070460D" w:rsidRPr="00F6275D" w14:paraId="76EDB16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61" w14:textId="77777777" w:rsidR="0070460D" w:rsidRPr="00F6275D" w:rsidRDefault="0070460D"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62" w14:textId="77777777" w:rsidR="0070460D" w:rsidRPr="00F6275D" w:rsidRDefault="0070460D" w:rsidP="00C332CB">
            <w:pPr>
              <w:spacing w:after="160"/>
              <w:ind w:left="1"/>
              <w:rPr>
                <w:rFonts w:ascii="Arial" w:hAnsi="Arial" w:cs="Arial"/>
              </w:rPr>
            </w:pPr>
            <w:r w:rsidRPr="002D5DC9">
              <w:rPr>
                <w:rFonts w:ascii="Arial" w:hAnsi="Arial" w:cs="Arial"/>
                <w:noProof/>
              </w:rPr>
              <w:t>Moderate Evidence</w:t>
            </w:r>
          </w:p>
        </w:tc>
      </w:tr>
      <w:tr w:rsidR="0070460D" w:rsidRPr="00F6275D" w14:paraId="76EDB16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64" w14:textId="77777777" w:rsidR="0070460D" w:rsidRPr="00F6275D" w:rsidRDefault="0070460D"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65" w14:textId="77777777" w:rsidR="0070460D" w:rsidRPr="00F6275D" w:rsidRDefault="0070460D" w:rsidP="00C332CB">
            <w:pPr>
              <w:spacing w:after="160"/>
              <w:ind w:left="1"/>
              <w:rPr>
                <w:rFonts w:ascii="Arial" w:hAnsi="Arial" w:cs="Arial"/>
              </w:rPr>
            </w:pPr>
            <w:r w:rsidRPr="002D5DC9">
              <w:rPr>
                <w:rFonts w:ascii="Arial" w:hAnsi="Arial" w:cs="Arial"/>
                <w:noProof/>
              </w:rPr>
              <w:t>Strong Evidence</w:t>
            </w:r>
          </w:p>
        </w:tc>
      </w:tr>
    </w:tbl>
    <w:p w14:paraId="76EDB167" w14:textId="77777777" w:rsidR="0070460D" w:rsidRPr="00F6275D" w:rsidRDefault="0070460D"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70460D" w:rsidRPr="00F6275D" w14:paraId="76EDB16A"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6EDB168" w14:textId="77777777" w:rsidR="0070460D" w:rsidRPr="00F6275D" w:rsidRDefault="0070460D"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6EDB169" w14:textId="77777777" w:rsidR="0070460D" w:rsidRPr="00F6275D" w:rsidRDefault="0070460D" w:rsidP="00C332CB">
            <w:pPr>
              <w:spacing w:after="160"/>
              <w:rPr>
                <w:rFonts w:ascii="Arial" w:hAnsi="Arial" w:cs="Arial"/>
                <w:b/>
                <w:bCs/>
              </w:rPr>
            </w:pPr>
            <w:r w:rsidRPr="00F6275D">
              <w:rPr>
                <w:rFonts w:ascii="Arial" w:hAnsi="Arial" w:cs="Arial"/>
                <w:b/>
                <w:bCs/>
                <w:color w:val="FFFFFF" w:themeColor="background1"/>
              </w:rPr>
              <w:t>Level of Evidence</w:t>
            </w:r>
          </w:p>
        </w:tc>
      </w:tr>
      <w:tr w:rsidR="0070460D" w:rsidRPr="00191DCA" w14:paraId="76EDB16E"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6EDB16B" w14:textId="77777777" w:rsidR="0070460D" w:rsidRPr="00F6275D" w:rsidRDefault="0070460D"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76EDB16C" w14:textId="77777777" w:rsidR="0070460D" w:rsidRPr="00F6275D" w:rsidRDefault="0070460D"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DB16D" w14:textId="77777777" w:rsidR="0070460D" w:rsidRPr="0012716A" w:rsidRDefault="0070460D" w:rsidP="00C332CB">
            <w:pPr>
              <w:spacing w:after="160"/>
              <w:ind w:left="1"/>
              <w:rPr>
                <w:rFonts w:ascii="Arial" w:hAnsi="Arial" w:cs="Arial"/>
              </w:rPr>
            </w:pPr>
            <w:r w:rsidRPr="002D5DC9">
              <w:rPr>
                <w:rFonts w:ascii="Arial" w:hAnsi="Arial" w:cs="Arial"/>
                <w:noProof/>
              </w:rPr>
              <w:t>Strong Evidence</w:t>
            </w:r>
          </w:p>
        </w:tc>
      </w:tr>
    </w:tbl>
    <w:p w14:paraId="76EDB170" w14:textId="77777777" w:rsidR="00963841" w:rsidRDefault="00963841"/>
    <w:sectPr w:rsidR="009638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80736" w14:textId="77777777" w:rsidR="00B12BC0" w:rsidRDefault="00B12BC0" w:rsidP="004E76DF">
      <w:pPr>
        <w:spacing w:after="0" w:line="240" w:lineRule="auto"/>
      </w:pPr>
      <w:r>
        <w:separator/>
      </w:r>
    </w:p>
  </w:endnote>
  <w:endnote w:type="continuationSeparator" w:id="0">
    <w:p w14:paraId="3E923EDC" w14:textId="77777777" w:rsidR="00B12BC0" w:rsidRDefault="00B12BC0" w:rsidP="004E7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BABB1" w14:textId="77777777" w:rsidR="00B12BC0" w:rsidRDefault="00B12BC0" w:rsidP="004E76DF">
      <w:pPr>
        <w:spacing w:after="0" w:line="240" w:lineRule="auto"/>
      </w:pPr>
      <w:r>
        <w:separator/>
      </w:r>
    </w:p>
  </w:footnote>
  <w:footnote w:type="continuationSeparator" w:id="0">
    <w:p w14:paraId="73CF4E4F" w14:textId="77777777" w:rsidR="00B12BC0" w:rsidRDefault="00B12BC0" w:rsidP="004E7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60D"/>
    <w:rsid w:val="00172A3E"/>
    <w:rsid w:val="001A60DF"/>
    <w:rsid w:val="0021684E"/>
    <w:rsid w:val="004E76DF"/>
    <w:rsid w:val="0062441E"/>
    <w:rsid w:val="0070460D"/>
    <w:rsid w:val="00963841"/>
    <w:rsid w:val="00A20318"/>
    <w:rsid w:val="00B12BC0"/>
    <w:rsid w:val="00E75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DB1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60D"/>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70460D"/>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0460D"/>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70460D"/>
    <w:rPr>
      <w:rFonts w:ascii="Arial" w:eastAsia="Calibri" w:hAnsi="Arial" w:cs="Arial"/>
      <w:b/>
      <w:bCs/>
    </w:rPr>
  </w:style>
  <w:style w:type="table" w:customStyle="1" w:styleId="TableGrid">
    <w:name w:val="TableGrid"/>
    <w:rsid w:val="0070460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0460D"/>
    <w:rPr>
      <w:color w:val="467886" w:themeColor="hyperlink"/>
      <w:u w:val="single"/>
    </w:rPr>
  </w:style>
  <w:style w:type="paragraph" w:styleId="ListParagraph">
    <w:name w:val="List Paragraph"/>
    <w:basedOn w:val="Normal"/>
    <w:uiPriority w:val="34"/>
    <w:qFormat/>
    <w:rsid w:val="0070460D"/>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4E7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6DF"/>
  </w:style>
  <w:style w:type="paragraph" w:styleId="Footer">
    <w:name w:val="footer"/>
    <w:basedOn w:val="Normal"/>
    <w:link w:val="FooterChar"/>
    <w:uiPriority w:val="99"/>
    <w:unhideWhenUsed/>
    <w:rsid w:val="004E7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1474</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The Reading League Professional Learning - Professional Learning (CA Dept of Education)</vt:lpstr>
    </vt:vector>
  </TitlesOfParts>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Reading League Professional Learning - Professional Learning (CA Dept of Education)</dc:title>
  <dc:subject>Program memo for the professional learning series for teachers and leaders from The Reading League (TRL), covering literacy systems and evidence-aligned instruction.</dc:subject>
  <dc:creator/>
  <cp:keywords/>
  <dc:description/>
  <cp:lastModifiedBy/>
  <cp:revision>1</cp:revision>
  <dcterms:created xsi:type="dcterms:W3CDTF">2026-08-20T22:56:00Z</dcterms:created>
  <dcterms:modified xsi:type="dcterms:W3CDTF">2026-08-20T22:59:00Z</dcterms:modified>
</cp:coreProperties>
</file>