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123D1" w14:textId="77777777" w:rsidR="007F259A" w:rsidRDefault="007F259A"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0CB123D2" w14:textId="77777777" w:rsidR="007F259A" w:rsidRPr="00F05864" w:rsidRDefault="007F259A"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7F259A" w:rsidRPr="009529EF" w14:paraId="0CB123D5"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CB123D3" w14:textId="77777777" w:rsidR="007F259A" w:rsidRPr="009529EF" w:rsidRDefault="007F259A"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CB123D4" w14:textId="77777777" w:rsidR="007F259A" w:rsidRPr="009529EF" w:rsidRDefault="007F259A" w:rsidP="00C332CB">
            <w:pPr>
              <w:spacing w:after="160"/>
              <w:rPr>
                <w:rFonts w:ascii="Arial" w:hAnsi="Arial" w:cs="Arial"/>
                <w:b/>
                <w:bCs/>
              </w:rPr>
            </w:pPr>
            <w:r>
              <w:rPr>
                <w:rFonts w:ascii="Arial" w:hAnsi="Arial" w:cs="Arial"/>
                <w:b/>
                <w:bCs/>
                <w:color w:val="FFFFFF" w:themeColor="background1"/>
              </w:rPr>
              <w:t>Program Name</w:t>
            </w:r>
          </w:p>
        </w:tc>
      </w:tr>
      <w:tr w:rsidR="007F259A" w:rsidRPr="009529EF" w14:paraId="0CB123D8"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B123D6" w14:textId="77777777" w:rsidR="007F259A" w:rsidRPr="00F6275D" w:rsidRDefault="007F259A" w:rsidP="00C332CB">
            <w:pPr>
              <w:spacing w:after="160"/>
              <w:rPr>
                <w:rFonts w:ascii="Arial" w:hAnsi="Arial" w:cs="Arial"/>
              </w:rPr>
            </w:pPr>
            <w:r w:rsidRPr="002D5DC9">
              <w:rPr>
                <w:rFonts w:ascii="Arial" w:hAnsi="Arial" w:cs="Arial"/>
                <w:noProof/>
              </w:rPr>
              <w:t>Words in the Wild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123D7" w14:textId="77777777" w:rsidR="007F259A" w:rsidRPr="00F6275D" w:rsidRDefault="007F259A" w:rsidP="00C332CB">
            <w:pPr>
              <w:spacing w:after="160"/>
              <w:ind w:left="1"/>
              <w:rPr>
                <w:rFonts w:ascii="Arial" w:hAnsi="Arial" w:cs="Arial"/>
              </w:rPr>
            </w:pPr>
            <w:r w:rsidRPr="002D5DC9">
              <w:rPr>
                <w:rFonts w:ascii="Arial" w:hAnsi="Arial" w:cs="Arial"/>
                <w:noProof/>
              </w:rPr>
              <w:t xml:space="preserve">Comprehensive Literacy </w:t>
            </w:r>
            <w:r>
              <w:rPr>
                <w:rFonts w:ascii="Arial" w:hAnsi="Arial" w:cs="Arial"/>
                <w:noProof/>
              </w:rPr>
              <w:t>Professional Development</w:t>
            </w:r>
            <w:r w:rsidRPr="002D5DC9">
              <w:rPr>
                <w:rFonts w:ascii="Arial" w:hAnsi="Arial" w:cs="Arial"/>
                <w:noProof/>
              </w:rPr>
              <w:t xml:space="preserve"> package</w:t>
            </w:r>
          </w:p>
        </w:tc>
      </w:tr>
    </w:tbl>
    <w:p w14:paraId="0CB123D9" w14:textId="77777777" w:rsidR="007F259A" w:rsidRPr="009529EF" w:rsidRDefault="007F259A"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0CB123DA" w14:textId="77777777" w:rsidR="007F259A" w:rsidRPr="009529EF" w:rsidRDefault="007F259A"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0CB123DB" w14:textId="77777777" w:rsidR="007F259A" w:rsidRPr="009529EF" w:rsidRDefault="007F259A"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0CB123DC" w14:textId="77777777" w:rsidR="007F259A" w:rsidRPr="009529EF" w:rsidRDefault="007F259A"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0CB123DD" w14:textId="77777777" w:rsidR="007F259A" w:rsidRPr="005F7169" w:rsidRDefault="007F259A"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7F259A" w:rsidRPr="009529EF" w14:paraId="0CB123E0"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B123DE" w14:textId="77777777" w:rsidR="007F259A" w:rsidRPr="009529EF" w:rsidRDefault="007F259A"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B123DF" w14:textId="77777777" w:rsidR="007F259A" w:rsidRPr="009529EF" w:rsidRDefault="007F259A"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7F259A" w:rsidRPr="009529EF" w14:paraId="0CB123E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3E1" w14:textId="77777777" w:rsidR="007F259A" w:rsidRPr="00106D84" w:rsidRDefault="007F259A"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3E2" w14:textId="77777777" w:rsidR="007F259A" w:rsidRPr="00F6275D" w:rsidRDefault="007F259A" w:rsidP="3C4C67CA">
            <w:pPr>
              <w:spacing w:after="240"/>
              <w:ind w:left="1"/>
              <w:rPr>
                <w:rFonts w:ascii="Arial" w:hAnsi="Arial" w:cs="Arial"/>
              </w:rPr>
            </w:pPr>
            <w:r w:rsidRPr="002D5DC9">
              <w:rPr>
                <w:rFonts w:ascii="Arial" w:hAnsi="Arial" w:cs="Arial"/>
                <w:noProof/>
              </w:rPr>
              <w:t xml:space="preserve">Our Comprehensive Literacy </w:t>
            </w:r>
            <w:r>
              <w:rPr>
                <w:rFonts w:ascii="Arial" w:hAnsi="Arial" w:cs="Arial"/>
                <w:noProof/>
              </w:rPr>
              <w:t>Professional Development</w:t>
            </w:r>
            <w:r w:rsidRPr="002D5DC9">
              <w:rPr>
                <w:rFonts w:ascii="Arial" w:hAnsi="Arial" w:cs="Arial"/>
                <w:noProof/>
              </w:rPr>
              <w:t xml:space="preserve"> package is a high-intensity, capacity-building program for </w:t>
            </w:r>
            <w:r>
              <w:rPr>
                <w:rFonts w:ascii="Arial" w:hAnsi="Arial" w:cs="Arial"/>
                <w:noProof/>
              </w:rPr>
              <w:t>transitional kindergarten through grade five</w:t>
            </w:r>
            <w:r w:rsidRPr="002D5DC9">
              <w:rPr>
                <w:rFonts w:ascii="Arial" w:hAnsi="Arial" w:cs="Arial"/>
                <w:noProof/>
              </w:rPr>
              <w:t xml:space="preserve"> educators designed to bridge the gap between research-based theory and real-world mastery and build a sustainable ecosystem of literacy expertise over time. Our unique, curriculum-agnostic approach aligns seamlessly with the </w:t>
            </w:r>
            <w:r>
              <w:rPr>
                <w:rFonts w:ascii="Arial" w:hAnsi="Arial" w:cs="Arial"/>
                <w:noProof/>
              </w:rPr>
              <w:t>California</w:t>
            </w:r>
            <w:r w:rsidRPr="002D5DC9">
              <w:rPr>
                <w:rFonts w:ascii="Arial" w:hAnsi="Arial" w:cs="Arial"/>
                <w:noProof/>
              </w:rPr>
              <w:t xml:space="preserve"> </w:t>
            </w:r>
            <w:r w:rsidRPr="005247CA">
              <w:rPr>
                <w:rFonts w:ascii="Arial" w:hAnsi="Arial" w:cs="Arial"/>
                <w:i/>
                <w:iCs/>
                <w:noProof/>
              </w:rPr>
              <w:t>English Language Arts/English Language Development</w:t>
            </w:r>
            <w:r w:rsidRPr="002D5DC9">
              <w:rPr>
                <w:rFonts w:ascii="Arial" w:hAnsi="Arial" w:cs="Arial"/>
                <w:noProof/>
              </w:rPr>
              <w:t xml:space="preserve"> Framework and Dyslexia Guidelines, ensuring your staff is equipped to identify early risks and provide precise, tiered interventions, and lift up the strengths of multilingual learners while accelerating their English acquisition. Districts can choose to engage in just the workshops for their whole staff, or engage individual teachers: Synchronous Workshops: 24 hours of deep-dive whole group learning Learning Labs (PLCs): Collaborative, data-driven sessions in small groups. 1:1 Coaching: Personalized, virtual coaching cycles with video reflection to ensure high-leverage practices.</w:t>
            </w:r>
          </w:p>
        </w:tc>
      </w:tr>
      <w:tr w:rsidR="007F259A" w:rsidRPr="009529EF" w14:paraId="0CB123E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3E4" w14:textId="77777777" w:rsidR="007F259A" w:rsidRDefault="007F259A"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3E5" w14:textId="77777777" w:rsidR="007F259A" w:rsidRDefault="007F259A" w:rsidP="00106D84">
            <w:pPr>
              <w:spacing w:after="240"/>
              <w:ind w:left="1"/>
              <w:rPr>
                <w:rFonts w:ascii="Arial" w:hAnsi="Arial" w:cs="Arial"/>
                <w:noProof/>
              </w:rPr>
            </w:pPr>
            <w:r w:rsidRPr="002D5DC9">
              <w:rPr>
                <w:rFonts w:ascii="Arial" w:hAnsi="Arial" w:cs="Arial"/>
                <w:noProof/>
              </w:rPr>
              <w:t>Our capacity building and technical assistance program is driven by a vision of children growing into confident, courageous readers, surrounded by people who believe in them and have the skills to put that belief into action.</w:t>
            </w:r>
            <w:r>
              <w:rPr>
                <w:rFonts w:ascii="Arial" w:hAnsi="Arial" w:cs="Arial"/>
                <w:noProof/>
              </w:rPr>
              <w:t xml:space="preserve"> </w:t>
            </w:r>
            <w:r w:rsidRPr="002D5DC9">
              <w:rPr>
                <w:rFonts w:ascii="Arial" w:hAnsi="Arial" w:cs="Arial"/>
                <w:noProof/>
              </w:rPr>
              <w:t>Program Components: Group Workshops (in-person or virtual): Synchronous curriculum agnostic "toolbox" approach in four areas: Building Blocks of Literacy; Real Readers, Real Writers, Real Data; Swimming in Words; and Literacy Across Content Areas.</w:t>
            </w:r>
            <w:r>
              <w:rPr>
                <w:rFonts w:ascii="Arial" w:hAnsi="Arial" w:cs="Arial"/>
                <w:noProof/>
              </w:rPr>
              <w:t xml:space="preserve"> </w:t>
            </w:r>
          </w:p>
          <w:p w14:paraId="0CB123E6" w14:textId="77777777" w:rsidR="007F259A" w:rsidRDefault="007F259A" w:rsidP="00106D84">
            <w:pPr>
              <w:spacing w:after="240"/>
              <w:ind w:left="1"/>
              <w:rPr>
                <w:rFonts w:ascii="Arial" w:hAnsi="Arial" w:cs="Arial"/>
                <w:noProof/>
              </w:rPr>
            </w:pPr>
            <w:r w:rsidRPr="002D5DC9">
              <w:rPr>
                <w:rFonts w:ascii="Arial" w:hAnsi="Arial" w:cs="Arial"/>
                <w:noProof/>
              </w:rPr>
              <w:t>Professional Learning Communities (PLCs): Synchronous "learning labs" provide collaborative opportunities for additional content, feedback and data analysis, plus independent application and reflection. Instructional Coaching (virtual): Ongoing cycles of inquiry for independent practical application, feedback on video observations, and synchronous reflection with a coach.</w:t>
            </w:r>
            <w:r>
              <w:rPr>
                <w:rFonts w:ascii="Arial" w:hAnsi="Arial" w:cs="Arial"/>
                <w:noProof/>
              </w:rPr>
              <w:t xml:space="preserve">  </w:t>
            </w:r>
          </w:p>
          <w:p w14:paraId="0CB123E7" w14:textId="77777777" w:rsidR="007F259A" w:rsidRPr="00F6275D" w:rsidRDefault="007F259A" w:rsidP="00106D84">
            <w:pPr>
              <w:spacing w:after="240"/>
              <w:ind w:left="1"/>
              <w:rPr>
                <w:rFonts w:ascii="Arial" w:hAnsi="Arial" w:cs="Arial"/>
              </w:rPr>
            </w:pPr>
            <w:r w:rsidRPr="002D5DC9">
              <w:rPr>
                <w:rFonts w:ascii="Arial" w:hAnsi="Arial" w:cs="Arial"/>
                <w:noProof/>
              </w:rPr>
              <w:t>This layered structure allows districts to choose the content, time, application, and feedback necessary to achieve mastery in their specific cont</w:t>
            </w:r>
            <w:r>
              <w:rPr>
                <w:rFonts w:ascii="Arial" w:hAnsi="Arial" w:cs="Arial"/>
                <w:noProof/>
              </w:rPr>
              <w:t xml:space="preserve"> . . .</w:t>
            </w:r>
          </w:p>
        </w:tc>
      </w:tr>
      <w:tr w:rsidR="007F259A" w:rsidRPr="00F6275D" w14:paraId="0CB123EC"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3E9" w14:textId="77777777" w:rsidR="007F259A" w:rsidRPr="00F6275D" w:rsidRDefault="007F259A"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3EA" w14:textId="77777777" w:rsidR="007F259A" w:rsidRDefault="007F259A" w:rsidP="3C4C67CA">
            <w:pPr>
              <w:spacing w:after="240"/>
              <w:ind w:left="1"/>
              <w:rPr>
                <w:rFonts w:ascii="Arial" w:hAnsi="Arial" w:cs="Arial"/>
                <w:noProof/>
              </w:rPr>
            </w:pPr>
            <w:r w:rsidRPr="002D5DC9">
              <w:rPr>
                <w:rFonts w:ascii="Arial" w:hAnsi="Arial" w:cs="Arial"/>
                <w:noProof/>
              </w:rPr>
              <w:t>To meet unique local needs, professional learning plans are customized based on a district’s curricula, funding, and educator experience. Total time will vary depending on components selected by the district.</w:t>
            </w:r>
            <w:r>
              <w:rPr>
                <w:rFonts w:ascii="Arial" w:hAnsi="Arial" w:cs="Arial"/>
                <w:noProof/>
              </w:rPr>
              <w:t xml:space="preserve"> </w:t>
            </w:r>
          </w:p>
          <w:p w14:paraId="0CB123EB" w14:textId="77777777" w:rsidR="007F259A" w:rsidRPr="00F6275D" w:rsidRDefault="007F259A" w:rsidP="3C4C67CA">
            <w:pPr>
              <w:spacing w:after="240"/>
              <w:ind w:left="1"/>
              <w:rPr>
                <w:rFonts w:ascii="Arial" w:hAnsi="Arial" w:cs="Arial"/>
              </w:rPr>
            </w:pPr>
            <w:r w:rsidRPr="002D5DC9">
              <w:rPr>
                <w:rFonts w:ascii="Arial" w:hAnsi="Arial" w:cs="Arial"/>
                <w:noProof/>
              </w:rPr>
              <w:t xml:space="preserve">The synchronous workshops are divided into four components with </w:t>
            </w:r>
            <w:r>
              <w:rPr>
                <w:rFonts w:ascii="Arial" w:hAnsi="Arial" w:cs="Arial"/>
                <w:noProof/>
              </w:rPr>
              <w:t>six</w:t>
            </w:r>
            <w:r w:rsidRPr="002D5DC9">
              <w:rPr>
                <w:rFonts w:ascii="Arial" w:hAnsi="Arial" w:cs="Arial"/>
                <w:noProof/>
              </w:rPr>
              <w:t xml:space="preserve"> hours of instruction each (24 hours total). These are typically split into blocks of </w:t>
            </w:r>
            <w:r>
              <w:rPr>
                <w:rFonts w:ascii="Arial" w:hAnsi="Arial" w:cs="Arial"/>
                <w:noProof/>
              </w:rPr>
              <w:t>three</w:t>
            </w:r>
            <w:r w:rsidRPr="002D5DC9">
              <w:rPr>
                <w:rFonts w:ascii="Arial" w:hAnsi="Arial" w:cs="Arial"/>
                <w:noProof/>
              </w:rPr>
              <w:t xml:space="preserve"> hours for in person or further subdivided into 90 minutes for virtual. The PLC is structured as a full school-year program with meetings twice per month and asynchronous work. Teachers should expect to spend </w:t>
            </w:r>
            <w:r>
              <w:rPr>
                <w:rFonts w:ascii="Arial" w:hAnsi="Arial" w:cs="Arial"/>
                <w:noProof/>
              </w:rPr>
              <w:t>three</w:t>
            </w:r>
            <w:r w:rsidRPr="002D5DC9">
              <w:rPr>
                <w:rFonts w:ascii="Arial" w:hAnsi="Arial" w:cs="Arial"/>
                <w:noProof/>
              </w:rPr>
              <w:t xml:space="preserve"> hours in session and three hours on asynchronous work that is directly applicable to their instructional practice. Coaching participants spend a minimum of </w:t>
            </w:r>
            <w:r>
              <w:rPr>
                <w:rFonts w:ascii="Arial" w:hAnsi="Arial" w:cs="Arial"/>
                <w:noProof/>
              </w:rPr>
              <w:t>eight</w:t>
            </w:r>
            <w:r w:rsidRPr="002D5DC9">
              <w:rPr>
                <w:rFonts w:ascii="Arial" w:hAnsi="Arial" w:cs="Arial"/>
                <w:noProof/>
              </w:rPr>
              <w:t xml:space="preserve"> inquiry cycles (app</w:t>
            </w:r>
            <w:r>
              <w:rPr>
                <w:rFonts w:ascii="Arial" w:hAnsi="Arial" w:cs="Arial"/>
                <w:noProof/>
              </w:rPr>
              <w:t xml:space="preserve"> . . . </w:t>
            </w:r>
          </w:p>
        </w:tc>
      </w:tr>
      <w:tr w:rsidR="007F259A" w:rsidRPr="00F6275D" w14:paraId="0CB123E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3ED" w14:textId="77777777" w:rsidR="007F259A" w:rsidRPr="00F6275D" w:rsidRDefault="007F259A"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3EE" w14:textId="77777777" w:rsidR="007F259A" w:rsidRPr="00F6275D" w:rsidRDefault="007F259A" w:rsidP="3C4C67CA">
            <w:pPr>
              <w:spacing w:after="240"/>
              <w:ind w:left="1"/>
              <w:rPr>
                <w:rFonts w:ascii="Arial" w:eastAsia="Times New Roman" w:hAnsi="Arial" w:cs="Arial"/>
              </w:rPr>
            </w:pPr>
            <w:r w:rsidRPr="002D5DC9">
              <w:rPr>
                <w:rFonts w:ascii="Arial" w:eastAsia="Times New Roman" w:hAnsi="Arial" w:cs="Arial"/>
                <w:noProof/>
              </w:rPr>
              <w:t>Group Workshops: $31,000 for four six-hour workshops (on four different content blocks) for up to 30 participants. Discounted rates are offered for multi-site or district wide implementation. Individual (</w:t>
            </w:r>
            <w:r>
              <w:rPr>
                <w:rFonts w:ascii="Arial" w:eastAsia="Times New Roman" w:hAnsi="Arial" w:cs="Arial"/>
                <w:noProof/>
              </w:rPr>
              <w:t>six</w:t>
            </w:r>
            <w:r w:rsidRPr="002D5DC9">
              <w:rPr>
                <w:rFonts w:ascii="Arial" w:eastAsia="Times New Roman" w:hAnsi="Arial" w:cs="Arial"/>
                <w:noProof/>
              </w:rPr>
              <w:t>-hour) content blocks may be purchased for $9,950 each. PLCs and Instructional Coaching (virtual): The base fee of $9,000 per participant includes facilitated PLC "Learning Labs," and</w:t>
            </w:r>
            <w:r>
              <w:rPr>
                <w:rFonts w:ascii="Arial" w:eastAsia="Times New Roman" w:hAnsi="Arial" w:cs="Arial"/>
                <w:noProof/>
              </w:rPr>
              <w:t xml:space="preserve"> </w:t>
            </w:r>
            <w:r w:rsidRPr="002D5DC9">
              <w:rPr>
                <w:rFonts w:ascii="Arial" w:eastAsia="Times New Roman" w:hAnsi="Arial" w:cs="Arial"/>
                <w:noProof/>
              </w:rPr>
              <w:t xml:space="preserve">individualized virtual coaching with video reflection. the Site-Based Tier is $52,000 for cohorts of up to 15 educators. This inclusive rate adds technical assistance for leadership, including the Site Instruction and Assessment Snapshot support to align </w:t>
            </w:r>
            <w:r>
              <w:rPr>
                <w:rFonts w:ascii="Arial" w:eastAsia="Times New Roman" w:hAnsi="Arial" w:cs="Arial"/>
                <w:noProof/>
              </w:rPr>
              <w:t>Multi-Tiered System of Support</w:t>
            </w:r>
            <w:r w:rsidRPr="002D5DC9">
              <w:rPr>
                <w:rFonts w:ascii="Arial" w:eastAsia="Times New Roman" w:hAnsi="Arial" w:cs="Arial"/>
                <w:noProof/>
              </w:rPr>
              <w:t xml:space="preserve"> protocols.</w:t>
            </w:r>
            <w:r>
              <w:rPr>
                <w:rFonts w:ascii="Arial" w:eastAsia="Times New Roman" w:hAnsi="Arial" w:cs="Arial"/>
                <w:noProof/>
              </w:rPr>
              <w:t xml:space="preserve"> </w:t>
            </w:r>
            <w:r w:rsidRPr="002D5DC9">
              <w:rPr>
                <w:rFonts w:ascii="Arial" w:eastAsia="Times New Roman" w:hAnsi="Arial" w:cs="Arial"/>
                <w:noProof/>
              </w:rPr>
              <w:t xml:space="preserve">As a small provider, we offer a sliding scale fee reduction for high-need </w:t>
            </w:r>
            <w:r>
              <w:rPr>
                <w:rFonts w:ascii="Arial" w:eastAsia="Times New Roman" w:hAnsi="Arial" w:cs="Arial"/>
                <w:noProof/>
              </w:rPr>
              <w:t>local educational agencie</w:t>
            </w:r>
            <w:r w:rsidRPr="002D5DC9">
              <w:rPr>
                <w:rFonts w:ascii="Arial" w:eastAsia="Times New Roman" w:hAnsi="Arial" w:cs="Arial"/>
                <w:noProof/>
              </w:rPr>
              <w:t>s, ensuring equitable access. Program components may be mixed and matched or include a train-the-trainers component at provider’s discretion.</w:t>
            </w:r>
          </w:p>
        </w:tc>
      </w:tr>
      <w:tr w:rsidR="007F259A" w:rsidRPr="00F6275D" w14:paraId="0CB123F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3F0" w14:textId="77777777" w:rsidR="007F259A" w:rsidRPr="00F6275D" w:rsidRDefault="007F259A"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3F1" w14:textId="77777777" w:rsidR="007F259A" w:rsidRPr="00F6275D" w:rsidRDefault="007F259A" w:rsidP="00106D84">
            <w:pPr>
              <w:spacing w:after="240"/>
              <w:ind w:left="1"/>
              <w:rPr>
                <w:rFonts w:ascii="Arial" w:hAnsi="Arial" w:cs="Arial"/>
              </w:rPr>
            </w:pPr>
            <w:r w:rsidRPr="002D5DC9">
              <w:rPr>
                <w:rFonts w:ascii="Arial" w:hAnsi="Arial" w:cs="Arial"/>
                <w:noProof/>
              </w:rPr>
              <w:t>https://wordsinthewild.us/</w:t>
            </w:r>
          </w:p>
        </w:tc>
      </w:tr>
    </w:tbl>
    <w:p w14:paraId="0CB123F3" w14:textId="77777777" w:rsidR="007F259A" w:rsidRPr="00F6275D" w:rsidRDefault="007F259A"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0CB123F4" w14:textId="77777777" w:rsidR="007F259A" w:rsidRPr="00F6275D" w:rsidRDefault="007F259A" w:rsidP="007F259A">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0CB123F5" w14:textId="77777777" w:rsidR="007F259A" w:rsidRPr="00F6275D" w:rsidRDefault="007F259A" w:rsidP="007F259A">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Moderate Evidence indicates the criterion was addressed with some gaps in the submission</w:t>
      </w:r>
    </w:p>
    <w:p w14:paraId="0CB123F6" w14:textId="77777777" w:rsidR="007F259A" w:rsidRPr="00F6275D" w:rsidRDefault="007F259A" w:rsidP="007F259A">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0CB123F7" w14:textId="77777777" w:rsidR="007F259A" w:rsidRPr="00F6275D" w:rsidRDefault="007F259A"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F259A" w:rsidRPr="00F6275D" w14:paraId="0CB123FA"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B123F8" w14:textId="77777777" w:rsidR="007F259A" w:rsidRPr="00F6275D" w:rsidRDefault="007F259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B123F9" w14:textId="77777777" w:rsidR="007F259A" w:rsidRPr="00F6275D" w:rsidRDefault="007F259A" w:rsidP="00C332CB">
            <w:pPr>
              <w:spacing w:after="160"/>
              <w:rPr>
                <w:rFonts w:ascii="Arial" w:hAnsi="Arial" w:cs="Arial"/>
                <w:b/>
                <w:bCs/>
              </w:rPr>
            </w:pPr>
            <w:r w:rsidRPr="00F6275D">
              <w:rPr>
                <w:rFonts w:ascii="Arial" w:hAnsi="Arial" w:cs="Arial"/>
                <w:b/>
                <w:bCs/>
                <w:color w:val="FFFFFF" w:themeColor="background1"/>
              </w:rPr>
              <w:t>Level of Evidence</w:t>
            </w:r>
          </w:p>
        </w:tc>
      </w:tr>
      <w:tr w:rsidR="007F259A" w:rsidRPr="00F6275D" w14:paraId="0CB123F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3FB" w14:textId="77777777" w:rsidR="007F259A" w:rsidRPr="00F6275D" w:rsidRDefault="007F259A"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hAnsi="Arial" w:cs="Arial"/>
                <w:noProof/>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3FC"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0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3FE" w14:textId="77777777" w:rsidR="007F259A" w:rsidRPr="00F6275D" w:rsidRDefault="007F259A"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3FF" w14:textId="77777777" w:rsidR="007F259A" w:rsidRPr="00F6275D" w:rsidRDefault="007F259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7F259A" w:rsidRPr="00F6275D" w14:paraId="0CB1240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01" w14:textId="77777777" w:rsidR="007F259A" w:rsidRPr="00F6275D" w:rsidRDefault="007F259A"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02" w14:textId="77777777" w:rsidR="007F259A" w:rsidRPr="00F6275D" w:rsidRDefault="007F259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7F259A" w:rsidRPr="00F6275D" w14:paraId="0CB1240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04" w14:textId="77777777" w:rsidR="007F259A" w:rsidRPr="00F6275D" w:rsidRDefault="007F259A"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05" w14:textId="77777777" w:rsidR="007F259A" w:rsidRPr="00F6275D" w:rsidRDefault="007F259A"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0CB12407" w14:textId="77777777" w:rsidR="007F259A" w:rsidRPr="00F6275D" w:rsidRDefault="007F259A"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F259A" w:rsidRPr="00F6275D" w14:paraId="0CB1240A"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B12408" w14:textId="77777777" w:rsidR="007F259A" w:rsidRPr="00F6275D" w:rsidRDefault="007F259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B12409" w14:textId="77777777" w:rsidR="007F259A" w:rsidRPr="00F6275D" w:rsidRDefault="007F259A" w:rsidP="00C332CB">
            <w:pPr>
              <w:spacing w:after="160"/>
              <w:rPr>
                <w:rFonts w:ascii="Arial" w:hAnsi="Arial" w:cs="Arial"/>
                <w:b/>
                <w:bCs/>
              </w:rPr>
            </w:pPr>
            <w:r w:rsidRPr="00F6275D">
              <w:rPr>
                <w:rFonts w:ascii="Arial" w:hAnsi="Arial" w:cs="Arial"/>
                <w:b/>
                <w:bCs/>
                <w:color w:val="FFFFFF" w:themeColor="background1"/>
              </w:rPr>
              <w:t>Level of Evidence</w:t>
            </w:r>
          </w:p>
        </w:tc>
      </w:tr>
      <w:tr w:rsidR="007F259A" w:rsidRPr="00F6275D" w14:paraId="0CB1240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0B" w14:textId="77777777" w:rsidR="007F259A" w:rsidRPr="00F6275D" w:rsidRDefault="007F259A"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0C"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1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0E" w14:textId="77777777" w:rsidR="007F259A" w:rsidRPr="00F6275D" w:rsidRDefault="007F259A"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0F" w14:textId="77777777" w:rsidR="007F259A" w:rsidRPr="00F6275D" w:rsidRDefault="007F259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7F259A" w:rsidRPr="00F6275D" w14:paraId="0CB1241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11" w14:textId="77777777" w:rsidR="007F259A" w:rsidRPr="00F6275D" w:rsidRDefault="007F259A"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12"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1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14" w14:textId="77777777" w:rsidR="007F259A" w:rsidRPr="00F6275D" w:rsidRDefault="007F259A"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15"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1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17" w14:textId="77777777" w:rsidR="007F259A" w:rsidRPr="00F6275D" w:rsidRDefault="007F259A"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18"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1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1A" w14:textId="77777777" w:rsidR="007F259A" w:rsidRPr="00F6275D" w:rsidRDefault="007F259A"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1B"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1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1D" w14:textId="77777777" w:rsidR="007F259A" w:rsidRPr="00F6275D" w:rsidRDefault="007F259A" w:rsidP="00C332CB">
            <w:pPr>
              <w:spacing w:after="160" w:line="278" w:lineRule="auto"/>
              <w:rPr>
                <w:rFonts w:ascii="Arial" w:hAnsi="Arial" w:cs="Arial"/>
              </w:rPr>
            </w:pPr>
            <w:r w:rsidRPr="00F6275D">
              <w:rPr>
                <w:rFonts w:ascii="Arial" w:hAnsi="Arial" w:cs="Arial"/>
              </w:rPr>
              <w:lastRenderedPageBreak/>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1E"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2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20" w14:textId="77777777" w:rsidR="007F259A" w:rsidRPr="00F6275D" w:rsidRDefault="007F259A"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21"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2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23" w14:textId="77777777" w:rsidR="007F259A" w:rsidRPr="00F6275D" w:rsidRDefault="007F259A"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24"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2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26" w14:textId="77777777" w:rsidR="007F259A" w:rsidRPr="00F6275D" w:rsidRDefault="007F259A"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27"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2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29" w14:textId="77777777" w:rsidR="007F259A" w:rsidRPr="00F6275D" w:rsidRDefault="007F259A"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2A"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2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2C" w14:textId="77777777" w:rsidR="007F259A" w:rsidRPr="00F6275D" w:rsidRDefault="007F259A"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2D" w14:textId="77777777" w:rsidR="007F259A" w:rsidRPr="00F6275D" w:rsidRDefault="007F259A" w:rsidP="00C332CB">
            <w:pPr>
              <w:spacing w:after="160"/>
              <w:ind w:left="1"/>
              <w:rPr>
                <w:rFonts w:ascii="Arial" w:hAnsi="Arial" w:cs="Arial"/>
              </w:rPr>
            </w:pPr>
            <w:r w:rsidRPr="002D5DC9">
              <w:rPr>
                <w:rFonts w:ascii="Arial" w:hAnsi="Arial" w:cs="Arial"/>
                <w:noProof/>
              </w:rPr>
              <w:t>Moderate Evidence</w:t>
            </w:r>
          </w:p>
        </w:tc>
      </w:tr>
      <w:tr w:rsidR="007F259A" w:rsidRPr="00F6275D" w14:paraId="0CB1243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2F" w14:textId="77777777" w:rsidR="007F259A" w:rsidRPr="00F6275D" w:rsidRDefault="007F259A"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30" w14:textId="77777777" w:rsidR="007F259A" w:rsidRPr="00F6275D" w:rsidRDefault="007F259A" w:rsidP="00C332CB">
            <w:pPr>
              <w:spacing w:after="160"/>
              <w:ind w:left="1"/>
              <w:rPr>
                <w:rFonts w:ascii="Arial" w:hAnsi="Arial" w:cs="Arial"/>
              </w:rPr>
            </w:pPr>
            <w:r w:rsidRPr="002D5DC9">
              <w:rPr>
                <w:rFonts w:ascii="Arial" w:hAnsi="Arial" w:cs="Arial"/>
                <w:noProof/>
              </w:rPr>
              <w:t>Minimal Evidence</w:t>
            </w:r>
          </w:p>
        </w:tc>
      </w:tr>
      <w:tr w:rsidR="007F259A" w:rsidRPr="00F6275D" w14:paraId="0CB1243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32" w14:textId="77777777" w:rsidR="007F259A" w:rsidRPr="00F6275D" w:rsidRDefault="007F259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33" w14:textId="77777777" w:rsidR="007F259A" w:rsidRPr="00F6275D" w:rsidRDefault="007F259A" w:rsidP="00C332CB">
            <w:pPr>
              <w:spacing w:after="160"/>
              <w:ind w:left="1"/>
              <w:rPr>
                <w:rFonts w:ascii="Arial" w:hAnsi="Arial" w:cs="Arial"/>
              </w:rPr>
            </w:pPr>
            <w:r>
              <w:rPr>
                <w:rFonts w:ascii="Arial" w:hAnsi="Arial" w:cs="Arial"/>
              </w:rPr>
              <w:t>Moderate Evidence</w:t>
            </w:r>
          </w:p>
        </w:tc>
      </w:tr>
    </w:tbl>
    <w:p w14:paraId="0CB12435" w14:textId="77777777" w:rsidR="007F259A" w:rsidRPr="00F6275D" w:rsidRDefault="007F259A"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F259A" w:rsidRPr="00F6275D" w14:paraId="0CB12438"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B12436" w14:textId="77777777" w:rsidR="007F259A" w:rsidRPr="00F6275D" w:rsidRDefault="007F259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B12437" w14:textId="77777777" w:rsidR="007F259A" w:rsidRPr="00F6275D" w:rsidRDefault="007F259A" w:rsidP="00C332CB">
            <w:pPr>
              <w:spacing w:after="160"/>
              <w:rPr>
                <w:rFonts w:ascii="Arial" w:hAnsi="Arial" w:cs="Arial"/>
                <w:b/>
                <w:bCs/>
              </w:rPr>
            </w:pPr>
            <w:r w:rsidRPr="00F6275D">
              <w:rPr>
                <w:rFonts w:ascii="Arial" w:hAnsi="Arial" w:cs="Arial"/>
                <w:b/>
                <w:bCs/>
                <w:color w:val="FFFFFF" w:themeColor="background1"/>
              </w:rPr>
              <w:t>Level of Evidence</w:t>
            </w:r>
          </w:p>
        </w:tc>
      </w:tr>
      <w:tr w:rsidR="007F259A" w:rsidRPr="00191DCA" w14:paraId="0CB1243C"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B12439" w14:textId="77777777" w:rsidR="007F259A" w:rsidRPr="00F6275D" w:rsidRDefault="007F259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0CB1243A" w14:textId="77777777" w:rsidR="007F259A" w:rsidRPr="00F6275D" w:rsidRDefault="007F259A"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243B" w14:textId="77777777" w:rsidR="007F259A" w:rsidRPr="0012716A" w:rsidRDefault="007F259A" w:rsidP="00C332CB">
            <w:pPr>
              <w:spacing w:after="160"/>
              <w:ind w:left="1"/>
              <w:rPr>
                <w:rFonts w:ascii="Arial" w:hAnsi="Arial" w:cs="Arial"/>
              </w:rPr>
            </w:pPr>
            <w:r w:rsidRPr="002D5DC9">
              <w:rPr>
                <w:rFonts w:ascii="Arial" w:hAnsi="Arial" w:cs="Arial"/>
                <w:noProof/>
              </w:rPr>
              <w:t>Minimal Evidence</w:t>
            </w:r>
          </w:p>
        </w:tc>
      </w:tr>
    </w:tbl>
    <w:p w14:paraId="0CB12442" w14:textId="77777777" w:rsidR="00A01C49" w:rsidRDefault="00A01C49" w:rsidP="00A7724C"/>
    <w:sectPr w:rsidR="00A01C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0180C" w14:textId="77777777" w:rsidR="005964D6" w:rsidRDefault="005964D6" w:rsidP="006A2F74">
      <w:pPr>
        <w:spacing w:after="0" w:line="240" w:lineRule="auto"/>
      </w:pPr>
      <w:r>
        <w:separator/>
      </w:r>
    </w:p>
  </w:endnote>
  <w:endnote w:type="continuationSeparator" w:id="0">
    <w:p w14:paraId="5BE904C0" w14:textId="77777777" w:rsidR="005964D6" w:rsidRDefault="005964D6" w:rsidP="006A2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34369" w14:textId="77777777" w:rsidR="005964D6" w:rsidRDefault="005964D6" w:rsidP="006A2F74">
      <w:pPr>
        <w:spacing w:after="0" w:line="240" w:lineRule="auto"/>
      </w:pPr>
      <w:r>
        <w:separator/>
      </w:r>
    </w:p>
  </w:footnote>
  <w:footnote w:type="continuationSeparator" w:id="0">
    <w:p w14:paraId="39D6FE48" w14:textId="77777777" w:rsidR="005964D6" w:rsidRDefault="005964D6" w:rsidP="006A2F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59A"/>
    <w:rsid w:val="00172A3E"/>
    <w:rsid w:val="001B2583"/>
    <w:rsid w:val="004341DA"/>
    <w:rsid w:val="005964D6"/>
    <w:rsid w:val="006A2F74"/>
    <w:rsid w:val="007C63E6"/>
    <w:rsid w:val="007F259A"/>
    <w:rsid w:val="00A01C49"/>
    <w:rsid w:val="00A77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123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59A"/>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7F259A"/>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F259A"/>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7F259A"/>
    <w:rPr>
      <w:rFonts w:ascii="Arial" w:eastAsia="Calibri" w:hAnsi="Arial" w:cs="Arial"/>
      <w:b/>
      <w:bCs/>
    </w:rPr>
  </w:style>
  <w:style w:type="table" w:customStyle="1" w:styleId="TableGrid">
    <w:name w:val="TableGrid"/>
    <w:rsid w:val="007F259A"/>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F259A"/>
    <w:rPr>
      <w:color w:val="467886" w:themeColor="hyperlink"/>
      <w:u w:val="single"/>
    </w:rPr>
  </w:style>
  <w:style w:type="paragraph" w:styleId="ListParagraph">
    <w:name w:val="List Paragraph"/>
    <w:basedOn w:val="Normal"/>
    <w:uiPriority w:val="34"/>
    <w:qFormat/>
    <w:rsid w:val="007F259A"/>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6A2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F74"/>
  </w:style>
  <w:style w:type="paragraph" w:styleId="Footer">
    <w:name w:val="footer"/>
    <w:basedOn w:val="Normal"/>
    <w:link w:val="FooterChar"/>
    <w:uiPriority w:val="99"/>
    <w:unhideWhenUsed/>
    <w:rsid w:val="006A2F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Words in the Wild Comprehensive Literacy - Professional Learning (CA Dept of Education)</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Words in the Wild Comprehensive Literacy - Professional Learning (CA Dept of Education)</dc:title>
  <dc:subject>Program memo for the comprehensive literacy professional development package offered by Words in the Wild.</dc:subject>
  <dc:creator/>
  <cp:keywords/>
  <dc:description/>
  <cp:lastModifiedBy/>
  <cp:revision>1</cp:revision>
  <dcterms:created xsi:type="dcterms:W3CDTF">2026-08-20T23:24:00Z</dcterms:created>
  <dcterms:modified xsi:type="dcterms:W3CDTF">2026-08-25T20:47:00Z</dcterms:modified>
</cp:coreProperties>
</file>