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29CDF" w14:textId="77777777"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14:paraId="3D790F32" w14:textId="77777777"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97"/>
        <w:gridCol w:w="4040"/>
        <w:gridCol w:w="2123"/>
      </w:tblGrid>
      <w:tr w:rsidR="00E33CAD" w:rsidRPr="00264EDD" w14:paraId="6DAD5F1D" w14:textId="77777777" w:rsidTr="004F35E4">
        <w:trPr>
          <w:cantSplit/>
          <w:trHeight w:val="422"/>
          <w:tblHeader/>
        </w:trPr>
        <w:tc>
          <w:tcPr>
            <w:tcW w:w="1708" w:type="pct"/>
            <w:shd w:val="clear" w:color="auto" w:fill="D9D9D9" w:themeFill="background1" w:themeFillShade="D9"/>
            <w:hideMark/>
          </w:tcPr>
          <w:p w14:paraId="6848D87D" w14:textId="77777777"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14:paraId="4DA61FC2" w14:textId="77777777"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14:paraId="791D21FA" w14:textId="77777777"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670852" w:rsidRPr="00670852" w14:paraId="3D5A238A" w14:textId="77777777" w:rsidTr="004F35E4">
        <w:trPr>
          <w:cantSplit/>
          <w:trHeight w:val="440"/>
        </w:trPr>
        <w:tc>
          <w:tcPr>
            <w:tcW w:w="1708" w:type="pct"/>
            <w:hideMark/>
          </w:tcPr>
          <w:p w14:paraId="2F26DFEF" w14:textId="40CDC865" w:rsidR="00E33CAD" w:rsidRPr="00670852" w:rsidRDefault="00670852" w:rsidP="00670852">
            <w:pPr>
              <w:rPr>
                <w:rFonts w:cs="Arial"/>
                <w:i w:val="0"/>
                <w:iCs w:val="0"/>
                <w:color w:val="000000" w:themeColor="text1"/>
              </w:rPr>
            </w:pPr>
            <w:r w:rsidRPr="00670852">
              <w:rPr>
                <w:rFonts w:cs="Times New Roman"/>
                <w:bCs/>
                <w:i w:val="0"/>
                <w:iCs w:val="0"/>
                <w:color w:val="000000" w:themeColor="text1"/>
              </w:rPr>
              <w:t>Twig Education, Inc.</w:t>
            </w:r>
          </w:p>
        </w:tc>
        <w:tc>
          <w:tcPr>
            <w:tcW w:w="2158" w:type="pct"/>
            <w:hideMark/>
          </w:tcPr>
          <w:p w14:paraId="0169AC2B" w14:textId="77777777" w:rsidR="00E33CAD" w:rsidRPr="00670852" w:rsidRDefault="00670852" w:rsidP="00670852">
            <w:pPr>
              <w:rPr>
                <w:rFonts w:cs="Times New Roman"/>
                <w:bCs/>
                <w:iCs w:val="0"/>
                <w:color w:val="000000" w:themeColor="text1"/>
              </w:rPr>
            </w:pPr>
            <w:r w:rsidRPr="00670852">
              <w:rPr>
                <w:rFonts w:cs="Times New Roman"/>
                <w:bCs/>
                <w:iCs w:val="0"/>
                <w:color w:val="000000" w:themeColor="text1"/>
              </w:rPr>
              <w:t>Twig Science</w:t>
            </w:r>
          </w:p>
        </w:tc>
        <w:tc>
          <w:tcPr>
            <w:tcW w:w="1134" w:type="pct"/>
            <w:hideMark/>
          </w:tcPr>
          <w:p w14:paraId="4DFEA704" w14:textId="77777777" w:rsidR="00E33CAD" w:rsidRPr="00670852" w:rsidRDefault="00670852" w:rsidP="00A45A96">
            <w:pPr>
              <w:jc w:val="center"/>
              <w:rPr>
                <w:rFonts w:cs="Arial"/>
                <w:i w:val="0"/>
                <w:iCs w:val="0"/>
                <w:color w:val="000000" w:themeColor="text1"/>
              </w:rPr>
            </w:pPr>
            <w:r w:rsidRPr="00670852">
              <w:rPr>
                <w:rFonts w:cs="Arial"/>
                <w:i w:val="0"/>
                <w:color w:val="000000" w:themeColor="text1"/>
              </w:rPr>
              <w:t>K–6i</w:t>
            </w:r>
          </w:p>
        </w:tc>
      </w:tr>
    </w:tbl>
    <w:p w14:paraId="46123754" w14:textId="77777777" w:rsidR="00860E81" w:rsidRPr="00670852" w:rsidRDefault="00860E81" w:rsidP="00C942C4">
      <w:pPr>
        <w:pStyle w:val="Heading2"/>
        <w:rPr>
          <w:color w:val="000000" w:themeColor="text1"/>
        </w:rPr>
      </w:pPr>
      <w:r w:rsidRPr="00670852">
        <w:rPr>
          <w:color w:val="000000" w:themeColor="text1"/>
        </w:rPr>
        <w:t>Program Summary:</w:t>
      </w:r>
    </w:p>
    <w:p w14:paraId="43E17552" w14:textId="62A0C91A" w:rsidR="004F0D9A" w:rsidRPr="00670852" w:rsidRDefault="00670852" w:rsidP="00C942C4">
      <w:pPr>
        <w:pStyle w:val="Header"/>
        <w:tabs>
          <w:tab w:val="clear" w:pos="4320"/>
          <w:tab w:val="clear" w:pos="8640"/>
        </w:tabs>
        <w:rPr>
          <w:rFonts w:cs="Times New Roman"/>
          <w:b/>
          <w:bCs/>
          <w:i w:val="0"/>
          <w:iCs w:val="0"/>
          <w:color w:val="000000" w:themeColor="text1"/>
          <w:u w:val="single"/>
        </w:rPr>
      </w:pPr>
      <w:r w:rsidRPr="00670852">
        <w:rPr>
          <w:rFonts w:cs="Times New Roman"/>
          <w:bCs/>
          <w:iCs w:val="0"/>
          <w:color w:val="000000" w:themeColor="text1"/>
        </w:rPr>
        <w:t>Twig Science</w:t>
      </w:r>
      <w:r w:rsidR="004961B0" w:rsidRPr="00670852">
        <w:rPr>
          <w:rFonts w:cs="Arial"/>
          <w:i w:val="0"/>
          <w:iCs w:val="0"/>
          <w:color w:val="000000" w:themeColor="text1"/>
        </w:rPr>
        <w:t xml:space="preserve"> </w:t>
      </w:r>
      <w:r w:rsidR="004F0D9A" w:rsidRPr="00670852">
        <w:rPr>
          <w:rFonts w:cs="Times New Roman"/>
          <w:bCs/>
          <w:i w:val="0"/>
          <w:color w:val="000000" w:themeColor="text1"/>
        </w:rPr>
        <w:t xml:space="preserve">includes: </w:t>
      </w:r>
      <w:r w:rsidRPr="00670852">
        <w:rPr>
          <w:rFonts w:cs="Arial"/>
          <w:i w:val="0"/>
          <w:color w:val="000000" w:themeColor="text1"/>
        </w:rPr>
        <w:t>Twig Science</w:t>
      </w:r>
      <w:r w:rsidRPr="00670852">
        <w:rPr>
          <w:rFonts w:cs="Arial"/>
          <w:color w:val="000000" w:themeColor="text1"/>
        </w:rPr>
        <w:t xml:space="preserve"> includes: Twig Science Teacher Editions (TE), Twig Science Student Twig Books (TB), Leveled Readers (LR) (On-, Above, Below and English Learner Levels), </w:t>
      </w:r>
      <w:hyperlink r:id="rId8" w:tooltip="Twig Science" w:history="1">
        <w:r w:rsidR="004F35E4" w:rsidRPr="004F35E4">
          <w:rPr>
            <w:rStyle w:val="Hyperlink"/>
            <w:rFonts w:cs="Arial"/>
          </w:rPr>
          <w:t>http://www.twigscience.com/</w:t>
        </w:r>
      </w:hyperlink>
      <w:r w:rsidRPr="00670852">
        <w:rPr>
          <w:rFonts w:cs="Arial"/>
          <w:color w:val="000000" w:themeColor="text1"/>
        </w:rPr>
        <w:t xml:space="preserve">, </w:t>
      </w:r>
      <w:hyperlink r:id="rId9" w:tooltip="Twig Science Tools" w:history="1">
        <w:r w:rsidR="004F35E4" w:rsidRPr="004F35E4">
          <w:rPr>
            <w:rStyle w:val="Hyperlink"/>
            <w:rFonts w:cs="Arial"/>
          </w:rPr>
          <w:t>http://www.twigsciencetools.com</w:t>
        </w:r>
      </w:hyperlink>
      <w:r w:rsidRPr="00670852">
        <w:rPr>
          <w:rFonts w:cs="Arial"/>
          <w:color w:val="000000" w:themeColor="text1"/>
        </w:rPr>
        <w:t xml:space="preserve">, </w:t>
      </w:r>
      <w:hyperlink r:id="rId10" w:tooltip="Twig Science Reporter" w:history="1">
        <w:r w:rsidR="004F35E4" w:rsidRPr="004F35E4">
          <w:rPr>
            <w:rStyle w:val="Hyperlink"/>
            <w:rFonts w:cs="Arial"/>
          </w:rPr>
          <w:t>http://www.twigsciencereporter.com</w:t>
        </w:r>
      </w:hyperlink>
      <w:r w:rsidR="004F0D9A" w:rsidRPr="00670852">
        <w:rPr>
          <w:rFonts w:cs="Times New Roman"/>
          <w:bCs/>
          <w:i w:val="0"/>
          <w:color w:val="000000" w:themeColor="text1"/>
        </w:rPr>
        <w:t>.</w:t>
      </w:r>
    </w:p>
    <w:p w14:paraId="388E09C8" w14:textId="7D152B67" w:rsidR="004961B0" w:rsidRPr="00DA0A21" w:rsidRDefault="00860E81" w:rsidP="00DA0A21">
      <w:pPr>
        <w:pStyle w:val="Heading2"/>
        <w:rPr>
          <w:color w:val="000000" w:themeColor="text1"/>
        </w:rPr>
      </w:pPr>
      <w:r w:rsidRPr="00670852">
        <w:rPr>
          <w:color w:val="000000" w:themeColor="text1"/>
        </w:rPr>
        <w:t>Recommendation:</w:t>
      </w:r>
    </w:p>
    <w:p w14:paraId="301F48AD" w14:textId="6934009B" w:rsidR="00BB68B1" w:rsidRDefault="00670852" w:rsidP="00AE76BC">
      <w:pPr>
        <w:pStyle w:val="Header"/>
        <w:tabs>
          <w:tab w:val="clear" w:pos="4320"/>
          <w:tab w:val="clear" w:pos="8640"/>
        </w:tabs>
        <w:spacing w:after="240"/>
        <w:rPr>
          <w:rFonts w:cs="Arial"/>
          <w:i w:val="0"/>
          <w:iCs w:val="0"/>
        </w:rPr>
      </w:pPr>
      <w:r w:rsidRPr="00670852">
        <w:rPr>
          <w:rFonts w:cs="Times New Roman"/>
          <w:bCs/>
          <w:iCs w:val="0"/>
          <w:color w:val="000000" w:themeColor="text1"/>
        </w:rPr>
        <w:t>Twig Science</w:t>
      </w:r>
      <w:r w:rsidR="004961B0" w:rsidRPr="00670852">
        <w:rPr>
          <w:rFonts w:cs="Arial"/>
          <w:i w:val="0"/>
          <w:iCs w:val="0"/>
          <w:color w:val="000000" w:themeColor="text1"/>
        </w:rPr>
        <w:t xml:space="preserve"> </w:t>
      </w:r>
      <w:r w:rsidR="00860E81" w:rsidRPr="00670852">
        <w:rPr>
          <w:rFonts w:cs="Times New Roman"/>
          <w:i w:val="0"/>
          <w:iCs w:val="0"/>
          <w:color w:val="000000" w:themeColor="text1"/>
        </w:rPr>
        <w:t xml:space="preserve">is recommended for adoption </w:t>
      </w:r>
      <w:r w:rsidR="00957292" w:rsidRPr="00670852">
        <w:rPr>
          <w:rFonts w:cs="Times New Roman"/>
          <w:i w:val="0"/>
          <w:iCs w:val="0"/>
          <w:color w:val="000000" w:themeColor="text1"/>
        </w:rPr>
        <w:t xml:space="preserve">for </w:t>
      </w:r>
      <w:r w:rsidRPr="00670852">
        <w:rPr>
          <w:rFonts w:cs="Arial"/>
          <w:i w:val="0"/>
          <w:color w:val="000000" w:themeColor="text1"/>
        </w:rPr>
        <w:t>K–6i</w:t>
      </w:r>
      <w:r w:rsidR="004961B0" w:rsidRPr="00670852">
        <w:rPr>
          <w:rFonts w:cs="Arial"/>
          <w:i w:val="0"/>
          <w:iCs w:val="0"/>
          <w:color w:val="000000" w:themeColor="text1"/>
        </w:rPr>
        <w:t xml:space="preserve"> </w:t>
      </w:r>
      <w:r w:rsidR="00860E81" w:rsidRPr="00670852">
        <w:rPr>
          <w:rFonts w:cs="Times New Roman"/>
          <w:i w:val="0"/>
          <w:iCs w:val="0"/>
          <w:color w:val="000000" w:themeColor="text1"/>
        </w:rPr>
        <w:t xml:space="preserve">because the instructional materials include content as specified in the </w:t>
      </w:r>
      <w:r w:rsidR="00F76B3D" w:rsidRPr="00670852">
        <w:rPr>
          <w:rFonts w:cs="Times New Roman"/>
          <w:iCs w:val="0"/>
          <w:color w:val="000000" w:themeColor="text1"/>
        </w:rPr>
        <w:t>Next Generation Science Standards for California Public Schools</w:t>
      </w:r>
      <w:r w:rsidR="00976333" w:rsidRPr="00670852">
        <w:rPr>
          <w:rFonts w:cs="Times New Roman"/>
          <w:iCs w:val="0"/>
          <w:color w:val="000000" w:themeColor="text1"/>
        </w:rPr>
        <w:t xml:space="preserve"> </w:t>
      </w:r>
      <w:r w:rsidR="0086494D" w:rsidRPr="00670852">
        <w:rPr>
          <w:rFonts w:cs="Times New Roman"/>
          <w:i w:val="0"/>
          <w:iCs w:val="0"/>
          <w:color w:val="000000" w:themeColor="text1"/>
        </w:rPr>
        <w:t>(</w:t>
      </w:r>
      <w:r w:rsidR="00795D74" w:rsidRPr="00670852">
        <w:rPr>
          <w:rFonts w:cs="Times New Roman"/>
          <w:iCs w:val="0"/>
          <w:color w:val="000000" w:themeColor="text1"/>
        </w:rPr>
        <w:t>CA NGSS</w:t>
      </w:r>
      <w:r w:rsidR="0086494D" w:rsidRPr="00670852">
        <w:rPr>
          <w:rFonts w:cs="Times New Roman"/>
          <w:i w:val="0"/>
          <w:iCs w:val="0"/>
          <w:color w:val="000000" w:themeColor="text1"/>
        </w:rPr>
        <w:t xml:space="preserve">) </w:t>
      </w:r>
      <w:r w:rsidR="00860E81" w:rsidRPr="00670852">
        <w:rPr>
          <w:rFonts w:cs="Times New Roman"/>
          <w:i w:val="0"/>
          <w:iCs w:val="0"/>
          <w:color w:val="000000" w:themeColor="text1"/>
        </w:rPr>
        <w:t xml:space="preserve">and meet all the </w:t>
      </w:r>
      <w:r w:rsidR="00957292" w:rsidRPr="00670852">
        <w:rPr>
          <w:rFonts w:cs="Times New Roman"/>
          <w:i w:val="0"/>
          <w:iCs w:val="0"/>
          <w:color w:val="000000" w:themeColor="text1"/>
        </w:rPr>
        <w:t>c</w:t>
      </w:r>
      <w:r w:rsidR="00860E81" w:rsidRPr="00670852">
        <w:rPr>
          <w:rFonts w:cs="Times New Roman"/>
          <w:i w:val="0"/>
          <w:iCs w:val="0"/>
          <w:color w:val="000000" w:themeColor="text1"/>
        </w:rPr>
        <w:t xml:space="preserve">riteria in </w:t>
      </w:r>
      <w:r w:rsidR="00C942C4" w:rsidRPr="00670852">
        <w:rPr>
          <w:rFonts w:cs="Times New Roman"/>
          <w:i w:val="0"/>
          <w:iCs w:val="0"/>
          <w:color w:val="000000" w:themeColor="text1"/>
        </w:rPr>
        <w:t>C</w:t>
      </w:r>
      <w:r w:rsidR="00860E81" w:rsidRPr="00670852">
        <w:rPr>
          <w:rFonts w:cs="Times New Roman"/>
          <w:i w:val="0"/>
          <w:iCs w:val="0"/>
          <w:color w:val="000000" w:themeColor="text1"/>
        </w:rPr>
        <w:t xml:space="preserve">ategory 1 with strengths in </w:t>
      </w:r>
      <w:r w:rsidR="00957292" w:rsidRPr="00670852">
        <w:rPr>
          <w:rFonts w:cs="Times New Roman"/>
          <w:i w:val="0"/>
          <w:iCs w:val="0"/>
          <w:color w:val="000000" w:themeColor="text1"/>
        </w:rPr>
        <w:t>c</w:t>
      </w:r>
      <w:r w:rsidR="00860E81" w:rsidRPr="00670852">
        <w:rPr>
          <w:rFonts w:cs="Times New Roman"/>
          <w:i w:val="0"/>
          <w:iCs w:val="0"/>
          <w:color w:val="000000" w:themeColor="text1"/>
        </w:rPr>
        <w:t>ategories 2</w:t>
      </w:r>
      <w:r w:rsidR="00957292" w:rsidRPr="00670852">
        <w:rPr>
          <w:rFonts w:cs="Times New Roman"/>
          <w:i w:val="0"/>
          <w:iCs w:val="0"/>
          <w:color w:val="000000" w:themeColor="text1"/>
        </w:rPr>
        <w:t>–</w:t>
      </w:r>
      <w:r w:rsidR="00860E81" w:rsidRPr="00670852">
        <w:rPr>
          <w:rFonts w:cs="Times New Roman"/>
          <w:i w:val="0"/>
          <w:iCs w:val="0"/>
          <w:color w:val="000000" w:themeColor="text1"/>
        </w:rPr>
        <w:t>5.</w:t>
      </w:r>
    </w:p>
    <w:p w14:paraId="3B33E7CB" w14:textId="77777777"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14:paraId="51503382" w14:textId="7A7F524D"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The program</w:t>
      </w:r>
      <w:r w:rsidR="00596FA0">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596FA0">
        <w:rPr>
          <w:rFonts w:cs="Times New Roman"/>
          <w:i w:val="0"/>
          <w:iCs w:val="0"/>
        </w:rPr>
        <w:t>includes</w:t>
      </w:r>
      <w:r w:rsidR="00596FA0">
        <w:rPr>
          <w:rFonts w:cs="Times New Roman"/>
          <w:i w:val="0"/>
          <w:iCs w:val="0"/>
        </w:rPr>
        <w:t xml:space="preserve"> </w:t>
      </w:r>
      <w:r w:rsidRPr="00BB68B1">
        <w:rPr>
          <w:rFonts w:cs="Times New Roman"/>
          <w:i w:val="0"/>
        </w:rPr>
        <w:t>a well-defined sequence of instructional opportunities that provides a path for all students to become proficient in all grade-level performance expectations.</w:t>
      </w:r>
    </w:p>
    <w:p w14:paraId="0CD4D720" w14:textId="77777777" w:rsidR="004961B0" w:rsidRDefault="004961B0" w:rsidP="0052519C">
      <w:pPr>
        <w:pStyle w:val="Heading3"/>
        <w:rPr>
          <w:i/>
          <w:iCs/>
        </w:rPr>
      </w:pPr>
      <w:r w:rsidRPr="0052519C">
        <w:t>Citations</w:t>
      </w:r>
      <w:r w:rsidRPr="00231C1B">
        <w:t>:</w:t>
      </w:r>
    </w:p>
    <w:p w14:paraId="2A571497" w14:textId="21410D20" w:rsidR="00F13091" w:rsidRPr="00D90A33" w:rsidRDefault="00B63AF4" w:rsidP="00D90A33">
      <w:pPr>
        <w:pStyle w:val="Header"/>
        <w:numPr>
          <w:ilvl w:val="0"/>
          <w:numId w:val="23"/>
        </w:numPr>
        <w:spacing w:after="240"/>
        <w:rPr>
          <w:rFonts w:cs="Times New Roman"/>
          <w:i w:val="0"/>
        </w:rPr>
      </w:pPr>
      <w:r w:rsidRPr="00D90A33">
        <w:rPr>
          <w:rFonts w:cs="Times New Roman"/>
          <w:i w:val="0"/>
        </w:rPr>
        <w:t>Criterion #1</w:t>
      </w:r>
      <w:r w:rsidR="00596FA0" w:rsidRPr="00D90A33">
        <w:rPr>
          <w:rFonts w:cs="Times New Roman"/>
          <w:i w:val="0"/>
        </w:rPr>
        <w:t xml:space="preserve">: </w:t>
      </w:r>
      <w:r w:rsidR="00D90A33" w:rsidRPr="00D90A33">
        <w:rPr>
          <w:rFonts w:cs="Times New Roman"/>
          <w:i w:val="0"/>
        </w:rPr>
        <w:t xml:space="preserve">Grade K, </w:t>
      </w:r>
      <w:r w:rsidR="00596FA0" w:rsidRPr="00D90A33">
        <w:rPr>
          <w:rFonts w:cs="Times New Roman"/>
          <w:i w:val="0"/>
        </w:rPr>
        <w:t>PE K-LS1-1, Module 1</w:t>
      </w:r>
      <w:r w:rsidRPr="00D90A33">
        <w:rPr>
          <w:rFonts w:cs="Times New Roman"/>
          <w:i w:val="0"/>
        </w:rPr>
        <w:t xml:space="preserve">, </w:t>
      </w:r>
      <w:r w:rsidR="00596FA0" w:rsidRPr="00D90A33">
        <w:rPr>
          <w:rFonts w:cs="Times New Roman"/>
          <w:i w:val="0"/>
        </w:rPr>
        <w:t xml:space="preserve">TE </w:t>
      </w:r>
      <w:r w:rsidR="00D90A33" w:rsidRPr="00D90A33">
        <w:rPr>
          <w:rFonts w:cs="Times New Roman"/>
          <w:i w:val="0"/>
        </w:rPr>
        <w:t>p.</w:t>
      </w:r>
      <w:r w:rsidR="00596FA0" w:rsidRPr="00D90A33">
        <w:rPr>
          <w:rFonts w:cs="Times New Roman"/>
          <w:i w:val="0"/>
        </w:rPr>
        <w:t xml:space="preserve">58/TB </w:t>
      </w:r>
      <w:r w:rsidR="00D90A33" w:rsidRPr="00D90A33">
        <w:rPr>
          <w:rFonts w:cs="Times New Roman"/>
          <w:i w:val="0"/>
        </w:rPr>
        <w:t>p.</w:t>
      </w:r>
      <w:r w:rsidR="00596FA0" w:rsidRPr="00D90A33">
        <w:rPr>
          <w:rFonts w:cs="Times New Roman"/>
          <w:i w:val="0"/>
        </w:rPr>
        <w:t>15</w:t>
      </w:r>
      <w:r w:rsidR="00D90A33" w:rsidRPr="00D90A33">
        <w:rPr>
          <w:rFonts w:cs="Times New Roman"/>
          <w:i w:val="0"/>
        </w:rPr>
        <w:t>;</w:t>
      </w:r>
      <w:r w:rsidR="00596FA0" w:rsidRPr="00D90A33">
        <w:rPr>
          <w:rFonts w:cs="Times New Roman"/>
          <w:i w:val="0"/>
        </w:rPr>
        <w:t xml:space="preserve"> </w:t>
      </w:r>
      <w:r w:rsidR="00D90A33" w:rsidRPr="00D90A33">
        <w:rPr>
          <w:rFonts w:cs="Times New Roman"/>
          <w:i w:val="0"/>
        </w:rPr>
        <w:t xml:space="preserve">Grade 1, </w:t>
      </w:r>
      <w:r w:rsidR="00596FA0" w:rsidRPr="00D90A33">
        <w:rPr>
          <w:rFonts w:cs="Times New Roman"/>
          <w:i w:val="0"/>
        </w:rPr>
        <w:t>PE 1-LS1-2</w:t>
      </w:r>
      <w:r w:rsidR="00D90A33" w:rsidRPr="00D90A33">
        <w:rPr>
          <w:rFonts w:cs="Times New Roman"/>
          <w:i w:val="0"/>
        </w:rPr>
        <w:t>,</w:t>
      </w:r>
      <w:r w:rsidR="00596FA0" w:rsidRPr="00D90A33">
        <w:rPr>
          <w:rFonts w:cs="Times New Roman"/>
          <w:i w:val="0"/>
        </w:rPr>
        <w:t xml:space="preserve"> </w:t>
      </w:r>
      <w:r w:rsidRPr="00D90A33">
        <w:rPr>
          <w:rFonts w:cs="Times New Roman"/>
          <w:i w:val="0"/>
        </w:rPr>
        <w:t xml:space="preserve">Module 2, TE </w:t>
      </w:r>
      <w:r w:rsidR="00D90A33" w:rsidRPr="00D90A33">
        <w:rPr>
          <w:rFonts w:cs="Times New Roman"/>
          <w:i w:val="0"/>
        </w:rPr>
        <w:t>p.</w:t>
      </w:r>
      <w:r w:rsidRPr="00D90A33">
        <w:rPr>
          <w:rFonts w:cs="Times New Roman"/>
          <w:i w:val="0"/>
        </w:rPr>
        <w:t xml:space="preserve">120/TB </w:t>
      </w:r>
      <w:r w:rsidR="00D90A33" w:rsidRPr="00D90A33">
        <w:rPr>
          <w:rFonts w:cs="Times New Roman"/>
          <w:i w:val="0"/>
        </w:rPr>
        <w:t>p.</w:t>
      </w:r>
      <w:r w:rsidRPr="00D90A33">
        <w:rPr>
          <w:rFonts w:cs="Times New Roman"/>
          <w:i w:val="0"/>
        </w:rPr>
        <w:t>45</w:t>
      </w:r>
      <w:r w:rsidR="00D90A33" w:rsidRPr="00D90A33">
        <w:rPr>
          <w:rFonts w:cs="Times New Roman"/>
          <w:i w:val="0"/>
        </w:rPr>
        <w:t xml:space="preserve">; Grade 2, </w:t>
      </w:r>
      <w:r w:rsidR="00596FA0" w:rsidRPr="00D90A33">
        <w:rPr>
          <w:rFonts w:cs="Times New Roman"/>
          <w:i w:val="0"/>
        </w:rPr>
        <w:t>PE 2-ESS2-1</w:t>
      </w:r>
      <w:r w:rsidR="00D90A33" w:rsidRPr="00D90A33">
        <w:rPr>
          <w:rFonts w:cs="Times New Roman"/>
          <w:i w:val="0"/>
        </w:rPr>
        <w:t xml:space="preserve">, </w:t>
      </w:r>
      <w:r w:rsidRPr="00D90A33">
        <w:rPr>
          <w:rFonts w:cs="Times New Roman"/>
          <w:i w:val="0"/>
        </w:rPr>
        <w:t>Module 3, TE</w:t>
      </w:r>
      <w:r w:rsidR="00C23CDB" w:rsidRPr="00D90A33">
        <w:rPr>
          <w:rFonts w:cs="Times New Roman"/>
          <w:i w:val="0"/>
        </w:rPr>
        <w:t xml:space="preserve"> </w:t>
      </w:r>
      <w:r w:rsidR="00D90A33" w:rsidRPr="00D90A33">
        <w:rPr>
          <w:rFonts w:cs="Times New Roman"/>
          <w:i w:val="0"/>
        </w:rPr>
        <w:t>p.</w:t>
      </w:r>
      <w:r w:rsidRPr="00D90A33">
        <w:rPr>
          <w:rFonts w:cs="Times New Roman"/>
          <w:i w:val="0"/>
        </w:rPr>
        <w:t xml:space="preserve">18/TB </w:t>
      </w:r>
      <w:r w:rsidR="00D90A33" w:rsidRPr="00D90A33">
        <w:rPr>
          <w:rFonts w:cs="Times New Roman"/>
          <w:i w:val="0"/>
        </w:rPr>
        <w:t>p.</w:t>
      </w:r>
      <w:r w:rsidRPr="00D90A33">
        <w:rPr>
          <w:rFonts w:cs="Times New Roman"/>
          <w:i w:val="0"/>
        </w:rPr>
        <w:t>7</w:t>
      </w:r>
      <w:r w:rsidR="00D90A33" w:rsidRPr="00D90A33">
        <w:rPr>
          <w:rFonts w:cs="Times New Roman"/>
          <w:i w:val="0"/>
        </w:rPr>
        <w:t xml:space="preserve">; Grade 3, </w:t>
      </w:r>
      <w:r w:rsidR="00596FA0" w:rsidRPr="00D90A33">
        <w:rPr>
          <w:rFonts w:cs="Times New Roman"/>
          <w:i w:val="0"/>
        </w:rPr>
        <w:t>PE 3-PS2-1</w:t>
      </w:r>
      <w:r w:rsidR="00D90A33" w:rsidRPr="00D90A33">
        <w:rPr>
          <w:rFonts w:cs="Times New Roman"/>
          <w:i w:val="0"/>
        </w:rPr>
        <w:t xml:space="preserve">, </w:t>
      </w:r>
      <w:r w:rsidRPr="00D90A33">
        <w:rPr>
          <w:rFonts w:cs="Times New Roman"/>
          <w:i w:val="0"/>
        </w:rPr>
        <w:t xml:space="preserve">Module 1, </w:t>
      </w:r>
      <w:r w:rsidR="00596FA0" w:rsidRPr="00D90A33">
        <w:rPr>
          <w:rFonts w:cs="Times New Roman"/>
          <w:i w:val="0"/>
        </w:rPr>
        <w:t xml:space="preserve">TE </w:t>
      </w:r>
      <w:r w:rsidR="00D90A33" w:rsidRPr="00D90A33">
        <w:rPr>
          <w:rFonts w:cs="Times New Roman"/>
          <w:i w:val="0"/>
        </w:rPr>
        <w:t>p.</w:t>
      </w:r>
      <w:r w:rsidR="00596FA0" w:rsidRPr="00D90A33">
        <w:rPr>
          <w:rFonts w:cs="Times New Roman"/>
          <w:i w:val="0"/>
        </w:rPr>
        <w:t xml:space="preserve">121/TB </w:t>
      </w:r>
      <w:r w:rsidR="00D90A33" w:rsidRPr="00D90A33">
        <w:rPr>
          <w:rFonts w:cs="Times New Roman"/>
          <w:i w:val="0"/>
        </w:rPr>
        <w:t>p.</w:t>
      </w:r>
      <w:r w:rsidR="00596FA0" w:rsidRPr="00D90A33">
        <w:rPr>
          <w:rFonts w:cs="Times New Roman"/>
          <w:i w:val="0"/>
        </w:rPr>
        <w:t>35</w:t>
      </w:r>
      <w:r w:rsidR="00D90A33" w:rsidRPr="00D90A33">
        <w:rPr>
          <w:rFonts w:cs="Times New Roman"/>
          <w:i w:val="0"/>
        </w:rPr>
        <w:t xml:space="preserve">; Grade 4, </w:t>
      </w:r>
      <w:r w:rsidR="00596FA0" w:rsidRPr="00D90A33">
        <w:rPr>
          <w:rFonts w:cs="Times New Roman"/>
          <w:i w:val="0"/>
        </w:rPr>
        <w:t>PE 4-ESS 3-2, 3-5 ETS1-1</w:t>
      </w:r>
      <w:r w:rsidR="00D90A33" w:rsidRPr="00D90A33">
        <w:rPr>
          <w:rFonts w:cs="Times New Roman"/>
          <w:i w:val="0"/>
        </w:rPr>
        <w:t xml:space="preserve">, </w:t>
      </w:r>
      <w:r w:rsidR="00596FA0" w:rsidRPr="00D90A33">
        <w:rPr>
          <w:rFonts w:cs="Times New Roman"/>
          <w:i w:val="0"/>
        </w:rPr>
        <w:t>Module 4</w:t>
      </w:r>
      <w:r w:rsidRPr="00D90A33">
        <w:rPr>
          <w:rFonts w:cs="Times New Roman"/>
          <w:b/>
          <w:i w:val="0"/>
        </w:rPr>
        <w:t xml:space="preserve">, </w:t>
      </w:r>
      <w:r w:rsidRPr="00D90A33">
        <w:rPr>
          <w:rFonts w:cs="Times New Roman"/>
          <w:i w:val="0"/>
        </w:rPr>
        <w:t xml:space="preserve">TE </w:t>
      </w:r>
      <w:r w:rsidR="00D90A33" w:rsidRPr="00D90A33">
        <w:rPr>
          <w:rFonts w:cs="Times New Roman"/>
          <w:i w:val="0"/>
        </w:rPr>
        <w:t>p.</w:t>
      </w:r>
      <w:r w:rsidRPr="00D90A33">
        <w:rPr>
          <w:rFonts w:cs="Times New Roman"/>
          <w:i w:val="0"/>
        </w:rPr>
        <w:t xml:space="preserve">133/TB </w:t>
      </w:r>
      <w:r w:rsidR="00D90A33" w:rsidRPr="00D90A33">
        <w:rPr>
          <w:rFonts w:cs="Times New Roman"/>
          <w:i w:val="0"/>
        </w:rPr>
        <w:t>pp.</w:t>
      </w:r>
      <w:r w:rsidRPr="00D90A33">
        <w:rPr>
          <w:rFonts w:cs="Times New Roman"/>
          <w:i w:val="0"/>
        </w:rPr>
        <w:t>67-68</w:t>
      </w:r>
      <w:r w:rsidR="00D90A33" w:rsidRPr="00D90A33">
        <w:rPr>
          <w:rFonts w:cs="Times New Roman"/>
          <w:i w:val="0"/>
        </w:rPr>
        <w:t xml:space="preserve">; </w:t>
      </w:r>
      <w:r w:rsidR="00CE489D" w:rsidRPr="00D90A33">
        <w:rPr>
          <w:rFonts w:cs="Times New Roman"/>
          <w:i w:val="0"/>
        </w:rPr>
        <w:t xml:space="preserve">Grade 5, PE 5-ESS2-1, Module 3, TE </w:t>
      </w:r>
      <w:r w:rsidR="00D90A33" w:rsidRPr="00D90A33">
        <w:rPr>
          <w:rFonts w:cs="Times New Roman"/>
          <w:i w:val="0"/>
        </w:rPr>
        <w:t>p.</w:t>
      </w:r>
      <w:r w:rsidR="00CE489D" w:rsidRPr="00D90A33">
        <w:rPr>
          <w:rFonts w:cs="Times New Roman"/>
          <w:i w:val="0"/>
        </w:rPr>
        <w:t>6</w:t>
      </w:r>
      <w:r w:rsidR="00D90A33" w:rsidRPr="00D90A33">
        <w:rPr>
          <w:rFonts w:cs="Times New Roman"/>
          <w:i w:val="0"/>
        </w:rPr>
        <w:t xml:space="preserve">; </w:t>
      </w:r>
      <w:r w:rsidR="00F13091" w:rsidRPr="00D90A33">
        <w:rPr>
          <w:rFonts w:cs="Times New Roman"/>
          <w:i w:val="0"/>
        </w:rPr>
        <w:t xml:space="preserve">Grade 6, PE MS-LS1-1, Module 1, TE </w:t>
      </w:r>
      <w:r w:rsidR="00D90A33">
        <w:rPr>
          <w:rFonts w:cs="Times New Roman"/>
          <w:i w:val="0"/>
        </w:rPr>
        <w:t>p.</w:t>
      </w:r>
      <w:r w:rsidR="00F13091" w:rsidRPr="00D90A33">
        <w:rPr>
          <w:rFonts w:cs="Times New Roman"/>
          <w:i w:val="0"/>
        </w:rPr>
        <w:t xml:space="preserve">246. The </w:t>
      </w:r>
      <w:r w:rsidR="00D90A33">
        <w:rPr>
          <w:rFonts w:cs="Times New Roman"/>
          <w:i w:val="0"/>
        </w:rPr>
        <w:t xml:space="preserve">materials </w:t>
      </w:r>
      <w:r w:rsidR="00D90A33" w:rsidRPr="00D90A33">
        <w:rPr>
          <w:rFonts w:cs="Times New Roman"/>
          <w:i w:val="0"/>
        </w:rPr>
        <w:t>align to the CA NGSS, adopted by the SBE in September 2013</w:t>
      </w:r>
      <w:r w:rsidR="00D90A33">
        <w:rPr>
          <w:rFonts w:cs="Times New Roman"/>
          <w:i w:val="0"/>
        </w:rPr>
        <w:t xml:space="preserve">. </w:t>
      </w:r>
    </w:p>
    <w:p w14:paraId="3699228D" w14:textId="63E2D636" w:rsidR="004961B0" w:rsidRDefault="00B63AF4" w:rsidP="00B63AF4">
      <w:pPr>
        <w:pStyle w:val="Header"/>
        <w:numPr>
          <w:ilvl w:val="0"/>
          <w:numId w:val="23"/>
        </w:numPr>
        <w:tabs>
          <w:tab w:val="clear" w:pos="4320"/>
          <w:tab w:val="clear" w:pos="8640"/>
        </w:tabs>
        <w:spacing w:after="240"/>
        <w:rPr>
          <w:rFonts w:cs="Times New Roman"/>
          <w:i w:val="0"/>
        </w:rPr>
      </w:pPr>
      <w:r>
        <w:rPr>
          <w:rFonts w:cs="Times New Roman"/>
          <w:i w:val="0"/>
        </w:rPr>
        <w:t>Criterion #</w:t>
      </w:r>
      <w:r w:rsidR="00F13091">
        <w:rPr>
          <w:rFonts w:cs="Times New Roman"/>
          <w:i w:val="0"/>
        </w:rPr>
        <w:t xml:space="preserve">2: Grade 4, Module 2, TE </w:t>
      </w:r>
      <w:r w:rsidR="00D90A33">
        <w:rPr>
          <w:rFonts w:cs="Times New Roman"/>
          <w:i w:val="0"/>
        </w:rPr>
        <w:t>p.</w:t>
      </w:r>
      <w:r w:rsidR="00F13091">
        <w:rPr>
          <w:rFonts w:cs="Times New Roman"/>
          <w:i w:val="0"/>
        </w:rPr>
        <w:t xml:space="preserve">106; Grade 3, Module 2, TE </w:t>
      </w:r>
      <w:r w:rsidR="00D90A33">
        <w:rPr>
          <w:rFonts w:cs="Times New Roman"/>
          <w:i w:val="0"/>
        </w:rPr>
        <w:t>p.</w:t>
      </w:r>
      <w:r w:rsidR="00F13091">
        <w:rPr>
          <w:rFonts w:cs="Times New Roman"/>
          <w:i w:val="0"/>
        </w:rPr>
        <w:t>184. There are examples of opportunities for students to use text, engage in discourse, and employ experiential learning to develop mastery of the three integrated dimensions (SEPs, CCCs, and DCIs) of the CA NGSS</w:t>
      </w:r>
      <w:r w:rsidR="003F5D42">
        <w:rPr>
          <w:rFonts w:cs="Times New Roman"/>
          <w:i w:val="0"/>
        </w:rPr>
        <w:t>.</w:t>
      </w:r>
    </w:p>
    <w:p w14:paraId="4041EC09" w14:textId="3D81FA14" w:rsidR="00BD61FC" w:rsidRDefault="00BD61FC" w:rsidP="00BD61FC">
      <w:pPr>
        <w:pStyle w:val="Header"/>
        <w:tabs>
          <w:tab w:val="clear" w:pos="4320"/>
          <w:tab w:val="clear" w:pos="8640"/>
        </w:tabs>
        <w:spacing w:after="240"/>
        <w:jc w:val="right"/>
        <w:rPr>
          <w:rFonts w:cs="Times New Roman"/>
          <w:i w:val="0"/>
        </w:rPr>
      </w:pPr>
      <w:r>
        <w:rPr>
          <w:rFonts w:cs="Times New Roman"/>
          <w:i w:val="0"/>
        </w:rPr>
        <w:t>1</w:t>
      </w:r>
    </w:p>
    <w:p w14:paraId="269357E8" w14:textId="20BF7D54" w:rsidR="00750B59" w:rsidRDefault="00750B59" w:rsidP="00B63AF4">
      <w:pPr>
        <w:pStyle w:val="Header"/>
        <w:numPr>
          <w:ilvl w:val="0"/>
          <w:numId w:val="23"/>
        </w:numPr>
        <w:spacing w:after="240"/>
        <w:rPr>
          <w:rFonts w:cs="Times New Roman"/>
          <w:i w:val="0"/>
        </w:rPr>
      </w:pPr>
      <w:r>
        <w:rPr>
          <w:rFonts w:cs="Times New Roman"/>
          <w:i w:val="0"/>
        </w:rPr>
        <w:lastRenderedPageBreak/>
        <w:t xml:space="preserve">Criterion #7: Grade 1, Module 1, TE </w:t>
      </w:r>
      <w:r w:rsidR="00D90A33">
        <w:rPr>
          <w:rFonts w:cs="Times New Roman"/>
          <w:i w:val="0"/>
        </w:rPr>
        <w:t>p.</w:t>
      </w:r>
      <w:r>
        <w:rPr>
          <w:rFonts w:cs="Times New Roman"/>
          <w:i w:val="0"/>
        </w:rPr>
        <w:t xml:space="preserve">217; Grade 6, Module 1, TE </w:t>
      </w:r>
      <w:r w:rsidR="00D90A33">
        <w:rPr>
          <w:rFonts w:cs="Times New Roman"/>
          <w:i w:val="0"/>
        </w:rPr>
        <w:t>p.</w:t>
      </w:r>
      <w:r>
        <w:rPr>
          <w:rFonts w:cs="Times New Roman"/>
          <w:i w:val="0"/>
        </w:rPr>
        <w:t>199. These are examples of the use of primary sources such as scientific research, and photographs that are integrated into the three-dimensional learni</w:t>
      </w:r>
      <w:r w:rsidR="00B63AF4">
        <w:rPr>
          <w:rFonts w:cs="Times New Roman"/>
          <w:i w:val="0"/>
        </w:rPr>
        <w:t>ng, as grade level appropriate.</w:t>
      </w:r>
    </w:p>
    <w:p w14:paraId="7DA03645" w14:textId="0E3EFBEA" w:rsidR="00750B59" w:rsidRDefault="00750B59" w:rsidP="00B63AF4">
      <w:pPr>
        <w:pStyle w:val="Header"/>
        <w:numPr>
          <w:ilvl w:val="0"/>
          <w:numId w:val="23"/>
        </w:numPr>
        <w:spacing w:after="240"/>
        <w:rPr>
          <w:rFonts w:cs="Times New Roman"/>
          <w:i w:val="0"/>
        </w:rPr>
      </w:pPr>
      <w:r>
        <w:rPr>
          <w:rFonts w:cs="Times New Roman"/>
          <w:i w:val="0"/>
        </w:rPr>
        <w:t xml:space="preserve">Criterion #13: Grade 5, Module 3, TE </w:t>
      </w:r>
      <w:r w:rsidR="00D90A33">
        <w:rPr>
          <w:rFonts w:cs="Times New Roman"/>
          <w:i w:val="0"/>
        </w:rPr>
        <w:t>p.</w:t>
      </w:r>
      <w:r>
        <w:rPr>
          <w:rFonts w:cs="Times New Roman"/>
          <w:i w:val="0"/>
        </w:rPr>
        <w:t xml:space="preserve">160; Grade 4, Module 4, TE </w:t>
      </w:r>
      <w:r w:rsidR="00D90A33">
        <w:rPr>
          <w:rFonts w:cs="Times New Roman"/>
          <w:i w:val="0"/>
        </w:rPr>
        <w:t>p.</w:t>
      </w:r>
      <w:r>
        <w:rPr>
          <w:rFonts w:cs="Times New Roman"/>
          <w:i w:val="0"/>
        </w:rPr>
        <w:t>19. The materials provide support for s</w:t>
      </w:r>
      <w:r w:rsidR="000C683C">
        <w:rPr>
          <w:rFonts w:cs="Times New Roman"/>
          <w:i w:val="0"/>
        </w:rPr>
        <w:t xml:space="preserve">tudents to develop grade-level </w:t>
      </w:r>
      <w:r>
        <w:rPr>
          <w:rFonts w:cs="Times New Roman"/>
          <w:i w:val="0"/>
        </w:rPr>
        <w:t xml:space="preserve">appropriate academic language and use discipline-specific vocabulary </w:t>
      </w:r>
      <w:r w:rsidR="000C683C">
        <w:rPr>
          <w:rFonts w:cs="Times New Roman"/>
          <w:i w:val="0"/>
        </w:rPr>
        <w:t xml:space="preserve">through their use in context of </w:t>
      </w:r>
      <w:r>
        <w:rPr>
          <w:rFonts w:cs="Times New Roman"/>
          <w:i w:val="0"/>
        </w:rPr>
        <w:t>classroom discourse around science phenomena a</w:t>
      </w:r>
      <w:r w:rsidR="000C683C">
        <w:rPr>
          <w:rFonts w:cs="Times New Roman"/>
          <w:i w:val="0"/>
        </w:rPr>
        <w:t>nd written</w:t>
      </w:r>
      <w:r>
        <w:rPr>
          <w:rFonts w:cs="Times New Roman"/>
          <w:i w:val="0"/>
        </w:rPr>
        <w:t xml:space="preserve"> grade level appropriate text resources. </w:t>
      </w:r>
    </w:p>
    <w:p w14:paraId="2BCF4939" w14:textId="0470C373" w:rsidR="004961B0" w:rsidRDefault="00750B59" w:rsidP="00B63AF4">
      <w:pPr>
        <w:pStyle w:val="Header"/>
        <w:numPr>
          <w:ilvl w:val="0"/>
          <w:numId w:val="23"/>
        </w:numPr>
        <w:tabs>
          <w:tab w:val="clear" w:pos="4320"/>
          <w:tab w:val="clear" w:pos="8640"/>
        </w:tabs>
        <w:spacing w:after="240"/>
        <w:rPr>
          <w:rFonts w:cs="Times New Roman"/>
          <w:i w:val="0"/>
        </w:rPr>
      </w:pPr>
      <w:r>
        <w:rPr>
          <w:rFonts w:cs="Times New Roman"/>
          <w:i w:val="0"/>
        </w:rPr>
        <w:t xml:space="preserve">Criterion #18: Grade 5, Module 3, TE </w:t>
      </w:r>
      <w:r w:rsidR="00D90A33">
        <w:rPr>
          <w:rFonts w:cs="Times New Roman"/>
          <w:i w:val="0"/>
        </w:rPr>
        <w:t>p.</w:t>
      </w:r>
      <w:r>
        <w:rPr>
          <w:rFonts w:cs="Times New Roman"/>
          <w:i w:val="0"/>
        </w:rPr>
        <w:t xml:space="preserve">178; Grade 4, Module 2, TE </w:t>
      </w:r>
      <w:r w:rsidR="00D90A33">
        <w:rPr>
          <w:rFonts w:cs="Times New Roman"/>
          <w:i w:val="0"/>
        </w:rPr>
        <w:t>p.</w:t>
      </w:r>
      <w:r>
        <w:rPr>
          <w:rFonts w:cs="Times New Roman"/>
          <w:i w:val="0"/>
        </w:rPr>
        <w:t>57. The instructional materials provide support to students to address the applications of science in the development of technologies and in fields such as agriculture, medicine, engineering, and environmental protection. Resources support students to reflect on the interconnection between science, engineering, and technology, and to discuss ethical and regulatory issues</w:t>
      </w:r>
      <w:r w:rsidR="003F5D42">
        <w:rPr>
          <w:rFonts w:cs="Times New Roman"/>
          <w:i w:val="0"/>
        </w:rPr>
        <w:t>.</w:t>
      </w:r>
    </w:p>
    <w:p w14:paraId="31DA5EB0" w14:textId="77777777" w:rsidR="00487082" w:rsidRDefault="00487082" w:rsidP="00487082">
      <w:pPr>
        <w:pStyle w:val="Heading2"/>
      </w:pPr>
      <w:r>
        <w:t>Criteria Category 2: Program Organization</w:t>
      </w:r>
    </w:p>
    <w:p w14:paraId="216F5D62" w14:textId="77777777" w:rsidR="00487082" w:rsidRDefault="00487082" w:rsidP="00487082">
      <w:pPr>
        <w:pStyle w:val="Header"/>
        <w:tabs>
          <w:tab w:val="left" w:pos="720"/>
        </w:tabs>
        <w:spacing w:after="240"/>
        <w:rPr>
          <w:rFonts w:cs="Times New Roman"/>
          <w:i w:val="0"/>
        </w:rPr>
      </w:pPr>
      <w:r>
        <w:rPr>
          <w:i w:val="0"/>
        </w:rPr>
        <w:t xml:space="preserve">The organization and features of the instructional materials </w:t>
      </w:r>
      <w:r>
        <w:t xml:space="preserve">support </w:t>
      </w:r>
      <w:r>
        <w:rPr>
          <w:i w:val="0"/>
        </w:rPr>
        <w:t xml:space="preserve">instruction and learning of the </w:t>
      </w:r>
      <w:r>
        <w:t>CA NGSS</w:t>
      </w:r>
      <w:r>
        <w:rPr>
          <w:i w:val="0"/>
        </w:rPr>
        <w:t>.</w:t>
      </w:r>
    </w:p>
    <w:p w14:paraId="485E2B1A" w14:textId="77777777" w:rsidR="00487082" w:rsidRDefault="00487082" w:rsidP="0052519C">
      <w:pPr>
        <w:pStyle w:val="Heading3"/>
        <w:rPr>
          <w:i/>
          <w:iCs/>
        </w:rPr>
      </w:pPr>
      <w:r>
        <w:t>Citations:</w:t>
      </w:r>
    </w:p>
    <w:p w14:paraId="2A6DD746" w14:textId="0697EF80" w:rsidR="00C23CDB" w:rsidRDefault="00C23CDB" w:rsidP="00C23CDB">
      <w:pPr>
        <w:pStyle w:val="Header"/>
        <w:numPr>
          <w:ilvl w:val="0"/>
          <w:numId w:val="24"/>
        </w:numPr>
        <w:tabs>
          <w:tab w:val="left" w:pos="720"/>
        </w:tabs>
        <w:spacing w:after="120"/>
        <w:rPr>
          <w:rFonts w:cs="Times New Roman"/>
          <w:i w:val="0"/>
          <w:iCs w:val="0"/>
        </w:rPr>
      </w:pPr>
      <w:r>
        <w:rPr>
          <w:rFonts w:cs="Times New Roman"/>
          <w:i w:val="0"/>
          <w:iCs w:val="0"/>
        </w:rPr>
        <w:t xml:space="preserve">Criterion #2: Grade 3, Module 2, TE </w:t>
      </w:r>
      <w:r w:rsidR="00D90A33">
        <w:rPr>
          <w:rFonts w:cs="Times New Roman"/>
          <w:i w:val="0"/>
          <w:iCs w:val="0"/>
        </w:rPr>
        <w:t>pp.</w:t>
      </w:r>
      <w:r>
        <w:rPr>
          <w:rFonts w:cs="Times New Roman"/>
          <w:i w:val="0"/>
          <w:iCs w:val="0"/>
        </w:rPr>
        <w:t xml:space="preserve">210-217, TB </w:t>
      </w:r>
      <w:r w:rsidR="00D90A33">
        <w:rPr>
          <w:rFonts w:cs="Times New Roman"/>
          <w:i w:val="0"/>
          <w:iCs w:val="0"/>
        </w:rPr>
        <w:t>pp.</w:t>
      </w:r>
      <w:r>
        <w:rPr>
          <w:rFonts w:cs="Times New Roman"/>
          <w:i w:val="0"/>
          <w:iCs w:val="0"/>
        </w:rPr>
        <w:t xml:space="preserve">73-78, and TE </w:t>
      </w:r>
      <w:r w:rsidR="00D90A33">
        <w:rPr>
          <w:rFonts w:cs="Times New Roman"/>
          <w:i w:val="0"/>
          <w:iCs w:val="0"/>
        </w:rPr>
        <w:t>pp.</w:t>
      </w:r>
      <w:r>
        <w:rPr>
          <w:rFonts w:cs="Times New Roman"/>
          <w:i w:val="0"/>
          <w:iCs w:val="0"/>
        </w:rPr>
        <w:t xml:space="preserve">232-239 and TB </w:t>
      </w:r>
      <w:r w:rsidR="00D90A33">
        <w:rPr>
          <w:rFonts w:cs="Times New Roman"/>
          <w:i w:val="0"/>
          <w:iCs w:val="0"/>
        </w:rPr>
        <w:t>pp.</w:t>
      </w:r>
      <w:r>
        <w:rPr>
          <w:rFonts w:cs="Times New Roman"/>
          <w:i w:val="0"/>
          <w:iCs w:val="0"/>
        </w:rPr>
        <w:t xml:space="preserve">82-85; Grade 4, Module 5, TE </w:t>
      </w:r>
      <w:r w:rsidR="00D90A33">
        <w:rPr>
          <w:rFonts w:cs="Times New Roman"/>
          <w:i w:val="0"/>
          <w:iCs w:val="0"/>
        </w:rPr>
        <w:t>pp.</w:t>
      </w:r>
      <w:r>
        <w:rPr>
          <w:rFonts w:cs="Times New Roman"/>
          <w:i w:val="0"/>
          <w:iCs w:val="0"/>
        </w:rPr>
        <w:t xml:space="preserve">54-62 and TB </w:t>
      </w:r>
      <w:r w:rsidR="00D90A33">
        <w:rPr>
          <w:rFonts w:cs="Times New Roman"/>
          <w:i w:val="0"/>
          <w:iCs w:val="0"/>
        </w:rPr>
        <w:t>pp.</w:t>
      </w:r>
      <w:r>
        <w:rPr>
          <w:rFonts w:cs="Times New Roman"/>
          <w:i w:val="0"/>
          <w:iCs w:val="0"/>
        </w:rPr>
        <w:t xml:space="preserve">25-26. These are examples of instructional resources that support teacher questioning strategies as a tool to access students’ knowledge and skills, promote student-to-student discourse, and guide student learning. </w:t>
      </w:r>
    </w:p>
    <w:p w14:paraId="5FA86E9E" w14:textId="387C5A43" w:rsidR="00487082" w:rsidRDefault="00C23CDB" w:rsidP="00FD067A">
      <w:pPr>
        <w:pStyle w:val="Header"/>
        <w:numPr>
          <w:ilvl w:val="0"/>
          <w:numId w:val="24"/>
        </w:numPr>
        <w:tabs>
          <w:tab w:val="left" w:pos="720"/>
        </w:tabs>
        <w:spacing w:after="120"/>
        <w:rPr>
          <w:rFonts w:cs="Times New Roman"/>
          <w:i w:val="0"/>
          <w:iCs w:val="0"/>
        </w:rPr>
      </w:pPr>
      <w:r>
        <w:rPr>
          <w:rFonts w:cs="Times New Roman"/>
          <w:i w:val="0"/>
          <w:iCs w:val="0"/>
        </w:rPr>
        <w:t>Criterion #3</w:t>
      </w:r>
      <w:r w:rsidR="00487082">
        <w:rPr>
          <w:rFonts w:cs="Times New Roman"/>
          <w:i w:val="0"/>
          <w:iCs w:val="0"/>
        </w:rPr>
        <w:t>: Grade 1</w:t>
      </w:r>
      <w:r w:rsidR="00FD067A">
        <w:rPr>
          <w:rFonts w:cs="Times New Roman"/>
          <w:i w:val="0"/>
          <w:iCs w:val="0"/>
        </w:rPr>
        <w:t>,</w:t>
      </w:r>
      <w:r w:rsidR="00487082">
        <w:rPr>
          <w:rFonts w:cs="Times New Roman"/>
          <w:i w:val="0"/>
          <w:iCs w:val="0"/>
        </w:rPr>
        <w:t xml:space="preserve"> Module 3</w:t>
      </w:r>
      <w:r w:rsidR="00FD067A">
        <w:rPr>
          <w:rFonts w:cs="Times New Roman"/>
          <w:i w:val="0"/>
          <w:iCs w:val="0"/>
        </w:rPr>
        <w:t>,</w:t>
      </w:r>
      <w:r w:rsidR="00487082">
        <w:rPr>
          <w:rFonts w:cs="Times New Roman"/>
          <w:i w:val="0"/>
          <w:iCs w:val="0"/>
        </w:rPr>
        <w:t xml:space="preserve"> TE CA NGSS Framework Alignment foldout located at the back cover of the TE; Grade 5</w:t>
      </w:r>
      <w:r w:rsidR="00FD067A">
        <w:rPr>
          <w:rFonts w:cs="Times New Roman"/>
          <w:i w:val="0"/>
          <w:iCs w:val="0"/>
        </w:rPr>
        <w:t>,</w:t>
      </w:r>
      <w:r w:rsidR="00487082">
        <w:rPr>
          <w:rFonts w:cs="Times New Roman"/>
          <w:i w:val="0"/>
          <w:iCs w:val="0"/>
        </w:rPr>
        <w:t xml:space="preserve"> Module </w:t>
      </w:r>
      <w:r w:rsidR="00FD067A">
        <w:rPr>
          <w:rFonts w:cs="Times New Roman"/>
          <w:i w:val="0"/>
          <w:iCs w:val="0"/>
        </w:rPr>
        <w:t>4,</w:t>
      </w:r>
      <w:r w:rsidR="00487082">
        <w:rPr>
          <w:rFonts w:cs="Times New Roman"/>
          <w:i w:val="0"/>
          <w:iCs w:val="0"/>
        </w:rPr>
        <w:t xml:space="preserve"> CA NGSS Framework Alignment foldout located at the back cover of the TE. These are examples of instructional resources that explicitly state which knowledge and skills learned in prior grades or units are applied and extended to accommodate new knowledge and skills. </w:t>
      </w:r>
    </w:p>
    <w:p w14:paraId="6C0FA55A" w14:textId="0C231AFA" w:rsidR="00487082" w:rsidRDefault="00C23CDB" w:rsidP="00FD067A">
      <w:pPr>
        <w:pStyle w:val="Header"/>
        <w:numPr>
          <w:ilvl w:val="0"/>
          <w:numId w:val="24"/>
        </w:numPr>
        <w:tabs>
          <w:tab w:val="left" w:pos="720"/>
        </w:tabs>
        <w:spacing w:after="120"/>
        <w:rPr>
          <w:rFonts w:cs="Times New Roman"/>
          <w:i w:val="0"/>
          <w:iCs w:val="0"/>
        </w:rPr>
      </w:pPr>
      <w:r>
        <w:rPr>
          <w:rFonts w:cs="Times New Roman"/>
          <w:i w:val="0"/>
          <w:iCs w:val="0"/>
        </w:rPr>
        <w:t>Criterion #4</w:t>
      </w:r>
      <w:r w:rsidR="00487082">
        <w:rPr>
          <w:rFonts w:cs="Times New Roman"/>
          <w:i w:val="0"/>
          <w:iCs w:val="0"/>
        </w:rPr>
        <w:t>: Grade 1</w:t>
      </w:r>
      <w:r w:rsidR="00FD067A">
        <w:rPr>
          <w:rFonts w:cs="Times New Roman"/>
          <w:i w:val="0"/>
          <w:iCs w:val="0"/>
        </w:rPr>
        <w:t>,</w:t>
      </w:r>
      <w:r w:rsidR="00487082">
        <w:rPr>
          <w:rFonts w:cs="Times New Roman"/>
          <w:i w:val="0"/>
          <w:iCs w:val="0"/>
        </w:rPr>
        <w:t xml:space="preserve"> Module 1</w:t>
      </w:r>
      <w:r w:rsidR="00FD067A">
        <w:rPr>
          <w:rFonts w:cs="Times New Roman"/>
          <w:i w:val="0"/>
          <w:iCs w:val="0"/>
        </w:rPr>
        <w:t xml:space="preserve">, </w:t>
      </w:r>
      <w:r w:rsidR="00487082">
        <w:rPr>
          <w:rFonts w:cs="Times New Roman"/>
          <w:i w:val="0"/>
          <w:iCs w:val="0"/>
        </w:rPr>
        <w:t xml:space="preserve">TE </w:t>
      </w:r>
      <w:r w:rsidR="00D90A33">
        <w:rPr>
          <w:rFonts w:cs="Times New Roman"/>
          <w:i w:val="0"/>
          <w:iCs w:val="0"/>
        </w:rPr>
        <w:t>pp.</w:t>
      </w:r>
      <w:r w:rsidR="00487082">
        <w:rPr>
          <w:rFonts w:cs="Times New Roman"/>
          <w:i w:val="0"/>
          <w:iCs w:val="0"/>
        </w:rPr>
        <w:t xml:space="preserve">75-129 and TB </w:t>
      </w:r>
      <w:r w:rsidR="00D90A33">
        <w:rPr>
          <w:rFonts w:cs="Times New Roman"/>
          <w:i w:val="0"/>
          <w:iCs w:val="0"/>
        </w:rPr>
        <w:t>pp.</w:t>
      </w:r>
      <w:r w:rsidR="00487082">
        <w:rPr>
          <w:rFonts w:cs="Times New Roman"/>
          <w:i w:val="0"/>
          <w:iCs w:val="0"/>
        </w:rPr>
        <w:t>23-36; Grade 4</w:t>
      </w:r>
      <w:r w:rsidR="00FD067A">
        <w:rPr>
          <w:rFonts w:cs="Times New Roman"/>
          <w:i w:val="0"/>
          <w:iCs w:val="0"/>
        </w:rPr>
        <w:t>,</w:t>
      </w:r>
      <w:r w:rsidR="00487082">
        <w:rPr>
          <w:rFonts w:cs="Times New Roman"/>
          <w:i w:val="0"/>
          <w:iCs w:val="0"/>
        </w:rPr>
        <w:t xml:space="preserve"> Module 4</w:t>
      </w:r>
      <w:r w:rsidR="00FD067A">
        <w:rPr>
          <w:rFonts w:cs="Times New Roman"/>
          <w:i w:val="0"/>
          <w:iCs w:val="0"/>
        </w:rPr>
        <w:t>,</w:t>
      </w:r>
      <w:r w:rsidR="00487082">
        <w:rPr>
          <w:rFonts w:cs="Times New Roman"/>
          <w:i w:val="0"/>
          <w:iCs w:val="0"/>
        </w:rPr>
        <w:t xml:space="preserve"> TE </w:t>
      </w:r>
      <w:r w:rsidR="00D90A33">
        <w:rPr>
          <w:rFonts w:cs="Times New Roman"/>
          <w:i w:val="0"/>
          <w:iCs w:val="0"/>
        </w:rPr>
        <w:t>pp.</w:t>
      </w:r>
      <w:r w:rsidR="00487082">
        <w:rPr>
          <w:rFonts w:cs="Times New Roman"/>
          <w:i w:val="0"/>
          <w:iCs w:val="0"/>
        </w:rPr>
        <w:t xml:space="preserve">200-226 and TB </w:t>
      </w:r>
      <w:r w:rsidR="00D90A33">
        <w:rPr>
          <w:rFonts w:cs="Times New Roman"/>
          <w:i w:val="0"/>
          <w:iCs w:val="0"/>
        </w:rPr>
        <w:t>pp.</w:t>
      </w:r>
      <w:r w:rsidR="00487082">
        <w:rPr>
          <w:rFonts w:cs="Times New Roman"/>
          <w:i w:val="0"/>
          <w:iCs w:val="0"/>
        </w:rPr>
        <w:t>87-96. These are examples of teacher resources that su</w:t>
      </w:r>
      <w:r w:rsidR="000C683C">
        <w:rPr>
          <w:rFonts w:cs="Times New Roman"/>
          <w:i w:val="0"/>
          <w:iCs w:val="0"/>
        </w:rPr>
        <w:t xml:space="preserve">pport student engagement </w:t>
      </w:r>
      <w:r w:rsidR="00487082">
        <w:rPr>
          <w:rFonts w:cs="Times New Roman"/>
          <w:i w:val="0"/>
          <w:iCs w:val="0"/>
        </w:rPr>
        <w:t xml:space="preserve">in three-dimensional learning and suggest research-based strategies to elicit student thinking and support student discourse. </w:t>
      </w:r>
    </w:p>
    <w:p w14:paraId="2F47673B" w14:textId="4EAB27C2" w:rsidR="00487082" w:rsidRDefault="00C23CDB" w:rsidP="00FD067A">
      <w:pPr>
        <w:pStyle w:val="Header"/>
        <w:numPr>
          <w:ilvl w:val="0"/>
          <w:numId w:val="24"/>
        </w:numPr>
        <w:tabs>
          <w:tab w:val="left" w:pos="720"/>
        </w:tabs>
        <w:spacing w:after="120"/>
        <w:rPr>
          <w:rFonts w:cs="Times New Roman"/>
          <w:i w:val="0"/>
          <w:iCs w:val="0"/>
        </w:rPr>
      </w:pPr>
      <w:r>
        <w:rPr>
          <w:rFonts w:cs="Times New Roman"/>
          <w:i w:val="0"/>
          <w:iCs w:val="0"/>
        </w:rPr>
        <w:t>Criterion #7</w:t>
      </w:r>
      <w:r w:rsidR="00487082">
        <w:rPr>
          <w:rFonts w:cs="Times New Roman"/>
          <w:i w:val="0"/>
          <w:iCs w:val="0"/>
        </w:rPr>
        <w:t>: Grade 2</w:t>
      </w:r>
      <w:r w:rsidR="00FD067A">
        <w:rPr>
          <w:rFonts w:cs="Times New Roman"/>
          <w:i w:val="0"/>
          <w:iCs w:val="0"/>
        </w:rPr>
        <w:t>,</w:t>
      </w:r>
      <w:r w:rsidR="00487082">
        <w:rPr>
          <w:rFonts w:cs="Times New Roman"/>
          <w:i w:val="0"/>
          <w:iCs w:val="0"/>
        </w:rPr>
        <w:t xml:space="preserve"> Module 2</w:t>
      </w:r>
      <w:r w:rsidR="00FD067A">
        <w:rPr>
          <w:rFonts w:cs="Times New Roman"/>
          <w:i w:val="0"/>
          <w:iCs w:val="0"/>
        </w:rPr>
        <w:t>,</w:t>
      </w:r>
      <w:r w:rsidR="00487082">
        <w:rPr>
          <w:rFonts w:cs="Times New Roman"/>
          <w:i w:val="0"/>
          <w:iCs w:val="0"/>
        </w:rPr>
        <w:t xml:space="preserve"> TE </w:t>
      </w:r>
      <w:r w:rsidR="00D90A33">
        <w:rPr>
          <w:rFonts w:cs="Times New Roman"/>
          <w:i w:val="0"/>
          <w:iCs w:val="0"/>
        </w:rPr>
        <w:t>pp.</w:t>
      </w:r>
      <w:r w:rsidR="00487082">
        <w:rPr>
          <w:rFonts w:cs="Times New Roman"/>
          <w:i w:val="0"/>
          <w:iCs w:val="0"/>
        </w:rPr>
        <w:t xml:space="preserve">2-3, TE </w:t>
      </w:r>
      <w:r w:rsidR="00D90A33">
        <w:rPr>
          <w:rFonts w:cs="Times New Roman"/>
          <w:i w:val="0"/>
          <w:iCs w:val="0"/>
        </w:rPr>
        <w:t>pp.</w:t>
      </w:r>
      <w:r w:rsidR="00487082">
        <w:rPr>
          <w:rFonts w:cs="Times New Roman"/>
          <w:i w:val="0"/>
          <w:iCs w:val="0"/>
        </w:rPr>
        <w:t xml:space="preserve">48-49, TE </w:t>
      </w:r>
      <w:r w:rsidR="00D90A33">
        <w:rPr>
          <w:rFonts w:cs="Times New Roman"/>
          <w:i w:val="0"/>
          <w:iCs w:val="0"/>
        </w:rPr>
        <w:t>pp.</w:t>
      </w:r>
      <w:r w:rsidR="00487082">
        <w:rPr>
          <w:rFonts w:cs="Times New Roman"/>
          <w:i w:val="0"/>
          <w:iCs w:val="0"/>
        </w:rPr>
        <w:t xml:space="preserve">94-97, TE </w:t>
      </w:r>
      <w:r w:rsidR="00D90A33">
        <w:rPr>
          <w:rFonts w:cs="Times New Roman"/>
          <w:i w:val="0"/>
          <w:iCs w:val="0"/>
        </w:rPr>
        <w:t>pp.</w:t>
      </w:r>
      <w:r w:rsidR="00487082">
        <w:rPr>
          <w:rFonts w:cs="Times New Roman"/>
          <w:i w:val="0"/>
          <w:iCs w:val="0"/>
        </w:rPr>
        <w:t xml:space="preserve">144-147, and TE </w:t>
      </w:r>
      <w:r w:rsidR="00D90A33">
        <w:rPr>
          <w:rFonts w:cs="Times New Roman"/>
          <w:i w:val="0"/>
          <w:iCs w:val="0"/>
        </w:rPr>
        <w:t>pp.</w:t>
      </w:r>
      <w:r w:rsidR="00487082">
        <w:rPr>
          <w:rFonts w:cs="Times New Roman"/>
          <w:i w:val="0"/>
          <w:iCs w:val="0"/>
        </w:rPr>
        <w:t>202-205; Grade 6</w:t>
      </w:r>
      <w:r w:rsidR="00FD067A">
        <w:rPr>
          <w:rFonts w:cs="Times New Roman"/>
          <w:i w:val="0"/>
          <w:iCs w:val="0"/>
        </w:rPr>
        <w:t>,</w:t>
      </w:r>
      <w:r w:rsidR="00487082">
        <w:rPr>
          <w:rFonts w:cs="Times New Roman"/>
          <w:i w:val="0"/>
          <w:iCs w:val="0"/>
        </w:rPr>
        <w:t xml:space="preserve"> Module 3</w:t>
      </w:r>
      <w:r w:rsidR="00FD067A">
        <w:rPr>
          <w:rFonts w:cs="Times New Roman"/>
          <w:i w:val="0"/>
          <w:iCs w:val="0"/>
        </w:rPr>
        <w:t>,</w:t>
      </w:r>
      <w:r w:rsidR="00487082">
        <w:rPr>
          <w:rFonts w:cs="Times New Roman"/>
          <w:i w:val="0"/>
          <w:iCs w:val="0"/>
        </w:rPr>
        <w:t xml:space="preserve"> TE </w:t>
      </w:r>
      <w:r w:rsidR="00D90A33">
        <w:rPr>
          <w:rFonts w:cs="Times New Roman"/>
          <w:i w:val="0"/>
          <w:iCs w:val="0"/>
        </w:rPr>
        <w:t>pp.</w:t>
      </w:r>
      <w:r w:rsidR="00487082">
        <w:rPr>
          <w:rFonts w:cs="Times New Roman"/>
          <w:i w:val="0"/>
          <w:iCs w:val="0"/>
        </w:rPr>
        <w:t xml:space="preserve">2-3, TE </w:t>
      </w:r>
      <w:r w:rsidR="00D90A33">
        <w:rPr>
          <w:rFonts w:cs="Times New Roman"/>
          <w:i w:val="0"/>
          <w:iCs w:val="0"/>
        </w:rPr>
        <w:t>pp.</w:t>
      </w:r>
      <w:r w:rsidR="00487082">
        <w:rPr>
          <w:rFonts w:cs="Times New Roman"/>
          <w:i w:val="0"/>
          <w:iCs w:val="0"/>
        </w:rPr>
        <w:t xml:space="preserve">90-91, TE </w:t>
      </w:r>
      <w:r w:rsidR="00D90A33">
        <w:rPr>
          <w:rFonts w:cs="Times New Roman"/>
          <w:i w:val="0"/>
          <w:iCs w:val="0"/>
        </w:rPr>
        <w:t>pp.</w:t>
      </w:r>
      <w:r w:rsidR="00487082">
        <w:rPr>
          <w:rFonts w:cs="Times New Roman"/>
          <w:i w:val="0"/>
          <w:iCs w:val="0"/>
        </w:rPr>
        <w:t xml:space="preserve">186-187, and TE </w:t>
      </w:r>
      <w:r w:rsidR="00D90A33">
        <w:rPr>
          <w:rFonts w:cs="Times New Roman"/>
          <w:i w:val="0"/>
          <w:iCs w:val="0"/>
        </w:rPr>
        <w:t>pp.</w:t>
      </w:r>
      <w:r w:rsidR="00487082">
        <w:rPr>
          <w:rFonts w:cs="Times New Roman"/>
          <w:i w:val="0"/>
          <w:iCs w:val="0"/>
        </w:rPr>
        <w:t xml:space="preserve">250-251. These are examples of resources that include explanations to teachers regarding how the SEPs, DCIs, and CCCs work </w:t>
      </w:r>
      <w:r w:rsidR="00487082">
        <w:rPr>
          <w:rFonts w:cs="Times New Roman"/>
          <w:i w:val="0"/>
          <w:iCs w:val="0"/>
        </w:rPr>
        <w:lastRenderedPageBreak/>
        <w:t xml:space="preserve">together to support students in making sense of phenomena and/or to design solutions to problems and build toward the PEs of the CA NGSS. Teacher resources support understanding of how PEs are developed within units and across units throughout a year. </w:t>
      </w:r>
    </w:p>
    <w:p w14:paraId="70B2A9C1" w14:textId="77777777"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14:paraId="1127500C" w14:textId="2A6D5373"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2C368473" w14:textId="77777777" w:rsidR="009F2E52" w:rsidRDefault="009F2E52" w:rsidP="0052519C">
      <w:pPr>
        <w:pStyle w:val="Heading3"/>
        <w:rPr>
          <w:i/>
          <w:iCs/>
        </w:rPr>
      </w:pPr>
      <w:r w:rsidRPr="00231C1B">
        <w:t>Citations:</w:t>
      </w:r>
    </w:p>
    <w:p w14:paraId="66E8F1F2" w14:textId="042CD4A8" w:rsidR="006B2B3E" w:rsidRDefault="006B2B3E" w:rsidP="00FD067A">
      <w:pPr>
        <w:pStyle w:val="Header"/>
        <w:numPr>
          <w:ilvl w:val="0"/>
          <w:numId w:val="25"/>
        </w:numPr>
        <w:tabs>
          <w:tab w:val="clear" w:pos="4320"/>
          <w:tab w:val="clear" w:pos="8640"/>
        </w:tabs>
        <w:spacing w:after="240"/>
        <w:rPr>
          <w:rFonts w:cs="Times New Roman"/>
          <w:i w:val="0"/>
        </w:rPr>
      </w:pPr>
      <w:r>
        <w:rPr>
          <w:rFonts w:cs="Times New Roman"/>
          <w:i w:val="0"/>
        </w:rPr>
        <w:t>Criterion #1: Grade 4, Module 4</w:t>
      </w:r>
      <w:r w:rsidR="00FD067A">
        <w:rPr>
          <w:rFonts w:cs="Times New Roman"/>
          <w:i w:val="0"/>
        </w:rPr>
        <w:t>,</w:t>
      </w:r>
      <w:r>
        <w:rPr>
          <w:rFonts w:cs="Times New Roman"/>
          <w:i w:val="0"/>
        </w:rPr>
        <w:t xml:space="preserve"> TE </w:t>
      </w:r>
      <w:r w:rsidR="00D456F0">
        <w:rPr>
          <w:rFonts w:cs="Times New Roman"/>
          <w:i w:val="0"/>
        </w:rPr>
        <w:t>p.</w:t>
      </w:r>
      <w:r>
        <w:rPr>
          <w:rFonts w:cs="Times New Roman"/>
          <w:i w:val="0"/>
        </w:rPr>
        <w:t xml:space="preserve">94; K-6 online </w:t>
      </w:r>
      <w:proofErr w:type="gramStart"/>
      <w:r>
        <w:rPr>
          <w:rFonts w:cs="Times New Roman"/>
          <w:i w:val="0"/>
        </w:rPr>
        <w:t>multiple choice</w:t>
      </w:r>
      <w:proofErr w:type="gramEnd"/>
      <w:r>
        <w:rPr>
          <w:rFonts w:cs="Times New Roman"/>
          <w:i w:val="0"/>
        </w:rPr>
        <w:t xml:space="preserve"> assessments; Grade 5, Module 1, TE </w:t>
      </w:r>
      <w:r w:rsidR="00D456F0">
        <w:rPr>
          <w:rFonts w:cs="Times New Roman"/>
          <w:i w:val="0"/>
        </w:rPr>
        <w:t>p.</w:t>
      </w:r>
      <w:r>
        <w:rPr>
          <w:rFonts w:cs="Times New Roman"/>
          <w:i w:val="0"/>
        </w:rPr>
        <w:t xml:space="preserve">224. Assessments in the instructional resources reflect the </w:t>
      </w:r>
      <w:proofErr w:type="gramStart"/>
      <w:r>
        <w:rPr>
          <w:rFonts w:cs="Times New Roman"/>
          <w:i w:val="0"/>
        </w:rPr>
        <w:t>three dimensional</w:t>
      </w:r>
      <w:proofErr w:type="gramEnd"/>
      <w:r>
        <w:rPr>
          <w:rFonts w:cs="Times New Roman"/>
          <w:i w:val="0"/>
        </w:rPr>
        <w:t xml:space="preserve"> nature of the CA NGSS and the CA Science Framework. Assessment tools measure what students know and are</w:t>
      </w:r>
      <w:r w:rsidR="00FD067A">
        <w:rPr>
          <w:rFonts w:cs="Times New Roman"/>
          <w:i w:val="0"/>
        </w:rPr>
        <w:t xml:space="preserve"> able to do as defined by the PE</w:t>
      </w:r>
      <w:r>
        <w:rPr>
          <w:rFonts w:cs="Times New Roman"/>
          <w:i w:val="0"/>
        </w:rPr>
        <w:t>s in the CA NGSS</w:t>
      </w:r>
      <w:r w:rsidR="00FD067A">
        <w:rPr>
          <w:rFonts w:cs="Times New Roman"/>
          <w:i w:val="0"/>
        </w:rPr>
        <w:t>.</w:t>
      </w:r>
    </w:p>
    <w:p w14:paraId="73AF9BF5" w14:textId="2077BC51" w:rsidR="003F5D42" w:rsidRDefault="003E242C" w:rsidP="00FD067A">
      <w:pPr>
        <w:pStyle w:val="Header"/>
        <w:numPr>
          <w:ilvl w:val="0"/>
          <w:numId w:val="25"/>
        </w:numPr>
        <w:tabs>
          <w:tab w:val="clear" w:pos="4320"/>
          <w:tab w:val="clear" w:pos="8640"/>
        </w:tabs>
        <w:spacing w:after="240"/>
        <w:rPr>
          <w:rFonts w:cs="Times New Roman"/>
          <w:i w:val="0"/>
        </w:rPr>
      </w:pPr>
      <w:r>
        <w:rPr>
          <w:rFonts w:cs="Times New Roman"/>
          <w:i w:val="0"/>
        </w:rPr>
        <w:t xml:space="preserve">Criterion #3: Grade 2, Module 3, TE </w:t>
      </w:r>
      <w:r w:rsidR="00D456F0">
        <w:rPr>
          <w:rFonts w:cs="Times New Roman"/>
          <w:i w:val="0"/>
        </w:rPr>
        <w:t>p.</w:t>
      </w:r>
      <w:r>
        <w:rPr>
          <w:rFonts w:cs="Times New Roman"/>
          <w:i w:val="0"/>
        </w:rPr>
        <w:t xml:space="preserve">166; Grade 4, Module 2, TE </w:t>
      </w:r>
      <w:r w:rsidR="00D456F0">
        <w:rPr>
          <w:rFonts w:cs="Times New Roman"/>
          <w:i w:val="0"/>
        </w:rPr>
        <w:t>p.</w:t>
      </w:r>
      <w:r>
        <w:rPr>
          <w:rFonts w:cs="Times New Roman"/>
          <w:i w:val="0"/>
        </w:rPr>
        <w:t>202. Grades two and four are examples of how teacher materials provide support to engage students in tasks that provide both learning and formative assessment opportunities at the same time and provide guidance to teachers on how to embed formative assessment activities in the broader learning activity</w:t>
      </w:r>
      <w:r w:rsidR="003F5D42">
        <w:rPr>
          <w:rFonts w:cs="Times New Roman"/>
          <w:i w:val="0"/>
        </w:rPr>
        <w:t>.</w:t>
      </w:r>
    </w:p>
    <w:p w14:paraId="32FEF653" w14:textId="4F28D727" w:rsidR="003F5D42" w:rsidRDefault="00A1289C" w:rsidP="00FD067A">
      <w:pPr>
        <w:pStyle w:val="Header"/>
        <w:numPr>
          <w:ilvl w:val="0"/>
          <w:numId w:val="25"/>
        </w:numPr>
        <w:tabs>
          <w:tab w:val="clear" w:pos="4320"/>
          <w:tab w:val="clear" w:pos="8640"/>
        </w:tabs>
        <w:spacing w:after="240"/>
        <w:rPr>
          <w:rFonts w:cs="Times New Roman"/>
          <w:i w:val="0"/>
        </w:rPr>
      </w:pPr>
      <w:r>
        <w:rPr>
          <w:rFonts w:cs="Times New Roman"/>
          <w:i w:val="0"/>
        </w:rPr>
        <w:t xml:space="preserve">Criterion #4: Grade K, Module 4, TE </w:t>
      </w:r>
      <w:r w:rsidR="00D456F0">
        <w:rPr>
          <w:rFonts w:cs="Times New Roman"/>
          <w:i w:val="0"/>
        </w:rPr>
        <w:t>p.</w:t>
      </w:r>
      <w:r>
        <w:rPr>
          <w:rFonts w:cs="Times New Roman"/>
          <w:i w:val="0"/>
        </w:rPr>
        <w:t>232; Grade 6</w:t>
      </w:r>
      <w:r w:rsidR="00FD067A">
        <w:rPr>
          <w:rFonts w:cs="Times New Roman"/>
          <w:i w:val="0"/>
        </w:rPr>
        <w:t>,</w:t>
      </w:r>
      <w:r>
        <w:rPr>
          <w:rFonts w:cs="Times New Roman"/>
          <w:i w:val="0"/>
        </w:rPr>
        <w:t xml:space="preserve"> Module 3</w:t>
      </w:r>
      <w:r w:rsidR="00FD067A">
        <w:rPr>
          <w:rFonts w:cs="Times New Roman"/>
          <w:i w:val="0"/>
        </w:rPr>
        <w:t>,</w:t>
      </w:r>
      <w:r>
        <w:rPr>
          <w:rFonts w:cs="Times New Roman"/>
          <w:i w:val="0"/>
        </w:rPr>
        <w:t xml:space="preserve"> TE </w:t>
      </w:r>
      <w:r w:rsidR="00D456F0">
        <w:rPr>
          <w:rFonts w:cs="Times New Roman"/>
          <w:i w:val="0"/>
        </w:rPr>
        <w:t>p.</w:t>
      </w:r>
      <w:r>
        <w:rPr>
          <w:rFonts w:cs="Times New Roman"/>
          <w:i w:val="0"/>
        </w:rPr>
        <w:t>2</w:t>
      </w:r>
      <w:r w:rsidR="00DF2B24">
        <w:rPr>
          <w:rFonts w:cs="Times New Roman"/>
          <w:i w:val="0"/>
        </w:rPr>
        <w:t>70. Grades k</w:t>
      </w:r>
      <w:r w:rsidR="005A304B">
        <w:rPr>
          <w:rFonts w:cs="Times New Roman"/>
          <w:i w:val="0"/>
        </w:rPr>
        <w:t>indergarten and six</w:t>
      </w:r>
      <w:r>
        <w:rPr>
          <w:rFonts w:cs="Times New Roman"/>
          <w:i w:val="0"/>
        </w:rPr>
        <w:t xml:space="preserve"> are examples of how brief formative assessment tools and practices at key stages in the unit of instruction are designed to elicit current understandings and preconceptions and to provide evidence of students’ progress toward mastering the three-dimensional learning called for in the CA NGSS and the CA Science Framework. The teacher materials also provide teachers with strategies of how to address preconceptions during instruction, and the strategies are differentiated for different age levels</w:t>
      </w:r>
      <w:r w:rsidR="003F5D42">
        <w:rPr>
          <w:rFonts w:cs="Times New Roman"/>
          <w:i w:val="0"/>
        </w:rPr>
        <w:t>.</w:t>
      </w:r>
    </w:p>
    <w:p w14:paraId="7A3C8C6A" w14:textId="3B670CC5" w:rsidR="00763B11" w:rsidRDefault="003C3042" w:rsidP="00FD067A">
      <w:pPr>
        <w:pStyle w:val="Header"/>
        <w:numPr>
          <w:ilvl w:val="0"/>
          <w:numId w:val="25"/>
        </w:numPr>
        <w:tabs>
          <w:tab w:val="clear" w:pos="4320"/>
          <w:tab w:val="clear" w:pos="8640"/>
        </w:tabs>
        <w:spacing w:after="240"/>
        <w:rPr>
          <w:rFonts w:cs="Times New Roman"/>
          <w:i w:val="0"/>
        </w:rPr>
      </w:pPr>
      <w:r>
        <w:rPr>
          <w:rFonts w:cs="Times New Roman"/>
          <w:i w:val="0"/>
        </w:rPr>
        <w:t xml:space="preserve">Criterion #7: Grade 1, Module 4, TE </w:t>
      </w:r>
      <w:r w:rsidR="00D456F0">
        <w:rPr>
          <w:rFonts w:cs="Times New Roman"/>
          <w:i w:val="0"/>
        </w:rPr>
        <w:t>p.</w:t>
      </w:r>
      <w:r>
        <w:rPr>
          <w:rFonts w:cs="Times New Roman"/>
          <w:i w:val="0"/>
        </w:rPr>
        <w:t xml:space="preserve">156; Grade 5, Module 2, TE </w:t>
      </w:r>
      <w:r w:rsidR="00D456F0">
        <w:rPr>
          <w:rFonts w:cs="Times New Roman"/>
          <w:i w:val="0"/>
        </w:rPr>
        <w:t>p.</w:t>
      </w:r>
      <w:r>
        <w:rPr>
          <w:rFonts w:cs="Times New Roman"/>
          <w:i w:val="0"/>
        </w:rPr>
        <w:t>223. Grades one and five are good examples of summative assessments designed to provide valid, reliable, and fair measures of students’ progress and attainment of three-dimensional learning after a period of instruction. Multiple c</w:t>
      </w:r>
      <w:r w:rsidR="000C683C">
        <w:rPr>
          <w:rFonts w:cs="Times New Roman"/>
          <w:i w:val="0"/>
        </w:rPr>
        <w:t xml:space="preserve">omponent tasks </w:t>
      </w:r>
      <w:r>
        <w:rPr>
          <w:rFonts w:cs="Times New Roman"/>
          <w:i w:val="0"/>
        </w:rPr>
        <w:t>include hands on</w:t>
      </w:r>
      <w:r w:rsidR="000C683C">
        <w:rPr>
          <w:rFonts w:cs="Times New Roman"/>
          <w:i w:val="0"/>
        </w:rPr>
        <w:t xml:space="preserve"> tasks, performance tasks, open-</w:t>
      </w:r>
      <w:r>
        <w:rPr>
          <w:rFonts w:cs="Times New Roman"/>
          <w:i w:val="0"/>
        </w:rPr>
        <w:t>ended constru</w:t>
      </w:r>
      <w:r w:rsidR="000C683C">
        <w:rPr>
          <w:rFonts w:cs="Times New Roman"/>
          <w:i w:val="0"/>
        </w:rPr>
        <w:t>cted response, and student work</w:t>
      </w:r>
      <w:r>
        <w:rPr>
          <w:rFonts w:cs="Times New Roman"/>
          <w:i w:val="0"/>
        </w:rPr>
        <w:t xml:space="preserve"> samples</w:t>
      </w:r>
      <w:r w:rsidR="003F5D42">
        <w:rPr>
          <w:rFonts w:cs="Times New Roman"/>
          <w:i w:val="0"/>
        </w:rPr>
        <w:t>.</w:t>
      </w:r>
    </w:p>
    <w:p w14:paraId="7B61AFEE" w14:textId="77777777" w:rsidR="00763B11" w:rsidRDefault="00763B11">
      <w:pPr>
        <w:rPr>
          <w:rFonts w:cs="Times New Roman"/>
          <w:i w:val="0"/>
        </w:rPr>
      </w:pPr>
      <w:r>
        <w:rPr>
          <w:rFonts w:cs="Times New Roman"/>
          <w:i w:val="0"/>
        </w:rPr>
        <w:br w:type="page"/>
      </w:r>
    </w:p>
    <w:p w14:paraId="7FE3BC89" w14:textId="77777777" w:rsidR="0040716F" w:rsidRDefault="00B04B49" w:rsidP="00C942C4">
      <w:pPr>
        <w:pStyle w:val="Heading2"/>
      </w:pPr>
      <w:r w:rsidRPr="00231C1B">
        <w:lastRenderedPageBreak/>
        <w:t>Criteri</w:t>
      </w:r>
      <w:r w:rsidR="0040716F">
        <w:t>a Category 4</w:t>
      </w:r>
      <w:r w:rsidR="00F82AFB">
        <w:t>:</w:t>
      </w:r>
      <w:r w:rsidR="0040716F">
        <w:t xml:space="preserve"> </w:t>
      </w:r>
      <w:r w:rsidR="00F76B3D">
        <w:t>Access and Equity</w:t>
      </w:r>
    </w:p>
    <w:p w14:paraId="5EC4C1B0" w14:textId="29B2D8B3"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C81141">
        <w:rPr>
          <w:rFonts w:cs="Times New Roman"/>
          <w:i w:val="0"/>
          <w:iCs w:val="0"/>
        </w:rPr>
        <w:t xml:space="preserve"> </w:t>
      </w:r>
      <w:r w:rsidR="00C81141" w:rsidRPr="003F5D42">
        <w:rPr>
          <w:rFonts w:cs="Times New Roman"/>
          <w:iCs w:val="0"/>
        </w:rPr>
        <w:t>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 xml:space="preserve">and </w:t>
      </w:r>
      <w:r w:rsidR="00BB68B1" w:rsidRPr="00BB68B1">
        <w:rPr>
          <w:rFonts w:cs="Times New Roman"/>
          <w:iCs w:val="0"/>
        </w:rPr>
        <w:t>provide</w:t>
      </w:r>
      <w:r w:rsidR="00BB68B1" w:rsidRPr="00BB68B1">
        <w:rPr>
          <w:rFonts w:cs="Times New Roman"/>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14:paraId="3D4768C3" w14:textId="77777777" w:rsidR="009F2E52" w:rsidRDefault="009F2E52" w:rsidP="0052519C">
      <w:pPr>
        <w:pStyle w:val="Heading3"/>
        <w:rPr>
          <w:i/>
          <w:iCs/>
        </w:rPr>
      </w:pPr>
      <w:r w:rsidRPr="00231C1B">
        <w:t>Citations:</w:t>
      </w:r>
    </w:p>
    <w:p w14:paraId="2164DFE2" w14:textId="1463D859" w:rsidR="003F5D42" w:rsidRPr="00B5635B" w:rsidRDefault="003F5D42" w:rsidP="00FD067A">
      <w:pPr>
        <w:pStyle w:val="Header"/>
        <w:numPr>
          <w:ilvl w:val="0"/>
          <w:numId w:val="26"/>
        </w:numPr>
        <w:tabs>
          <w:tab w:val="clear" w:pos="4320"/>
          <w:tab w:val="clear" w:pos="8640"/>
        </w:tabs>
        <w:spacing w:after="240"/>
        <w:rPr>
          <w:rFonts w:cs="Times New Roman"/>
          <w:i w:val="0"/>
        </w:rPr>
      </w:pPr>
      <w:r>
        <w:rPr>
          <w:rFonts w:cs="Times New Roman"/>
          <w:i w:val="0"/>
        </w:rPr>
        <w:t>Criterion #</w:t>
      </w:r>
      <w:r w:rsidR="006228A6">
        <w:rPr>
          <w:rFonts w:cs="Times New Roman"/>
          <w:i w:val="0"/>
        </w:rPr>
        <w:t>1</w:t>
      </w:r>
      <w:r>
        <w:rPr>
          <w:rFonts w:cs="Times New Roman"/>
          <w:i w:val="0"/>
        </w:rPr>
        <w:t xml:space="preserve">: </w:t>
      </w:r>
      <w:r w:rsidR="005B162F">
        <w:rPr>
          <w:rFonts w:cs="Times New Roman"/>
          <w:i w:val="0"/>
        </w:rPr>
        <w:t xml:space="preserve">Grade 4, </w:t>
      </w:r>
      <w:r w:rsidR="00FD067A">
        <w:rPr>
          <w:rFonts w:cs="Times New Roman"/>
          <w:i w:val="0"/>
        </w:rPr>
        <w:t xml:space="preserve">Module 1, </w:t>
      </w:r>
      <w:r w:rsidR="00DF2B24">
        <w:rPr>
          <w:rFonts w:cs="Times New Roman"/>
          <w:i w:val="0"/>
        </w:rPr>
        <w:t xml:space="preserve">TE </w:t>
      </w:r>
      <w:r w:rsidR="00D456F0">
        <w:rPr>
          <w:rFonts w:cs="Times New Roman"/>
          <w:i w:val="0"/>
        </w:rPr>
        <w:t>p.</w:t>
      </w:r>
      <w:r w:rsidR="005B162F">
        <w:rPr>
          <w:rFonts w:cs="Times New Roman"/>
          <w:i w:val="0"/>
        </w:rPr>
        <w:t xml:space="preserve">56. </w:t>
      </w:r>
      <w:r w:rsidR="0017424E">
        <w:rPr>
          <w:rFonts w:cs="Times New Roman"/>
          <w:i w:val="0"/>
        </w:rPr>
        <w:t>Materials provide examples of how the instructional resources reflect the goals of access and equity, as outlined in chapter 10 of the CA Science Framework</w:t>
      </w:r>
      <w:r w:rsidR="00982F4A">
        <w:rPr>
          <w:rFonts w:cs="Times New Roman"/>
          <w:i w:val="0"/>
        </w:rPr>
        <w:t>.</w:t>
      </w:r>
    </w:p>
    <w:p w14:paraId="35ED963A" w14:textId="34E190B2" w:rsidR="003F5D42" w:rsidRDefault="003F5D42" w:rsidP="00FD067A">
      <w:pPr>
        <w:pStyle w:val="Header"/>
        <w:numPr>
          <w:ilvl w:val="0"/>
          <w:numId w:val="26"/>
        </w:numPr>
        <w:tabs>
          <w:tab w:val="clear" w:pos="4320"/>
          <w:tab w:val="clear" w:pos="8640"/>
        </w:tabs>
        <w:spacing w:after="240"/>
        <w:rPr>
          <w:rFonts w:cs="Times New Roman"/>
          <w:i w:val="0"/>
        </w:rPr>
      </w:pPr>
      <w:r>
        <w:rPr>
          <w:rFonts w:cs="Times New Roman"/>
          <w:i w:val="0"/>
        </w:rPr>
        <w:t>Criterion #</w:t>
      </w:r>
      <w:r w:rsidR="00CE1F6B">
        <w:rPr>
          <w:rFonts w:cs="Times New Roman"/>
          <w:i w:val="0"/>
        </w:rPr>
        <w:t>2</w:t>
      </w:r>
      <w:r>
        <w:rPr>
          <w:rFonts w:cs="Times New Roman"/>
          <w:i w:val="0"/>
        </w:rPr>
        <w:t xml:space="preserve">: Grade </w:t>
      </w:r>
      <w:r w:rsidR="00D955CA">
        <w:rPr>
          <w:rFonts w:cs="Times New Roman"/>
          <w:i w:val="0"/>
        </w:rPr>
        <w:t>5</w:t>
      </w:r>
      <w:r>
        <w:rPr>
          <w:rFonts w:cs="Times New Roman"/>
          <w:i w:val="0"/>
        </w:rPr>
        <w:t>,</w:t>
      </w:r>
      <w:r w:rsidR="00CE1F6B">
        <w:rPr>
          <w:rFonts w:cs="Times New Roman"/>
          <w:i w:val="0"/>
        </w:rPr>
        <w:t xml:space="preserve"> </w:t>
      </w:r>
      <w:r w:rsidR="00FD067A">
        <w:rPr>
          <w:rFonts w:cs="Times New Roman"/>
          <w:i w:val="0"/>
        </w:rPr>
        <w:t xml:space="preserve">TB </w:t>
      </w:r>
      <w:r w:rsidR="00DF2B24">
        <w:rPr>
          <w:rFonts w:cs="Times New Roman"/>
          <w:i w:val="0"/>
        </w:rPr>
        <w:t xml:space="preserve">Module 2, TE </w:t>
      </w:r>
      <w:r w:rsidR="00D456F0">
        <w:rPr>
          <w:rFonts w:cs="Times New Roman"/>
          <w:i w:val="0"/>
        </w:rPr>
        <w:t>pp.</w:t>
      </w:r>
      <w:r w:rsidR="00CE1F6B">
        <w:rPr>
          <w:rFonts w:cs="Times New Roman"/>
          <w:i w:val="0"/>
        </w:rPr>
        <w:t xml:space="preserve">70-77, </w:t>
      </w:r>
      <w:r w:rsidR="00D456F0">
        <w:rPr>
          <w:rFonts w:cs="Times New Roman"/>
          <w:i w:val="0"/>
        </w:rPr>
        <w:t>pp.</w:t>
      </w:r>
      <w:r w:rsidR="00CE1F6B">
        <w:rPr>
          <w:rFonts w:cs="Times New Roman"/>
          <w:i w:val="0"/>
        </w:rPr>
        <w:t>100-105. Strong supports for English learners in all modules of each grade</w:t>
      </w:r>
      <w:r w:rsidR="006D2672">
        <w:rPr>
          <w:rFonts w:cs="Times New Roman"/>
          <w:i w:val="0"/>
        </w:rPr>
        <w:t xml:space="preserve">, including </w:t>
      </w:r>
      <w:r w:rsidR="003B4FB7">
        <w:rPr>
          <w:rFonts w:cs="Times New Roman"/>
          <w:i w:val="0"/>
        </w:rPr>
        <w:t>using diagrams, photographs, and videos to support accessibility of the content.</w:t>
      </w:r>
    </w:p>
    <w:p w14:paraId="51EF66AD" w14:textId="4C78CDA9" w:rsidR="00FD067A" w:rsidRPr="003F5D42" w:rsidRDefault="00FD067A" w:rsidP="00FD067A">
      <w:pPr>
        <w:pStyle w:val="Header"/>
        <w:numPr>
          <w:ilvl w:val="0"/>
          <w:numId w:val="26"/>
        </w:numPr>
        <w:tabs>
          <w:tab w:val="clear" w:pos="4320"/>
          <w:tab w:val="clear" w:pos="8640"/>
        </w:tabs>
        <w:spacing w:after="240"/>
        <w:rPr>
          <w:rFonts w:cs="Times New Roman"/>
          <w:i w:val="0"/>
        </w:rPr>
      </w:pPr>
      <w:r>
        <w:rPr>
          <w:rFonts w:cs="Times New Roman"/>
          <w:i w:val="0"/>
        </w:rPr>
        <w:t>Criterion #3: Grade 1, Module 2,</w:t>
      </w:r>
      <w:r w:rsidR="00DF2B24">
        <w:rPr>
          <w:rFonts w:cs="Times New Roman"/>
          <w:i w:val="0"/>
        </w:rPr>
        <w:t xml:space="preserve"> TE </w:t>
      </w:r>
      <w:r w:rsidR="00D456F0">
        <w:rPr>
          <w:rFonts w:cs="Times New Roman"/>
          <w:i w:val="0"/>
        </w:rPr>
        <w:t>p.</w:t>
      </w:r>
      <w:r>
        <w:rPr>
          <w:rFonts w:cs="Times New Roman"/>
          <w:i w:val="0"/>
        </w:rPr>
        <w:t>6. Teacher’s Edition has each Driving Question accompanied by supports and scaffolds for English learners, special needs students, and some cultural concerns. There is also a challenge for students who are above level and/or finish early.</w:t>
      </w:r>
    </w:p>
    <w:p w14:paraId="76A90097" w14:textId="535D389E" w:rsidR="003F5D42" w:rsidRDefault="003F5D42" w:rsidP="00FD067A">
      <w:pPr>
        <w:pStyle w:val="Header"/>
        <w:numPr>
          <w:ilvl w:val="0"/>
          <w:numId w:val="26"/>
        </w:numPr>
        <w:tabs>
          <w:tab w:val="clear" w:pos="4320"/>
          <w:tab w:val="clear" w:pos="8640"/>
        </w:tabs>
        <w:spacing w:after="240"/>
        <w:rPr>
          <w:rFonts w:cs="Times New Roman"/>
          <w:i w:val="0"/>
        </w:rPr>
      </w:pPr>
      <w:r>
        <w:rPr>
          <w:rFonts w:cs="Times New Roman"/>
          <w:i w:val="0"/>
        </w:rPr>
        <w:t xml:space="preserve">Criterion </w:t>
      </w:r>
      <w:r w:rsidR="00FD067A">
        <w:rPr>
          <w:rFonts w:cs="Times New Roman"/>
          <w:i w:val="0"/>
        </w:rPr>
        <w:t>#</w:t>
      </w:r>
      <w:r w:rsidR="00922AC6">
        <w:rPr>
          <w:rFonts w:cs="Times New Roman"/>
          <w:i w:val="0"/>
        </w:rPr>
        <w:t>4</w:t>
      </w:r>
      <w:r>
        <w:rPr>
          <w:rFonts w:cs="Times New Roman"/>
          <w:i w:val="0"/>
        </w:rPr>
        <w:t xml:space="preserve">: Grade </w:t>
      </w:r>
      <w:r w:rsidR="007927B3">
        <w:rPr>
          <w:rFonts w:cs="Times New Roman"/>
          <w:i w:val="0"/>
        </w:rPr>
        <w:t>5</w:t>
      </w:r>
      <w:r>
        <w:rPr>
          <w:rFonts w:cs="Times New Roman"/>
          <w:i w:val="0"/>
        </w:rPr>
        <w:t xml:space="preserve">, </w:t>
      </w:r>
      <w:r w:rsidR="00FD067A">
        <w:rPr>
          <w:rFonts w:cs="Times New Roman"/>
          <w:i w:val="0"/>
        </w:rPr>
        <w:t>TB</w:t>
      </w:r>
      <w:r w:rsidR="00DF2B24">
        <w:rPr>
          <w:rFonts w:cs="Times New Roman"/>
          <w:i w:val="0"/>
        </w:rPr>
        <w:t xml:space="preserve"> Module </w:t>
      </w:r>
      <w:r w:rsidR="00D456F0">
        <w:rPr>
          <w:rFonts w:cs="Times New Roman"/>
          <w:i w:val="0"/>
        </w:rPr>
        <w:t>p.</w:t>
      </w:r>
      <w:r w:rsidR="00DF2B24">
        <w:rPr>
          <w:rFonts w:cs="Times New Roman"/>
          <w:i w:val="0"/>
        </w:rPr>
        <w:t xml:space="preserve">4, </w:t>
      </w:r>
      <w:r w:rsidR="00D456F0">
        <w:rPr>
          <w:rFonts w:cs="Times New Roman"/>
          <w:i w:val="0"/>
        </w:rPr>
        <w:t>p.</w:t>
      </w:r>
      <w:r w:rsidR="007927B3">
        <w:rPr>
          <w:rFonts w:cs="Times New Roman"/>
          <w:i w:val="0"/>
        </w:rPr>
        <w:t xml:space="preserve">11, </w:t>
      </w:r>
      <w:r w:rsidR="00D456F0">
        <w:rPr>
          <w:rFonts w:cs="Times New Roman"/>
          <w:i w:val="0"/>
        </w:rPr>
        <w:t>p.</w:t>
      </w:r>
      <w:r w:rsidR="007927B3">
        <w:rPr>
          <w:rFonts w:cs="Times New Roman"/>
          <w:i w:val="0"/>
        </w:rPr>
        <w:t xml:space="preserve">21, </w:t>
      </w:r>
      <w:r w:rsidR="00D456F0">
        <w:rPr>
          <w:rFonts w:cs="Times New Roman"/>
          <w:i w:val="0"/>
        </w:rPr>
        <w:t>p.</w:t>
      </w:r>
      <w:r w:rsidR="007927B3">
        <w:rPr>
          <w:rFonts w:cs="Times New Roman"/>
          <w:i w:val="0"/>
        </w:rPr>
        <w:t>40.</w:t>
      </w:r>
      <w:r w:rsidR="008D2EB2">
        <w:rPr>
          <w:rFonts w:cs="Times New Roman"/>
          <w:i w:val="0"/>
        </w:rPr>
        <w:t xml:space="preserve"> Grade 2, </w:t>
      </w:r>
      <w:r w:rsidR="00FD067A">
        <w:rPr>
          <w:rFonts w:cs="Times New Roman"/>
          <w:i w:val="0"/>
        </w:rPr>
        <w:t>TB</w:t>
      </w:r>
      <w:r w:rsidR="00DF2B24">
        <w:rPr>
          <w:rFonts w:cs="Times New Roman"/>
          <w:i w:val="0"/>
        </w:rPr>
        <w:t xml:space="preserve"> Module 2, </w:t>
      </w:r>
      <w:r w:rsidR="00D456F0">
        <w:rPr>
          <w:rFonts w:cs="Times New Roman"/>
          <w:i w:val="0"/>
        </w:rPr>
        <w:t>p.</w:t>
      </w:r>
      <w:r w:rsidR="008D2EB2">
        <w:rPr>
          <w:rFonts w:cs="Times New Roman"/>
          <w:i w:val="0"/>
        </w:rPr>
        <w:t>23</w:t>
      </w:r>
      <w:r w:rsidR="00A075B0">
        <w:rPr>
          <w:rFonts w:cs="Times New Roman"/>
          <w:i w:val="0"/>
        </w:rPr>
        <w:t xml:space="preserve">, </w:t>
      </w:r>
      <w:r w:rsidR="00D456F0">
        <w:rPr>
          <w:rFonts w:cs="Times New Roman"/>
          <w:i w:val="0"/>
        </w:rPr>
        <w:t>pp.</w:t>
      </w:r>
      <w:r w:rsidR="00A075B0">
        <w:rPr>
          <w:rFonts w:cs="Times New Roman"/>
          <w:i w:val="0"/>
        </w:rPr>
        <w:t>95-96.</w:t>
      </w:r>
      <w:r w:rsidR="000C683C">
        <w:rPr>
          <w:rFonts w:cs="Times New Roman"/>
          <w:i w:val="0"/>
        </w:rPr>
        <w:t xml:space="preserve"> Student books contain images of students of color, </w:t>
      </w:r>
      <w:r w:rsidR="007927B3">
        <w:rPr>
          <w:rFonts w:cs="Times New Roman"/>
          <w:i w:val="0"/>
        </w:rPr>
        <w:t>mixed groups of</w:t>
      </w:r>
      <w:r w:rsidR="000C683C">
        <w:rPr>
          <w:rFonts w:cs="Times New Roman"/>
          <w:i w:val="0"/>
        </w:rPr>
        <w:t xml:space="preserve"> students working together, </w:t>
      </w:r>
      <w:r w:rsidR="007927B3">
        <w:rPr>
          <w:rFonts w:cs="Times New Roman"/>
          <w:i w:val="0"/>
        </w:rPr>
        <w:t>instances of girls engaging in science</w:t>
      </w:r>
      <w:r w:rsidR="000C683C">
        <w:rPr>
          <w:rFonts w:cs="Times New Roman"/>
          <w:i w:val="0"/>
        </w:rPr>
        <w:t xml:space="preserve">, and </w:t>
      </w:r>
      <w:r w:rsidR="00A075B0">
        <w:rPr>
          <w:rFonts w:cs="Times New Roman"/>
          <w:i w:val="0"/>
        </w:rPr>
        <w:t>female scientists.</w:t>
      </w:r>
    </w:p>
    <w:p w14:paraId="2E6FA707" w14:textId="77777777"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14:paraId="0C678985" w14:textId="619DF3DC"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Pr="00BB68B1">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7B135BD9" w14:textId="77777777" w:rsidR="009F2E52" w:rsidRDefault="009F2E52" w:rsidP="0052519C">
      <w:pPr>
        <w:pStyle w:val="Heading3"/>
        <w:rPr>
          <w:i/>
          <w:iCs/>
        </w:rPr>
      </w:pPr>
      <w:r w:rsidRPr="00231C1B">
        <w:t>Citati</w:t>
      </w:r>
      <w:bookmarkStart w:id="0" w:name="_GoBack"/>
      <w:bookmarkEnd w:id="0"/>
      <w:r w:rsidRPr="00231C1B">
        <w:t>ons:</w:t>
      </w:r>
    </w:p>
    <w:p w14:paraId="232498BA" w14:textId="43A18E98" w:rsidR="00A01CEF" w:rsidRDefault="00BD0FBD" w:rsidP="003A5C12">
      <w:pPr>
        <w:pStyle w:val="Header"/>
        <w:numPr>
          <w:ilvl w:val="0"/>
          <w:numId w:val="26"/>
        </w:numPr>
        <w:tabs>
          <w:tab w:val="clear" w:pos="4320"/>
          <w:tab w:val="clear" w:pos="8640"/>
        </w:tabs>
        <w:spacing w:after="240"/>
        <w:rPr>
          <w:rFonts w:cs="Times New Roman"/>
          <w:i w:val="0"/>
        </w:rPr>
      </w:pPr>
      <w:r w:rsidRPr="00A01CEF">
        <w:rPr>
          <w:rFonts w:cs="Times New Roman"/>
          <w:i w:val="0"/>
        </w:rPr>
        <w:t xml:space="preserve">Criterion #1: </w:t>
      </w:r>
      <w:r w:rsidR="00DF2B24" w:rsidRPr="00A01CEF">
        <w:rPr>
          <w:rFonts w:cs="Times New Roman"/>
          <w:i w:val="0"/>
        </w:rPr>
        <w:t xml:space="preserve">Grade K–6, all modules. </w:t>
      </w:r>
      <w:r w:rsidR="000C683C">
        <w:rPr>
          <w:rFonts w:cs="Times New Roman"/>
          <w:i w:val="0"/>
        </w:rPr>
        <w:t>R</w:t>
      </w:r>
      <w:r w:rsidR="00A01CEF" w:rsidRPr="00A01CEF">
        <w:rPr>
          <w:rFonts w:cs="Times New Roman"/>
          <w:i w:val="0"/>
        </w:rPr>
        <w:t>esources include a curriculum guide for the academic instructional year for teachers to follow when planning for 180 days of instruction.</w:t>
      </w:r>
      <w:r w:rsidRPr="00A01CEF">
        <w:rPr>
          <w:rFonts w:cs="Times New Roman"/>
          <w:i w:val="0"/>
        </w:rPr>
        <w:t xml:space="preserve"> </w:t>
      </w:r>
    </w:p>
    <w:p w14:paraId="63A21789" w14:textId="3A51E010" w:rsidR="00A01CEF" w:rsidRDefault="00A01CEF" w:rsidP="003A5C12">
      <w:pPr>
        <w:pStyle w:val="Header"/>
        <w:numPr>
          <w:ilvl w:val="0"/>
          <w:numId w:val="26"/>
        </w:numPr>
        <w:tabs>
          <w:tab w:val="clear" w:pos="4320"/>
          <w:tab w:val="clear" w:pos="8640"/>
        </w:tabs>
        <w:spacing w:after="240"/>
        <w:rPr>
          <w:rFonts w:cs="Times New Roman"/>
          <w:i w:val="0"/>
        </w:rPr>
      </w:pPr>
      <w:r>
        <w:rPr>
          <w:rFonts w:cs="Times New Roman"/>
          <w:i w:val="0"/>
        </w:rPr>
        <w:t xml:space="preserve">Criterion #2: Grade 4, Module 2, TE </w:t>
      </w:r>
      <w:r w:rsidR="00D456F0">
        <w:rPr>
          <w:rFonts w:cs="Times New Roman"/>
          <w:i w:val="0"/>
        </w:rPr>
        <w:t>pp.</w:t>
      </w:r>
      <w:r>
        <w:rPr>
          <w:rFonts w:cs="Times New Roman"/>
          <w:i w:val="0"/>
        </w:rPr>
        <w:t xml:space="preserve">16–23. The teacher resources provide an estimated instructional time for each activity, lesson, chapter, and unit which allows for student engagement in the SEPs and engineering design projects. </w:t>
      </w:r>
    </w:p>
    <w:p w14:paraId="3347E74A" w14:textId="0E766992" w:rsidR="00A01CEF" w:rsidRDefault="00BD0FBD" w:rsidP="00DF2B24">
      <w:pPr>
        <w:pStyle w:val="Header"/>
        <w:numPr>
          <w:ilvl w:val="0"/>
          <w:numId w:val="26"/>
        </w:numPr>
        <w:tabs>
          <w:tab w:val="clear" w:pos="4320"/>
          <w:tab w:val="clear" w:pos="8640"/>
        </w:tabs>
        <w:spacing w:after="240"/>
        <w:rPr>
          <w:rFonts w:cs="Times New Roman"/>
          <w:i w:val="0"/>
        </w:rPr>
      </w:pPr>
      <w:r>
        <w:rPr>
          <w:rFonts w:cs="Times New Roman"/>
          <w:i w:val="0"/>
        </w:rPr>
        <w:t>Criterion #12: Grade 5</w:t>
      </w:r>
      <w:r w:rsidR="00A01CEF">
        <w:rPr>
          <w:rFonts w:cs="Times New Roman"/>
          <w:i w:val="0"/>
        </w:rPr>
        <w:t>, Module 1,</w:t>
      </w:r>
      <w:r>
        <w:rPr>
          <w:rFonts w:cs="Times New Roman"/>
          <w:i w:val="0"/>
        </w:rPr>
        <w:t xml:space="preserve"> TE </w:t>
      </w:r>
      <w:r w:rsidR="00D456F0">
        <w:rPr>
          <w:rFonts w:cs="Times New Roman"/>
          <w:i w:val="0"/>
        </w:rPr>
        <w:t>p.</w:t>
      </w:r>
      <w:r w:rsidR="00503FA0">
        <w:rPr>
          <w:rFonts w:cs="Times New Roman"/>
          <w:i w:val="0"/>
        </w:rPr>
        <w:t xml:space="preserve">3, </w:t>
      </w:r>
      <w:r w:rsidR="00D456F0">
        <w:rPr>
          <w:rFonts w:cs="Times New Roman"/>
          <w:i w:val="0"/>
        </w:rPr>
        <w:t>p.</w:t>
      </w:r>
      <w:r w:rsidR="00503FA0">
        <w:rPr>
          <w:rFonts w:cs="Times New Roman"/>
          <w:i w:val="0"/>
        </w:rPr>
        <w:t>5</w:t>
      </w:r>
      <w:r w:rsidR="00A01CEF">
        <w:rPr>
          <w:rFonts w:cs="Times New Roman"/>
          <w:i w:val="0"/>
        </w:rPr>
        <w:t>. Instructional resources</w:t>
      </w:r>
      <w:r w:rsidR="000C683C">
        <w:rPr>
          <w:rFonts w:cs="Times New Roman"/>
          <w:i w:val="0"/>
        </w:rPr>
        <w:t xml:space="preserve"> </w:t>
      </w:r>
      <w:r w:rsidR="00A01CEF">
        <w:rPr>
          <w:rFonts w:cs="Times New Roman"/>
          <w:i w:val="0"/>
        </w:rPr>
        <w:t xml:space="preserve">include a list of consumable and non-consumable equipment and materials required for each lesson and address safety issues included in the </w:t>
      </w:r>
      <w:r w:rsidR="00A01CEF" w:rsidRPr="00A01CEF">
        <w:rPr>
          <w:rFonts w:cs="Times New Roman"/>
        </w:rPr>
        <w:t>Science Safety Handbook for California Public</w:t>
      </w:r>
      <w:r w:rsidR="00A01CEF">
        <w:rPr>
          <w:rFonts w:cs="Times New Roman"/>
          <w:i w:val="0"/>
        </w:rPr>
        <w:t xml:space="preserve"> </w:t>
      </w:r>
      <w:r w:rsidR="00A01CEF" w:rsidRPr="00A01CEF">
        <w:rPr>
          <w:rFonts w:cs="Times New Roman"/>
        </w:rPr>
        <w:t>Schools</w:t>
      </w:r>
      <w:r w:rsidR="00A01CEF">
        <w:rPr>
          <w:rFonts w:cs="Times New Roman"/>
          <w:i w:val="0"/>
        </w:rPr>
        <w:t xml:space="preserve"> (CDE 2014).</w:t>
      </w:r>
    </w:p>
    <w:p w14:paraId="6F5848B0" w14:textId="60449258" w:rsidR="00BD0FBD" w:rsidRDefault="00BD0FBD" w:rsidP="00DF2B24">
      <w:pPr>
        <w:pStyle w:val="Header"/>
        <w:numPr>
          <w:ilvl w:val="0"/>
          <w:numId w:val="26"/>
        </w:numPr>
        <w:tabs>
          <w:tab w:val="clear" w:pos="4320"/>
          <w:tab w:val="clear" w:pos="8640"/>
        </w:tabs>
        <w:spacing w:after="240"/>
        <w:rPr>
          <w:rFonts w:cs="Times New Roman"/>
          <w:i w:val="0"/>
        </w:rPr>
      </w:pPr>
      <w:r>
        <w:rPr>
          <w:rFonts w:cs="Times New Roman"/>
          <w:i w:val="0"/>
        </w:rPr>
        <w:lastRenderedPageBreak/>
        <w:t>Criterion #14: Grade 5</w:t>
      </w:r>
      <w:r w:rsidR="00A01CEF">
        <w:rPr>
          <w:rFonts w:cs="Times New Roman"/>
          <w:i w:val="0"/>
        </w:rPr>
        <w:t xml:space="preserve">, </w:t>
      </w:r>
      <w:r w:rsidR="00503FA0">
        <w:rPr>
          <w:rFonts w:cs="Times New Roman"/>
          <w:i w:val="0"/>
        </w:rPr>
        <w:t xml:space="preserve">Module 1, </w:t>
      </w:r>
      <w:r>
        <w:rPr>
          <w:rFonts w:cs="Times New Roman"/>
          <w:i w:val="0"/>
        </w:rPr>
        <w:t xml:space="preserve">TE </w:t>
      </w:r>
      <w:r w:rsidR="00D456F0">
        <w:rPr>
          <w:rFonts w:cs="Times New Roman"/>
          <w:i w:val="0"/>
        </w:rPr>
        <w:t>p.</w:t>
      </w:r>
      <w:r>
        <w:rPr>
          <w:rFonts w:cs="Times New Roman"/>
          <w:i w:val="0"/>
        </w:rPr>
        <w:t xml:space="preserve">3, </w:t>
      </w:r>
      <w:r w:rsidR="00D456F0">
        <w:rPr>
          <w:rFonts w:cs="Times New Roman"/>
          <w:i w:val="0"/>
        </w:rPr>
        <w:t>p.</w:t>
      </w:r>
      <w:r>
        <w:rPr>
          <w:rFonts w:cs="Times New Roman"/>
          <w:i w:val="0"/>
        </w:rPr>
        <w:t>53</w:t>
      </w:r>
      <w:r w:rsidR="00503FA0">
        <w:rPr>
          <w:rFonts w:cs="Times New Roman"/>
          <w:i w:val="0"/>
        </w:rPr>
        <w:t>,</w:t>
      </w:r>
      <w:r>
        <w:rPr>
          <w:rFonts w:cs="Times New Roman"/>
          <w:i w:val="0"/>
        </w:rPr>
        <w:t xml:space="preserve"> </w:t>
      </w:r>
      <w:r w:rsidR="00D456F0">
        <w:rPr>
          <w:rFonts w:cs="Times New Roman"/>
          <w:i w:val="0"/>
        </w:rPr>
        <w:t>p.</w:t>
      </w:r>
      <w:r>
        <w:rPr>
          <w:rFonts w:cs="Times New Roman"/>
          <w:i w:val="0"/>
        </w:rPr>
        <w:t xml:space="preserve">167, </w:t>
      </w:r>
      <w:r w:rsidR="00D456F0">
        <w:rPr>
          <w:rFonts w:cs="Times New Roman"/>
          <w:i w:val="0"/>
        </w:rPr>
        <w:t>p.</w:t>
      </w:r>
      <w:r>
        <w:rPr>
          <w:rFonts w:cs="Times New Roman"/>
          <w:i w:val="0"/>
        </w:rPr>
        <w:t xml:space="preserve">285, </w:t>
      </w:r>
      <w:r w:rsidR="00503FA0">
        <w:rPr>
          <w:rFonts w:cs="Times New Roman"/>
          <w:i w:val="0"/>
        </w:rPr>
        <w:t xml:space="preserve">and </w:t>
      </w:r>
      <w:r w:rsidR="00D456F0">
        <w:rPr>
          <w:rFonts w:cs="Times New Roman"/>
          <w:i w:val="0"/>
        </w:rPr>
        <w:t>p.</w:t>
      </w:r>
      <w:r>
        <w:rPr>
          <w:rFonts w:cs="Times New Roman"/>
          <w:i w:val="0"/>
        </w:rPr>
        <w:t>321</w:t>
      </w:r>
      <w:r w:rsidR="00503FA0">
        <w:rPr>
          <w:rFonts w:cs="Times New Roman"/>
          <w:i w:val="0"/>
        </w:rPr>
        <w:t>.</w:t>
      </w:r>
      <w:r>
        <w:rPr>
          <w:rFonts w:cs="Times New Roman"/>
          <w:i w:val="0"/>
        </w:rPr>
        <w:t xml:space="preserve"> </w:t>
      </w:r>
      <w:r w:rsidR="00503FA0">
        <w:rPr>
          <w:rFonts w:cs="Times New Roman"/>
          <w:i w:val="0"/>
        </w:rPr>
        <w:t xml:space="preserve">Electronic learning resources, including technology-based assessments, support instruction that is connected explicitly to the CA NGSS, have a well-designed user interface, provide technical support, and include suggestions for appropriate and differentiated use. </w:t>
      </w:r>
    </w:p>
    <w:p w14:paraId="6DDE6B84" w14:textId="77777777" w:rsidR="003151F6" w:rsidRPr="0018022C" w:rsidRDefault="003151F6" w:rsidP="00C942C4">
      <w:pPr>
        <w:pStyle w:val="Heading2"/>
      </w:pPr>
      <w:r w:rsidRPr="0018022C">
        <w:t>Edits and Corrections:</w:t>
      </w:r>
    </w:p>
    <w:p w14:paraId="43FA7560" w14:textId="4EE5122D" w:rsidR="005A304B" w:rsidRPr="00231C1B" w:rsidRDefault="009A00E7" w:rsidP="00DA77F1">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r w:rsidR="005A304B">
        <w:rPr>
          <w:rFonts w:cs="Times New Roman"/>
          <w:bCs/>
          <w:i w:val="0"/>
          <w:iCs w:val="0"/>
        </w:rPr>
        <w:t xml:space="preserve"> None</w:t>
      </w:r>
    </w:p>
    <w:p w14:paraId="6DA72E3A" w14:textId="41A54F25" w:rsidR="00763B11" w:rsidRDefault="003151F6" w:rsidP="00DA77F1">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r w:rsidR="00503FA0">
        <w:rPr>
          <w:rFonts w:cs="Times New Roman"/>
          <w:bCs/>
          <w:i w:val="0"/>
          <w:iCs w:val="0"/>
        </w:rPr>
        <w:t xml:space="preserve"> None.</w:t>
      </w:r>
    </w:p>
    <w:p w14:paraId="4500F104" w14:textId="77777777" w:rsidR="0074745F" w:rsidRDefault="0074745F" w:rsidP="0074745F">
      <w:pPr>
        <w:pStyle w:val="Header"/>
        <w:tabs>
          <w:tab w:val="clear" w:pos="4320"/>
          <w:tab w:val="clear" w:pos="8640"/>
        </w:tabs>
        <w:spacing w:after="480"/>
        <w:rPr>
          <w:rFonts w:cs="Times New Roman"/>
          <w:bCs/>
          <w:i w:val="0"/>
          <w:iCs w:val="0"/>
        </w:rPr>
      </w:pPr>
    </w:p>
    <w:p w14:paraId="69904C4F" w14:textId="5FCC59F3" w:rsidR="0074745F" w:rsidRDefault="0074745F" w:rsidP="0074745F">
      <w:pPr>
        <w:pStyle w:val="Header"/>
        <w:tabs>
          <w:tab w:val="clear" w:pos="4320"/>
          <w:tab w:val="clear" w:pos="8640"/>
        </w:tabs>
        <w:spacing w:after="480"/>
        <w:rPr>
          <w:rFonts w:cs="Times New Roman"/>
          <w:bCs/>
          <w:i w:val="0"/>
          <w:iCs w:val="0"/>
        </w:rPr>
      </w:pPr>
      <w:r>
        <w:rPr>
          <w:rFonts w:cs="Times New Roman"/>
          <w:bCs/>
          <w:i w:val="0"/>
          <w:iCs w:val="0"/>
        </w:rPr>
        <w:t>California Department of Education, August 2018</w:t>
      </w:r>
    </w:p>
    <w:p w14:paraId="3DA4FFB8" w14:textId="77777777" w:rsidR="005F30F0" w:rsidRDefault="005F30F0" w:rsidP="00DA77F1">
      <w:pPr>
        <w:pStyle w:val="Header"/>
        <w:tabs>
          <w:tab w:val="clear" w:pos="4320"/>
          <w:tab w:val="clear" w:pos="8640"/>
        </w:tabs>
        <w:rPr>
          <w:rFonts w:cs="Times New Roman"/>
          <w:i w:val="0"/>
          <w:iCs w:val="0"/>
        </w:rPr>
      </w:pPr>
    </w:p>
    <w:sectPr w:rsidR="005F30F0" w:rsidSect="002D6F33">
      <w:footerReference w:type="even" r:id="rId11"/>
      <w:footerReference w:type="default" r:id="rId12"/>
      <w:footerReference w:type="first" r:id="rId13"/>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B9E2A" w14:textId="77777777" w:rsidR="003255DD" w:rsidRDefault="003255DD">
      <w:r>
        <w:separator/>
      </w:r>
    </w:p>
  </w:endnote>
  <w:endnote w:type="continuationSeparator" w:id="0">
    <w:p w14:paraId="43207689" w14:textId="77777777" w:rsidR="003255DD" w:rsidRDefault="0032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AD36" w14:textId="77777777"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0F684" w14:textId="77777777" w:rsidR="00562FE7" w:rsidRDefault="00562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A73A" w14:textId="20F81636" w:rsidR="00BD61FC" w:rsidRPr="00BD61FC" w:rsidRDefault="00BD61FC">
    <w:pPr>
      <w:pStyle w:val="Footer"/>
      <w:jc w:val="center"/>
      <w:rPr>
        <w:caps/>
        <w:noProof/>
      </w:rPr>
    </w:pPr>
    <w:r>
      <w:rPr>
        <w:caps/>
        <w:color w:val="5B9BD5" w:themeColor="accent1"/>
      </w:rPr>
      <w:tab/>
    </w:r>
    <w:r>
      <w:rPr>
        <w:caps/>
        <w:color w:val="5B9BD5" w:themeColor="accent1"/>
      </w:rPr>
      <w:tab/>
    </w:r>
  </w:p>
  <w:p w14:paraId="6878CB30" w14:textId="77777777" w:rsidR="00BD61FC" w:rsidRPr="00206E1D" w:rsidRDefault="00BD61FC" w:rsidP="00BD61FC">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C85AA5">
      <w:rPr>
        <w:rStyle w:val="PageNumber"/>
        <w:i w:val="0"/>
        <w:noProof/>
      </w:rPr>
      <w:t>2</w:t>
    </w:r>
    <w:r w:rsidRPr="00206E1D">
      <w:rPr>
        <w:rStyle w:val="PageNumber"/>
        <w:i w:val="0"/>
      </w:rPr>
      <w:fldChar w:fldCharType="end"/>
    </w:r>
  </w:p>
  <w:p w14:paraId="0FCA3928" w14:textId="51E4BA3D" w:rsidR="00562FE7" w:rsidRPr="00BD61FC" w:rsidRDefault="00562FE7" w:rsidP="00BD61FC">
    <w:pPr>
      <w:pStyle w:val="Footer"/>
      <w:ind w:right="360"/>
      <w:jc w:val="right"/>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8754" w14:textId="7A0A0FFC" w:rsidR="00562FE7" w:rsidRDefault="00562FE7">
    <w:pPr>
      <w:pStyle w:val="Footer"/>
      <w:jc w:val="right"/>
      <w:rPr>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86784" w14:textId="77777777" w:rsidR="003255DD" w:rsidRDefault="003255DD">
      <w:r>
        <w:separator/>
      </w:r>
    </w:p>
  </w:footnote>
  <w:footnote w:type="continuationSeparator" w:id="0">
    <w:p w14:paraId="279E540B" w14:textId="77777777" w:rsidR="003255DD" w:rsidRDefault="00325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85AD9"/>
    <w:multiLevelType w:val="hybridMultilevel"/>
    <w:tmpl w:val="18EC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E14987"/>
    <w:multiLevelType w:val="hybridMultilevel"/>
    <w:tmpl w:val="2C56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C4010"/>
    <w:multiLevelType w:val="hybridMultilevel"/>
    <w:tmpl w:val="D5ACE7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8D2001"/>
    <w:multiLevelType w:val="hybridMultilevel"/>
    <w:tmpl w:val="B8B6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62BEE"/>
    <w:multiLevelType w:val="hybridMultilevel"/>
    <w:tmpl w:val="2C0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3"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6"/>
  </w:num>
  <w:num w:numId="4">
    <w:abstractNumId w:val="5"/>
  </w:num>
  <w:num w:numId="5">
    <w:abstractNumId w:val="24"/>
  </w:num>
  <w:num w:numId="6">
    <w:abstractNumId w:val="20"/>
  </w:num>
  <w:num w:numId="7">
    <w:abstractNumId w:val="19"/>
  </w:num>
  <w:num w:numId="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8"/>
  </w:num>
  <w:num w:numId="12">
    <w:abstractNumId w:val="21"/>
  </w:num>
  <w:num w:numId="13">
    <w:abstractNumId w:val="14"/>
  </w:num>
  <w:num w:numId="14">
    <w:abstractNumId w:val="1"/>
  </w:num>
  <w:num w:numId="15">
    <w:abstractNumId w:val="8"/>
  </w:num>
  <w:num w:numId="16">
    <w:abstractNumId w:val="15"/>
  </w:num>
  <w:num w:numId="17">
    <w:abstractNumId w:val="17"/>
  </w:num>
  <w:num w:numId="18">
    <w:abstractNumId w:val="3"/>
  </w:num>
  <w:num w:numId="19">
    <w:abstractNumId w:val="0"/>
  </w:num>
  <w:num w:numId="20">
    <w:abstractNumId w:val="7"/>
  </w:num>
  <w:num w:numId="21">
    <w:abstractNumId w:val="16"/>
  </w:num>
  <w:num w:numId="22">
    <w:abstractNumId w:val="10"/>
  </w:num>
  <w:num w:numId="23">
    <w:abstractNumId w:val="12"/>
  </w:num>
  <w:num w:numId="24">
    <w:abstractNumId w:val="13"/>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B60"/>
    <w:rsid w:val="00041838"/>
    <w:rsid w:val="00044010"/>
    <w:rsid w:val="00062CEB"/>
    <w:rsid w:val="000730F4"/>
    <w:rsid w:val="0008027C"/>
    <w:rsid w:val="000814E4"/>
    <w:rsid w:val="00091BF9"/>
    <w:rsid w:val="000929B9"/>
    <w:rsid w:val="000C683C"/>
    <w:rsid w:val="000D1CBC"/>
    <w:rsid w:val="000D3F69"/>
    <w:rsid w:val="00101754"/>
    <w:rsid w:val="00120DA8"/>
    <w:rsid w:val="0013644C"/>
    <w:rsid w:val="00141C83"/>
    <w:rsid w:val="00150086"/>
    <w:rsid w:val="00150134"/>
    <w:rsid w:val="00165C29"/>
    <w:rsid w:val="001719F3"/>
    <w:rsid w:val="0017424E"/>
    <w:rsid w:val="0018022C"/>
    <w:rsid w:val="00187F5F"/>
    <w:rsid w:val="001919F4"/>
    <w:rsid w:val="001C4E95"/>
    <w:rsid w:val="001D0D92"/>
    <w:rsid w:val="001D2EBA"/>
    <w:rsid w:val="001D4887"/>
    <w:rsid w:val="001D4BFE"/>
    <w:rsid w:val="001D5255"/>
    <w:rsid w:val="001E18D7"/>
    <w:rsid w:val="001E1C4D"/>
    <w:rsid w:val="001F0ED7"/>
    <w:rsid w:val="001F59D0"/>
    <w:rsid w:val="00206E1D"/>
    <w:rsid w:val="0021332B"/>
    <w:rsid w:val="00214BFB"/>
    <w:rsid w:val="00223B60"/>
    <w:rsid w:val="00226248"/>
    <w:rsid w:val="00231367"/>
    <w:rsid w:val="00231C1B"/>
    <w:rsid w:val="002420CD"/>
    <w:rsid w:val="00284E7D"/>
    <w:rsid w:val="0028509B"/>
    <w:rsid w:val="00291460"/>
    <w:rsid w:val="002C6AED"/>
    <w:rsid w:val="002D30D9"/>
    <w:rsid w:val="002D6F33"/>
    <w:rsid w:val="002D7190"/>
    <w:rsid w:val="002E6A48"/>
    <w:rsid w:val="00306542"/>
    <w:rsid w:val="003151F6"/>
    <w:rsid w:val="003255DD"/>
    <w:rsid w:val="003342F2"/>
    <w:rsid w:val="00346538"/>
    <w:rsid w:val="00381576"/>
    <w:rsid w:val="003867CC"/>
    <w:rsid w:val="00395F5B"/>
    <w:rsid w:val="003A0EEC"/>
    <w:rsid w:val="003B0138"/>
    <w:rsid w:val="003B2E53"/>
    <w:rsid w:val="003B35E1"/>
    <w:rsid w:val="003B4FB7"/>
    <w:rsid w:val="003C3042"/>
    <w:rsid w:val="003D2F9B"/>
    <w:rsid w:val="003D754B"/>
    <w:rsid w:val="003E242C"/>
    <w:rsid w:val="003F5D42"/>
    <w:rsid w:val="00402CD5"/>
    <w:rsid w:val="0040716F"/>
    <w:rsid w:val="00422D10"/>
    <w:rsid w:val="00437E76"/>
    <w:rsid w:val="0044754B"/>
    <w:rsid w:val="00461232"/>
    <w:rsid w:val="00471A0E"/>
    <w:rsid w:val="0047672E"/>
    <w:rsid w:val="00486740"/>
    <w:rsid w:val="00487082"/>
    <w:rsid w:val="004961B0"/>
    <w:rsid w:val="004B5829"/>
    <w:rsid w:val="004C123C"/>
    <w:rsid w:val="004D08EC"/>
    <w:rsid w:val="004E04EA"/>
    <w:rsid w:val="004F0D9A"/>
    <w:rsid w:val="004F35E4"/>
    <w:rsid w:val="004F6B4B"/>
    <w:rsid w:val="00503FA0"/>
    <w:rsid w:val="0052519C"/>
    <w:rsid w:val="00556D17"/>
    <w:rsid w:val="00557352"/>
    <w:rsid w:val="00562FE7"/>
    <w:rsid w:val="00571E40"/>
    <w:rsid w:val="00573DAB"/>
    <w:rsid w:val="005811D9"/>
    <w:rsid w:val="00587EA6"/>
    <w:rsid w:val="00591D21"/>
    <w:rsid w:val="00596FA0"/>
    <w:rsid w:val="005A0B54"/>
    <w:rsid w:val="005A1F7B"/>
    <w:rsid w:val="005A304B"/>
    <w:rsid w:val="005A33EC"/>
    <w:rsid w:val="005B162F"/>
    <w:rsid w:val="005B20EC"/>
    <w:rsid w:val="005E0803"/>
    <w:rsid w:val="005F30F0"/>
    <w:rsid w:val="00614411"/>
    <w:rsid w:val="00621ADE"/>
    <w:rsid w:val="006228A6"/>
    <w:rsid w:val="0062773E"/>
    <w:rsid w:val="0064686A"/>
    <w:rsid w:val="00650A1F"/>
    <w:rsid w:val="00650C17"/>
    <w:rsid w:val="0065193D"/>
    <w:rsid w:val="00655AD3"/>
    <w:rsid w:val="00662CCE"/>
    <w:rsid w:val="00670852"/>
    <w:rsid w:val="00675733"/>
    <w:rsid w:val="00685C95"/>
    <w:rsid w:val="00686202"/>
    <w:rsid w:val="00691C73"/>
    <w:rsid w:val="00692C29"/>
    <w:rsid w:val="006A4300"/>
    <w:rsid w:val="006A4DB7"/>
    <w:rsid w:val="006B2B3E"/>
    <w:rsid w:val="006B6C7C"/>
    <w:rsid w:val="006C13A9"/>
    <w:rsid w:val="006C45D5"/>
    <w:rsid w:val="006D2672"/>
    <w:rsid w:val="006D564A"/>
    <w:rsid w:val="006E0ADD"/>
    <w:rsid w:val="006E1E5B"/>
    <w:rsid w:val="006E7601"/>
    <w:rsid w:val="00717612"/>
    <w:rsid w:val="00725556"/>
    <w:rsid w:val="007272F2"/>
    <w:rsid w:val="00731054"/>
    <w:rsid w:val="0074745F"/>
    <w:rsid w:val="00750B59"/>
    <w:rsid w:val="00751103"/>
    <w:rsid w:val="00760349"/>
    <w:rsid w:val="00763B11"/>
    <w:rsid w:val="0077453A"/>
    <w:rsid w:val="00774F95"/>
    <w:rsid w:val="00780269"/>
    <w:rsid w:val="007927B3"/>
    <w:rsid w:val="00795D74"/>
    <w:rsid w:val="00795F0F"/>
    <w:rsid w:val="007975AC"/>
    <w:rsid w:val="007B4CD1"/>
    <w:rsid w:val="007C2D24"/>
    <w:rsid w:val="007C3E56"/>
    <w:rsid w:val="007C4AB8"/>
    <w:rsid w:val="007C723A"/>
    <w:rsid w:val="008135DE"/>
    <w:rsid w:val="00813F7D"/>
    <w:rsid w:val="00820488"/>
    <w:rsid w:val="00820EDB"/>
    <w:rsid w:val="00821362"/>
    <w:rsid w:val="0082158D"/>
    <w:rsid w:val="008271F3"/>
    <w:rsid w:val="00834826"/>
    <w:rsid w:val="00840280"/>
    <w:rsid w:val="00840D20"/>
    <w:rsid w:val="00855B7F"/>
    <w:rsid w:val="00860E81"/>
    <w:rsid w:val="0086494D"/>
    <w:rsid w:val="008A4414"/>
    <w:rsid w:val="008B304D"/>
    <w:rsid w:val="008D2EB2"/>
    <w:rsid w:val="008E6E5E"/>
    <w:rsid w:val="008E721F"/>
    <w:rsid w:val="008F5488"/>
    <w:rsid w:val="008F698D"/>
    <w:rsid w:val="00915383"/>
    <w:rsid w:val="00921361"/>
    <w:rsid w:val="00922AC6"/>
    <w:rsid w:val="0092435D"/>
    <w:rsid w:val="0095128C"/>
    <w:rsid w:val="0095155C"/>
    <w:rsid w:val="009521F2"/>
    <w:rsid w:val="00956E1D"/>
    <w:rsid w:val="00957292"/>
    <w:rsid w:val="00975038"/>
    <w:rsid w:val="00976333"/>
    <w:rsid w:val="00982F4A"/>
    <w:rsid w:val="009A00E7"/>
    <w:rsid w:val="009B0D72"/>
    <w:rsid w:val="009B4F2D"/>
    <w:rsid w:val="009C3692"/>
    <w:rsid w:val="009D66EA"/>
    <w:rsid w:val="009E01E6"/>
    <w:rsid w:val="009E0686"/>
    <w:rsid w:val="009F00D5"/>
    <w:rsid w:val="009F1479"/>
    <w:rsid w:val="009F1CD7"/>
    <w:rsid w:val="009F2E52"/>
    <w:rsid w:val="00A01CEF"/>
    <w:rsid w:val="00A075B0"/>
    <w:rsid w:val="00A1289C"/>
    <w:rsid w:val="00A13C2B"/>
    <w:rsid w:val="00A23EA8"/>
    <w:rsid w:val="00A45A96"/>
    <w:rsid w:val="00A50FFE"/>
    <w:rsid w:val="00A77CEE"/>
    <w:rsid w:val="00A85C90"/>
    <w:rsid w:val="00A9479F"/>
    <w:rsid w:val="00AA2B50"/>
    <w:rsid w:val="00AB42B5"/>
    <w:rsid w:val="00AC7B11"/>
    <w:rsid w:val="00AD3BC4"/>
    <w:rsid w:val="00AE1C28"/>
    <w:rsid w:val="00AE4171"/>
    <w:rsid w:val="00AE6078"/>
    <w:rsid w:val="00AE76BC"/>
    <w:rsid w:val="00B0059F"/>
    <w:rsid w:val="00B04006"/>
    <w:rsid w:val="00B04B49"/>
    <w:rsid w:val="00B07423"/>
    <w:rsid w:val="00B21A77"/>
    <w:rsid w:val="00B35CCD"/>
    <w:rsid w:val="00B4191F"/>
    <w:rsid w:val="00B4200E"/>
    <w:rsid w:val="00B46EE5"/>
    <w:rsid w:val="00B472C6"/>
    <w:rsid w:val="00B5363C"/>
    <w:rsid w:val="00B5635B"/>
    <w:rsid w:val="00B63AF4"/>
    <w:rsid w:val="00B73375"/>
    <w:rsid w:val="00B93712"/>
    <w:rsid w:val="00BA028A"/>
    <w:rsid w:val="00BB2B1E"/>
    <w:rsid w:val="00BB3F2E"/>
    <w:rsid w:val="00BB5B68"/>
    <w:rsid w:val="00BB68B1"/>
    <w:rsid w:val="00BC0045"/>
    <w:rsid w:val="00BD0FBD"/>
    <w:rsid w:val="00BD447E"/>
    <w:rsid w:val="00BD61FC"/>
    <w:rsid w:val="00BF2827"/>
    <w:rsid w:val="00BF3B8B"/>
    <w:rsid w:val="00C0752E"/>
    <w:rsid w:val="00C116DF"/>
    <w:rsid w:val="00C23CDB"/>
    <w:rsid w:val="00C25E3F"/>
    <w:rsid w:val="00C30EC3"/>
    <w:rsid w:val="00C439F4"/>
    <w:rsid w:val="00C57080"/>
    <w:rsid w:val="00C63E68"/>
    <w:rsid w:val="00C81141"/>
    <w:rsid w:val="00C818A2"/>
    <w:rsid w:val="00C85AA5"/>
    <w:rsid w:val="00C91D17"/>
    <w:rsid w:val="00C942C4"/>
    <w:rsid w:val="00C95A86"/>
    <w:rsid w:val="00C975C3"/>
    <w:rsid w:val="00CB1683"/>
    <w:rsid w:val="00CE1198"/>
    <w:rsid w:val="00CE1F6B"/>
    <w:rsid w:val="00CE489D"/>
    <w:rsid w:val="00CF3940"/>
    <w:rsid w:val="00CF49E9"/>
    <w:rsid w:val="00D04402"/>
    <w:rsid w:val="00D160FF"/>
    <w:rsid w:val="00D23A5A"/>
    <w:rsid w:val="00D36629"/>
    <w:rsid w:val="00D415D5"/>
    <w:rsid w:val="00D423E9"/>
    <w:rsid w:val="00D456F0"/>
    <w:rsid w:val="00D45C64"/>
    <w:rsid w:val="00D46A93"/>
    <w:rsid w:val="00D52370"/>
    <w:rsid w:val="00D77CB8"/>
    <w:rsid w:val="00D80A84"/>
    <w:rsid w:val="00D90A33"/>
    <w:rsid w:val="00D92D9B"/>
    <w:rsid w:val="00D955CA"/>
    <w:rsid w:val="00DA0A21"/>
    <w:rsid w:val="00DA12EC"/>
    <w:rsid w:val="00DA77F1"/>
    <w:rsid w:val="00DB67E5"/>
    <w:rsid w:val="00DC4160"/>
    <w:rsid w:val="00DD5B37"/>
    <w:rsid w:val="00DF2B24"/>
    <w:rsid w:val="00E2141E"/>
    <w:rsid w:val="00E228FA"/>
    <w:rsid w:val="00E323E2"/>
    <w:rsid w:val="00E33CAD"/>
    <w:rsid w:val="00E3787A"/>
    <w:rsid w:val="00E37DD9"/>
    <w:rsid w:val="00E44BD3"/>
    <w:rsid w:val="00E523C7"/>
    <w:rsid w:val="00E72D59"/>
    <w:rsid w:val="00E76A2C"/>
    <w:rsid w:val="00E877EC"/>
    <w:rsid w:val="00E95FE0"/>
    <w:rsid w:val="00EB5264"/>
    <w:rsid w:val="00EE0381"/>
    <w:rsid w:val="00EF1EF3"/>
    <w:rsid w:val="00F040E9"/>
    <w:rsid w:val="00F0519F"/>
    <w:rsid w:val="00F13091"/>
    <w:rsid w:val="00F1504B"/>
    <w:rsid w:val="00F16250"/>
    <w:rsid w:val="00F213E6"/>
    <w:rsid w:val="00F23EA0"/>
    <w:rsid w:val="00F54A32"/>
    <w:rsid w:val="00F610A6"/>
    <w:rsid w:val="00F73B99"/>
    <w:rsid w:val="00F76B3D"/>
    <w:rsid w:val="00F82AFB"/>
    <w:rsid w:val="00FA2CA4"/>
    <w:rsid w:val="00FB27A4"/>
    <w:rsid w:val="00FB4407"/>
    <w:rsid w:val="00FD067A"/>
    <w:rsid w:val="00FD7A94"/>
    <w:rsid w:val="00FE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A6241"/>
  <w15:docId w15:val="{A3B5EC07-64EE-41A7-BA5D-332F50D9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519C"/>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link w:val="Heading2Char"/>
    <w:qFormat/>
    <w:rsid w:val="00C942C4"/>
    <w:pPr>
      <w:autoSpaceDE w:val="0"/>
      <w:autoSpaceDN w:val="0"/>
      <w:adjustRightInd w:val="0"/>
      <w:spacing w:before="480" w:after="240"/>
      <w:outlineLvl w:val="1"/>
    </w:pPr>
    <w:rPr>
      <w:rFonts w:cs="Times New Roman"/>
      <w:b/>
      <w:bCs/>
      <w:i w:val="0"/>
      <w:iCs w:val="0"/>
    </w:rPr>
  </w:style>
  <w:style w:type="paragraph" w:styleId="Heading3">
    <w:name w:val="heading 3"/>
    <w:basedOn w:val="Header"/>
    <w:next w:val="Normal"/>
    <w:link w:val="Heading3Char"/>
    <w:unhideWhenUsed/>
    <w:qFormat/>
    <w:rsid w:val="0052519C"/>
    <w:pPr>
      <w:tabs>
        <w:tab w:val="clear" w:pos="4320"/>
        <w:tab w:val="clear" w:pos="8640"/>
      </w:tabs>
      <w:spacing w:after="120"/>
      <w:ind w:left="720"/>
      <w:outlineLvl w:val="2"/>
    </w:pPr>
    <w:rPr>
      <w:rFonts w:cs="Times New Roman"/>
      <w:b/>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70852"/>
    <w:rPr>
      <w:color w:val="0563C1"/>
      <w:u w:val="single"/>
    </w:rPr>
  </w:style>
  <w:style w:type="character" w:customStyle="1" w:styleId="HeaderChar">
    <w:name w:val="Header Char"/>
    <w:basedOn w:val="DefaultParagraphFont"/>
    <w:link w:val="Header"/>
    <w:rsid w:val="00F13091"/>
    <w:rPr>
      <w:rFonts w:ascii="Arial" w:hAnsi="Arial" w:cs="Tahoma"/>
      <w:i/>
      <w:iCs/>
      <w:sz w:val="24"/>
      <w:szCs w:val="24"/>
    </w:rPr>
  </w:style>
  <w:style w:type="character" w:customStyle="1" w:styleId="Heading2Char">
    <w:name w:val="Heading 2 Char"/>
    <w:basedOn w:val="DefaultParagraphFont"/>
    <w:link w:val="Heading2"/>
    <w:rsid w:val="00487082"/>
    <w:rPr>
      <w:rFonts w:ascii="Arial" w:hAnsi="Arial"/>
      <w:b/>
      <w:bCs/>
      <w:sz w:val="24"/>
      <w:szCs w:val="24"/>
    </w:rPr>
  </w:style>
  <w:style w:type="character" w:customStyle="1" w:styleId="FooterChar">
    <w:name w:val="Footer Char"/>
    <w:basedOn w:val="DefaultParagraphFont"/>
    <w:link w:val="Footer"/>
    <w:uiPriority w:val="99"/>
    <w:rsid w:val="00BD61FC"/>
    <w:rPr>
      <w:rFonts w:ascii="Arial" w:hAnsi="Arial" w:cs="Tahoma"/>
      <w:i/>
      <w:iCs/>
      <w:sz w:val="24"/>
      <w:szCs w:val="24"/>
    </w:rPr>
  </w:style>
  <w:style w:type="character" w:styleId="UnresolvedMention">
    <w:name w:val="Unresolved Mention"/>
    <w:basedOn w:val="DefaultParagraphFont"/>
    <w:uiPriority w:val="99"/>
    <w:semiHidden/>
    <w:unhideWhenUsed/>
    <w:rsid w:val="004F35E4"/>
    <w:rPr>
      <w:color w:val="605E5C"/>
      <w:shd w:val="clear" w:color="auto" w:fill="E1DFDD"/>
    </w:rPr>
  </w:style>
  <w:style w:type="character" w:styleId="FollowedHyperlink">
    <w:name w:val="FollowedHyperlink"/>
    <w:basedOn w:val="DefaultParagraphFont"/>
    <w:semiHidden/>
    <w:unhideWhenUsed/>
    <w:rsid w:val="004F35E4"/>
    <w:rPr>
      <w:color w:val="954F72" w:themeColor="followedHyperlink"/>
      <w:u w:val="single"/>
    </w:rPr>
  </w:style>
  <w:style w:type="character" w:customStyle="1" w:styleId="Heading3Char">
    <w:name w:val="Heading 3 Char"/>
    <w:basedOn w:val="DefaultParagraphFont"/>
    <w:link w:val="Heading3"/>
    <w:rsid w:val="0052519C"/>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028380">
      <w:bodyDiv w:val="1"/>
      <w:marLeft w:val="0"/>
      <w:marRight w:val="0"/>
      <w:marTop w:val="0"/>
      <w:marBottom w:val="0"/>
      <w:divBdr>
        <w:top w:val="none" w:sz="0" w:space="0" w:color="auto"/>
        <w:left w:val="none" w:sz="0" w:space="0" w:color="auto"/>
        <w:bottom w:val="none" w:sz="0" w:space="0" w:color="auto"/>
        <w:right w:val="none" w:sz="0" w:space="0" w:color="auto"/>
      </w:divBdr>
    </w:div>
    <w:div w:id="383600121">
      <w:bodyDiv w:val="1"/>
      <w:marLeft w:val="0"/>
      <w:marRight w:val="0"/>
      <w:marTop w:val="0"/>
      <w:marBottom w:val="0"/>
      <w:divBdr>
        <w:top w:val="none" w:sz="0" w:space="0" w:color="auto"/>
        <w:left w:val="none" w:sz="0" w:space="0" w:color="auto"/>
        <w:bottom w:val="none" w:sz="0" w:space="0" w:color="auto"/>
        <w:right w:val="none" w:sz="0" w:space="0" w:color="auto"/>
      </w:divBdr>
    </w:div>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891159618">
      <w:bodyDiv w:val="1"/>
      <w:marLeft w:val="0"/>
      <w:marRight w:val="0"/>
      <w:marTop w:val="0"/>
      <w:marBottom w:val="0"/>
      <w:divBdr>
        <w:top w:val="none" w:sz="0" w:space="0" w:color="auto"/>
        <w:left w:val="none" w:sz="0" w:space="0" w:color="auto"/>
        <w:bottom w:val="none" w:sz="0" w:space="0" w:color="auto"/>
        <w:right w:val="none" w:sz="0" w:space="0" w:color="auto"/>
      </w:divBdr>
    </w:div>
    <w:div w:id="1063484679">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450203947">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gscience.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wigsciencereporter.com" TargetMode="External"/><Relationship Id="rId4" Type="http://schemas.openxmlformats.org/officeDocument/2006/relationships/settings" Target="settings.xml"/><Relationship Id="rId9" Type="http://schemas.openxmlformats.org/officeDocument/2006/relationships/hyperlink" Target="http://www.twigsciencetool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FCF97-7C01-4837-8255-1304B846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Twig Science, K-6i - Instructional Materials (CA Dept of Education)</vt:lpstr>
    </vt:vector>
  </TitlesOfParts>
  <Company>California Department of Education</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Twig Science, K-6i - Instructional Materials (CA Dept of Education)</dc:title>
  <dc:subject>Twig Education Science Program, Grades K-6i. </dc:subject>
  <dc:creator>CDE</dc:creator>
  <cp:lastModifiedBy>Toua Her</cp:lastModifiedBy>
  <cp:revision>13</cp:revision>
  <cp:lastPrinted>2018-07-18T15:55:00Z</cp:lastPrinted>
  <dcterms:created xsi:type="dcterms:W3CDTF">2018-07-21T14:13:00Z</dcterms:created>
  <dcterms:modified xsi:type="dcterms:W3CDTF">2019-06-17T16:12:00Z</dcterms:modified>
</cp:coreProperties>
</file>