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5D0DA39E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AE3F7A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2416A416" w:rsidR="004F59D8" w:rsidRDefault="00B41189" w:rsidP="00AE3F7A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14:paraId="46EF22E4" w14:textId="00F2713F" w:rsidR="00970164" w:rsidRDefault="00744F28" w:rsidP="00AE3F7A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AE3F7A">
        <w:rPr>
          <w:rFonts w:ascii="Arial" w:hAnsi="Arial" w:cs="Arial"/>
          <w:iCs/>
          <w:noProof/>
        </w:rPr>
        <w:t>2</w:t>
      </w:r>
    </w:p>
    <w:p w14:paraId="744B2001" w14:textId="6F4AC6A0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AE3F7A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40C9858A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026CC3">
        <w:t>Grade One</w:t>
      </w:r>
      <w:r w:rsidR="00F361F3">
        <w:t xml:space="preserve"> </w:t>
      </w:r>
      <w:r w:rsidR="001D2CC7">
        <w:t>Visual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One Visual Arts Standards chart"/>
      </w:tblPr>
      <w:tblGrid>
        <w:gridCol w:w="1843"/>
        <w:gridCol w:w="4002"/>
        <w:gridCol w:w="3471"/>
        <w:gridCol w:w="630"/>
        <w:gridCol w:w="637"/>
        <w:gridCol w:w="4033"/>
      </w:tblGrid>
      <w:tr w:rsidR="00CC731C" w:rsidRPr="00AE3F7A" w14:paraId="481AA0D0" w14:textId="77777777" w:rsidTr="00AE3F7A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AE3F7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02" w:type="dxa"/>
            <w:shd w:val="clear" w:color="auto" w:fill="D9D9D9" w:themeFill="background1" w:themeFillShade="D9"/>
          </w:tcPr>
          <w:p w14:paraId="1AF3B267" w14:textId="77777777" w:rsidR="00A16C71" w:rsidRPr="00AE3F7A" w:rsidRDefault="00A16C71" w:rsidP="00B114B1">
            <w:pPr>
              <w:pStyle w:val="Heading3"/>
            </w:pPr>
            <w:r w:rsidRPr="00AE3F7A">
              <w:t>Standard Language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54562555" w14:textId="77777777" w:rsidR="00A16C71" w:rsidRPr="00AE3F7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AE3F7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AE3F7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08E33406" w14:textId="77777777" w:rsidR="00A16C71" w:rsidRPr="00AE3F7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AE3F7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43BD6B65" w14:textId="77777777" w:rsidR="00A16C71" w:rsidRPr="00AE3F7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AE3F7A" w14:paraId="3EAADE5B" w14:textId="77777777" w:rsidTr="00AE3F7A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AE3F7A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02" w:type="dxa"/>
          </w:tcPr>
          <w:p w14:paraId="6627D872" w14:textId="77777777" w:rsidR="00345C92" w:rsidRPr="00AE3F7A" w:rsidRDefault="00A9476C" w:rsidP="00B114B1">
            <w:pPr>
              <w:pStyle w:val="Heading3"/>
              <w:rPr>
                <w:b w:val="0"/>
              </w:rPr>
            </w:pPr>
            <w:r w:rsidRPr="00AE3F7A">
              <w:rPr>
                <w:b w:val="0"/>
              </w:rPr>
              <w:t>Generate and conceptualize artistic ideas and work.</w:t>
            </w:r>
          </w:p>
        </w:tc>
        <w:tc>
          <w:tcPr>
            <w:tcW w:w="3471" w:type="dxa"/>
          </w:tcPr>
          <w:p w14:paraId="68F9DA86" w14:textId="77777777" w:rsidR="00345C92" w:rsidRPr="00AE3F7A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AE3F7A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0D37A47" w14:textId="77777777" w:rsidR="00345C92" w:rsidRPr="00AE3F7A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5DDBFC7" w14:textId="77777777" w:rsidR="00345C92" w:rsidRPr="00AE3F7A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AE3F7A" w14:paraId="3738112D" w14:textId="77777777" w:rsidTr="00AE3F7A">
        <w:trPr>
          <w:cantSplit/>
        </w:trPr>
        <w:tc>
          <w:tcPr>
            <w:tcW w:w="1843" w:type="dxa"/>
          </w:tcPr>
          <w:p w14:paraId="6C02B780" w14:textId="77777777" w:rsidR="00A16C71" w:rsidRPr="00AE3F7A" w:rsidRDefault="00026CC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.VA:Cr1.1</w:t>
            </w:r>
          </w:p>
        </w:tc>
        <w:tc>
          <w:tcPr>
            <w:tcW w:w="4002" w:type="dxa"/>
          </w:tcPr>
          <w:p w14:paraId="7938C792" w14:textId="77777777" w:rsidR="00A16C71" w:rsidRPr="00AE3F7A" w:rsidRDefault="00237B03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Engage collaboratively in exploration and imaginative play with various arts materials.</w:t>
            </w:r>
          </w:p>
        </w:tc>
        <w:tc>
          <w:tcPr>
            <w:tcW w:w="3471" w:type="dxa"/>
          </w:tcPr>
          <w:p w14:paraId="5DAB6C7B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A05A809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A39BBE3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E3F7A" w14:paraId="13F2BD1E" w14:textId="77777777" w:rsidTr="00AE3F7A">
        <w:trPr>
          <w:cantSplit/>
        </w:trPr>
        <w:tc>
          <w:tcPr>
            <w:tcW w:w="1843" w:type="dxa"/>
          </w:tcPr>
          <w:p w14:paraId="07F1708A" w14:textId="77777777" w:rsidR="00A16C71" w:rsidRPr="00AE3F7A" w:rsidRDefault="00026CC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.VA:Cr1.2</w:t>
            </w:r>
          </w:p>
        </w:tc>
        <w:tc>
          <w:tcPr>
            <w:tcW w:w="4002" w:type="dxa"/>
          </w:tcPr>
          <w:p w14:paraId="3A02A126" w14:textId="77777777" w:rsidR="00A16C71" w:rsidRPr="00AE3F7A" w:rsidRDefault="00237B03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Use observation and investigation in preparation for making a work of art.</w:t>
            </w:r>
          </w:p>
        </w:tc>
        <w:tc>
          <w:tcPr>
            <w:tcW w:w="3471" w:type="dxa"/>
          </w:tcPr>
          <w:p w14:paraId="41C8F396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D0B940D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E27B00A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E3F7A" w14:paraId="383442FB" w14:textId="77777777" w:rsidTr="00AE3F7A">
        <w:trPr>
          <w:cantSplit/>
        </w:trPr>
        <w:tc>
          <w:tcPr>
            <w:tcW w:w="1843" w:type="dxa"/>
          </w:tcPr>
          <w:p w14:paraId="150036F4" w14:textId="77777777" w:rsidR="00A16C71" w:rsidRPr="00AE3F7A" w:rsidRDefault="00026CC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.VA:Cr2.1</w:t>
            </w:r>
          </w:p>
        </w:tc>
        <w:tc>
          <w:tcPr>
            <w:tcW w:w="4002" w:type="dxa"/>
          </w:tcPr>
          <w:p w14:paraId="43512BB0" w14:textId="77777777" w:rsidR="00A16C71" w:rsidRPr="00AE3F7A" w:rsidRDefault="00237B03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Explore uses of materials and tools to create works of art or design.</w:t>
            </w:r>
          </w:p>
        </w:tc>
        <w:tc>
          <w:tcPr>
            <w:tcW w:w="3471" w:type="dxa"/>
          </w:tcPr>
          <w:p w14:paraId="60061E4C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4D5A5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DEEC669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E3F7A" w14:paraId="7E737A9A" w14:textId="77777777" w:rsidTr="00AE3F7A">
        <w:trPr>
          <w:cantSplit/>
        </w:trPr>
        <w:tc>
          <w:tcPr>
            <w:tcW w:w="1843" w:type="dxa"/>
          </w:tcPr>
          <w:p w14:paraId="74A8CB95" w14:textId="77777777" w:rsidR="00A16C71" w:rsidRPr="00AE3F7A" w:rsidRDefault="00026CC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.VA:Cr2.2</w:t>
            </w:r>
          </w:p>
        </w:tc>
        <w:tc>
          <w:tcPr>
            <w:tcW w:w="4002" w:type="dxa"/>
          </w:tcPr>
          <w:p w14:paraId="1E948A9C" w14:textId="77777777" w:rsidR="00A16C71" w:rsidRPr="00AE3F7A" w:rsidRDefault="00237B03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Demonstrate safe and proper procedures for using materials, tools, and equipment while making art.</w:t>
            </w:r>
          </w:p>
        </w:tc>
        <w:tc>
          <w:tcPr>
            <w:tcW w:w="3471" w:type="dxa"/>
          </w:tcPr>
          <w:p w14:paraId="3656B9AB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49F31CB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3128261" w14:textId="77777777" w:rsidR="00A16C71" w:rsidRPr="00AE3F7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AE3F7A" w14:paraId="1BB5032E" w14:textId="77777777" w:rsidTr="00AE3F7A">
        <w:trPr>
          <w:cantSplit/>
        </w:trPr>
        <w:tc>
          <w:tcPr>
            <w:tcW w:w="1843" w:type="dxa"/>
          </w:tcPr>
          <w:p w14:paraId="378F5211" w14:textId="77777777" w:rsidR="00F361F3" w:rsidRPr="00AE3F7A" w:rsidRDefault="00026CC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.VA:Cr2.3</w:t>
            </w:r>
          </w:p>
        </w:tc>
        <w:tc>
          <w:tcPr>
            <w:tcW w:w="4002" w:type="dxa"/>
          </w:tcPr>
          <w:p w14:paraId="1A7E810B" w14:textId="77777777" w:rsidR="00F361F3" w:rsidRPr="00AE3F7A" w:rsidRDefault="00237B03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AE3F7A">
              <w:rPr>
                <w:rFonts w:ascii="Arial" w:hAnsi="Arial" w:cs="Arial"/>
              </w:rPr>
              <w:t>Identify and classify uses of everyday objects through drawings, diagrams, sculptures, or other visual means.</w:t>
            </w:r>
          </w:p>
        </w:tc>
        <w:tc>
          <w:tcPr>
            <w:tcW w:w="3471" w:type="dxa"/>
          </w:tcPr>
          <w:p w14:paraId="62486C05" w14:textId="77777777" w:rsidR="00F361F3" w:rsidRPr="00AE3F7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F361F3" w:rsidRPr="00AE3F7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9056E" w14:textId="77777777" w:rsidR="00F361F3" w:rsidRPr="00AE3F7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299C43A" w14:textId="77777777" w:rsidR="00F361F3" w:rsidRPr="00AE3F7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6859DD" w:rsidRPr="00AE3F7A" w14:paraId="4B480B95" w14:textId="77777777" w:rsidTr="00AE3F7A">
        <w:trPr>
          <w:cantSplit/>
        </w:trPr>
        <w:tc>
          <w:tcPr>
            <w:tcW w:w="1843" w:type="dxa"/>
          </w:tcPr>
          <w:p w14:paraId="07BD1D53" w14:textId="77777777" w:rsidR="006859DD" w:rsidRPr="00AE3F7A" w:rsidRDefault="00026CC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.VA:Cr3</w:t>
            </w:r>
          </w:p>
        </w:tc>
        <w:tc>
          <w:tcPr>
            <w:tcW w:w="4002" w:type="dxa"/>
          </w:tcPr>
          <w:p w14:paraId="1358053E" w14:textId="77777777" w:rsidR="006859DD" w:rsidRPr="00AE3F7A" w:rsidRDefault="00237B03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AE3F7A">
              <w:rPr>
                <w:rFonts w:ascii="Arial" w:hAnsi="Arial" w:cs="Arial"/>
              </w:rPr>
              <w:t>Use art vocabulary to describe choices while creating art.</w:t>
            </w:r>
          </w:p>
        </w:tc>
        <w:tc>
          <w:tcPr>
            <w:tcW w:w="3471" w:type="dxa"/>
          </w:tcPr>
          <w:p w14:paraId="4DDBEF00" w14:textId="77777777" w:rsidR="006859DD" w:rsidRPr="00AE3F7A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6859DD" w:rsidRPr="00AE3F7A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F2D8B6" w14:textId="77777777" w:rsidR="006859DD" w:rsidRPr="00AE3F7A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FB78278" w14:textId="77777777" w:rsidR="006859DD" w:rsidRPr="00AE3F7A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45C92" w:rsidRPr="00AE3F7A" w14:paraId="218D1389" w14:textId="77777777" w:rsidTr="00AE3F7A">
        <w:trPr>
          <w:cantSplit/>
        </w:trPr>
        <w:tc>
          <w:tcPr>
            <w:tcW w:w="1843" w:type="dxa"/>
          </w:tcPr>
          <w:p w14:paraId="761101A7" w14:textId="515E8A66" w:rsidR="00345C92" w:rsidRPr="00AE3F7A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AE3F7A">
              <w:rPr>
                <w:rFonts w:ascii="Arial" w:hAnsi="Arial" w:cs="Arial"/>
                <w:b/>
                <w:noProof/>
              </w:rPr>
              <w:t>P</w:t>
            </w:r>
            <w:r w:rsidR="00360187">
              <w:rPr>
                <w:rFonts w:ascii="Arial" w:hAnsi="Arial" w:cs="Arial"/>
                <w:b/>
                <w:noProof/>
              </w:rPr>
              <w:t>RESENTIN</w:t>
            </w:r>
            <w:r w:rsidRPr="00AE3F7A">
              <w:rPr>
                <w:rFonts w:ascii="Arial" w:hAnsi="Arial" w:cs="Arial"/>
                <w:b/>
                <w:noProof/>
              </w:rPr>
              <w:t>G</w:t>
            </w:r>
            <w:bookmarkStart w:id="0" w:name="_GoBack"/>
            <w:bookmarkEnd w:id="0"/>
          </w:p>
        </w:tc>
        <w:tc>
          <w:tcPr>
            <w:tcW w:w="4002" w:type="dxa"/>
          </w:tcPr>
          <w:p w14:paraId="67D3ABCE" w14:textId="77777777" w:rsidR="00345C92" w:rsidRPr="00AE3F7A" w:rsidRDefault="00A9476C" w:rsidP="00A9476C">
            <w:pPr>
              <w:spacing w:line="276" w:lineRule="auto"/>
              <w:rPr>
                <w:rFonts w:ascii="Arial" w:hAnsi="Arial" w:cs="Arial"/>
                <w:b/>
              </w:rPr>
            </w:pPr>
            <w:r w:rsidRPr="00AE3F7A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471" w:type="dxa"/>
          </w:tcPr>
          <w:p w14:paraId="76CF48A5" w14:textId="77777777" w:rsidR="00345C92" w:rsidRPr="00AE3F7A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345C92" w:rsidRPr="00AE3F7A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3E3673B" w14:textId="77777777" w:rsidR="00345C92" w:rsidRPr="00AE3F7A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E25E6DC" w14:textId="77777777" w:rsidR="00345C92" w:rsidRPr="00AE3F7A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E3F7A" w14:paraId="297B4F55" w14:textId="77777777" w:rsidTr="00AE3F7A">
        <w:trPr>
          <w:cantSplit/>
        </w:trPr>
        <w:tc>
          <w:tcPr>
            <w:tcW w:w="1843" w:type="dxa"/>
          </w:tcPr>
          <w:p w14:paraId="16591F59" w14:textId="77777777" w:rsidR="00A9476C" w:rsidRPr="00AE3F7A" w:rsidRDefault="00026CC3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.VA:Pr4</w:t>
            </w:r>
          </w:p>
        </w:tc>
        <w:tc>
          <w:tcPr>
            <w:tcW w:w="4002" w:type="dxa"/>
          </w:tcPr>
          <w:p w14:paraId="69437FF1" w14:textId="77777777" w:rsidR="00A9476C" w:rsidRPr="00AE3F7A" w:rsidRDefault="00237B0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Explain why some objects, artifacts, and artworks are valued over others.</w:t>
            </w:r>
          </w:p>
        </w:tc>
        <w:tc>
          <w:tcPr>
            <w:tcW w:w="3471" w:type="dxa"/>
          </w:tcPr>
          <w:p w14:paraId="1FC39945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4CE0A41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2EBF3C5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AE3F7A" w14:paraId="5871DE63" w14:textId="77777777" w:rsidTr="00AE3F7A">
        <w:trPr>
          <w:cantSplit/>
        </w:trPr>
        <w:tc>
          <w:tcPr>
            <w:tcW w:w="1843" w:type="dxa"/>
          </w:tcPr>
          <w:p w14:paraId="32A4C175" w14:textId="77777777" w:rsidR="00FC0188" w:rsidRPr="00AE3F7A" w:rsidRDefault="00026CC3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lastRenderedPageBreak/>
              <w:t>1</w:t>
            </w:r>
            <w:r w:rsidR="006859DD" w:rsidRPr="00AE3F7A">
              <w:rPr>
                <w:rFonts w:ascii="Arial" w:hAnsi="Arial" w:cs="Arial"/>
                <w:noProof/>
              </w:rPr>
              <w:t>.VA:Pr5</w:t>
            </w:r>
          </w:p>
        </w:tc>
        <w:tc>
          <w:tcPr>
            <w:tcW w:w="4002" w:type="dxa"/>
          </w:tcPr>
          <w:p w14:paraId="436C5204" w14:textId="77777777" w:rsidR="00FC0188" w:rsidRPr="00AE3F7A" w:rsidRDefault="00237B0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Ask and answer questions such as where, when, why, and how artwork should be prepared for presentation or preservation.</w:t>
            </w:r>
          </w:p>
        </w:tc>
        <w:tc>
          <w:tcPr>
            <w:tcW w:w="3471" w:type="dxa"/>
          </w:tcPr>
          <w:p w14:paraId="6D98A12B" w14:textId="77777777" w:rsidR="00FC0188" w:rsidRPr="00AE3F7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FC0188" w:rsidRPr="00AE3F7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997CC1D" w14:textId="77777777" w:rsidR="00FC0188" w:rsidRPr="00AE3F7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10FFD37" w14:textId="77777777" w:rsidR="00FC0188" w:rsidRPr="00AE3F7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AE3F7A" w14:paraId="38D54D02" w14:textId="77777777" w:rsidTr="00AE3F7A">
        <w:trPr>
          <w:cantSplit/>
        </w:trPr>
        <w:tc>
          <w:tcPr>
            <w:tcW w:w="1843" w:type="dxa"/>
          </w:tcPr>
          <w:p w14:paraId="2C379F7F" w14:textId="77777777" w:rsidR="00941177" w:rsidRPr="00AE3F7A" w:rsidRDefault="00026CC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.VA:Pr6</w:t>
            </w:r>
          </w:p>
        </w:tc>
        <w:tc>
          <w:tcPr>
            <w:tcW w:w="4002" w:type="dxa"/>
          </w:tcPr>
          <w:p w14:paraId="2257E318" w14:textId="77777777" w:rsidR="00941177" w:rsidRPr="00AE3F7A" w:rsidRDefault="00237B0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Identify the roles and responsibilities of people who work in and visit museums and other art venues.</w:t>
            </w:r>
          </w:p>
        </w:tc>
        <w:tc>
          <w:tcPr>
            <w:tcW w:w="3471" w:type="dxa"/>
          </w:tcPr>
          <w:p w14:paraId="6B699379" w14:textId="77777777" w:rsidR="00941177" w:rsidRPr="00AE3F7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941177" w:rsidRPr="00AE3F7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F72F646" w14:textId="77777777" w:rsidR="00941177" w:rsidRPr="00AE3F7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8CE6F91" w14:textId="77777777" w:rsidR="00941177" w:rsidRPr="00AE3F7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E3F7A" w14:paraId="1679597A" w14:textId="77777777" w:rsidTr="00AE3F7A">
        <w:trPr>
          <w:cantSplit/>
        </w:trPr>
        <w:tc>
          <w:tcPr>
            <w:tcW w:w="1843" w:type="dxa"/>
          </w:tcPr>
          <w:p w14:paraId="33BB5B02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02" w:type="dxa"/>
          </w:tcPr>
          <w:p w14:paraId="07D6A3ED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471" w:type="dxa"/>
          </w:tcPr>
          <w:p w14:paraId="3EE186E2" w14:textId="77777777" w:rsidR="00A9476C" w:rsidRPr="00AE3F7A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A9476C" w:rsidRPr="00AE3F7A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4715C4F" w14:textId="77777777" w:rsidR="00A9476C" w:rsidRPr="00AE3F7A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9476843" w14:textId="77777777" w:rsidR="00A9476C" w:rsidRPr="00AE3F7A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E3F7A" w14:paraId="08D44E97" w14:textId="77777777" w:rsidTr="00AE3F7A">
        <w:trPr>
          <w:cantSplit/>
        </w:trPr>
        <w:tc>
          <w:tcPr>
            <w:tcW w:w="1843" w:type="dxa"/>
          </w:tcPr>
          <w:p w14:paraId="4E711187" w14:textId="77777777" w:rsidR="00A9476C" w:rsidRPr="00AE3F7A" w:rsidRDefault="00026CC3" w:rsidP="00A9476C">
            <w:pPr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.VA:Re7.1</w:t>
            </w:r>
          </w:p>
        </w:tc>
        <w:tc>
          <w:tcPr>
            <w:tcW w:w="4002" w:type="dxa"/>
          </w:tcPr>
          <w:p w14:paraId="221588AF" w14:textId="77777777" w:rsidR="00A9476C" w:rsidRPr="00AE3F7A" w:rsidRDefault="00237B0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Select and describe works of art that illustrate daily life experiences of one’s self and others.</w:t>
            </w:r>
          </w:p>
        </w:tc>
        <w:tc>
          <w:tcPr>
            <w:tcW w:w="3471" w:type="dxa"/>
          </w:tcPr>
          <w:p w14:paraId="61CDCEAD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3DE523C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2E56223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E3F7A" w14:paraId="7A89505E" w14:textId="77777777" w:rsidTr="00AE3F7A">
        <w:trPr>
          <w:cantSplit/>
        </w:trPr>
        <w:tc>
          <w:tcPr>
            <w:tcW w:w="1843" w:type="dxa"/>
          </w:tcPr>
          <w:p w14:paraId="5543D896" w14:textId="77777777" w:rsidR="00A9476C" w:rsidRPr="00AE3F7A" w:rsidRDefault="00026CC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.VA:Re7.2</w:t>
            </w:r>
          </w:p>
        </w:tc>
        <w:tc>
          <w:tcPr>
            <w:tcW w:w="4002" w:type="dxa"/>
          </w:tcPr>
          <w:p w14:paraId="387C9FEA" w14:textId="45D9B9A3" w:rsidR="00A9476C" w:rsidRPr="00AE3F7A" w:rsidRDefault="00237B0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Compare images that represent the same subject</w:t>
            </w:r>
            <w:r w:rsidR="246D5CB9" w:rsidRPr="00AE3F7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471" w:type="dxa"/>
          </w:tcPr>
          <w:p w14:paraId="07547A01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7459315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537F28F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E3F7A" w14:paraId="55A25419" w14:textId="77777777" w:rsidTr="00AE3F7A">
        <w:trPr>
          <w:cantSplit/>
        </w:trPr>
        <w:tc>
          <w:tcPr>
            <w:tcW w:w="1843" w:type="dxa"/>
          </w:tcPr>
          <w:p w14:paraId="56D9D24F" w14:textId="77777777" w:rsidR="00A9476C" w:rsidRPr="00AE3F7A" w:rsidRDefault="00026CC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.VA:Re8</w:t>
            </w:r>
          </w:p>
        </w:tc>
        <w:tc>
          <w:tcPr>
            <w:tcW w:w="4002" w:type="dxa"/>
          </w:tcPr>
          <w:p w14:paraId="5EEC2654" w14:textId="77777777" w:rsidR="00A9476C" w:rsidRPr="00AE3F7A" w:rsidRDefault="00237B0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Interpret art by categorizing subject matter and identifying the mood and characteristics of form.</w:t>
            </w:r>
          </w:p>
        </w:tc>
        <w:tc>
          <w:tcPr>
            <w:tcW w:w="3471" w:type="dxa"/>
          </w:tcPr>
          <w:p w14:paraId="6DFB9E20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4E871BC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44A5D23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E3F7A" w14:paraId="567D1E26" w14:textId="77777777" w:rsidTr="00AE3F7A">
        <w:trPr>
          <w:cantSplit/>
        </w:trPr>
        <w:tc>
          <w:tcPr>
            <w:tcW w:w="1843" w:type="dxa"/>
          </w:tcPr>
          <w:p w14:paraId="309FC97B" w14:textId="77777777" w:rsidR="00A9476C" w:rsidRPr="00AE3F7A" w:rsidRDefault="00026CC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.VA:Re9</w:t>
            </w:r>
          </w:p>
        </w:tc>
        <w:tc>
          <w:tcPr>
            <w:tcW w:w="4002" w:type="dxa"/>
          </w:tcPr>
          <w:p w14:paraId="2DB56E17" w14:textId="77777777" w:rsidR="00A9476C" w:rsidRPr="00AE3F7A" w:rsidRDefault="00237B0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Classify artwork based on different reasons for preferences using learned art vocabulary.</w:t>
            </w:r>
          </w:p>
        </w:tc>
        <w:tc>
          <w:tcPr>
            <w:tcW w:w="3471" w:type="dxa"/>
          </w:tcPr>
          <w:p w14:paraId="738610EB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63F29E8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B7B4B86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E3F7A" w14:paraId="00AC2B95" w14:textId="77777777" w:rsidTr="00AE3F7A">
        <w:trPr>
          <w:cantSplit/>
        </w:trPr>
        <w:tc>
          <w:tcPr>
            <w:tcW w:w="1843" w:type="dxa"/>
          </w:tcPr>
          <w:p w14:paraId="53C98A13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02" w:type="dxa"/>
          </w:tcPr>
          <w:p w14:paraId="7A07708C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471" w:type="dxa"/>
          </w:tcPr>
          <w:p w14:paraId="6E39ACC9" w14:textId="77777777" w:rsidR="00A9476C" w:rsidRPr="00AE3F7A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A9476C" w:rsidRPr="00AE3F7A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DBBC16F" w14:textId="77777777" w:rsidR="00A9476C" w:rsidRPr="00AE3F7A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49A8641" w14:textId="77777777" w:rsidR="00A9476C" w:rsidRPr="00AE3F7A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E3F7A" w14:paraId="441B66E6" w14:textId="77777777" w:rsidTr="00AE3F7A">
        <w:trPr>
          <w:cantSplit/>
        </w:trPr>
        <w:tc>
          <w:tcPr>
            <w:tcW w:w="1843" w:type="dxa"/>
          </w:tcPr>
          <w:p w14:paraId="6A2E20F3" w14:textId="77777777" w:rsidR="00A9476C" w:rsidRPr="00AE3F7A" w:rsidRDefault="00026CC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.VA:Cn10</w:t>
            </w:r>
          </w:p>
        </w:tc>
        <w:tc>
          <w:tcPr>
            <w:tcW w:w="4002" w:type="dxa"/>
          </w:tcPr>
          <w:p w14:paraId="587FAA5E" w14:textId="77777777" w:rsidR="00A9476C" w:rsidRPr="00AE3F7A" w:rsidRDefault="00237B0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Identify times, places, and reasons for which students make art outside of school.</w:t>
            </w:r>
          </w:p>
        </w:tc>
        <w:tc>
          <w:tcPr>
            <w:tcW w:w="3471" w:type="dxa"/>
          </w:tcPr>
          <w:p w14:paraId="3A0FF5F2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1829076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BA226A1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E3F7A" w14:paraId="19054A0F" w14:textId="77777777" w:rsidTr="00AE3F7A">
        <w:trPr>
          <w:cantSplit/>
        </w:trPr>
        <w:tc>
          <w:tcPr>
            <w:tcW w:w="1843" w:type="dxa"/>
          </w:tcPr>
          <w:p w14:paraId="784E3A72" w14:textId="77777777" w:rsidR="00A9476C" w:rsidRPr="00AE3F7A" w:rsidRDefault="00026CC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1</w:t>
            </w:r>
            <w:r w:rsidR="006859DD" w:rsidRPr="00AE3F7A">
              <w:rPr>
                <w:rFonts w:ascii="Arial" w:hAnsi="Arial" w:cs="Arial"/>
                <w:noProof/>
              </w:rPr>
              <w:t>.VA:Cn11</w:t>
            </w:r>
          </w:p>
        </w:tc>
        <w:tc>
          <w:tcPr>
            <w:tcW w:w="4002" w:type="dxa"/>
          </w:tcPr>
          <w:p w14:paraId="62977114" w14:textId="77777777" w:rsidR="00A9476C" w:rsidRPr="00AE3F7A" w:rsidRDefault="00237B0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E3F7A">
              <w:rPr>
                <w:rFonts w:ascii="Arial" w:hAnsi="Arial" w:cs="Arial"/>
                <w:noProof/>
              </w:rPr>
              <w:t>Understand that people from different places and times have made art for a variety of reasons.</w:t>
            </w:r>
          </w:p>
        </w:tc>
        <w:tc>
          <w:tcPr>
            <w:tcW w:w="3471" w:type="dxa"/>
          </w:tcPr>
          <w:p w14:paraId="17AD93B2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204FF1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DBF0D7D" w14:textId="77777777" w:rsidR="00A9476C" w:rsidRPr="00AE3F7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6B62F1B3" w14:textId="43587964" w:rsidR="000A3980" w:rsidRDefault="00FF7061" w:rsidP="00FF7061">
      <w:pPr>
        <w:rPr>
          <w:rFonts w:ascii="Arial" w:hAnsi="Arial" w:cs="Arial"/>
          <w:b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sectPr w:rsidR="000A398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35839" w14:textId="77777777" w:rsidR="008F3EA3" w:rsidRDefault="008F3EA3">
      <w:r>
        <w:separator/>
      </w:r>
    </w:p>
  </w:endnote>
  <w:endnote w:type="continuationSeparator" w:id="0">
    <w:p w14:paraId="4D3AF11D" w14:textId="77777777" w:rsidR="008F3EA3" w:rsidRDefault="008F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A4E5D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DDA3" w14:textId="77777777" w:rsidR="008F3EA3" w:rsidRDefault="008F3EA3">
      <w:r>
        <w:separator/>
      </w:r>
    </w:p>
  </w:footnote>
  <w:footnote w:type="continuationSeparator" w:id="0">
    <w:p w14:paraId="4CEB7D16" w14:textId="77777777" w:rsidR="008F3EA3" w:rsidRDefault="008F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26CC3"/>
    <w:rsid w:val="00056F4E"/>
    <w:rsid w:val="0009135D"/>
    <w:rsid w:val="00093854"/>
    <w:rsid w:val="000A3980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37B03"/>
    <w:rsid w:val="00256E2E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0187"/>
    <w:rsid w:val="00364DBF"/>
    <w:rsid w:val="003868B1"/>
    <w:rsid w:val="003A2FF0"/>
    <w:rsid w:val="003D5D2B"/>
    <w:rsid w:val="003F2634"/>
    <w:rsid w:val="0047499F"/>
    <w:rsid w:val="004764EB"/>
    <w:rsid w:val="00483F8A"/>
    <w:rsid w:val="004C1DBA"/>
    <w:rsid w:val="004C3DF9"/>
    <w:rsid w:val="004E7A00"/>
    <w:rsid w:val="004F59D8"/>
    <w:rsid w:val="00502BCD"/>
    <w:rsid w:val="00510BD5"/>
    <w:rsid w:val="00523A0A"/>
    <w:rsid w:val="00546789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859DD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34AB"/>
    <w:rsid w:val="007F7243"/>
    <w:rsid w:val="00800B9D"/>
    <w:rsid w:val="008512E5"/>
    <w:rsid w:val="0088227C"/>
    <w:rsid w:val="008B0A4B"/>
    <w:rsid w:val="008B2598"/>
    <w:rsid w:val="008C7182"/>
    <w:rsid w:val="008F3EA3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5042B"/>
    <w:rsid w:val="00A921EF"/>
    <w:rsid w:val="00A9476C"/>
    <w:rsid w:val="00AE3F7A"/>
    <w:rsid w:val="00B114B1"/>
    <w:rsid w:val="00B41189"/>
    <w:rsid w:val="00C1300E"/>
    <w:rsid w:val="00C459AB"/>
    <w:rsid w:val="00CA674C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00FF7061"/>
    <w:rsid w:val="0B58ED71"/>
    <w:rsid w:val="246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8534D4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5B85-D852-4B09-856A-260845D21C0B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5265F340-EEFB-4083-9B65-FC6A38054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D4038-3916-47CC-8089-04D2AD0513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26355-CFF3-46C5-A1AB-0693D8ED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One Visual Arts Standards Map - Instructional Materials (CA Dept of Education)</vt:lpstr>
    </vt:vector>
  </TitlesOfParts>
  <Company>CA Dept of Education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One Visual Arts Standards Map - Instructional Materials (CA Dept of Education)</dc:title>
  <dc:subject>Standards Map Template–2021 Arts Education Adoption Grade One Visual Arts.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2020-06-30T17:12:00Z</dcterms:created>
  <dcterms:modified xsi:type="dcterms:W3CDTF">2021-02-17T16:44:00Z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