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7924" w14:textId="2AF8BC0A" w:rsidR="007428B8" w:rsidRPr="006B550C" w:rsidRDefault="001301FE" w:rsidP="006B550C">
      <w:pPr>
        <w:pStyle w:val="Heading1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Current </w:t>
      </w:r>
      <w:r w:rsidR="006B550C" w:rsidRPr="006B550C">
        <w:rPr>
          <w:sz w:val="28"/>
          <w:szCs w:val="28"/>
        </w:rPr>
        <w:t>California</w:t>
      </w:r>
      <w:r w:rsidR="000C291A" w:rsidRPr="006B550C">
        <w:rPr>
          <w:sz w:val="28"/>
          <w:szCs w:val="28"/>
        </w:rPr>
        <w:t xml:space="preserve"> K–12</w:t>
      </w:r>
      <w:r w:rsidR="00B27DF1" w:rsidRPr="006B55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Content Standards, </w:t>
      </w:r>
      <w:r w:rsidR="00B27DF1" w:rsidRPr="006B550C">
        <w:rPr>
          <w:sz w:val="28"/>
          <w:szCs w:val="28"/>
        </w:rPr>
        <w:t>Curriculum Frameworks</w:t>
      </w:r>
      <w:r>
        <w:rPr>
          <w:sz w:val="28"/>
          <w:szCs w:val="28"/>
        </w:rPr>
        <w:t>,</w:t>
      </w:r>
      <w:r w:rsidR="00B27DF1" w:rsidRPr="006B550C">
        <w:rPr>
          <w:sz w:val="28"/>
          <w:szCs w:val="28"/>
        </w:rPr>
        <w:t xml:space="preserve"> and K–8 Instructional Materials</w:t>
      </w:r>
      <w:r w:rsidR="006B550C" w:rsidRPr="006B550C">
        <w:rPr>
          <w:sz w:val="28"/>
          <w:szCs w:val="28"/>
        </w:rPr>
        <w:t xml:space="preserve"> Adoption</w:t>
      </w:r>
      <w:r>
        <w:rPr>
          <w:sz w:val="28"/>
          <w:szCs w:val="28"/>
        </w:rPr>
        <w:t>s</w:t>
      </w:r>
    </w:p>
    <w:p w14:paraId="40768870" w14:textId="50572B78" w:rsidR="006F6772" w:rsidRDefault="006F6772" w:rsidP="006F677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Content </w:t>
      </w:r>
      <w:r w:rsidR="00A56817">
        <w:t>S</w:t>
      </w:r>
      <w:r>
        <w:t xml:space="preserve">tandards development is initiated by </w:t>
      </w:r>
      <w:r w:rsidR="006B550C">
        <w:t>special</w:t>
      </w:r>
      <w:r>
        <w:t xml:space="preserve"> legislative direction.</w:t>
      </w:r>
    </w:p>
    <w:p w14:paraId="730207DC" w14:textId="24B37894" w:rsidR="006F6772" w:rsidRDefault="006F6772" w:rsidP="006F677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Curriculum </w:t>
      </w:r>
      <w:r w:rsidR="006B550C">
        <w:t>F</w:t>
      </w:r>
      <w:r>
        <w:t>ramework development is initiated by specific legislative funding.</w:t>
      </w:r>
      <w:r w:rsidR="001301FE">
        <w:t xml:space="preserve"> Each Framework includes a chapter for the evaluation criteria of corresponding instructional materials.</w:t>
      </w:r>
    </w:p>
    <w:p w14:paraId="274A5AC3" w14:textId="28A5B7DB" w:rsidR="006F6772" w:rsidRDefault="006F6772" w:rsidP="006B550C">
      <w:pPr>
        <w:pStyle w:val="ListParagraph"/>
        <w:numPr>
          <w:ilvl w:val="0"/>
          <w:numId w:val="3"/>
        </w:numPr>
        <w:spacing w:after="240" w:line="240" w:lineRule="auto"/>
      </w:pPr>
      <w:r>
        <w:t>Instructional materials adoption timelines are set by the State Board of Education</w:t>
      </w:r>
      <w:r w:rsidR="002863A0">
        <w:t xml:space="preserve"> </w:t>
      </w:r>
      <w:r w:rsidR="00D600D4">
        <w:t>and often follow the completion and adoption of the corresponding Curriculum Framework and/or the adopted evaluation criteria for adopting instructional materials in the content area.</w:t>
      </w:r>
    </w:p>
    <w:p w14:paraId="788B1742" w14:textId="146D4864" w:rsidR="001E5129" w:rsidRPr="004A44F5" w:rsidRDefault="001E5129" w:rsidP="001E5129">
      <w:pPr>
        <w:spacing w:after="240" w:line="240" w:lineRule="auto"/>
        <w:ind w:left="360"/>
      </w:pPr>
      <w:r w:rsidRPr="004A44F5">
        <w:rPr>
          <w:b/>
        </w:rPr>
        <w:t>Below is the most recent adoption information for each content area</w:t>
      </w:r>
    </w:p>
    <w:tbl>
      <w:tblPr>
        <w:tblStyle w:val="TableGrid"/>
        <w:tblW w:w="12870" w:type="dxa"/>
        <w:tblInd w:w="-95" w:type="dxa"/>
        <w:tblLayout w:type="fixed"/>
        <w:tblCellMar>
          <w:top w:w="72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  <w:tblDescription w:val="Dates of most recent standards, frameworks, and instructional materials adoptions"/>
      </w:tblPr>
      <w:tblGrid>
        <w:gridCol w:w="2430"/>
        <w:gridCol w:w="3330"/>
        <w:gridCol w:w="3510"/>
        <w:gridCol w:w="3600"/>
      </w:tblGrid>
      <w:tr w:rsidR="00EE64EA" w:rsidRPr="003144ED" w14:paraId="37D7A91B" w14:textId="4C013951" w:rsidTr="00AC6894">
        <w:trPr>
          <w:cantSplit/>
          <w:tblHeader/>
        </w:trPr>
        <w:tc>
          <w:tcPr>
            <w:tcW w:w="2430" w:type="dxa"/>
          </w:tcPr>
          <w:p w14:paraId="7591A6CD" w14:textId="77777777" w:rsidR="002863A0" w:rsidRPr="003144ED" w:rsidRDefault="002863A0" w:rsidP="00D703DE">
            <w:pPr>
              <w:rPr>
                <w:rFonts w:cs="Arial"/>
                <w:b/>
                <w:bCs/>
                <w:szCs w:val="24"/>
              </w:rPr>
            </w:pPr>
            <w:r w:rsidRPr="003144ED">
              <w:rPr>
                <w:rFonts w:cs="Arial"/>
                <w:b/>
                <w:bCs/>
                <w:szCs w:val="24"/>
              </w:rPr>
              <w:t>SUBJECT</w:t>
            </w:r>
          </w:p>
        </w:tc>
        <w:tc>
          <w:tcPr>
            <w:tcW w:w="3330" w:type="dxa"/>
          </w:tcPr>
          <w:p w14:paraId="6FB902A0" w14:textId="2AF72638" w:rsidR="002863A0" w:rsidRPr="003144ED" w:rsidRDefault="002863A0" w:rsidP="00D703DE">
            <w:pPr>
              <w:rPr>
                <w:rFonts w:cs="Arial"/>
                <w:b/>
                <w:bCs/>
                <w:szCs w:val="24"/>
              </w:rPr>
            </w:pPr>
            <w:r w:rsidRPr="003144ED">
              <w:rPr>
                <w:rFonts w:cs="Arial"/>
                <w:b/>
                <w:bCs/>
                <w:szCs w:val="24"/>
              </w:rPr>
              <w:t>LATEST CONTENT STANDARDS ADOPTION DATE</w:t>
            </w:r>
          </w:p>
        </w:tc>
        <w:tc>
          <w:tcPr>
            <w:tcW w:w="3510" w:type="dxa"/>
          </w:tcPr>
          <w:p w14:paraId="27A6B394" w14:textId="54250329" w:rsidR="002863A0" w:rsidRPr="003144ED" w:rsidRDefault="002863A0" w:rsidP="00D703DE">
            <w:pPr>
              <w:rPr>
                <w:rFonts w:cs="Arial"/>
                <w:b/>
                <w:bCs/>
                <w:szCs w:val="24"/>
              </w:rPr>
            </w:pPr>
            <w:r w:rsidRPr="003144ED">
              <w:rPr>
                <w:rFonts w:cs="Arial"/>
                <w:b/>
                <w:bCs/>
                <w:szCs w:val="24"/>
              </w:rPr>
              <w:t>LATEST CURRICULUM FRAMEWORK ADOPTION DATE</w:t>
            </w:r>
          </w:p>
        </w:tc>
        <w:tc>
          <w:tcPr>
            <w:tcW w:w="3600" w:type="dxa"/>
          </w:tcPr>
          <w:p w14:paraId="41440D8E" w14:textId="749A07AA" w:rsidR="002863A0" w:rsidRPr="003144ED" w:rsidRDefault="002863A0" w:rsidP="00D703DE">
            <w:pPr>
              <w:rPr>
                <w:rFonts w:cs="Arial"/>
                <w:b/>
                <w:bCs/>
                <w:szCs w:val="24"/>
              </w:rPr>
            </w:pPr>
            <w:r w:rsidRPr="003144ED">
              <w:rPr>
                <w:rFonts w:cs="Arial"/>
                <w:b/>
                <w:bCs/>
                <w:szCs w:val="24"/>
              </w:rPr>
              <w:t>LATEST INSTRUCTIONAL MATERIALS ADOPTION DATE</w:t>
            </w:r>
          </w:p>
        </w:tc>
      </w:tr>
      <w:tr w:rsidR="00CA2D6E" w:rsidRPr="003144ED" w14:paraId="60BC89A6" w14:textId="77777777" w:rsidTr="00FB4D52">
        <w:trPr>
          <w:cantSplit/>
        </w:trPr>
        <w:tc>
          <w:tcPr>
            <w:tcW w:w="2430" w:type="dxa"/>
          </w:tcPr>
          <w:p w14:paraId="0393730F" w14:textId="18085E0D" w:rsidR="00781D2F" w:rsidRDefault="00781D2F" w:rsidP="00FB4D52">
            <w:pPr>
              <w:spacing w:before="120"/>
            </w:pPr>
            <w:r>
              <w:t>Arts Education</w:t>
            </w:r>
          </w:p>
          <w:p w14:paraId="6A11549B" w14:textId="32C96EE5" w:rsidR="00CA2D6E" w:rsidRPr="004A44F5" w:rsidRDefault="00000000" w:rsidP="00FB4D52">
            <w:pPr>
              <w:spacing w:before="120"/>
              <w:rPr>
                <w:rFonts w:cs="Arial"/>
                <w:bCs/>
                <w:szCs w:val="24"/>
              </w:rPr>
            </w:pPr>
            <w:hyperlink r:id="rId7" w:tooltip="Visual and Performing Arts web page" w:history="1">
              <w:r w:rsidR="00781D2F" w:rsidRPr="004A44F5">
                <w:rPr>
                  <w:rStyle w:val="Hyperlink"/>
                  <w:rFonts w:cs="Arial"/>
                  <w:bCs/>
                  <w:szCs w:val="24"/>
                </w:rPr>
                <w:t>https://www.cde.ca.gov/ci/vp/</w:t>
              </w:r>
            </w:hyperlink>
          </w:p>
        </w:tc>
        <w:tc>
          <w:tcPr>
            <w:tcW w:w="3330" w:type="dxa"/>
          </w:tcPr>
          <w:p w14:paraId="35E7A5EF" w14:textId="77777777" w:rsidR="00CA2D6E" w:rsidRPr="003144ED" w:rsidRDefault="00CA2D6E" w:rsidP="00FB4D52">
            <w:pPr>
              <w:spacing w:before="120"/>
              <w:jc w:val="center"/>
              <w:rPr>
                <w:rFonts w:cs="Arial"/>
                <w:szCs w:val="24"/>
              </w:rPr>
            </w:pPr>
            <w:r w:rsidRPr="001624F9">
              <w:rPr>
                <w:rFonts w:cs="Arial"/>
                <w:szCs w:val="24"/>
              </w:rPr>
              <w:t>2019</w:t>
            </w:r>
          </w:p>
        </w:tc>
        <w:tc>
          <w:tcPr>
            <w:tcW w:w="3510" w:type="dxa"/>
          </w:tcPr>
          <w:p w14:paraId="12D5A3AF" w14:textId="77777777" w:rsidR="00CA2D6E" w:rsidRPr="003144ED" w:rsidRDefault="00CA2D6E" w:rsidP="00FB4D52">
            <w:pPr>
              <w:spacing w:before="120"/>
              <w:jc w:val="center"/>
              <w:rPr>
                <w:rFonts w:cs="Arial"/>
                <w:szCs w:val="24"/>
              </w:rPr>
            </w:pPr>
            <w:r w:rsidRPr="003144ED">
              <w:rPr>
                <w:rFonts w:cs="Arial"/>
                <w:szCs w:val="24"/>
              </w:rPr>
              <w:t>2020</w:t>
            </w:r>
          </w:p>
        </w:tc>
        <w:tc>
          <w:tcPr>
            <w:tcW w:w="3600" w:type="dxa"/>
          </w:tcPr>
          <w:p w14:paraId="28F52C98" w14:textId="77777777" w:rsidR="00CA2D6E" w:rsidRPr="003144ED" w:rsidRDefault="00CA2D6E" w:rsidP="00FB4D52">
            <w:pPr>
              <w:spacing w:before="120"/>
              <w:jc w:val="center"/>
              <w:rPr>
                <w:rFonts w:cs="Arial"/>
                <w:szCs w:val="24"/>
              </w:rPr>
            </w:pPr>
            <w:r w:rsidRPr="003144ED">
              <w:rPr>
                <w:rFonts w:cs="Arial"/>
                <w:szCs w:val="24"/>
              </w:rPr>
              <w:t>2021</w:t>
            </w:r>
          </w:p>
        </w:tc>
      </w:tr>
      <w:tr w:rsidR="00CA2D6E" w:rsidRPr="003144ED" w14:paraId="6B745AD8" w14:textId="77777777" w:rsidTr="00A1137F">
        <w:trPr>
          <w:cantSplit/>
        </w:trPr>
        <w:tc>
          <w:tcPr>
            <w:tcW w:w="2430" w:type="dxa"/>
          </w:tcPr>
          <w:p w14:paraId="36556F5E" w14:textId="09F4A406" w:rsidR="00781D2F" w:rsidRDefault="00781D2F" w:rsidP="00A1137F">
            <w:pPr>
              <w:spacing w:before="120"/>
            </w:pPr>
            <w:r>
              <w:t>Career Technical Education</w:t>
            </w:r>
          </w:p>
          <w:p w14:paraId="0B8B1165" w14:textId="5DA7EE45" w:rsidR="00CA2D6E" w:rsidRPr="004A44F5" w:rsidRDefault="00000000" w:rsidP="00A1137F">
            <w:pPr>
              <w:spacing w:before="120"/>
              <w:rPr>
                <w:rFonts w:cs="Arial"/>
                <w:bCs/>
                <w:szCs w:val="24"/>
              </w:rPr>
            </w:pPr>
            <w:hyperlink r:id="rId8" w:tooltip="Career Technical Education web page" w:history="1">
              <w:r w:rsidR="00781D2F" w:rsidRPr="004A44F5">
                <w:rPr>
                  <w:rStyle w:val="Hyperlink"/>
                  <w:rFonts w:cs="Arial"/>
                  <w:bCs/>
                  <w:szCs w:val="24"/>
                </w:rPr>
                <w:t>https://www.cde.ca.gov/ci/ct/</w:t>
              </w:r>
            </w:hyperlink>
          </w:p>
        </w:tc>
        <w:tc>
          <w:tcPr>
            <w:tcW w:w="3330" w:type="dxa"/>
          </w:tcPr>
          <w:p w14:paraId="7127185F" w14:textId="77777777" w:rsidR="00CA2D6E" w:rsidRPr="003144ED" w:rsidRDefault="00CA2D6E" w:rsidP="00A1137F">
            <w:pPr>
              <w:spacing w:before="120"/>
              <w:jc w:val="center"/>
              <w:rPr>
                <w:rFonts w:cs="Arial"/>
                <w:szCs w:val="24"/>
              </w:rPr>
            </w:pPr>
            <w:r w:rsidRPr="001624F9">
              <w:rPr>
                <w:rFonts w:cs="Arial"/>
                <w:szCs w:val="24"/>
              </w:rPr>
              <w:t>2013</w:t>
            </w:r>
          </w:p>
        </w:tc>
        <w:tc>
          <w:tcPr>
            <w:tcW w:w="3510" w:type="dxa"/>
          </w:tcPr>
          <w:p w14:paraId="03DEE133" w14:textId="77777777" w:rsidR="00CA2D6E" w:rsidRPr="003144ED" w:rsidRDefault="00CA2D6E" w:rsidP="00A1137F">
            <w:pPr>
              <w:spacing w:before="120"/>
              <w:jc w:val="center"/>
              <w:rPr>
                <w:rFonts w:cs="Arial"/>
                <w:szCs w:val="24"/>
              </w:rPr>
            </w:pPr>
            <w:r w:rsidRPr="003144ED">
              <w:rPr>
                <w:rFonts w:cs="Arial"/>
                <w:szCs w:val="24"/>
              </w:rPr>
              <w:t>2007</w:t>
            </w:r>
          </w:p>
        </w:tc>
        <w:tc>
          <w:tcPr>
            <w:tcW w:w="3600" w:type="dxa"/>
          </w:tcPr>
          <w:p w14:paraId="187213F5" w14:textId="77777777" w:rsidR="00CA2D6E" w:rsidRPr="003144ED" w:rsidRDefault="00CA2D6E" w:rsidP="00A1137F">
            <w:pPr>
              <w:spacing w:before="120"/>
              <w:rPr>
                <w:rFonts w:cs="Arial"/>
                <w:szCs w:val="24"/>
              </w:rPr>
            </w:pPr>
            <w:r w:rsidRPr="003144ED">
              <w:rPr>
                <w:rFonts w:cs="Arial"/>
                <w:szCs w:val="24"/>
              </w:rPr>
              <w:t>There are no SBE-adopted instructional materials for CTE.</w:t>
            </w:r>
          </w:p>
        </w:tc>
      </w:tr>
      <w:tr w:rsidR="00CA2D6E" w:rsidRPr="003144ED" w14:paraId="3DB6B362" w14:textId="77777777" w:rsidTr="00A1137F">
        <w:trPr>
          <w:cantSplit/>
        </w:trPr>
        <w:tc>
          <w:tcPr>
            <w:tcW w:w="2430" w:type="dxa"/>
          </w:tcPr>
          <w:p w14:paraId="7E4F0EAB" w14:textId="5E55CB0C" w:rsidR="00781D2F" w:rsidRPr="00781D2F" w:rsidRDefault="00781D2F" w:rsidP="00A1137F">
            <w:pPr>
              <w:spacing w:before="120"/>
              <w:rPr>
                <w:lang w:val="de-DE"/>
              </w:rPr>
            </w:pPr>
            <w:r w:rsidRPr="00781D2F">
              <w:rPr>
                <w:lang w:val="de-DE"/>
              </w:rPr>
              <w:t>Computer Science</w:t>
            </w:r>
          </w:p>
          <w:p w14:paraId="69CDFD30" w14:textId="4CF979F2" w:rsidR="00CA2D6E" w:rsidRPr="004A44F5" w:rsidRDefault="00000000" w:rsidP="00A1137F">
            <w:pPr>
              <w:spacing w:before="120"/>
              <w:rPr>
                <w:rFonts w:cs="Arial"/>
                <w:bCs/>
                <w:szCs w:val="24"/>
                <w:lang w:val="de-DE"/>
              </w:rPr>
            </w:pPr>
            <w:hyperlink r:id="rId9" w:tooltip="Computer Science Education web page" w:history="1">
              <w:r w:rsidR="00781D2F" w:rsidRPr="004A44F5">
                <w:rPr>
                  <w:rStyle w:val="Hyperlink"/>
                  <w:rFonts w:cs="Arial"/>
                  <w:bCs/>
                  <w:szCs w:val="24"/>
                  <w:lang w:val="de-DE"/>
                </w:rPr>
                <w:t>https://www.cde.ca.gov/be/st/ss/computerscicontentstds.asp</w:t>
              </w:r>
            </w:hyperlink>
          </w:p>
        </w:tc>
        <w:tc>
          <w:tcPr>
            <w:tcW w:w="3330" w:type="dxa"/>
          </w:tcPr>
          <w:p w14:paraId="1E7709DC" w14:textId="77777777" w:rsidR="00CA2D6E" w:rsidRPr="003144ED" w:rsidRDefault="00CA2D6E" w:rsidP="00A1137F">
            <w:pPr>
              <w:spacing w:before="120"/>
              <w:jc w:val="center"/>
              <w:rPr>
                <w:rFonts w:cs="Arial"/>
                <w:szCs w:val="24"/>
              </w:rPr>
            </w:pPr>
            <w:r w:rsidRPr="001624F9">
              <w:rPr>
                <w:rFonts w:cs="Arial"/>
                <w:szCs w:val="24"/>
              </w:rPr>
              <w:t>2018</w:t>
            </w:r>
          </w:p>
        </w:tc>
        <w:tc>
          <w:tcPr>
            <w:tcW w:w="3510" w:type="dxa"/>
          </w:tcPr>
          <w:p w14:paraId="57C1F438" w14:textId="77777777" w:rsidR="00CA2D6E" w:rsidRPr="003144ED" w:rsidRDefault="00CA2D6E" w:rsidP="00A1137F">
            <w:pPr>
              <w:spacing w:before="120"/>
              <w:rPr>
                <w:rFonts w:cs="Arial"/>
                <w:szCs w:val="24"/>
              </w:rPr>
            </w:pPr>
            <w:r w:rsidRPr="003144ED">
              <w:rPr>
                <w:rFonts w:cs="Arial"/>
                <w:szCs w:val="24"/>
              </w:rPr>
              <w:t>There is no authorization for a computer science curriculum framework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3600" w:type="dxa"/>
          </w:tcPr>
          <w:p w14:paraId="46C2E421" w14:textId="77777777" w:rsidR="00CA2D6E" w:rsidRPr="003144ED" w:rsidRDefault="00CA2D6E" w:rsidP="00A1137F">
            <w:pPr>
              <w:spacing w:before="120"/>
              <w:rPr>
                <w:rFonts w:cs="Arial"/>
                <w:szCs w:val="24"/>
              </w:rPr>
            </w:pPr>
            <w:r w:rsidRPr="003144ED">
              <w:rPr>
                <w:rFonts w:cs="Arial"/>
                <w:szCs w:val="24"/>
              </w:rPr>
              <w:t>There are no SBE-adopted instructional materials for computer science.</w:t>
            </w:r>
          </w:p>
        </w:tc>
      </w:tr>
      <w:tr w:rsidR="00CA2D6E" w:rsidRPr="003144ED" w14:paraId="5D3FCC25" w14:textId="77777777" w:rsidTr="004E2D8D">
        <w:trPr>
          <w:cantSplit/>
        </w:trPr>
        <w:tc>
          <w:tcPr>
            <w:tcW w:w="2430" w:type="dxa"/>
          </w:tcPr>
          <w:p w14:paraId="2E4C6B48" w14:textId="46D140CF" w:rsidR="00781D2F" w:rsidRPr="004A44F5" w:rsidRDefault="00781D2F" w:rsidP="004E2D8D">
            <w:pPr>
              <w:spacing w:before="120"/>
            </w:pPr>
            <w:r w:rsidRPr="004A44F5">
              <w:lastRenderedPageBreak/>
              <w:t>English Language Arts/ English Language Development</w:t>
            </w:r>
          </w:p>
          <w:p w14:paraId="70B7B15D" w14:textId="389749FB" w:rsidR="00CA2D6E" w:rsidRPr="004A44F5" w:rsidRDefault="00000000" w:rsidP="004E2D8D">
            <w:pPr>
              <w:spacing w:before="120"/>
              <w:rPr>
                <w:rFonts w:cs="Arial"/>
                <w:bCs/>
                <w:szCs w:val="24"/>
              </w:rPr>
            </w:pPr>
            <w:hyperlink r:id="rId10" w:tooltip="English Language Arts web page" w:history="1">
              <w:r w:rsidR="00781D2F" w:rsidRPr="004A44F5">
                <w:rPr>
                  <w:rStyle w:val="Hyperlink"/>
                  <w:rFonts w:cs="Arial"/>
                  <w:bCs/>
                  <w:szCs w:val="24"/>
                </w:rPr>
                <w:t>https://www.cde.ca.gov/ci/rl/</w:t>
              </w:r>
            </w:hyperlink>
          </w:p>
        </w:tc>
        <w:tc>
          <w:tcPr>
            <w:tcW w:w="3330" w:type="dxa"/>
          </w:tcPr>
          <w:p w14:paraId="521C2A68" w14:textId="77777777" w:rsidR="00CA2D6E" w:rsidRPr="003144ED" w:rsidRDefault="00CA2D6E" w:rsidP="004E2D8D">
            <w:pPr>
              <w:spacing w:before="120"/>
              <w:jc w:val="center"/>
              <w:rPr>
                <w:rFonts w:cs="Arial"/>
                <w:szCs w:val="24"/>
              </w:rPr>
            </w:pPr>
            <w:r w:rsidRPr="001624F9">
              <w:rPr>
                <w:rFonts w:cs="Arial"/>
                <w:szCs w:val="24"/>
              </w:rPr>
              <w:t>2010</w:t>
            </w:r>
          </w:p>
        </w:tc>
        <w:tc>
          <w:tcPr>
            <w:tcW w:w="3510" w:type="dxa"/>
          </w:tcPr>
          <w:p w14:paraId="1D93A7BB" w14:textId="77777777" w:rsidR="00CA2D6E" w:rsidRPr="003144ED" w:rsidRDefault="00CA2D6E" w:rsidP="004E2D8D">
            <w:pPr>
              <w:spacing w:before="120"/>
              <w:jc w:val="center"/>
              <w:rPr>
                <w:rFonts w:cs="Arial"/>
                <w:szCs w:val="24"/>
              </w:rPr>
            </w:pPr>
            <w:r w:rsidRPr="003144ED">
              <w:rPr>
                <w:rFonts w:cs="Arial"/>
                <w:szCs w:val="24"/>
              </w:rPr>
              <w:t>2014</w:t>
            </w:r>
          </w:p>
        </w:tc>
        <w:tc>
          <w:tcPr>
            <w:tcW w:w="3600" w:type="dxa"/>
          </w:tcPr>
          <w:p w14:paraId="44968381" w14:textId="77777777" w:rsidR="00CA2D6E" w:rsidRPr="003144ED" w:rsidRDefault="00CA2D6E" w:rsidP="004E2D8D">
            <w:pPr>
              <w:spacing w:before="120"/>
              <w:jc w:val="center"/>
              <w:rPr>
                <w:rFonts w:cs="Arial"/>
                <w:szCs w:val="24"/>
              </w:rPr>
            </w:pPr>
            <w:r w:rsidRPr="003144ED">
              <w:rPr>
                <w:rFonts w:cs="Arial"/>
                <w:szCs w:val="24"/>
              </w:rPr>
              <w:t>2015</w:t>
            </w:r>
          </w:p>
        </w:tc>
      </w:tr>
      <w:tr w:rsidR="00CA2D6E" w:rsidRPr="003144ED" w14:paraId="2533D09B" w14:textId="77777777" w:rsidTr="001E7A88">
        <w:trPr>
          <w:cantSplit/>
        </w:trPr>
        <w:tc>
          <w:tcPr>
            <w:tcW w:w="2430" w:type="dxa"/>
          </w:tcPr>
          <w:p w14:paraId="0CCF7B46" w14:textId="43519E31" w:rsidR="00781D2F" w:rsidRPr="004A44F5" w:rsidRDefault="00781D2F" w:rsidP="001E7A88">
            <w:pPr>
              <w:spacing w:before="120"/>
            </w:pPr>
            <w:r w:rsidRPr="004A44F5">
              <w:t>Health Education</w:t>
            </w:r>
          </w:p>
          <w:p w14:paraId="14CDCAF7" w14:textId="6B8A605A" w:rsidR="00CA2D6E" w:rsidRPr="004A44F5" w:rsidRDefault="00000000" w:rsidP="001E7A88">
            <w:pPr>
              <w:spacing w:before="120"/>
              <w:rPr>
                <w:rFonts w:cs="Arial"/>
                <w:bCs/>
                <w:szCs w:val="24"/>
              </w:rPr>
            </w:pPr>
            <w:hyperlink r:id="rId11" w:tooltip="Health Education web page" w:history="1">
              <w:r w:rsidR="00781D2F" w:rsidRPr="004A44F5">
                <w:rPr>
                  <w:rStyle w:val="Hyperlink"/>
                  <w:rFonts w:cs="Arial"/>
                  <w:bCs/>
                  <w:szCs w:val="24"/>
                </w:rPr>
                <w:t>https://www.cde.ca.gov/ci/he/</w:t>
              </w:r>
            </w:hyperlink>
          </w:p>
        </w:tc>
        <w:tc>
          <w:tcPr>
            <w:tcW w:w="3330" w:type="dxa"/>
          </w:tcPr>
          <w:p w14:paraId="35F012EA" w14:textId="77777777" w:rsidR="00CA2D6E" w:rsidRPr="003144ED" w:rsidRDefault="00CA2D6E" w:rsidP="001E7A88">
            <w:pPr>
              <w:spacing w:before="120"/>
              <w:jc w:val="center"/>
              <w:rPr>
                <w:rFonts w:cs="Arial"/>
                <w:szCs w:val="24"/>
              </w:rPr>
            </w:pPr>
            <w:r w:rsidRPr="001624F9">
              <w:rPr>
                <w:rFonts w:cs="Arial"/>
                <w:szCs w:val="24"/>
              </w:rPr>
              <w:t>2008</w:t>
            </w:r>
          </w:p>
        </w:tc>
        <w:tc>
          <w:tcPr>
            <w:tcW w:w="3510" w:type="dxa"/>
          </w:tcPr>
          <w:p w14:paraId="561262CA" w14:textId="77777777" w:rsidR="00CA2D6E" w:rsidRPr="003144ED" w:rsidRDefault="00CA2D6E" w:rsidP="001E7A88">
            <w:pPr>
              <w:spacing w:before="120"/>
              <w:jc w:val="center"/>
              <w:rPr>
                <w:rFonts w:cs="Arial"/>
                <w:szCs w:val="24"/>
              </w:rPr>
            </w:pPr>
            <w:r w:rsidRPr="003144ED">
              <w:rPr>
                <w:rFonts w:cs="Arial"/>
                <w:szCs w:val="24"/>
              </w:rPr>
              <w:t>2019</w:t>
            </w:r>
          </w:p>
        </w:tc>
        <w:tc>
          <w:tcPr>
            <w:tcW w:w="3600" w:type="dxa"/>
          </w:tcPr>
          <w:p w14:paraId="1A64B9AD" w14:textId="1A7A6AA1" w:rsidR="00CA2D6E" w:rsidRPr="003144ED" w:rsidRDefault="00CA2D6E" w:rsidP="001E7A88">
            <w:pPr>
              <w:spacing w:before="120"/>
              <w:rPr>
                <w:rFonts w:cs="Arial"/>
                <w:szCs w:val="24"/>
              </w:rPr>
            </w:pPr>
            <w:r w:rsidRPr="003144ED">
              <w:rPr>
                <w:rFonts w:cs="Arial"/>
                <w:szCs w:val="24"/>
              </w:rPr>
              <w:t>2004</w:t>
            </w:r>
            <w:r>
              <w:rPr>
                <w:rFonts w:cs="Arial"/>
                <w:szCs w:val="24"/>
              </w:rPr>
              <w:t xml:space="preserve"> (</w:t>
            </w:r>
            <w:r w:rsidRPr="003144ED">
              <w:rPr>
                <w:rFonts w:cs="Arial"/>
                <w:szCs w:val="24"/>
              </w:rPr>
              <w:t xml:space="preserve">The scheduled 2020 instructional materials adoption was cancelled </w:t>
            </w:r>
            <w:r w:rsidR="001E5129">
              <w:rPr>
                <w:rFonts w:cs="Arial"/>
                <w:szCs w:val="24"/>
              </w:rPr>
              <w:t>by the SBE)</w:t>
            </w:r>
          </w:p>
        </w:tc>
      </w:tr>
      <w:tr w:rsidR="00CA2D6E" w:rsidRPr="003144ED" w14:paraId="1F43CFB0" w14:textId="77777777" w:rsidTr="001E7A88">
        <w:trPr>
          <w:cantSplit/>
        </w:trPr>
        <w:tc>
          <w:tcPr>
            <w:tcW w:w="2430" w:type="dxa"/>
          </w:tcPr>
          <w:p w14:paraId="63D78B72" w14:textId="6AD68B99" w:rsidR="00781D2F" w:rsidRPr="004A44F5" w:rsidRDefault="00781D2F" w:rsidP="001E7A88">
            <w:pPr>
              <w:spacing w:before="120"/>
            </w:pPr>
            <w:r w:rsidRPr="004A44F5">
              <w:t>History–Social Science</w:t>
            </w:r>
          </w:p>
          <w:p w14:paraId="4FD68AF9" w14:textId="2EABBC1E" w:rsidR="00CA2D6E" w:rsidRPr="004A44F5" w:rsidRDefault="00000000" w:rsidP="001E7A88">
            <w:pPr>
              <w:spacing w:before="120"/>
              <w:rPr>
                <w:rFonts w:cs="Arial"/>
                <w:bCs/>
                <w:szCs w:val="24"/>
              </w:rPr>
            </w:pPr>
            <w:hyperlink r:id="rId12" w:tooltip="History-Social Science web page" w:history="1">
              <w:r w:rsidR="00781D2F" w:rsidRPr="004A44F5">
                <w:rPr>
                  <w:rStyle w:val="Hyperlink"/>
                  <w:rFonts w:cs="Arial"/>
                  <w:bCs/>
                  <w:szCs w:val="24"/>
                </w:rPr>
                <w:t>https://www.cde.ca.gov/ci/hs/</w:t>
              </w:r>
            </w:hyperlink>
          </w:p>
        </w:tc>
        <w:tc>
          <w:tcPr>
            <w:tcW w:w="3330" w:type="dxa"/>
          </w:tcPr>
          <w:p w14:paraId="749E42ED" w14:textId="77777777" w:rsidR="00CA2D6E" w:rsidRPr="003144ED" w:rsidRDefault="00CA2D6E" w:rsidP="001E7A88">
            <w:pPr>
              <w:spacing w:before="120"/>
              <w:jc w:val="center"/>
              <w:rPr>
                <w:rFonts w:cs="Arial"/>
                <w:szCs w:val="24"/>
              </w:rPr>
            </w:pPr>
            <w:r w:rsidRPr="001624F9">
              <w:rPr>
                <w:rFonts w:cs="Arial"/>
                <w:szCs w:val="24"/>
              </w:rPr>
              <w:t>1998</w:t>
            </w:r>
          </w:p>
        </w:tc>
        <w:tc>
          <w:tcPr>
            <w:tcW w:w="3510" w:type="dxa"/>
          </w:tcPr>
          <w:p w14:paraId="767A8172" w14:textId="77777777" w:rsidR="00CA2D6E" w:rsidRPr="003144ED" w:rsidRDefault="00CA2D6E" w:rsidP="001E7A88">
            <w:pPr>
              <w:spacing w:before="120"/>
              <w:jc w:val="center"/>
              <w:rPr>
                <w:rFonts w:cs="Arial"/>
                <w:szCs w:val="24"/>
              </w:rPr>
            </w:pPr>
            <w:r w:rsidRPr="003144ED">
              <w:rPr>
                <w:rFonts w:cs="Arial"/>
                <w:szCs w:val="24"/>
              </w:rPr>
              <w:t>2016</w:t>
            </w:r>
          </w:p>
        </w:tc>
        <w:tc>
          <w:tcPr>
            <w:tcW w:w="3600" w:type="dxa"/>
          </w:tcPr>
          <w:p w14:paraId="54C4DC49" w14:textId="77777777" w:rsidR="00CA2D6E" w:rsidRPr="003144ED" w:rsidRDefault="00CA2D6E" w:rsidP="001E7A88">
            <w:pPr>
              <w:spacing w:before="120"/>
              <w:jc w:val="center"/>
              <w:rPr>
                <w:rFonts w:cs="Arial"/>
                <w:szCs w:val="24"/>
              </w:rPr>
            </w:pPr>
            <w:r w:rsidRPr="003144ED">
              <w:rPr>
                <w:rFonts w:cs="Arial"/>
                <w:szCs w:val="24"/>
              </w:rPr>
              <w:t>2017</w:t>
            </w:r>
          </w:p>
        </w:tc>
      </w:tr>
      <w:tr w:rsidR="00EE64EA" w:rsidRPr="003144ED" w14:paraId="7C7FFDA5" w14:textId="09D51C13" w:rsidTr="00AC6894">
        <w:trPr>
          <w:cantSplit/>
        </w:trPr>
        <w:tc>
          <w:tcPr>
            <w:tcW w:w="2430" w:type="dxa"/>
          </w:tcPr>
          <w:p w14:paraId="234E0E23" w14:textId="5C11E578" w:rsidR="00781D2F" w:rsidRPr="004A44F5" w:rsidRDefault="00781D2F" w:rsidP="00D703DE">
            <w:pPr>
              <w:spacing w:before="120"/>
            </w:pPr>
            <w:r w:rsidRPr="004A44F5">
              <w:t>Mathematics</w:t>
            </w:r>
          </w:p>
          <w:p w14:paraId="00A62C29" w14:textId="6DD0E3D8" w:rsidR="002863A0" w:rsidRPr="004A44F5" w:rsidRDefault="00000000" w:rsidP="00D703DE">
            <w:pPr>
              <w:spacing w:before="120"/>
              <w:rPr>
                <w:rFonts w:cs="Arial"/>
                <w:bCs/>
                <w:szCs w:val="24"/>
              </w:rPr>
            </w:pPr>
            <w:hyperlink r:id="rId13" w:tooltip="Mathematics web page" w:history="1">
              <w:r w:rsidR="00781D2F" w:rsidRPr="004A44F5">
                <w:rPr>
                  <w:rStyle w:val="Hyperlink"/>
                  <w:rFonts w:cs="Arial"/>
                  <w:bCs/>
                  <w:szCs w:val="24"/>
                </w:rPr>
                <w:t>https://www.cde.ca.gov/ci/ma/</w:t>
              </w:r>
            </w:hyperlink>
          </w:p>
        </w:tc>
        <w:tc>
          <w:tcPr>
            <w:tcW w:w="3330" w:type="dxa"/>
          </w:tcPr>
          <w:p w14:paraId="01F8D580" w14:textId="589EAB1C" w:rsidR="002863A0" w:rsidRPr="003144ED" w:rsidRDefault="002863A0" w:rsidP="00A56817">
            <w:pPr>
              <w:spacing w:before="120"/>
              <w:jc w:val="center"/>
              <w:rPr>
                <w:rFonts w:cs="Arial"/>
                <w:szCs w:val="24"/>
              </w:rPr>
            </w:pPr>
            <w:r w:rsidRPr="001624F9">
              <w:rPr>
                <w:rFonts w:cs="Arial"/>
                <w:szCs w:val="24"/>
              </w:rPr>
              <w:t>2010</w:t>
            </w:r>
          </w:p>
        </w:tc>
        <w:tc>
          <w:tcPr>
            <w:tcW w:w="3510" w:type="dxa"/>
          </w:tcPr>
          <w:p w14:paraId="4223303F" w14:textId="1610E8B9" w:rsidR="002863A0" w:rsidRPr="003144ED" w:rsidRDefault="002863A0" w:rsidP="00A56817">
            <w:pPr>
              <w:spacing w:before="120"/>
              <w:jc w:val="center"/>
              <w:rPr>
                <w:rFonts w:cs="Arial"/>
                <w:szCs w:val="24"/>
              </w:rPr>
            </w:pPr>
            <w:r w:rsidRPr="003144ED">
              <w:rPr>
                <w:rFonts w:cs="Arial"/>
                <w:szCs w:val="24"/>
              </w:rPr>
              <w:t>20</w:t>
            </w:r>
            <w:r w:rsidR="000A3C1C">
              <w:rPr>
                <w:rFonts w:cs="Arial"/>
                <w:szCs w:val="24"/>
              </w:rPr>
              <w:t>2</w:t>
            </w:r>
            <w:r w:rsidRPr="003144ED">
              <w:rPr>
                <w:rFonts w:cs="Arial"/>
                <w:szCs w:val="24"/>
              </w:rPr>
              <w:t>3</w:t>
            </w:r>
          </w:p>
        </w:tc>
        <w:tc>
          <w:tcPr>
            <w:tcW w:w="3600" w:type="dxa"/>
          </w:tcPr>
          <w:p w14:paraId="5AFEAE52" w14:textId="41454A09" w:rsidR="002863A0" w:rsidRPr="003144ED" w:rsidRDefault="002863A0" w:rsidP="00A56817">
            <w:pPr>
              <w:spacing w:before="120"/>
              <w:jc w:val="center"/>
              <w:rPr>
                <w:rFonts w:cs="Arial"/>
                <w:szCs w:val="24"/>
              </w:rPr>
            </w:pPr>
            <w:r w:rsidRPr="003144ED">
              <w:rPr>
                <w:rFonts w:cs="Arial"/>
                <w:szCs w:val="24"/>
              </w:rPr>
              <w:t>2014</w:t>
            </w:r>
          </w:p>
        </w:tc>
      </w:tr>
      <w:tr w:rsidR="00CA2D6E" w:rsidRPr="003144ED" w14:paraId="7777DB35" w14:textId="77777777" w:rsidTr="008F49E9">
        <w:trPr>
          <w:cantSplit/>
        </w:trPr>
        <w:tc>
          <w:tcPr>
            <w:tcW w:w="2430" w:type="dxa"/>
          </w:tcPr>
          <w:p w14:paraId="69823F2A" w14:textId="04C1A83A" w:rsidR="00781D2F" w:rsidRPr="004A44F5" w:rsidRDefault="00781D2F" w:rsidP="00781D2F">
            <w:pPr>
              <w:spacing w:before="120"/>
            </w:pPr>
            <w:r w:rsidRPr="004A44F5">
              <w:t>Model School Library</w:t>
            </w:r>
          </w:p>
          <w:p w14:paraId="48EA97F8" w14:textId="44A5BE2B" w:rsidR="00CA2D6E" w:rsidRPr="004A44F5" w:rsidRDefault="00000000" w:rsidP="008F49E9">
            <w:pPr>
              <w:spacing w:before="120"/>
              <w:rPr>
                <w:rFonts w:cs="Arial"/>
                <w:bCs/>
                <w:szCs w:val="24"/>
              </w:rPr>
            </w:pPr>
            <w:hyperlink r:id="rId14" w:tooltip="School Library Standards web page" w:history="1">
              <w:r w:rsidR="00781D2F" w:rsidRPr="004A44F5">
                <w:rPr>
                  <w:rStyle w:val="Hyperlink"/>
                  <w:rFonts w:cs="Arial"/>
                  <w:bCs/>
                  <w:szCs w:val="24"/>
                </w:rPr>
                <w:t>https://www.cde.ca.gov/ci/cr/lb/schoollibstnds2017.asp</w:t>
              </w:r>
            </w:hyperlink>
          </w:p>
        </w:tc>
        <w:tc>
          <w:tcPr>
            <w:tcW w:w="3330" w:type="dxa"/>
          </w:tcPr>
          <w:p w14:paraId="6AD4D7E3" w14:textId="77777777" w:rsidR="00CA2D6E" w:rsidRPr="003144ED" w:rsidRDefault="00CA2D6E" w:rsidP="008F49E9">
            <w:pPr>
              <w:spacing w:before="120"/>
              <w:jc w:val="center"/>
              <w:rPr>
                <w:rFonts w:cs="Arial"/>
                <w:szCs w:val="24"/>
              </w:rPr>
            </w:pPr>
            <w:r w:rsidRPr="001624F9">
              <w:rPr>
                <w:rFonts w:cs="Arial"/>
                <w:szCs w:val="24"/>
              </w:rPr>
              <w:t>2010</w:t>
            </w:r>
          </w:p>
        </w:tc>
        <w:tc>
          <w:tcPr>
            <w:tcW w:w="3510" w:type="dxa"/>
          </w:tcPr>
          <w:p w14:paraId="026B14A8" w14:textId="77777777" w:rsidR="00CA2D6E" w:rsidRPr="003144ED" w:rsidRDefault="00CA2D6E" w:rsidP="008F49E9">
            <w:pPr>
              <w:spacing w:before="120"/>
              <w:rPr>
                <w:rFonts w:cs="Arial"/>
                <w:szCs w:val="24"/>
              </w:rPr>
            </w:pPr>
            <w:r w:rsidRPr="003144ED">
              <w:rPr>
                <w:rFonts w:cs="Arial"/>
                <w:szCs w:val="24"/>
              </w:rPr>
              <w:t>There is no authorization for a model school library curriculum framework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3600" w:type="dxa"/>
          </w:tcPr>
          <w:p w14:paraId="610427CD" w14:textId="77777777" w:rsidR="00CA2D6E" w:rsidRPr="003144ED" w:rsidRDefault="00CA2D6E" w:rsidP="008F49E9">
            <w:pPr>
              <w:spacing w:before="120"/>
              <w:rPr>
                <w:rFonts w:cs="Arial"/>
                <w:szCs w:val="24"/>
              </w:rPr>
            </w:pPr>
            <w:r w:rsidRPr="003144ED">
              <w:rPr>
                <w:rFonts w:cs="Arial"/>
                <w:szCs w:val="24"/>
              </w:rPr>
              <w:t>There are no SBE-adopted instructional materials for model school library.</w:t>
            </w:r>
          </w:p>
        </w:tc>
      </w:tr>
      <w:tr w:rsidR="00CA2D6E" w:rsidRPr="003144ED" w14:paraId="12681945" w14:textId="77777777" w:rsidTr="00D100AA">
        <w:trPr>
          <w:cantSplit/>
        </w:trPr>
        <w:tc>
          <w:tcPr>
            <w:tcW w:w="2430" w:type="dxa"/>
          </w:tcPr>
          <w:p w14:paraId="4A718B6F" w14:textId="5637F271" w:rsidR="00781D2F" w:rsidRPr="004A44F5" w:rsidRDefault="00781D2F" w:rsidP="00D100AA">
            <w:pPr>
              <w:spacing w:before="120"/>
            </w:pPr>
            <w:r w:rsidRPr="004A44F5">
              <w:lastRenderedPageBreak/>
              <w:t>Physical Education</w:t>
            </w:r>
          </w:p>
          <w:p w14:paraId="7B707692" w14:textId="2547F363" w:rsidR="00CA2D6E" w:rsidRPr="004A44F5" w:rsidRDefault="00000000" w:rsidP="00D100AA">
            <w:pPr>
              <w:spacing w:before="120"/>
              <w:rPr>
                <w:rFonts w:cs="Arial"/>
                <w:bCs/>
                <w:szCs w:val="24"/>
              </w:rPr>
            </w:pPr>
            <w:hyperlink r:id="rId15" w:tooltip="Physical Education web page" w:history="1">
              <w:r w:rsidR="00CA121C" w:rsidRPr="004A44F5">
                <w:rPr>
                  <w:rStyle w:val="Hyperlink"/>
                  <w:rFonts w:cs="Arial"/>
                  <w:bCs/>
                  <w:szCs w:val="24"/>
                </w:rPr>
                <w:t>https://www.cde.ca.gov/ci/pe/</w:t>
              </w:r>
            </w:hyperlink>
          </w:p>
        </w:tc>
        <w:tc>
          <w:tcPr>
            <w:tcW w:w="3330" w:type="dxa"/>
          </w:tcPr>
          <w:p w14:paraId="2481CB9B" w14:textId="77777777" w:rsidR="00CA2D6E" w:rsidRPr="003144ED" w:rsidRDefault="00CA2D6E" w:rsidP="00D100AA">
            <w:pPr>
              <w:spacing w:before="120"/>
              <w:jc w:val="center"/>
              <w:rPr>
                <w:rFonts w:cs="Arial"/>
                <w:szCs w:val="24"/>
              </w:rPr>
            </w:pPr>
            <w:r w:rsidRPr="001624F9">
              <w:rPr>
                <w:rFonts w:cs="Arial"/>
                <w:szCs w:val="24"/>
              </w:rPr>
              <w:t>2005</w:t>
            </w:r>
          </w:p>
        </w:tc>
        <w:tc>
          <w:tcPr>
            <w:tcW w:w="3510" w:type="dxa"/>
          </w:tcPr>
          <w:p w14:paraId="226CC9DC" w14:textId="77777777" w:rsidR="00CA2D6E" w:rsidRPr="003144ED" w:rsidRDefault="00CA2D6E" w:rsidP="00D100AA">
            <w:pPr>
              <w:spacing w:before="120"/>
              <w:jc w:val="center"/>
              <w:rPr>
                <w:rFonts w:cs="Arial"/>
                <w:szCs w:val="24"/>
              </w:rPr>
            </w:pPr>
            <w:r w:rsidRPr="003144ED">
              <w:rPr>
                <w:rFonts w:cs="Arial"/>
                <w:szCs w:val="24"/>
              </w:rPr>
              <w:t>2008</w:t>
            </w:r>
          </w:p>
        </w:tc>
        <w:tc>
          <w:tcPr>
            <w:tcW w:w="3600" w:type="dxa"/>
          </w:tcPr>
          <w:p w14:paraId="4288BA83" w14:textId="77777777" w:rsidR="00CA2D6E" w:rsidRPr="003144ED" w:rsidRDefault="00CA2D6E" w:rsidP="00D100AA">
            <w:pPr>
              <w:spacing w:before="120"/>
              <w:rPr>
                <w:rFonts w:cs="Arial"/>
                <w:szCs w:val="24"/>
              </w:rPr>
            </w:pPr>
            <w:r w:rsidRPr="003144ED">
              <w:rPr>
                <w:rFonts w:cs="Arial"/>
                <w:szCs w:val="24"/>
              </w:rPr>
              <w:t>There are no SBE-adopted instructional materials for physical education.</w:t>
            </w:r>
          </w:p>
        </w:tc>
      </w:tr>
      <w:tr w:rsidR="00CA2D6E" w:rsidRPr="003144ED" w14:paraId="6C540C7E" w14:textId="77777777" w:rsidTr="0016453D">
        <w:trPr>
          <w:cantSplit/>
        </w:trPr>
        <w:tc>
          <w:tcPr>
            <w:tcW w:w="2430" w:type="dxa"/>
          </w:tcPr>
          <w:p w14:paraId="508630F9" w14:textId="6E0D38DF" w:rsidR="00781D2F" w:rsidRPr="004A44F5" w:rsidRDefault="00781D2F" w:rsidP="0016453D">
            <w:pPr>
              <w:spacing w:before="120"/>
            </w:pPr>
            <w:r w:rsidRPr="004A44F5">
              <w:t>Science</w:t>
            </w:r>
          </w:p>
          <w:p w14:paraId="718AF218" w14:textId="6D565DF9" w:rsidR="00CA2D6E" w:rsidRPr="004A44F5" w:rsidRDefault="00000000" w:rsidP="0016453D">
            <w:pPr>
              <w:spacing w:before="120"/>
              <w:rPr>
                <w:rFonts w:cs="Arial"/>
                <w:bCs/>
                <w:szCs w:val="24"/>
              </w:rPr>
            </w:pPr>
            <w:hyperlink r:id="rId16" w:tooltip="Science web page" w:history="1">
              <w:r w:rsidR="00781D2F" w:rsidRPr="004A44F5">
                <w:rPr>
                  <w:rStyle w:val="Hyperlink"/>
                  <w:rFonts w:cs="Arial"/>
                  <w:bCs/>
                  <w:szCs w:val="24"/>
                </w:rPr>
                <w:t>https://www.cde.ca.gov/ci/sc/</w:t>
              </w:r>
            </w:hyperlink>
          </w:p>
        </w:tc>
        <w:tc>
          <w:tcPr>
            <w:tcW w:w="3330" w:type="dxa"/>
          </w:tcPr>
          <w:p w14:paraId="7A767DE6" w14:textId="77777777" w:rsidR="00CA2D6E" w:rsidRPr="003144ED" w:rsidRDefault="00CA2D6E" w:rsidP="0016453D">
            <w:pPr>
              <w:spacing w:before="120"/>
              <w:jc w:val="center"/>
              <w:rPr>
                <w:rFonts w:cs="Arial"/>
                <w:szCs w:val="24"/>
              </w:rPr>
            </w:pPr>
            <w:r w:rsidRPr="001624F9">
              <w:rPr>
                <w:rFonts w:cs="Arial"/>
                <w:szCs w:val="24"/>
              </w:rPr>
              <w:t>2013</w:t>
            </w:r>
          </w:p>
        </w:tc>
        <w:tc>
          <w:tcPr>
            <w:tcW w:w="3510" w:type="dxa"/>
          </w:tcPr>
          <w:p w14:paraId="2EC8D213" w14:textId="77777777" w:rsidR="00CA2D6E" w:rsidRPr="003144ED" w:rsidRDefault="00CA2D6E" w:rsidP="0016453D">
            <w:pPr>
              <w:spacing w:before="120"/>
              <w:jc w:val="center"/>
              <w:rPr>
                <w:rFonts w:cs="Arial"/>
                <w:szCs w:val="24"/>
              </w:rPr>
            </w:pPr>
            <w:r w:rsidRPr="003144ED">
              <w:rPr>
                <w:rFonts w:cs="Arial"/>
                <w:szCs w:val="24"/>
              </w:rPr>
              <w:t>2016</w:t>
            </w:r>
          </w:p>
        </w:tc>
        <w:tc>
          <w:tcPr>
            <w:tcW w:w="3600" w:type="dxa"/>
          </w:tcPr>
          <w:p w14:paraId="692FDD92" w14:textId="77777777" w:rsidR="00CA2D6E" w:rsidRPr="003144ED" w:rsidRDefault="00CA2D6E" w:rsidP="0016453D">
            <w:pPr>
              <w:spacing w:before="120"/>
              <w:jc w:val="center"/>
              <w:rPr>
                <w:rFonts w:cs="Arial"/>
                <w:szCs w:val="24"/>
              </w:rPr>
            </w:pPr>
            <w:r w:rsidRPr="003144ED">
              <w:rPr>
                <w:rFonts w:cs="Arial"/>
                <w:szCs w:val="24"/>
              </w:rPr>
              <w:t>2018</w:t>
            </w:r>
          </w:p>
        </w:tc>
      </w:tr>
      <w:tr w:rsidR="00CA2D6E" w:rsidRPr="003144ED" w14:paraId="48E7FE75" w14:textId="77777777" w:rsidTr="00BB3A54">
        <w:trPr>
          <w:cantSplit/>
        </w:trPr>
        <w:tc>
          <w:tcPr>
            <w:tcW w:w="2430" w:type="dxa"/>
          </w:tcPr>
          <w:p w14:paraId="0A5EC6FB" w14:textId="6524F379" w:rsidR="00781D2F" w:rsidRPr="004A44F5" w:rsidRDefault="00781D2F" w:rsidP="00BB3A54">
            <w:pPr>
              <w:spacing w:before="120"/>
            </w:pPr>
            <w:r w:rsidRPr="004A44F5">
              <w:t>World Languages</w:t>
            </w:r>
          </w:p>
          <w:p w14:paraId="65446654" w14:textId="47F59C28" w:rsidR="00CA2D6E" w:rsidRPr="004A44F5" w:rsidRDefault="00000000" w:rsidP="00BB3A54">
            <w:pPr>
              <w:spacing w:before="120"/>
              <w:rPr>
                <w:rFonts w:cs="Arial"/>
                <w:bCs/>
                <w:szCs w:val="24"/>
              </w:rPr>
            </w:pPr>
            <w:hyperlink r:id="rId17" w:tooltip="World Languages web page" w:history="1">
              <w:r w:rsidR="00781D2F" w:rsidRPr="004A44F5">
                <w:rPr>
                  <w:rStyle w:val="Hyperlink"/>
                  <w:rFonts w:cs="Arial"/>
                  <w:bCs/>
                  <w:szCs w:val="24"/>
                </w:rPr>
                <w:t>https://www.cde.ca.gov/ci/fl/</w:t>
              </w:r>
            </w:hyperlink>
          </w:p>
        </w:tc>
        <w:tc>
          <w:tcPr>
            <w:tcW w:w="3330" w:type="dxa"/>
          </w:tcPr>
          <w:p w14:paraId="0C168B52" w14:textId="77777777" w:rsidR="00CA2D6E" w:rsidRPr="003144ED" w:rsidRDefault="00CA2D6E" w:rsidP="00BB3A54">
            <w:pPr>
              <w:spacing w:before="120"/>
              <w:jc w:val="center"/>
              <w:rPr>
                <w:rFonts w:cs="Arial"/>
                <w:szCs w:val="24"/>
              </w:rPr>
            </w:pPr>
            <w:r w:rsidRPr="001624F9">
              <w:rPr>
                <w:rFonts w:cs="Arial"/>
                <w:szCs w:val="24"/>
              </w:rPr>
              <w:t>2019</w:t>
            </w:r>
          </w:p>
        </w:tc>
        <w:tc>
          <w:tcPr>
            <w:tcW w:w="3510" w:type="dxa"/>
          </w:tcPr>
          <w:p w14:paraId="57EB845B" w14:textId="77777777" w:rsidR="00CA2D6E" w:rsidRPr="003144ED" w:rsidRDefault="00CA2D6E" w:rsidP="00BB3A54">
            <w:pPr>
              <w:spacing w:before="120"/>
              <w:jc w:val="center"/>
              <w:rPr>
                <w:rFonts w:cs="Arial"/>
                <w:szCs w:val="24"/>
              </w:rPr>
            </w:pPr>
            <w:r w:rsidRPr="001624F9">
              <w:rPr>
                <w:rFonts w:cs="Arial"/>
                <w:szCs w:val="24"/>
              </w:rPr>
              <w:t>2020</w:t>
            </w:r>
          </w:p>
        </w:tc>
        <w:tc>
          <w:tcPr>
            <w:tcW w:w="3600" w:type="dxa"/>
          </w:tcPr>
          <w:p w14:paraId="01418069" w14:textId="77777777" w:rsidR="00CA2D6E" w:rsidRPr="003144ED" w:rsidRDefault="00CA2D6E" w:rsidP="00BB3A54">
            <w:pPr>
              <w:spacing w:before="120"/>
              <w:jc w:val="center"/>
              <w:rPr>
                <w:rFonts w:cs="Arial"/>
                <w:szCs w:val="24"/>
              </w:rPr>
            </w:pPr>
            <w:r w:rsidRPr="001624F9">
              <w:rPr>
                <w:rFonts w:cs="Arial"/>
                <w:szCs w:val="24"/>
              </w:rPr>
              <w:t>2021</w:t>
            </w:r>
          </w:p>
        </w:tc>
      </w:tr>
    </w:tbl>
    <w:p w14:paraId="046D3A29" w14:textId="77777777" w:rsidR="00EB7869" w:rsidRDefault="003C3AF7" w:rsidP="0030442D">
      <w:pPr>
        <w:pStyle w:val="Heading2"/>
        <w:spacing w:before="480"/>
      </w:pPr>
      <w:r w:rsidRPr="00A057A8">
        <w:lastRenderedPageBreak/>
        <w:t xml:space="preserve">Sample </w:t>
      </w:r>
      <w:r w:rsidR="00437830">
        <w:t xml:space="preserve">Framework </w:t>
      </w:r>
      <w:r w:rsidRPr="00A057A8">
        <w:t>Timeline</w:t>
      </w:r>
      <w:r w:rsidR="00C2166A">
        <w:t xml:space="preserve"> </w:t>
      </w:r>
      <w:r w:rsidR="0075061E">
        <w:t>with</w:t>
      </w:r>
      <w:r w:rsidR="00C2166A">
        <w:t xml:space="preserve"> Key Milestones</w:t>
      </w:r>
    </w:p>
    <w:p w14:paraId="6D5CD84F" w14:textId="24FBCBBB" w:rsidR="00373345" w:rsidRDefault="00C829DE" w:rsidP="00C829DE">
      <w:pPr>
        <w:spacing w:after="480"/>
        <w:jc w:val="center"/>
      </w:pPr>
      <w:r>
        <w:rPr>
          <w:noProof/>
        </w:rPr>
        <w:drawing>
          <wp:inline distT="0" distB="0" distL="0" distR="0" wp14:anchorId="6AC39495" wp14:editId="6F8F6D41">
            <wp:extent cx="6667500" cy="2997803"/>
            <wp:effectExtent l="0" t="0" r="0" b="0"/>
            <wp:docPr id="1" name="Picture 1" descr="Sample curriculum framework adoption timeline. Long description in text be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703407" cy="3013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34F5A" w14:textId="77777777" w:rsidR="00D84D80" w:rsidRDefault="00D84D80" w:rsidP="00D84D80">
      <w:pPr>
        <w:spacing w:after="240"/>
      </w:pPr>
      <w:r>
        <w:t>The framework process takes place over a period of approximately three years. The sample timeline above includes the following key milestones:</w:t>
      </w:r>
    </w:p>
    <w:p w14:paraId="346804E4" w14:textId="77777777" w:rsidR="00D84D80" w:rsidRDefault="00781190" w:rsidP="00781190">
      <w:pPr>
        <w:pStyle w:val="ListParagraph"/>
        <w:numPr>
          <w:ilvl w:val="0"/>
          <w:numId w:val="1"/>
        </w:numPr>
        <w:spacing w:after="240"/>
      </w:pPr>
      <w:r>
        <w:t>Multiple focus group meetings</w:t>
      </w:r>
      <w:r w:rsidR="00026F2A">
        <w:t xml:space="preserve"> take place in various locations</w:t>
      </w:r>
      <w:r w:rsidR="0066501C">
        <w:t>, typically over a two-month period</w:t>
      </w:r>
      <w:r w:rsidR="00026F2A">
        <w:t>.</w:t>
      </w:r>
    </w:p>
    <w:p w14:paraId="15906676" w14:textId="77777777" w:rsidR="0066501C" w:rsidRDefault="00F1676C" w:rsidP="00781190">
      <w:pPr>
        <w:pStyle w:val="ListParagraph"/>
        <w:numPr>
          <w:ilvl w:val="0"/>
          <w:numId w:val="1"/>
        </w:numPr>
        <w:spacing w:after="240"/>
      </w:pPr>
      <w:r>
        <w:t xml:space="preserve">The State Board of Education (SBE) appoints members to the Curriculum Framework and Evaluation Criteria Committee (CFCC) and approves </w:t>
      </w:r>
      <w:r w:rsidR="00CA2E68">
        <w:t>the Instructional Quality Commission (</w:t>
      </w:r>
      <w:r>
        <w:t>IQC</w:t>
      </w:r>
      <w:r w:rsidR="00CA2E68">
        <w:t>)</w:t>
      </w:r>
      <w:r>
        <w:t xml:space="preserve"> guidelines</w:t>
      </w:r>
      <w:r w:rsidR="00DA3F30">
        <w:t>.</w:t>
      </w:r>
    </w:p>
    <w:p w14:paraId="5FB78938" w14:textId="77777777" w:rsidR="00F1676C" w:rsidRDefault="00F1676C" w:rsidP="00781190">
      <w:pPr>
        <w:pStyle w:val="ListParagraph"/>
        <w:numPr>
          <w:ilvl w:val="0"/>
          <w:numId w:val="1"/>
        </w:numPr>
        <w:spacing w:after="240"/>
      </w:pPr>
      <w:r>
        <w:t>Multiple CFCC meetings</w:t>
      </w:r>
      <w:r w:rsidR="00026F2A">
        <w:t xml:space="preserve"> occur</w:t>
      </w:r>
      <w:r w:rsidR="00CA2E68">
        <w:t>, typically over a 6–8 month period</w:t>
      </w:r>
      <w:r w:rsidR="00026F2A">
        <w:t>.</w:t>
      </w:r>
    </w:p>
    <w:p w14:paraId="1F1806B5" w14:textId="77777777" w:rsidR="00CA2E68" w:rsidRDefault="00026F2A" w:rsidP="00781190">
      <w:pPr>
        <w:pStyle w:val="ListParagraph"/>
        <w:numPr>
          <w:ilvl w:val="0"/>
          <w:numId w:val="1"/>
        </w:numPr>
        <w:spacing w:after="240"/>
      </w:pPr>
      <w:r>
        <w:t xml:space="preserve">The </w:t>
      </w:r>
      <w:r w:rsidR="00CA2E68">
        <w:t>IQC reviews, edits, and approves the first draft of the framework</w:t>
      </w:r>
      <w:r>
        <w:t>.</w:t>
      </w:r>
    </w:p>
    <w:p w14:paraId="77C60DAA" w14:textId="77777777" w:rsidR="00CA2E68" w:rsidRDefault="00026F2A" w:rsidP="00781190">
      <w:pPr>
        <w:pStyle w:val="ListParagraph"/>
        <w:numPr>
          <w:ilvl w:val="0"/>
          <w:numId w:val="1"/>
        </w:numPr>
        <w:spacing w:after="240"/>
      </w:pPr>
      <w:r>
        <w:t>The d</w:t>
      </w:r>
      <w:r w:rsidR="0092003F">
        <w:t>raft framework is posted for the first 60-day public review period</w:t>
      </w:r>
      <w:r w:rsidR="00BA4D30">
        <w:t>.</w:t>
      </w:r>
    </w:p>
    <w:p w14:paraId="040730A4" w14:textId="77777777" w:rsidR="0092003F" w:rsidRDefault="0092003F" w:rsidP="00781190">
      <w:pPr>
        <w:pStyle w:val="ListParagraph"/>
        <w:numPr>
          <w:ilvl w:val="0"/>
          <w:numId w:val="1"/>
        </w:numPr>
        <w:spacing w:after="240"/>
      </w:pPr>
      <w:r>
        <w:t>The IQC recommends edits</w:t>
      </w:r>
      <w:r w:rsidR="00D00123">
        <w:t xml:space="preserve"> to the draft</w:t>
      </w:r>
      <w:r w:rsidR="00026F2A">
        <w:t>.</w:t>
      </w:r>
    </w:p>
    <w:p w14:paraId="22E1BD0D" w14:textId="77777777" w:rsidR="00D00123" w:rsidRDefault="00026F2A" w:rsidP="00781190">
      <w:pPr>
        <w:pStyle w:val="ListParagraph"/>
        <w:numPr>
          <w:ilvl w:val="0"/>
          <w:numId w:val="1"/>
        </w:numPr>
        <w:spacing w:after="240"/>
      </w:pPr>
      <w:r>
        <w:t>The d</w:t>
      </w:r>
      <w:r w:rsidR="00D00123">
        <w:t>raft framework is posted for the second 60-day public review period</w:t>
      </w:r>
      <w:r>
        <w:t>.</w:t>
      </w:r>
    </w:p>
    <w:p w14:paraId="2CA5B41F" w14:textId="77777777" w:rsidR="00D00123" w:rsidRDefault="00D00123" w:rsidP="00781190">
      <w:pPr>
        <w:pStyle w:val="ListParagraph"/>
        <w:numPr>
          <w:ilvl w:val="0"/>
          <w:numId w:val="1"/>
        </w:numPr>
        <w:spacing w:after="240"/>
      </w:pPr>
      <w:r>
        <w:t xml:space="preserve">The SBE </w:t>
      </w:r>
      <w:proofErr w:type="gramStart"/>
      <w:r>
        <w:t>takes action</w:t>
      </w:r>
      <w:proofErr w:type="gramEnd"/>
      <w:r>
        <w:t xml:space="preserve"> on the framework</w:t>
      </w:r>
      <w:r w:rsidR="00026F2A">
        <w:t>.</w:t>
      </w:r>
    </w:p>
    <w:p w14:paraId="6BFBCF18" w14:textId="77777777" w:rsidR="006E5155" w:rsidRDefault="006E5155" w:rsidP="006E5155">
      <w:pPr>
        <w:pStyle w:val="Heading2"/>
      </w:pPr>
      <w:r w:rsidRPr="00A057A8">
        <w:lastRenderedPageBreak/>
        <w:t xml:space="preserve">Sample </w:t>
      </w:r>
      <w:r>
        <w:t xml:space="preserve">Instructional Materials Adoption </w:t>
      </w:r>
      <w:r w:rsidRPr="00A057A8">
        <w:t>Timeline</w:t>
      </w:r>
      <w:r>
        <w:t xml:space="preserve"> with Key Milestones</w:t>
      </w:r>
    </w:p>
    <w:p w14:paraId="3644B0A6" w14:textId="77777777" w:rsidR="00C331E2" w:rsidRPr="00C331E2" w:rsidRDefault="00C331E2" w:rsidP="00C331E2">
      <w:r>
        <w:rPr>
          <w:noProof/>
        </w:rPr>
        <w:drawing>
          <wp:inline distT="0" distB="0" distL="0" distR="0" wp14:anchorId="16AE2335" wp14:editId="31896D0A">
            <wp:extent cx="7791450" cy="2895600"/>
            <wp:effectExtent l="0" t="0" r="0" b="0"/>
            <wp:docPr id="3" name="Picture 3" descr="Sample instructional materials adoption timeline. Long description in text be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99D8F" w14:textId="77777777" w:rsidR="00FA7FE1" w:rsidRDefault="001C0642" w:rsidP="00FA7FE1">
      <w:pPr>
        <w:spacing w:after="240"/>
      </w:pPr>
      <w:r>
        <w:t xml:space="preserve">The instructional materials adoption process takes place </w:t>
      </w:r>
      <w:r w:rsidR="004047DE">
        <w:t>over a</w:t>
      </w:r>
      <w:r>
        <w:t xml:space="preserve"> period of approximately </w:t>
      </w:r>
      <w:r w:rsidR="000511FC">
        <w:t>two years. The sample timeline above includes the following key milestones:</w:t>
      </w:r>
    </w:p>
    <w:p w14:paraId="315E34D7" w14:textId="77777777" w:rsidR="000511FC" w:rsidRDefault="000511FC" w:rsidP="00B864F7">
      <w:pPr>
        <w:pStyle w:val="ListParagraph"/>
        <w:numPr>
          <w:ilvl w:val="0"/>
          <w:numId w:val="2"/>
        </w:numPr>
        <w:spacing w:after="240"/>
      </w:pPr>
      <w:r>
        <w:t xml:space="preserve">The IQC </w:t>
      </w:r>
      <w:r w:rsidR="00B864F7">
        <w:t>recommend</w:t>
      </w:r>
      <w:r>
        <w:t xml:space="preserve">s the timeline and </w:t>
      </w:r>
      <w:r w:rsidR="00B864F7">
        <w:t>online review</w:t>
      </w:r>
      <w:r w:rsidR="008A3663">
        <w:t>er</w:t>
      </w:r>
      <w:r w:rsidR="00B864F7">
        <w:t xml:space="preserve"> application to the SBE, and the SBE approves the timeline and application.</w:t>
      </w:r>
    </w:p>
    <w:p w14:paraId="061DF74C" w14:textId="77777777" w:rsidR="00B864F7" w:rsidRDefault="00B864F7" w:rsidP="00B864F7">
      <w:pPr>
        <w:pStyle w:val="ListParagraph"/>
        <w:numPr>
          <w:ilvl w:val="0"/>
          <w:numId w:val="2"/>
        </w:numPr>
        <w:spacing w:after="240"/>
      </w:pPr>
      <w:r>
        <w:t>The IQC approves the evaluation criteria and standards maps.</w:t>
      </w:r>
    </w:p>
    <w:p w14:paraId="46A4D442" w14:textId="77777777" w:rsidR="004047DE" w:rsidRDefault="004047DE" w:rsidP="00B864F7">
      <w:pPr>
        <w:pStyle w:val="ListParagraph"/>
        <w:numPr>
          <w:ilvl w:val="0"/>
          <w:numId w:val="2"/>
        </w:numPr>
        <w:spacing w:after="240"/>
      </w:pPr>
      <w:r>
        <w:t>SBE approves the evaluation criteria and standards maps</w:t>
      </w:r>
      <w:r w:rsidR="00692938">
        <w:t>.</w:t>
      </w:r>
    </w:p>
    <w:p w14:paraId="3C6FC3EA" w14:textId="77777777" w:rsidR="00692938" w:rsidRDefault="00692938" w:rsidP="00B864F7">
      <w:pPr>
        <w:pStyle w:val="ListParagraph"/>
        <w:numPr>
          <w:ilvl w:val="0"/>
          <w:numId w:val="2"/>
        </w:numPr>
        <w:spacing w:after="240"/>
      </w:pPr>
      <w:r>
        <w:t>The IQC recommends reviewers to the SBE, and the SBE appoints reviewers.</w:t>
      </w:r>
    </w:p>
    <w:p w14:paraId="26BBBCFA" w14:textId="77777777" w:rsidR="00692938" w:rsidRDefault="003E2D04" w:rsidP="00B864F7">
      <w:pPr>
        <w:pStyle w:val="ListParagraph"/>
        <w:numPr>
          <w:ilvl w:val="0"/>
          <w:numId w:val="2"/>
        </w:numPr>
        <w:spacing w:after="240"/>
      </w:pPr>
      <w:r>
        <w:t>The p</w:t>
      </w:r>
      <w:r w:rsidR="008F6B23">
        <w:t xml:space="preserve">ublisher Invitation to Submit meeting </w:t>
      </w:r>
      <w:r w:rsidR="004E5A0A">
        <w:t xml:space="preserve">takes place, </w:t>
      </w:r>
      <w:r w:rsidR="008F6B23">
        <w:t xml:space="preserve">and submission forms </w:t>
      </w:r>
      <w:r w:rsidR="004E5A0A">
        <w:t xml:space="preserve">are due approximately </w:t>
      </w:r>
      <w:r w:rsidR="008F6B23">
        <w:t>two months</w:t>
      </w:r>
      <w:r w:rsidR="004E5A0A">
        <w:t xml:space="preserve"> later</w:t>
      </w:r>
      <w:r w:rsidR="008F6B23">
        <w:t>.</w:t>
      </w:r>
    </w:p>
    <w:p w14:paraId="0B4D9BEA" w14:textId="77777777" w:rsidR="008F6B23" w:rsidRDefault="008F6B23" w:rsidP="008F6B23">
      <w:pPr>
        <w:pStyle w:val="ListParagraph"/>
        <w:numPr>
          <w:ilvl w:val="0"/>
          <w:numId w:val="2"/>
        </w:numPr>
        <w:spacing w:after="240"/>
      </w:pPr>
      <w:r>
        <w:t>Reviewer training takes place for approximately one week, publishers submit materials for review, and reviewers</w:t>
      </w:r>
      <w:r w:rsidR="00B263EC">
        <w:t xml:space="preserve"> reconvene for deliberations approximately three months after training. Reviewers make program adoption recommendations to the IQC.</w:t>
      </w:r>
    </w:p>
    <w:p w14:paraId="3B63125C" w14:textId="77777777" w:rsidR="00B263EC" w:rsidRDefault="00B263EC" w:rsidP="008F6B23">
      <w:pPr>
        <w:pStyle w:val="ListParagraph"/>
        <w:numPr>
          <w:ilvl w:val="0"/>
          <w:numId w:val="2"/>
        </w:numPr>
        <w:spacing w:after="240"/>
      </w:pPr>
      <w:r>
        <w:lastRenderedPageBreak/>
        <w:t xml:space="preserve">The IQC holds a public meeting to </w:t>
      </w:r>
      <w:r w:rsidR="008F6A69">
        <w:t>receive public comment and makes recommendations to the SBE.</w:t>
      </w:r>
    </w:p>
    <w:p w14:paraId="62C42FA8" w14:textId="77777777" w:rsidR="008F6A69" w:rsidRDefault="008F6A69" w:rsidP="008F6B23">
      <w:pPr>
        <w:pStyle w:val="ListParagraph"/>
        <w:numPr>
          <w:ilvl w:val="0"/>
          <w:numId w:val="2"/>
        </w:numPr>
        <w:spacing w:after="240"/>
      </w:pPr>
      <w:r>
        <w:t>The SBE holds a public meeting to receive public comment and takes action on program recommendations.</w:t>
      </w:r>
    </w:p>
    <w:p w14:paraId="1B6530E0" w14:textId="2908D3F1" w:rsidR="00BE345B" w:rsidRDefault="00F966AF" w:rsidP="008F6A69">
      <w:pPr>
        <w:spacing w:before="720"/>
      </w:pPr>
      <w:r>
        <w:t xml:space="preserve">California Department of Education, </w:t>
      </w:r>
      <w:r w:rsidR="000A3C1C">
        <w:t>November 2023</w:t>
      </w:r>
    </w:p>
    <w:sectPr w:rsidR="00BE345B" w:rsidSect="008E4906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5DF0A" w14:textId="77777777" w:rsidR="008801C5" w:rsidRDefault="008801C5" w:rsidP="00060F0E">
      <w:pPr>
        <w:spacing w:after="0" w:line="240" w:lineRule="auto"/>
      </w:pPr>
      <w:r>
        <w:separator/>
      </w:r>
    </w:p>
  </w:endnote>
  <w:endnote w:type="continuationSeparator" w:id="0">
    <w:p w14:paraId="284A7A96" w14:textId="77777777" w:rsidR="008801C5" w:rsidRDefault="008801C5" w:rsidP="0006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DCC4" w14:textId="77777777" w:rsidR="008801C5" w:rsidRDefault="008801C5" w:rsidP="00060F0E">
      <w:pPr>
        <w:spacing w:after="0" w:line="240" w:lineRule="auto"/>
      </w:pPr>
      <w:r>
        <w:separator/>
      </w:r>
    </w:p>
  </w:footnote>
  <w:footnote w:type="continuationSeparator" w:id="0">
    <w:p w14:paraId="78AF99EE" w14:textId="77777777" w:rsidR="008801C5" w:rsidRDefault="008801C5" w:rsidP="00060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6712C"/>
    <w:multiLevelType w:val="hybridMultilevel"/>
    <w:tmpl w:val="F4C83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05A76"/>
    <w:multiLevelType w:val="hybridMultilevel"/>
    <w:tmpl w:val="5C38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171DB"/>
    <w:multiLevelType w:val="hybridMultilevel"/>
    <w:tmpl w:val="3ED4C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322383">
    <w:abstractNumId w:val="1"/>
  </w:num>
  <w:num w:numId="2" w16cid:durableId="2109424174">
    <w:abstractNumId w:val="0"/>
  </w:num>
  <w:num w:numId="3" w16cid:durableId="1825076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D5"/>
    <w:rsid w:val="00026F2A"/>
    <w:rsid w:val="0003513D"/>
    <w:rsid w:val="000511FC"/>
    <w:rsid w:val="00054E7B"/>
    <w:rsid w:val="00060F0E"/>
    <w:rsid w:val="0007013C"/>
    <w:rsid w:val="00071F03"/>
    <w:rsid w:val="000A351F"/>
    <w:rsid w:val="000A3C1C"/>
    <w:rsid w:val="000C291A"/>
    <w:rsid w:val="000C53E8"/>
    <w:rsid w:val="000C7605"/>
    <w:rsid w:val="000C7638"/>
    <w:rsid w:val="000E213D"/>
    <w:rsid w:val="000E3874"/>
    <w:rsid w:val="000F72E0"/>
    <w:rsid w:val="001044E1"/>
    <w:rsid w:val="00126C76"/>
    <w:rsid w:val="001301FE"/>
    <w:rsid w:val="00140257"/>
    <w:rsid w:val="001624F9"/>
    <w:rsid w:val="001A0CA5"/>
    <w:rsid w:val="001B0748"/>
    <w:rsid w:val="001C0642"/>
    <w:rsid w:val="001E5129"/>
    <w:rsid w:val="00213A4C"/>
    <w:rsid w:val="00244EAA"/>
    <w:rsid w:val="00263B78"/>
    <w:rsid w:val="002863A0"/>
    <w:rsid w:val="002A7B72"/>
    <w:rsid w:val="002E12F3"/>
    <w:rsid w:val="002E2592"/>
    <w:rsid w:val="002E2B65"/>
    <w:rsid w:val="002E31DD"/>
    <w:rsid w:val="002E4CB5"/>
    <w:rsid w:val="0030442D"/>
    <w:rsid w:val="003144ED"/>
    <w:rsid w:val="00316B28"/>
    <w:rsid w:val="003303DC"/>
    <w:rsid w:val="00347CD5"/>
    <w:rsid w:val="00370286"/>
    <w:rsid w:val="00373345"/>
    <w:rsid w:val="003B48B5"/>
    <w:rsid w:val="003C3AF7"/>
    <w:rsid w:val="003E2D04"/>
    <w:rsid w:val="00402059"/>
    <w:rsid w:val="004047DE"/>
    <w:rsid w:val="00437830"/>
    <w:rsid w:val="00445413"/>
    <w:rsid w:val="00474CCF"/>
    <w:rsid w:val="00492402"/>
    <w:rsid w:val="004A44F5"/>
    <w:rsid w:val="004B371D"/>
    <w:rsid w:val="004C7A2D"/>
    <w:rsid w:val="004D7110"/>
    <w:rsid w:val="004D7FBA"/>
    <w:rsid w:val="004E5A0A"/>
    <w:rsid w:val="004F29BE"/>
    <w:rsid w:val="00505826"/>
    <w:rsid w:val="0052588D"/>
    <w:rsid w:val="00540FBB"/>
    <w:rsid w:val="0055454D"/>
    <w:rsid w:val="005E2096"/>
    <w:rsid w:val="005E3A37"/>
    <w:rsid w:val="005F7A48"/>
    <w:rsid w:val="0066501C"/>
    <w:rsid w:val="00692938"/>
    <w:rsid w:val="006A7988"/>
    <w:rsid w:val="006B550C"/>
    <w:rsid w:val="006C628C"/>
    <w:rsid w:val="006C6514"/>
    <w:rsid w:val="006C7A20"/>
    <w:rsid w:val="006D0CA5"/>
    <w:rsid w:val="006D2DBC"/>
    <w:rsid w:val="006E5155"/>
    <w:rsid w:val="006E5B1A"/>
    <w:rsid w:val="006F6772"/>
    <w:rsid w:val="00713583"/>
    <w:rsid w:val="0071448A"/>
    <w:rsid w:val="0073256C"/>
    <w:rsid w:val="007428B8"/>
    <w:rsid w:val="0075061E"/>
    <w:rsid w:val="00776270"/>
    <w:rsid w:val="00781190"/>
    <w:rsid w:val="00781D2F"/>
    <w:rsid w:val="007B19BF"/>
    <w:rsid w:val="007B5760"/>
    <w:rsid w:val="007C0A32"/>
    <w:rsid w:val="00837792"/>
    <w:rsid w:val="00854321"/>
    <w:rsid w:val="008801C5"/>
    <w:rsid w:val="008A3663"/>
    <w:rsid w:val="008E4906"/>
    <w:rsid w:val="008E5B62"/>
    <w:rsid w:val="008F6A69"/>
    <w:rsid w:val="008F6B23"/>
    <w:rsid w:val="0092003F"/>
    <w:rsid w:val="0093556C"/>
    <w:rsid w:val="0094131E"/>
    <w:rsid w:val="00952182"/>
    <w:rsid w:val="009D688F"/>
    <w:rsid w:val="009E6A25"/>
    <w:rsid w:val="00A00D26"/>
    <w:rsid w:val="00A057A8"/>
    <w:rsid w:val="00A56817"/>
    <w:rsid w:val="00A7140B"/>
    <w:rsid w:val="00A87F04"/>
    <w:rsid w:val="00AC2E9F"/>
    <w:rsid w:val="00AC6894"/>
    <w:rsid w:val="00AF648F"/>
    <w:rsid w:val="00B043A0"/>
    <w:rsid w:val="00B07A5D"/>
    <w:rsid w:val="00B25238"/>
    <w:rsid w:val="00B263EC"/>
    <w:rsid w:val="00B27DF1"/>
    <w:rsid w:val="00B401CE"/>
    <w:rsid w:val="00B5161B"/>
    <w:rsid w:val="00B55DCC"/>
    <w:rsid w:val="00B66C9B"/>
    <w:rsid w:val="00B864F7"/>
    <w:rsid w:val="00B9766E"/>
    <w:rsid w:val="00BA4D30"/>
    <w:rsid w:val="00BE345B"/>
    <w:rsid w:val="00BE37CB"/>
    <w:rsid w:val="00BE6B58"/>
    <w:rsid w:val="00BE78F3"/>
    <w:rsid w:val="00C127A9"/>
    <w:rsid w:val="00C16DD4"/>
    <w:rsid w:val="00C2166A"/>
    <w:rsid w:val="00C27018"/>
    <w:rsid w:val="00C331E2"/>
    <w:rsid w:val="00C460E2"/>
    <w:rsid w:val="00C829DE"/>
    <w:rsid w:val="00C86E25"/>
    <w:rsid w:val="00C94D2A"/>
    <w:rsid w:val="00CA121C"/>
    <w:rsid w:val="00CA2D6E"/>
    <w:rsid w:val="00CA2E68"/>
    <w:rsid w:val="00CA6F4A"/>
    <w:rsid w:val="00CC4CF7"/>
    <w:rsid w:val="00D00123"/>
    <w:rsid w:val="00D01D38"/>
    <w:rsid w:val="00D36237"/>
    <w:rsid w:val="00D47DAB"/>
    <w:rsid w:val="00D600D4"/>
    <w:rsid w:val="00D703DE"/>
    <w:rsid w:val="00D76FD5"/>
    <w:rsid w:val="00D84D80"/>
    <w:rsid w:val="00DA3F30"/>
    <w:rsid w:val="00DA5D2D"/>
    <w:rsid w:val="00DB3882"/>
    <w:rsid w:val="00DD7627"/>
    <w:rsid w:val="00DD7F3A"/>
    <w:rsid w:val="00DE79C3"/>
    <w:rsid w:val="00E23D84"/>
    <w:rsid w:val="00E25BA4"/>
    <w:rsid w:val="00E33FA9"/>
    <w:rsid w:val="00E45354"/>
    <w:rsid w:val="00E46970"/>
    <w:rsid w:val="00E46B73"/>
    <w:rsid w:val="00EA2D2D"/>
    <w:rsid w:val="00EA7154"/>
    <w:rsid w:val="00EB7869"/>
    <w:rsid w:val="00EE64EA"/>
    <w:rsid w:val="00EE6979"/>
    <w:rsid w:val="00F1676C"/>
    <w:rsid w:val="00F32D73"/>
    <w:rsid w:val="00F45B94"/>
    <w:rsid w:val="00F8147B"/>
    <w:rsid w:val="00F966AF"/>
    <w:rsid w:val="00FA3B92"/>
    <w:rsid w:val="00FA7FE1"/>
    <w:rsid w:val="00FD2BF2"/>
    <w:rsid w:val="00FD3C3B"/>
    <w:rsid w:val="00FE3007"/>
    <w:rsid w:val="00FE55A2"/>
    <w:rsid w:val="00F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52E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8B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7A8"/>
    <w:pPr>
      <w:keepNext/>
      <w:keepLines/>
      <w:spacing w:before="160" w:after="120"/>
      <w:outlineLvl w:val="1"/>
    </w:pPr>
    <w:rPr>
      <w:rFonts w:eastAsiaTheme="majorEastAsia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57A8"/>
    <w:rPr>
      <w:rFonts w:ascii="Arial" w:eastAsiaTheme="majorEastAsia" w:hAnsi="Arial" w:cstheme="maj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3763" w:themeColor="accent1" w:themeShade="7F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E12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12F3"/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3583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7DF1"/>
  </w:style>
  <w:style w:type="character" w:customStyle="1" w:styleId="DateChar">
    <w:name w:val="Date Char"/>
    <w:basedOn w:val="DefaultParagraphFont"/>
    <w:link w:val="Date"/>
    <w:uiPriority w:val="99"/>
    <w:semiHidden/>
    <w:rsid w:val="00B27DF1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D7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1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5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B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B6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B6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B6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E64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0A3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0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F0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60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F0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ci/ct/" TargetMode="External"/><Relationship Id="rId13" Type="http://schemas.openxmlformats.org/officeDocument/2006/relationships/hyperlink" Target="https://www.cde.ca.gov/ci/ma/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de.ca.gov/ci/vp/" TargetMode="External"/><Relationship Id="rId12" Type="http://schemas.openxmlformats.org/officeDocument/2006/relationships/hyperlink" Target="https://www.cde.ca.gov/ci/hs/" TargetMode="External"/><Relationship Id="rId17" Type="http://schemas.openxmlformats.org/officeDocument/2006/relationships/hyperlink" Target="https://www.cde.ca.gov/ci/f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e.ca.gov/ci/sc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e.ca.gov/ci/h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de.ca.gov/ci/pe/" TargetMode="External"/><Relationship Id="rId10" Type="http://schemas.openxmlformats.org/officeDocument/2006/relationships/hyperlink" Target="https://www.cde.ca.gov/ci/rl/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cde.ca.gov/be/st/ss/computerscicontentstds.asp" TargetMode="External"/><Relationship Id="rId14" Type="http://schemas.openxmlformats.org/officeDocument/2006/relationships/hyperlink" Target="https://www.cde.ca.gov/ci/cr/lb/schoollibstnds2017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Adoption Schedule - Curriculum Frameworks and Instructional Materials (CA Dept of Education)</vt:lpstr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Adoption Schedule - Curriculum Frameworks and Instructional Materials (CA Dept of Education)</dc:title>
  <dc:subject>Current California K–12 Content Standards, Curriculum Frameworks, and K–8 Instructional Materials Adoptions Schedule.</dc:subject>
  <dc:creator/>
  <cp:keywords/>
  <dc:description/>
  <cp:lastModifiedBy/>
  <cp:revision>1</cp:revision>
  <dcterms:created xsi:type="dcterms:W3CDTF">2023-11-16T22:10:00Z</dcterms:created>
  <dcterms:modified xsi:type="dcterms:W3CDTF">2023-11-16T22:13:00Z</dcterms:modified>
</cp:coreProperties>
</file>