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rsidR="00256E2E" w:rsidRDefault="00256E2E" w:rsidP="00E17968">
      <w:pPr>
        <w:spacing w:after="120"/>
        <w:rPr>
          <w:rFonts w:ascii="Arial" w:hAnsi="Arial" w:cs="Arial"/>
          <w:noProof/>
        </w:rPr>
      </w:pPr>
      <w:r>
        <w:rPr>
          <w:rFonts w:ascii="Arial" w:hAnsi="Arial" w:cs="Arial"/>
          <w:noProof/>
        </w:rPr>
        <w:t>Program Title</w:t>
      </w:r>
      <w:r w:rsidR="0037643D">
        <w:rPr>
          <w:rFonts w:ascii="Arial" w:hAnsi="Arial" w:cs="Arial"/>
          <w:noProof/>
        </w:rPr>
        <w:t>:</w:t>
      </w:r>
      <w:r>
        <w:rPr>
          <w:rFonts w:ascii="Arial" w:hAnsi="Arial" w:cs="Arial"/>
          <w:noProof/>
        </w:rPr>
        <w:t xml:space="preserve"> </w:t>
      </w:r>
      <w:r w:rsidRPr="009D3A59">
        <w:rPr>
          <w:rFonts w:ascii="Arial" w:hAnsi="Arial" w:cs="Arial"/>
          <w:i/>
          <w:noProof/>
        </w:rPr>
        <w:t>[Enter Program Title]</w:t>
      </w:r>
    </w:p>
    <w:p w:rsidR="004F59D8" w:rsidRDefault="00E07F57" w:rsidP="00674980">
      <w:pPr>
        <w:spacing w:after="120"/>
        <w:ind w:left="2340"/>
        <w:jc w:val="right"/>
        <w:rPr>
          <w:rFonts w:ascii="Arial" w:hAnsi="Arial" w:cs="Arial"/>
          <w:noProof/>
        </w:rPr>
      </w:pPr>
      <w:r>
        <w:rPr>
          <w:rFonts w:ascii="Arial" w:hAnsi="Arial" w:cs="Arial"/>
          <w:noProof/>
        </w:rPr>
        <w:t>A</w:t>
      </w:r>
      <w:r w:rsidR="00C05DBB">
        <w:rPr>
          <w:rFonts w:ascii="Arial" w:hAnsi="Arial" w:cs="Arial"/>
          <w:noProof/>
        </w:rPr>
        <w:t>pprov</w:t>
      </w:r>
      <w:r>
        <w:rPr>
          <w:rFonts w:ascii="Arial" w:hAnsi="Arial" w:cs="Arial"/>
          <w:noProof/>
        </w:rPr>
        <w:t>ed by</w:t>
      </w:r>
      <w:r w:rsidR="00C05DBB">
        <w:rPr>
          <w:rFonts w:ascii="Arial" w:hAnsi="Arial" w:cs="Arial"/>
          <w:noProof/>
        </w:rPr>
        <w:t xml:space="preserve"> the State Board of Education</w:t>
      </w:r>
      <w:r>
        <w:rPr>
          <w:rFonts w:ascii="Arial" w:hAnsi="Arial" w:cs="Arial"/>
          <w:noProof/>
        </w:rPr>
        <w:t xml:space="preserve"> May 8, 2020</w:t>
      </w:r>
    </w:p>
    <w:p w:rsidR="002C4F57" w:rsidRDefault="002C4F57" w:rsidP="00674980">
      <w:pPr>
        <w:spacing w:after="120"/>
        <w:ind w:left="7200"/>
        <w:jc w:val="right"/>
        <w:rPr>
          <w:rFonts w:ascii="Arial" w:hAnsi="Arial" w:cs="Arial"/>
          <w:noProof/>
        </w:rPr>
        <w:sectPr w:rsidR="002C4F57" w:rsidSect="004F59D8">
          <w:footerReference w:type="even" r:id="rId8"/>
          <w:footerReference w:type="default" r:id="rId9"/>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Page 1 of 1</w:t>
      </w:r>
      <w:r w:rsidR="00290380">
        <w:rPr>
          <w:rFonts w:ascii="Arial" w:hAnsi="Arial" w:cs="Arial"/>
          <w:noProof/>
        </w:rPr>
        <w:t>0</w:t>
      </w:r>
    </w:p>
    <w:p w:rsidR="00256E2E" w:rsidRDefault="004F59D8" w:rsidP="00E17968">
      <w:pPr>
        <w:spacing w:after="120"/>
        <w:rPr>
          <w:rFonts w:ascii="Arial" w:hAnsi="Arial" w:cs="Arial"/>
          <w:noProof/>
        </w:rPr>
      </w:pPr>
      <w:r>
        <w:rPr>
          <w:rFonts w:ascii="Arial" w:hAnsi="Arial" w:cs="Arial"/>
          <w:noProof/>
        </w:rPr>
        <w:t>Components</w:t>
      </w:r>
      <w:r w:rsidR="0037643D">
        <w:rPr>
          <w:rFonts w:ascii="Arial" w:hAnsi="Arial" w:cs="Arial"/>
          <w:noProof/>
        </w:rPr>
        <w:t>:</w:t>
      </w:r>
      <w:r>
        <w:rPr>
          <w:rFonts w:ascii="Arial" w:hAnsi="Arial" w:cs="Arial"/>
          <w:noProof/>
        </w:rPr>
        <w:t xml:space="preserve"> </w:t>
      </w:r>
      <w:r w:rsidRPr="009D3A59">
        <w:rPr>
          <w:rFonts w:ascii="Arial" w:hAnsi="Arial" w:cs="Arial"/>
          <w:i/>
          <w:noProof/>
        </w:rPr>
        <w:t>[Enter Components]</w:t>
      </w:r>
    </w:p>
    <w:p w:rsidR="00256E2E" w:rsidRDefault="00256E2E" w:rsidP="00E17968">
      <w:pPr>
        <w:spacing w:after="120"/>
        <w:rPr>
          <w:rFonts w:ascii="Arial" w:hAnsi="Arial" w:cs="Arial"/>
          <w:noProof/>
        </w:rPr>
      </w:pPr>
    </w:p>
    <w:p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rsidR="00547E01" w:rsidRDefault="00B4665E" w:rsidP="00256E2E">
      <w:pPr>
        <w:pStyle w:val="Heading1"/>
        <w:spacing w:before="360"/>
      </w:pPr>
      <w:bookmarkStart w:id="0" w:name="_GoBack"/>
      <w:r>
        <w:t xml:space="preserve">Criteria </w:t>
      </w:r>
      <w:r w:rsidR="00547E01" w:rsidRPr="00B114B1">
        <w:t xml:space="preserve">Map </w:t>
      </w:r>
      <w:r w:rsidR="00056F4E">
        <w:t>Template</w:t>
      </w:r>
      <w:r w:rsidR="00EF6410">
        <w:t>–</w:t>
      </w:r>
      <w:r w:rsidR="00547E01" w:rsidRPr="00B114B1">
        <w:t>202</w:t>
      </w:r>
      <w:r w:rsidR="00887324">
        <w:t>1</w:t>
      </w:r>
      <w:r w:rsidR="00547E01" w:rsidRPr="00B114B1">
        <w:t xml:space="preserve"> </w:t>
      </w:r>
      <w:r w:rsidR="00887324">
        <w:t>World</w:t>
      </w:r>
      <w:r w:rsidR="00547E01" w:rsidRPr="00B114B1">
        <w:t xml:space="preserve"> </w:t>
      </w:r>
      <w:r w:rsidR="00887324">
        <w:t>Languages</w:t>
      </w:r>
      <w:r w:rsidR="00547E01" w:rsidRPr="00B114B1">
        <w:t xml:space="preserve"> Adoption</w:t>
      </w:r>
    </w:p>
    <w:bookmarkEnd w:id="0"/>
    <w:p w:rsidR="00056F4E" w:rsidRPr="00EF6410" w:rsidRDefault="00056F4E" w:rsidP="00523A0A">
      <w:pPr>
        <w:spacing w:after="240"/>
        <w:jc w:val="center"/>
        <w:rPr>
          <w:rFonts w:ascii="Arial" w:hAnsi="Arial" w:cs="Arial"/>
        </w:rPr>
      </w:pPr>
      <w:r w:rsidRPr="00EF6410">
        <w:rPr>
          <w:rFonts w:ascii="Arial" w:hAnsi="Arial" w:cs="Arial"/>
        </w:rPr>
        <w:t>(Download and use to cite wher</w:t>
      </w:r>
      <w:r w:rsidR="00B4665E">
        <w:rPr>
          <w:rFonts w:ascii="Arial" w:hAnsi="Arial" w:cs="Arial"/>
        </w:rPr>
        <w:t xml:space="preserve">e instructional resources fully </w:t>
      </w:r>
      <w:r w:rsidRPr="00EF6410">
        <w:rPr>
          <w:rFonts w:ascii="Arial" w:hAnsi="Arial" w:cs="Arial"/>
        </w:rPr>
        <w:t xml:space="preserve">address each </w:t>
      </w:r>
      <w:r w:rsidR="00B4665E">
        <w:rPr>
          <w:rFonts w:ascii="Arial" w:hAnsi="Arial" w:cs="Arial"/>
        </w:rPr>
        <w:t>criterion</w:t>
      </w:r>
      <w:r w:rsidRPr="00EF6410">
        <w:rPr>
          <w:rFonts w:ascii="Arial" w:hAnsi="Arial" w:cs="Arial"/>
        </w:rPr>
        <w:t>)</w:t>
      </w:r>
    </w:p>
    <w:p w:rsidR="00A16C71" w:rsidRPr="00B114B1" w:rsidRDefault="006A767A" w:rsidP="006A767A">
      <w:pPr>
        <w:pStyle w:val="Heading2"/>
        <w:spacing w:before="480" w:after="240"/>
      </w:pPr>
      <w:r>
        <w:t>Category 1:</w:t>
      </w:r>
      <w:r w:rsidR="00A16C71" w:rsidRPr="00B114B1">
        <w:t xml:space="preserve"> </w:t>
      </w:r>
      <w:r w:rsidRPr="006A767A">
        <w:t xml:space="preserve">Alignment with the </w:t>
      </w:r>
      <w:r w:rsidRPr="00AB7962">
        <w:rPr>
          <w:i/>
          <w:iCs/>
        </w:rPr>
        <w:t>C</w:t>
      </w:r>
      <w:r w:rsidR="00E04E58" w:rsidRPr="00AB7962">
        <w:rPr>
          <w:i/>
          <w:iCs/>
        </w:rPr>
        <w:t>alifornia</w:t>
      </w:r>
      <w:r w:rsidRPr="00AB7962">
        <w:rPr>
          <w:i/>
          <w:iCs/>
        </w:rPr>
        <w:t xml:space="preserve"> </w:t>
      </w:r>
      <w:r w:rsidR="00887324" w:rsidRPr="00AB7962">
        <w:rPr>
          <w:i/>
          <w:iCs/>
        </w:rPr>
        <w:t>World Languages</w:t>
      </w:r>
      <w:r w:rsidRPr="00AB7962">
        <w:rPr>
          <w:i/>
          <w:iCs/>
        </w:rPr>
        <w:t xml:space="preserve"> Content Standards</w:t>
      </w:r>
    </w:p>
    <w:tbl>
      <w:tblPr>
        <w:tblStyle w:val="TableGrid"/>
        <w:tblW w:w="14616" w:type="dxa"/>
        <w:tblLook w:val="0020" w:firstRow="1" w:lastRow="0" w:firstColumn="0" w:lastColumn="0" w:noHBand="0" w:noVBand="0"/>
        <w:tblDescription w:val="Category 1 alignment with standards"/>
      </w:tblPr>
      <w:tblGrid>
        <w:gridCol w:w="1257"/>
        <w:gridCol w:w="4265"/>
        <w:gridCol w:w="3558"/>
        <w:gridCol w:w="630"/>
        <w:gridCol w:w="637"/>
        <w:gridCol w:w="4269"/>
      </w:tblGrid>
      <w:tr w:rsidR="00A16C71" w:rsidRPr="00346AC0" w:rsidTr="00E83725">
        <w:trPr>
          <w:cantSplit/>
          <w:trHeight w:val="211"/>
          <w:tblHeader/>
        </w:trPr>
        <w:tc>
          <w:tcPr>
            <w:tcW w:w="1257" w:type="dxa"/>
            <w:shd w:val="clear" w:color="auto" w:fill="D9D9D9" w:themeFill="background1" w:themeFillShade="D9"/>
          </w:tcPr>
          <w:p w:rsidR="00A16C71" w:rsidRPr="00346AC0" w:rsidRDefault="008D2355" w:rsidP="00A16C71">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rsidR="00A16C71" w:rsidRPr="00346AC0" w:rsidRDefault="00FB04C6" w:rsidP="008D2355">
            <w:pPr>
              <w:pStyle w:val="Heading3"/>
              <w:jc w:val="center"/>
            </w:pPr>
            <w:r>
              <w:t>World Languages</w:t>
            </w:r>
            <w:r w:rsidR="008D2355">
              <w:t xml:space="preserve"> Content/Alignment with Standards</w:t>
            </w:r>
          </w:p>
        </w:tc>
        <w:tc>
          <w:tcPr>
            <w:tcW w:w="3558" w:type="dxa"/>
            <w:shd w:val="clear" w:color="auto" w:fill="D9D9D9" w:themeFill="background1" w:themeFillShade="D9"/>
          </w:tcPr>
          <w:p w:rsidR="00A16C71" w:rsidRPr="00346AC0" w:rsidRDefault="00A16C71" w:rsidP="00A16C71">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A16C71" w:rsidRDefault="00A16C71" w:rsidP="00A16C71">
            <w:pPr>
              <w:autoSpaceDE w:val="0"/>
              <w:autoSpaceDN w:val="0"/>
              <w:adjustRightInd w:val="0"/>
              <w:jc w:val="center"/>
              <w:rPr>
                <w:rFonts w:ascii="Arial" w:hAnsi="Arial" w:cs="Arial"/>
                <w:b/>
                <w:bCs/>
                <w:noProof/>
              </w:rPr>
            </w:pPr>
            <w:r>
              <w:rPr>
                <w:rFonts w:ascii="Arial" w:hAnsi="Arial" w:cs="Arial"/>
                <w:b/>
                <w:bCs/>
                <w:noProof/>
              </w:rPr>
              <w:t>Met</w:t>
            </w:r>
          </w:p>
          <w:p w:rsidR="00A16C71" w:rsidRPr="00346AC0" w:rsidRDefault="00A16C71" w:rsidP="00A16C71">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A16C71" w:rsidRDefault="00A16C71" w:rsidP="00A16C71">
            <w:pPr>
              <w:autoSpaceDE w:val="0"/>
              <w:autoSpaceDN w:val="0"/>
              <w:adjustRightInd w:val="0"/>
              <w:jc w:val="center"/>
              <w:rPr>
                <w:rFonts w:ascii="Arial" w:hAnsi="Arial" w:cs="Arial"/>
                <w:b/>
                <w:bCs/>
                <w:noProof/>
              </w:rPr>
            </w:pPr>
            <w:r>
              <w:rPr>
                <w:rFonts w:ascii="Arial" w:hAnsi="Arial" w:cs="Arial"/>
                <w:b/>
                <w:bCs/>
                <w:noProof/>
              </w:rPr>
              <w:t>Met</w:t>
            </w:r>
          </w:p>
          <w:p w:rsidR="00A16C71" w:rsidRPr="00346AC0" w:rsidRDefault="00A16C71" w:rsidP="00A16C71">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rsidR="00A16C71" w:rsidRPr="00346AC0" w:rsidRDefault="00A16C71" w:rsidP="00A16C71">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E02DE" w:rsidRPr="00346AC0" w:rsidTr="00E83725">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1.1</w:t>
            </w:r>
          </w:p>
        </w:tc>
        <w:tc>
          <w:tcPr>
            <w:tcW w:w="4265" w:type="dxa"/>
          </w:tcPr>
          <w:p w:rsidR="00CE02DE" w:rsidRPr="00A54576" w:rsidRDefault="0061238A" w:rsidP="00CE02DE">
            <w:pPr>
              <w:spacing w:after="240"/>
              <w:rPr>
                <w:rFonts w:ascii="Arial" w:hAnsi="Arial" w:cs="Arial"/>
              </w:rPr>
            </w:pPr>
            <w:r w:rsidRPr="00A54576">
              <w:rPr>
                <w:rFonts w:ascii="Arial" w:hAnsi="Arial" w:cs="Arial"/>
              </w:rPr>
              <w:t xml:space="preserve">Instructional materials, as defined in </w:t>
            </w:r>
            <w:r w:rsidRPr="00A54576">
              <w:rPr>
                <w:rFonts w:ascii="Arial" w:hAnsi="Arial" w:cs="Arial"/>
                <w:i/>
                <w:iCs/>
              </w:rPr>
              <w:t xml:space="preserve">Education Code (EC) </w:t>
            </w:r>
            <w:r w:rsidRPr="00A54576">
              <w:rPr>
                <w:rFonts w:ascii="Arial" w:hAnsi="Arial" w:cs="Arial"/>
              </w:rPr>
              <w:t xml:space="preserve">Section 60010(h), must align to the </w:t>
            </w:r>
            <w:r>
              <w:rPr>
                <w:rFonts w:ascii="Arial" w:hAnsi="Arial" w:cs="Arial"/>
                <w:bCs/>
                <w:i/>
                <w:kern w:val="32"/>
              </w:rPr>
              <w:t>CA World Languages</w:t>
            </w:r>
            <w:r w:rsidRPr="00A54576">
              <w:rPr>
                <w:rFonts w:ascii="Arial" w:hAnsi="Arial" w:cs="Arial"/>
                <w:bCs/>
                <w:i/>
                <w:kern w:val="32"/>
              </w:rPr>
              <w:t xml:space="preserve"> Content Standards</w:t>
            </w:r>
            <w:r w:rsidRPr="00A54576">
              <w:rPr>
                <w:rFonts w:ascii="Arial" w:hAnsi="Arial" w:cs="Arial"/>
              </w:rPr>
              <w:t xml:space="preserve">, adopted by the SBE in </w:t>
            </w:r>
            <w:r w:rsidRPr="00887324">
              <w:rPr>
                <w:rFonts w:ascii="Arial" w:hAnsi="Arial" w:cs="Arial"/>
              </w:rPr>
              <w:t>January 2019</w:t>
            </w:r>
            <w:r w:rsidRPr="00A54576">
              <w:rPr>
                <w:rFonts w:ascii="Arial" w:hAnsi="Arial" w:cs="Arial"/>
              </w:rPr>
              <w:t>.</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r>
      <w:tr w:rsidR="00CE02DE" w:rsidRPr="00346AC0" w:rsidTr="00E83725">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1.2</w:t>
            </w:r>
          </w:p>
        </w:tc>
        <w:tc>
          <w:tcPr>
            <w:tcW w:w="4265" w:type="dxa"/>
          </w:tcPr>
          <w:p w:rsidR="00CE02DE" w:rsidRPr="00A54576" w:rsidRDefault="00887324" w:rsidP="00CE02DE">
            <w:pPr>
              <w:autoSpaceDE w:val="0"/>
              <w:autoSpaceDN w:val="0"/>
              <w:adjustRightInd w:val="0"/>
              <w:spacing w:after="240"/>
              <w:rPr>
                <w:rFonts w:ascii="Arial" w:hAnsi="Arial" w:cs="Arial"/>
              </w:rPr>
            </w:pPr>
            <w:r w:rsidRPr="00887324">
              <w:rPr>
                <w:rFonts w:ascii="Arial" w:hAnsi="Arial" w:cs="Arial"/>
              </w:rPr>
              <w:t xml:space="preserve">Instructional materials are consistent with the content of the </w:t>
            </w:r>
            <w:r w:rsidRPr="00F02A41">
              <w:rPr>
                <w:rFonts w:ascii="Arial" w:hAnsi="Arial" w:cs="Arial"/>
                <w:i/>
              </w:rPr>
              <w:t>World Languages Education Framework for California Public Schools, Kindergarten Through Grade Twelve</w:t>
            </w:r>
            <w:r w:rsidRPr="00887324">
              <w:rPr>
                <w:rFonts w:ascii="Arial" w:hAnsi="Arial" w:cs="Arial"/>
              </w:rPr>
              <w:t xml:space="preserve"> (</w:t>
            </w:r>
            <w:r w:rsidRPr="00F02A41">
              <w:rPr>
                <w:rFonts w:ascii="Arial" w:hAnsi="Arial" w:cs="Arial"/>
                <w:i/>
              </w:rPr>
              <w:t>WL Framework</w:t>
            </w:r>
            <w:r w:rsidRPr="00887324">
              <w:rPr>
                <w:rFonts w:ascii="Arial" w:hAnsi="Arial" w:cs="Arial"/>
              </w:rPr>
              <w:t>).</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r>
      <w:tr w:rsidR="00CE02DE" w:rsidRPr="00346AC0" w:rsidTr="00E83725">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1.3</w:t>
            </w:r>
          </w:p>
        </w:tc>
        <w:tc>
          <w:tcPr>
            <w:tcW w:w="4265" w:type="dxa"/>
          </w:tcPr>
          <w:p w:rsidR="00CE02DE" w:rsidRPr="00A54576" w:rsidRDefault="00887324" w:rsidP="00CE02DE">
            <w:pPr>
              <w:autoSpaceDE w:val="0"/>
              <w:autoSpaceDN w:val="0"/>
              <w:adjustRightInd w:val="0"/>
              <w:spacing w:after="240"/>
              <w:rPr>
                <w:rFonts w:ascii="Arial" w:hAnsi="Arial" w:cs="Arial"/>
              </w:rPr>
            </w:pPr>
            <w:r w:rsidRPr="00887324">
              <w:rPr>
                <w:rFonts w:ascii="Arial" w:hAnsi="Arial" w:cs="Arial"/>
              </w:rPr>
              <w:t xml:space="preserve">Instructional materials include approaches and activities aligned to Appendix 2 of the </w:t>
            </w:r>
            <w:r w:rsidRPr="00F02A41">
              <w:rPr>
                <w:rFonts w:ascii="Arial" w:hAnsi="Arial" w:cs="Arial"/>
                <w:i/>
              </w:rPr>
              <w:t>WL Standards</w:t>
            </w:r>
            <w:r w:rsidRPr="00887324">
              <w:rPr>
                <w:rFonts w:ascii="Arial" w:hAnsi="Arial" w:cs="Arial"/>
              </w:rPr>
              <w:t>.</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r>
      <w:tr w:rsidR="00CE02DE" w:rsidRPr="00346AC0" w:rsidTr="00E83725">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1.4</w:t>
            </w:r>
          </w:p>
        </w:tc>
        <w:tc>
          <w:tcPr>
            <w:tcW w:w="4265" w:type="dxa"/>
          </w:tcPr>
          <w:p w:rsidR="00CE02DE" w:rsidRPr="00A54576" w:rsidRDefault="00CE02DE" w:rsidP="00CE02DE">
            <w:pPr>
              <w:autoSpaceDE w:val="0"/>
              <w:autoSpaceDN w:val="0"/>
              <w:adjustRightInd w:val="0"/>
              <w:spacing w:after="240"/>
              <w:rPr>
                <w:rFonts w:ascii="Arial" w:hAnsi="Arial" w:cs="Arial"/>
              </w:rPr>
            </w:pPr>
            <w:r w:rsidRPr="00A54576">
              <w:rPr>
                <w:rFonts w:ascii="Arial" w:hAnsi="Arial" w:cs="Arial"/>
              </w:rPr>
              <w:t>Instructional materials must be consistent with current state statutes and support statutorily mandated instruction.</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r>
      <w:tr w:rsidR="00CE02DE" w:rsidRPr="00346AC0" w:rsidTr="00E83725">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1.5</w:t>
            </w:r>
          </w:p>
        </w:tc>
        <w:tc>
          <w:tcPr>
            <w:tcW w:w="4265" w:type="dxa"/>
          </w:tcPr>
          <w:p w:rsidR="00CE02DE" w:rsidRPr="00A54576" w:rsidRDefault="00CE02DE" w:rsidP="00CE02DE">
            <w:pPr>
              <w:autoSpaceDE w:val="0"/>
              <w:autoSpaceDN w:val="0"/>
              <w:adjustRightInd w:val="0"/>
              <w:spacing w:after="240"/>
              <w:rPr>
                <w:rFonts w:ascii="Arial" w:hAnsi="Arial" w:cs="Arial"/>
              </w:rPr>
            </w:pPr>
            <w:r w:rsidRPr="00A54576">
              <w:rPr>
                <w:rFonts w:ascii="Arial" w:hAnsi="Arial" w:cs="Arial"/>
              </w:rPr>
              <w:t>Instructional materials shall be accurate and use proper grammar and spelling (</w:t>
            </w:r>
            <w:r w:rsidRPr="00A54576">
              <w:rPr>
                <w:rFonts w:ascii="Arial" w:hAnsi="Arial" w:cs="Arial"/>
                <w:i/>
                <w:iCs/>
              </w:rPr>
              <w:t xml:space="preserve">EC </w:t>
            </w:r>
            <w:r w:rsidRPr="00A54576">
              <w:rPr>
                <w:rFonts w:ascii="Arial" w:hAnsi="Arial" w:cs="Arial"/>
              </w:rPr>
              <w:t>Section 60045).</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r>
      <w:tr w:rsidR="00CE02DE" w:rsidRPr="00346AC0" w:rsidTr="00E83725">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lastRenderedPageBreak/>
              <w:t>1.6</w:t>
            </w:r>
          </w:p>
        </w:tc>
        <w:tc>
          <w:tcPr>
            <w:tcW w:w="4265" w:type="dxa"/>
          </w:tcPr>
          <w:p w:rsidR="00CE02DE" w:rsidRPr="00A54576" w:rsidRDefault="00F02A41" w:rsidP="00CE02DE">
            <w:pPr>
              <w:autoSpaceDE w:val="0"/>
              <w:autoSpaceDN w:val="0"/>
              <w:adjustRightInd w:val="0"/>
              <w:spacing w:after="240"/>
              <w:rPr>
                <w:rFonts w:ascii="Arial" w:hAnsi="Arial" w:cs="Arial"/>
              </w:rPr>
            </w:pPr>
            <w:r w:rsidRPr="00530695">
              <w:rPr>
                <w:rFonts w:ascii="Arial" w:hAnsi="Arial" w:cs="Arial"/>
              </w:rPr>
              <w:t>Instructional materials include opportunities for students to develop communicative and cultural proficiency, content area knowledge, oracy, and literacy in a world language other than English</w:t>
            </w:r>
            <w:r w:rsidR="00A91FD0">
              <w:rPr>
                <w:rFonts w:ascii="Arial" w:hAnsi="Arial" w:cs="Arial"/>
              </w:rPr>
              <w:t>.</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r>
      <w:tr w:rsidR="00CE02DE" w:rsidRPr="00346AC0" w:rsidTr="00E83725">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1.7</w:t>
            </w:r>
          </w:p>
        </w:tc>
        <w:tc>
          <w:tcPr>
            <w:tcW w:w="4265" w:type="dxa"/>
          </w:tcPr>
          <w:p w:rsidR="00CE02DE" w:rsidRPr="00A54576" w:rsidRDefault="00F02A41" w:rsidP="00CE02DE">
            <w:pPr>
              <w:autoSpaceDE w:val="0"/>
              <w:autoSpaceDN w:val="0"/>
              <w:adjustRightInd w:val="0"/>
              <w:spacing w:after="240"/>
              <w:rPr>
                <w:rFonts w:ascii="Arial" w:hAnsi="Arial" w:cs="Arial"/>
              </w:rPr>
            </w:pPr>
            <w:r w:rsidRPr="00530695">
              <w:rPr>
                <w:rFonts w:ascii="Arial" w:hAnsi="Arial" w:cs="Arial"/>
              </w:rPr>
              <w:t xml:space="preserve">Instructional materials include activities for developing student proficiency in the Communications, Cultures, and Connections standards of the </w:t>
            </w:r>
            <w:r w:rsidRPr="00530695">
              <w:rPr>
                <w:rFonts w:ascii="Arial" w:hAnsi="Arial" w:cs="Arial"/>
                <w:bCs/>
                <w:i/>
                <w:kern w:val="32"/>
              </w:rPr>
              <w:t>WL Standards</w:t>
            </w:r>
            <w:r w:rsidR="00CE02DE" w:rsidRPr="00A54576">
              <w:rPr>
                <w:rFonts w:ascii="Arial" w:hAnsi="Arial" w:cs="Arial"/>
              </w:rPr>
              <w:t>.</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r>
      <w:tr w:rsidR="00CE02DE" w:rsidRPr="00346AC0" w:rsidTr="00E83725">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1.8</w:t>
            </w:r>
          </w:p>
        </w:tc>
        <w:tc>
          <w:tcPr>
            <w:tcW w:w="4265" w:type="dxa"/>
          </w:tcPr>
          <w:p w:rsidR="00CE02DE" w:rsidRPr="00A54576" w:rsidRDefault="00F02A41" w:rsidP="00CE02DE">
            <w:pPr>
              <w:autoSpaceDE w:val="0"/>
              <w:autoSpaceDN w:val="0"/>
              <w:adjustRightInd w:val="0"/>
              <w:spacing w:after="240"/>
              <w:rPr>
                <w:rFonts w:ascii="Arial" w:hAnsi="Arial" w:cs="Arial"/>
              </w:rPr>
            </w:pPr>
            <w:r w:rsidRPr="00F02A41">
              <w:rPr>
                <w:rFonts w:ascii="Arial" w:hAnsi="Arial" w:cs="Arial"/>
              </w:rPr>
              <w:t>Instructional materials examine humanity’s place in ecological systems and the necessity for the protection of the environment (</w:t>
            </w:r>
            <w:r w:rsidR="0061238A" w:rsidRPr="00F02A41">
              <w:rPr>
                <w:rFonts w:ascii="Arial" w:hAnsi="Arial" w:cs="Arial"/>
              </w:rPr>
              <w:t xml:space="preserve">Education Code </w:t>
            </w:r>
            <w:r w:rsidRPr="00F02A41">
              <w:rPr>
                <w:rFonts w:ascii="Arial" w:hAnsi="Arial" w:cs="Arial"/>
              </w:rPr>
              <w:t xml:space="preserve">Section 60041) and include instructional content based on the California Environmental Principles and Concepts developed by the California Environmental Protection Agency and adopted by the </w:t>
            </w:r>
            <w:r w:rsidR="005C148A" w:rsidRPr="00F02A41">
              <w:rPr>
                <w:rFonts w:ascii="Arial" w:hAnsi="Arial" w:cs="Arial"/>
              </w:rPr>
              <w:t>State Board of</w:t>
            </w:r>
            <w:r w:rsidR="005C148A">
              <w:rPr>
                <w:rFonts w:ascii="Arial" w:hAnsi="Arial" w:cs="Arial"/>
              </w:rPr>
              <w:t xml:space="preserve"> </w:t>
            </w:r>
            <w:r w:rsidR="005C148A" w:rsidRPr="00F02A41">
              <w:rPr>
                <w:rFonts w:ascii="Arial" w:hAnsi="Arial" w:cs="Arial"/>
              </w:rPr>
              <w:t xml:space="preserve">Education </w:t>
            </w:r>
            <w:r w:rsidRPr="00F02A41">
              <w:rPr>
                <w:rFonts w:ascii="Arial" w:hAnsi="Arial" w:cs="Arial"/>
              </w:rPr>
              <w:t>(</w:t>
            </w:r>
            <w:r w:rsidRPr="00F02A41">
              <w:rPr>
                <w:rFonts w:ascii="Arial" w:hAnsi="Arial" w:cs="Arial"/>
                <w:i/>
              </w:rPr>
              <w:t>Public Resources Code</w:t>
            </w:r>
            <w:r w:rsidRPr="00F02A41">
              <w:rPr>
                <w:rFonts w:ascii="Arial" w:hAnsi="Arial" w:cs="Arial"/>
              </w:rPr>
              <w:t xml:space="preserve"> Section 71301) where appropriate and aligned to the </w:t>
            </w:r>
            <w:r w:rsidRPr="00F02A41">
              <w:rPr>
                <w:rFonts w:ascii="Arial" w:hAnsi="Arial" w:cs="Arial"/>
                <w:i/>
              </w:rPr>
              <w:t>WL Standards</w:t>
            </w:r>
            <w:r>
              <w:rPr>
                <w:rFonts w:ascii="Arial" w:hAnsi="Arial" w:cs="Arial"/>
              </w:rPr>
              <w:t>.</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rsidR="00CE02DE" w:rsidRPr="00346AC0" w:rsidRDefault="00CE02DE" w:rsidP="00CE02DE">
            <w:pPr>
              <w:autoSpaceDE w:val="0"/>
              <w:autoSpaceDN w:val="0"/>
              <w:adjustRightInd w:val="0"/>
              <w:rPr>
                <w:rFonts w:ascii="Arial" w:hAnsi="Arial" w:cs="Arial"/>
                <w:noProof/>
              </w:rPr>
            </w:pPr>
          </w:p>
        </w:tc>
      </w:tr>
    </w:tbl>
    <w:p w:rsidR="002C4F57" w:rsidRDefault="002C4F57">
      <w:pPr>
        <w:rPr>
          <w:rFonts w:ascii="Arial" w:hAnsi="Arial" w:cs="Arial"/>
          <w:b/>
          <w:noProof/>
          <w:sz w:val="28"/>
          <w:szCs w:val="28"/>
        </w:rPr>
      </w:pPr>
      <w:r>
        <w:br w:type="page"/>
      </w:r>
    </w:p>
    <w:p w:rsidR="008D2355" w:rsidRPr="00B114B1" w:rsidRDefault="008D2355" w:rsidP="008D2355">
      <w:pPr>
        <w:pStyle w:val="Heading2"/>
        <w:spacing w:before="480" w:after="240"/>
      </w:pPr>
      <w:r>
        <w:lastRenderedPageBreak/>
        <w:t>Category 2:</w:t>
      </w:r>
      <w:r w:rsidRPr="00B114B1">
        <w:t xml:space="preserve"> </w:t>
      </w:r>
      <w:r>
        <w:t>Program Organization</w:t>
      </w:r>
    </w:p>
    <w:tbl>
      <w:tblPr>
        <w:tblStyle w:val="TableGrid"/>
        <w:tblW w:w="14616" w:type="dxa"/>
        <w:tblLook w:val="0020" w:firstRow="1" w:lastRow="0" w:firstColumn="0" w:lastColumn="0" w:noHBand="0" w:noVBand="0"/>
        <w:tblDescription w:val="Category 2 alignment with program organization"/>
      </w:tblPr>
      <w:tblGrid>
        <w:gridCol w:w="1257"/>
        <w:gridCol w:w="4265"/>
        <w:gridCol w:w="3558"/>
        <w:gridCol w:w="630"/>
        <w:gridCol w:w="637"/>
        <w:gridCol w:w="4269"/>
      </w:tblGrid>
      <w:tr w:rsidR="008D2355" w:rsidRPr="00346AC0" w:rsidTr="00F830AE">
        <w:trPr>
          <w:cantSplit/>
          <w:trHeight w:val="211"/>
          <w:tblHeader/>
        </w:trPr>
        <w:tc>
          <w:tcPr>
            <w:tcW w:w="1257"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rsidR="008D2355" w:rsidRPr="00346AC0" w:rsidRDefault="008D2355" w:rsidP="008D2355">
            <w:pPr>
              <w:pStyle w:val="Heading3"/>
              <w:jc w:val="center"/>
            </w:pPr>
            <w:r>
              <w:t>Program Organization</w:t>
            </w:r>
          </w:p>
        </w:tc>
        <w:tc>
          <w:tcPr>
            <w:tcW w:w="3558"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2.1</w:t>
            </w:r>
          </w:p>
        </w:tc>
        <w:tc>
          <w:tcPr>
            <w:tcW w:w="4265" w:type="dxa"/>
          </w:tcPr>
          <w:p w:rsidR="008B6F4C" w:rsidRPr="00AA59F7" w:rsidRDefault="00AA59F7" w:rsidP="008B6F4C">
            <w:pPr>
              <w:autoSpaceDE w:val="0"/>
              <w:autoSpaceDN w:val="0"/>
              <w:adjustRightInd w:val="0"/>
              <w:spacing w:after="240"/>
              <w:rPr>
                <w:rFonts w:ascii="Arial" w:hAnsi="Arial" w:cs="Arial"/>
              </w:rPr>
            </w:pPr>
            <w:r w:rsidRPr="00AA59F7">
              <w:rPr>
                <w:rFonts w:ascii="Arial" w:hAnsi="Arial" w:cs="Arial"/>
              </w:rPr>
              <w:t xml:space="preserve">An organization that provides a logical and coherent structure to facilitate efficient and effective teaching and learning within the lesson, unit, and grade level or grade span, consistent with the guidance in the </w:t>
            </w:r>
            <w:r w:rsidRPr="00AA59F7">
              <w:rPr>
                <w:rFonts w:ascii="Arial" w:hAnsi="Arial" w:cs="Arial"/>
                <w:i/>
              </w:rPr>
              <w:t>WL Framework</w:t>
            </w:r>
            <w:r w:rsidR="00F6257C">
              <w:rPr>
                <w:rFonts w:ascii="Arial" w:hAnsi="Arial" w:cs="Arial"/>
                <w:i/>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2.2</w:t>
            </w:r>
          </w:p>
        </w:tc>
        <w:tc>
          <w:tcPr>
            <w:tcW w:w="4265" w:type="dxa"/>
          </w:tcPr>
          <w:p w:rsidR="008B6F4C" w:rsidRPr="00AA59F7" w:rsidRDefault="00AA59F7" w:rsidP="000F6DA1">
            <w:pPr>
              <w:autoSpaceDE w:val="0"/>
              <w:autoSpaceDN w:val="0"/>
              <w:adjustRightInd w:val="0"/>
              <w:spacing w:after="240"/>
              <w:rPr>
                <w:rFonts w:ascii="Arial" w:hAnsi="Arial" w:cs="Arial"/>
              </w:rPr>
            </w:pPr>
            <w:r w:rsidRPr="00AA59F7">
              <w:rPr>
                <w:rFonts w:ascii="Arial" w:hAnsi="Arial" w:cs="Arial"/>
              </w:rPr>
              <w:t>Tables of contents, indexes, glossaries, electronic-based resources, support materials, content summaries, and assessment guides designed to help teachers, parents or guardians, and students navigate the program</w:t>
            </w:r>
            <w:r w:rsidR="00F6257C">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2.3</w:t>
            </w:r>
          </w:p>
        </w:tc>
        <w:tc>
          <w:tcPr>
            <w:tcW w:w="4265" w:type="dxa"/>
          </w:tcPr>
          <w:p w:rsidR="008B6F4C" w:rsidRPr="00A54576" w:rsidRDefault="00AA59F7" w:rsidP="008B6F4C">
            <w:pPr>
              <w:autoSpaceDE w:val="0"/>
              <w:autoSpaceDN w:val="0"/>
              <w:adjustRightInd w:val="0"/>
              <w:spacing w:after="240"/>
              <w:rPr>
                <w:rFonts w:cs="Arial"/>
              </w:rPr>
            </w:pPr>
            <w:r w:rsidRPr="00AA59F7">
              <w:rPr>
                <w:rFonts w:ascii="Arial" w:hAnsi="Arial" w:cs="Arial"/>
              </w:rPr>
              <w:t xml:space="preserve">An overview of the content in each chapter or unit that describes how it supports instruction and learning of the </w:t>
            </w:r>
            <w:r w:rsidRPr="00AA59F7">
              <w:rPr>
                <w:rFonts w:ascii="Arial" w:hAnsi="Arial" w:cs="Arial"/>
                <w:i/>
              </w:rPr>
              <w:t>WL Standards</w:t>
            </w:r>
            <w:r w:rsidR="00F6257C">
              <w:rPr>
                <w:rFonts w:ascii="Arial" w:hAnsi="Arial" w:cs="Arial"/>
                <w:i/>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2.4</w:t>
            </w:r>
          </w:p>
        </w:tc>
        <w:tc>
          <w:tcPr>
            <w:tcW w:w="4265" w:type="dxa"/>
          </w:tcPr>
          <w:p w:rsidR="008B6F4C" w:rsidRPr="00A54576" w:rsidRDefault="00460ED5" w:rsidP="008B6F4C">
            <w:pPr>
              <w:autoSpaceDE w:val="0"/>
              <w:autoSpaceDN w:val="0"/>
              <w:adjustRightInd w:val="0"/>
              <w:spacing w:after="240"/>
              <w:rPr>
                <w:rFonts w:cs="Arial"/>
              </w:rPr>
            </w:pPr>
            <w:r w:rsidRPr="00460ED5">
              <w:rPr>
                <w:rFonts w:ascii="Arial" w:hAnsi="Arial" w:cs="Arial"/>
              </w:rPr>
              <w:t>An overview of the content in each chapter or unit that outlines the world languages concepts and skills to be developed</w:t>
            </w:r>
            <w:r w:rsidR="00F6257C">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2.5</w:t>
            </w:r>
          </w:p>
        </w:tc>
        <w:tc>
          <w:tcPr>
            <w:tcW w:w="4265" w:type="dxa"/>
          </w:tcPr>
          <w:p w:rsidR="008B6F4C" w:rsidRPr="00F6257C" w:rsidRDefault="00F6257C" w:rsidP="00D40AFF">
            <w:pPr>
              <w:autoSpaceDE w:val="0"/>
              <w:autoSpaceDN w:val="0"/>
              <w:adjustRightInd w:val="0"/>
              <w:rPr>
                <w:rFonts w:ascii="Arial" w:hAnsi="Arial" w:cs="Arial"/>
              </w:rPr>
            </w:pPr>
            <w:r w:rsidRPr="00F6257C">
              <w:rPr>
                <w:rFonts w:ascii="Arial" w:hAnsi="Arial" w:cs="Arial"/>
              </w:rPr>
              <w:t>Graphics (pictures, maps, world languages) that are accurate, are well annotated or labeled, and enhance students’ focus and understanding of the content</w:t>
            </w:r>
            <w:r>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2.6</w:t>
            </w:r>
          </w:p>
        </w:tc>
        <w:tc>
          <w:tcPr>
            <w:tcW w:w="4265" w:type="dxa"/>
          </w:tcPr>
          <w:p w:rsidR="008B6F4C" w:rsidRPr="00A54576" w:rsidRDefault="00FB04C6" w:rsidP="00F6257C">
            <w:pPr>
              <w:autoSpaceDE w:val="0"/>
              <w:autoSpaceDN w:val="0"/>
              <w:adjustRightInd w:val="0"/>
              <w:spacing w:after="240"/>
              <w:rPr>
                <w:rFonts w:cs="Arial"/>
              </w:rPr>
            </w:pPr>
            <w:r w:rsidRPr="00FB04C6">
              <w:rPr>
                <w:rFonts w:ascii="Arial" w:hAnsi="Arial" w:cs="Arial"/>
              </w:rPr>
              <w:t xml:space="preserve">Support materials that are an integral part of the instructional program and are clearly aligned with the </w:t>
            </w:r>
            <w:r w:rsidRPr="00FB04C6">
              <w:rPr>
                <w:rFonts w:ascii="Arial" w:hAnsi="Arial" w:cs="Arial"/>
                <w:i/>
              </w:rPr>
              <w:t>WL Standards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2.7</w:t>
            </w:r>
          </w:p>
        </w:tc>
        <w:tc>
          <w:tcPr>
            <w:tcW w:w="4265" w:type="dxa"/>
          </w:tcPr>
          <w:p w:rsidR="008B6F4C" w:rsidRPr="00A54576" w:rsidRDefault="00F6257C" w:rsidP="008B6F4C">
            <w:pPr>
              <w:spacing w:after="240"/>
              <w:rPr>
                <w:rFonts w:cs="Arial"/>
              </w:rPr>
            </w:pPr>
            <w:r w:rsidRPr="00F6257C">
              <w:rPr>
                <w:rFonts w:ascii="Arial" w:hAnsi="Arial" w:cs="Arial"/>
              </w:rPr>
              <w:t xml:space="preserve">A well-organized structure that provides students with opportunities to achieve proficiency and/or the grade-level or grade-span </w:t>
            </w:r>
            <w:r w:rsidR="008B6F4C" w:rsidRPr="00A54576">
              <w:rPr>
                <w:rFonts w:ascii="Arial" w:hAnsi="Arial" w:cs="Arial"/>
              </w:rPr>
              <w:t>standards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6307A3" w:rsidRPr="00346AC0" w:rsidTr="00F830AE">
        <w:trPr>
          <w:cantSplit/>
        </w:trPr>
        <w:tc>
          <w:tcPr>
            <w:tcW w:w="1257" w:type="dxa"/>
          </w:tcPr>
          <w:p w:rsidR="006307A3" w:rsidRDefault="006307A3" w:rsidP="008B6F4C">
            <w:pPr>
              <w:autoSpaceDE w:val="0"/>
              <w:autoSpaceDN w:val="0"/>
              <w:adjustRightInd w:val="0"/>
              <w:spacing w:before="40"/>
              <w:jc w:val="center"/>
              <w:rPr>
                <w:rFonts w:ascii="Arial" w:hAnsi="Arial" w:cs="Arial"/>
                <w:noProof/>
              </w:rPr>
            </w:pPr>
            <w:r>
              <w:rPr>
                <w:rFonts w:ascii="Arial" w:hAnsi="Arial" w:cs="Arial"/>
                <w:noProof/>
              </w:rPr>
              <w:t>2.8</w:t>
            </w:r>
          </w:p>
        </w:tc>
        <w:tc>
          <w:tcPr>
            <w:tcW w:w="4265" w:type="dxa"/>
          </w:tcPr>
          <w:p w:rsidR="006307A3" w:rsidRPr="00F6257C" w:rsidRDefault="006307A3" w:rsidP="008B6F4C">
            <w:pPr>
              <w:spacing w:after="240"/>
              <w:rPr>
                <w:rFonts w:ascii="Arial" w:hAnsi="Arial" w:cs="Arial"/>
              </w:rPr>
            </w:pPr>
            <w:r w:rsidRPr="006307A3">
              <w:rPr>
                <w:rFonts w:ascii="Arial" w:hAnsi="Arial" w:cs="Arial"/>
              </w:rPr>
              <w:t>A well-organized structure that provides opportunities for students to build on knowledge and proficiencies developed through previous language study and/or through immersion</w:t>
            </w:r>
            <w:r>
              <w:rPr>
                <w:rFonts w:ascii="Arial" w:hAnsi="Arial" w:cs="Arial"/>
              </w:rPr>
              <w:t xml:space="preserve"> programs.</w:t>
            </w:r>
          </w:p>
        </w:tc>
        <w:tc>
          <w:tcPr>
            <w:tcW w:w="3558" w:type="dxa"/>
          </w:tcPr>
          <w:p w:rsidR="006307A3" w:rsidRPr="00346AC0" w:rsidRDefault="006307A3" w:rsidP="008B6F4C">
            <w:pPr>
              <w:autoSpaceDE w:val="0"/>
              <w:autoSpaceDN w:val="0"/>
              <w:adjustRightInd w:val="0"/>
              <w:rPr>
                <w:rFonts w:ascii="Arial" w:hAnsi="Arial" w:cs="Arial"/>
                <w:noProof/>
              </w:rPr>
            </w:pPr>
          </w:p>
        </w:tc>
        <w:tc>
          <w:tcPr>
            <w:tcW w:w="630"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c>
          <w:tcPr>
            <w:tcW w:w="637"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c>
          <w:tcPr>
            <w:tcW w:w="4269"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r>
      <w:tr w:rsidR="006307A3" w:rsidRPr="00346AC0" w:rsidTr="00F830AE">
        <w:trPr>
          <w:cantSplit/>
        </w:trPr>
        <w:tc>
          <w:tcPr>
            <w:tcW w:w="1257" w:type="dxa"/>
          </w:tcPr>
          <w:p w:rsidR="006307A3" w:rsidRDefault="006307A3" w:rsidP="008B6F4C">
            <w:pPr>
              <w:autoSpaceDE w:val="0"/>
              <w:autoSpaceDN w:val="0"/>
              <w:adjustRightInd w:val="0"/>
              <w:spacing w:before="40"/>
              <w:jc w:val="center"/>
              <w:rPr>
                <w:rFonts w:ascii="Arial" w:hAnsi="Arial" w:cs="Arial"/>
                <w:noProof/>
              </w:rPr>
            </w:pPr>
            <w:r>
              <w:rPr>
                <w:rFonts w:ascii="Arial" w:hAnsi="Arial" w:cs="Arial"/>
                <w:noProof/>
              </w:rPr>
              <w:t>2.9</w:t>
            </w:r>
          </w:p>
        </w:tc>
        <w:tc>
          <w:tcPr>
            <w:tcW w:w="4265" w:type="dxa"/>
          </w:tcPr>
          <w:p w:rsidR="006307A3" w:rsidRPr="00F6257C" w:rsidRDefault="006307A3" w:rsidP="008B6F4C">
            <w:pPr>
              <w:spacing w:after="240"/>
              <w:rPr>
                <w:rFonts w:ascii="Arial" w:hAnsi="Arial" w:cs="Arial"/>
              </w:rPr>
            </w:pPr>
            <w:r w:rsidRPr="006307A3">
              <w:rPr>
                <w:rFonts w:ascii="Arial" w:hAnsi="Arial" w:cs="Arial"/>
              </w:rPr>
              <w:t xml:space="preserve">Effective articulation between courses allowing for multiple entry points in a variety of course and program models beginning in </w:t>
            </w:r>
            <w:r w:rsidR="005C148A">
              <w:rPr>
                <w:rFonts w:ascii="Arial" w:hAnsi="Arial" w:cs="Arial"/>
              </w:rPr>
              <w:t>K</w:t>
            </w:r>
            <w:r w:rsidRPr="006307A3">
              <w:rPr>
                <w:rFonts w:ascii="Arial" w:hAnsi="Arial" w:cs="Arial"/>
              </w:rPr>
              <w:t>indergarten and continuing through grade</w:t>
            </w:r>
            <w:r>
              <w:rPr>
                <w:rFonts w:ascii="Arial" w:hAnsi="Arial" w:cs="Arial"/>
              </w:rPr>
              <w:t xml:space="preserve"> twelve.</w:t>
            </w:r>
          </w:p>
        </w:tc>
        <w:tc>
          <w:tcPr>
            <w:tcW w:w="3558" w:type="dxa"/>
          </w:tcPr>
          <w:p w:rsidR="006307A3" w:rsidRPr="00346AC0" w:rsidRDefault="006307A3" w:rsidP="008B6F4C">
            <w:pPr>
              <w:autoSpaceDE w:val="0"/>
              <w:autoSpaceDN w:val="0"/>
              <w:adjustRightInd w:val="0"/>
              <w:rPr>
                <w:rFonts w:ascii="Arial" w:hAnsi="Arial" w:cs="Arial"/>
                <w:noProof/>
              </w:rPr>
            </w:pPr>
          </w:p>
        </w:tc>
        <w:tc>
          <w:tcPr>
            <w:tcW w:w="630"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c>
          <w:tcPr>
            <w:tcW w:w="637"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c>
          <w:tcPr>
            <w:tcW w:w="4269"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r>
      <w:tr w:rsidR="006307A3" w:rsidRPr="00346AC0" w:rsidTr="00F830AE">
        <w:trPr>
          <w:cantSplit/>
        </w:trPr>
        <w:tc>
          <w:tcPr>
            <w:tcW w:w="1257" w:type="dxa"/>
          </w:tcPr>
          <w:p w:rsidR="006307A3" w:rsidRDefault="006307A3" w:rsidP="008B6F4C">
            <w:pPr>
              <w:autoSpaceDE w:val="0"/>
              <w:autoSpaceDN w:val="0"/>
              <w:adjustRightInd w:val="0"/>
              <w:spacing w:before="40"/>
              <w:jc w:val="center"/>
              <w:rPr>
                <w:rFonts w:ascii="Arial" w:hAnsi="Arial" w:cs="Arial"/>
                <w:noProof/>
              </w:rPr>
            </w:pPr>
            <w:r>
              <w:rPr>
                <w:rFonts w:ascii="Arial" w:hAnsi="Arial" w:cs="Arial"/>
                <w:noProof/>
              </w:rPr>
              <w:t>2.10</w:t>
            </w:r>
          </w:p>
        </w:tc>
        <w:tc>
          <w:tcPr>
            <w:tcW w:w="4265" w:type="dxa"/>
          </w:tcPr>
          <w:p w:rsidR="006307A3" w:rsidRPr="00F6257C" w:rsidRDefault="006307A3" w:rsidP="008B6F4C">
            <w:pPr>
              <w:spacing w:after="240"/>
              <w:rPr>
                <w:rFonts w:ascii="Arial" w:hAnsi="Arial" w:cs="Arial"/>
              </w:rPr>
            </w:pPr>
            <w:r w:rsidRPr="006307A3">
              <w:rPr>
                <w:rFonts w:ascii="Arial" w:hAnsi="Arial" w:cs="Arial"/>
              </w:rPr>
              <w:t>A list of the expectations for student proficiency in the standards in the teacher’s guide together with page number citations or other references that demonstrate alignment with the content</w:t>
            </w:r>
            <w:r>
              <w:rPr>
                <w:rFonts w:ascii="Arial" w:hAnsi="Arial" w:cs="Arial"/>
              </w:rPr>
              <w:t xml:space="preserve"> standards.</w:t>
            </w:r>
          </w:p>
        </w:tc>
        <w:tc>
          <w:tcPr>
            <w:tcW w:w="3558" w:type="dxa"/>
          </w:tcPr>
          <w:p w:rsidR="006307A3" w:rsidRPr="00346AC0" w:rsidRDefault="006307A3" w:rsidP="008B6F4C">
            <w:pPr>
              <w:autoSpaceDE w:val="0"/>
              <w:autoSpaceDN w:val="0"/>
              <w:adjustRightInd w:val="0"/>
              <w:rPr>
                <w:rFonts w:ascii="Arial" w:hAnsi="Arial" w:cs="Arial"/>
                <w:noProof/>
              </w:rPr>
            </w:pPr>
          </w:p>
        </w:tc>
        <w:tc>
          <w:tcPr>
            <w:tcW w:w="630"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c>
          <w:tcPr>
            <w:tcW w:w="637"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c>
          <w:tcPr>
            <w:tcW w:w="4269"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r>
      <w:tr w:rsidR="006307A3" w:rsidRPr="00346AC0" w:rsidTr="00F830AE">
        <w:trPr>
          <w:cantSplit/>
        </w:trPr>
        <w:tc>
          <w:tcPr>
            <w:tcW w:w="1257" w:type="dxa"/>
          </w:tcPr>
          <w:p w:rsidR="006307A3" w:rsidRDefault="006307A3" w:rsidP="008B6F4C">
            <w:pPr>
              <w:autoSpaceDE w:val="0"/>
              <w:autoSpaceDN w:val="0"/>
              <w:adjustRightInd w:val="0"/>
              <w:spacing w:before="40"/>
              <w:jc w:val="center"/>
              <w:rPr>
                <w:rFonts w:ascii="Arial" w:hAnsi="Arial" w:cs="Arial"/>
                <w:noProof/>
              </w:rPr>
            </w:pPr>
            <w:r>
              <w:rPr>
                <w:rFonts w:ascii="Arial" w:hAnsi="Arial" w:cs="Arial"/>
                <w:noProof/>
              </w:rPr>
              <w:t>2.11</w:t>
            </w:r>
          </w:p>
        </w:tc>
        <w:tc>
          <w:tcPr>
            <w:tcW w:w="4265" w:type="dxa"/>
          </w:tcPr>
          <w:p w:rsidR="006307A3" w:rsidRPr="00F6257C" w:rsidRDefault="00166AB3" w:rsidP="008B6F4C">
            <w:pPr>
              <w:spacing w:after="240"/>
              <w:rPr>
                <w:rFonts w:ascii="Arial" w:hAnsi="Arial" w:cs="Arial"/>
              </w:rPr>
            </w:pPr>
            <w:r w:rsidRPr="00166AB3">
              <w:rPr>
                <w:rFonts w:ascii="Arial" w:hAnsi="Arial" w:cs="Arial"/>
              </w:rPr>
              <w:t>To the extent possible, the content, including grammar descriptions, are presented in the target</w:t>
            </w:r>
            <w:r>
              <w:rPr>
                <w:rFonts w:ascii="Arial" w:hAnsi="Arial" w:cs="Arial"/>
              </w:rPr>
              <w:t xml:space="preserve"> language.</w:t>
            </w:r>
          </w:p>
        </w:tc>
        <w:tc>
          <w:tcPr>
            <w:tcW w:w="3558" w:type="dxa"/>
          </w:tcPr>
          <w:p w:rsidR="006307A3" w:rsidRPr="00346AC0" w:rsidRDefault="006307A3" w:rsidP="008B6F4C">
            <w:pPr>
              <w:autoSpaceDE w:val="0"/>
              <w:autoSpaceDN w:val="0"/>
              <w:adjustRightInd w:val="0"/>
              <w:rPr>
                <w:rFonts w:ascii="Arial" w:hAnsi="Arial" w:cs="Arial"/>
                <w:noProof/>
              </w:rPr>
            </w:pPr>
          </w:p>
        </w:tc>
        <w:tc>
          <w:tcPr>
            <w:tcW w:w="630"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c>
          <w:tcPr>
            <w:tcW w:w="637"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c>
          <w:tcPr>
            <w:tcW w:w="4269" w:type="dxa"/>
            <w:shd w:val="clear" w:color="auto" w:fill="D9D9D9" w:themeFill="background1" w:themeFillShade="D9"/>
          </w:tcPr>
          <w:p w:rsidR="006307A3" w:rsidRPr="00346AC0" w:rsidRDefault="006307A3" w:rsidP="008B6F4C">
            <w:pPr>
              <w:autoSpaceDE w:val="0"/>
              <w:autoSpaceDN w:val="0"/>
              <w:adjustRightInd w:val="0"/>
              <w:rPr>
                <w:rFonts w:ascii="Arial" w:hAnsi="Arial" w:cs="Arial"/>
                <w:noProof/>
              </w:rPr>
            </w:pPr>
          </w:p>
        </w:tc>
      </w:tr>
    </w:tbl>
    <w:p w:rsidR="008D2355" w:rsidRPr="00B114B1" w:rsidRDefault="008D2355" w:rsidP="008D2355">
      <w:pPr>
        <w:pStyle w:val="Heading2"/>
        <w:spacing w:before="480" w:after="240"/>
      </w:pPr>
      <w:r>
        <w:lastRenderedPageBreak/>
        <w:t>Category 3:</w:t>
      </w:r>
      <w:r w:rsidRPr="00B114B1">
        <w:t xml:space="preserve"> </w:t>
      </w:r>
      <w:r w:rsidRPr="006A767A">
        <w:t>A</w:t>
      </w:r>
      <w:r>
        <w:t>ssessment</w:t>
      </w:r>
    </w:p>
    <w:tbl>
      <w:tblPr>
        <w:tblStyle w:val="TableGrid"/>
        <w:tblW w:w="14616" w:type="dxa"/>
        <w:tblLook w:val="0020" w:firstRow="1" w:lastRow="0" w:firstColumn="0" w:lastColumn="0" w:noHBand="0" w:noVBand="0"/>
        <w:tblDescription w:val="Category 3 alignment with assessment"/>
      </w:tblPr>
      <w:tblGrid>
        <w:gridCol w:w="1257"/>
        <w:gridCol w:w="4265"/>
        <w:gridCol w:w="3558"/>
        <w:gridCol w:w="630"/>
        <w:gridCol w:w="637"/>
        <w:gridCol w:w="4269"/>
      </w:tblGrid>
      <w:tr w:rsidR="008D2355" w:rsidRPr="00346AC0" w:rsidTr="00F830AE">
        <w:trPr>
          <w:cantSplit/>
          <w:trHeight w:val="211"/>
          <w:tblHeader/>
        </w:trPr>
        <w:tc>
          <w:tcPr>
            <w:tcW w:w="1257"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rsidR="008D2355" w:rsidRPr="00346AC0" w:rsidRDefault="008D2355" w:rsidP="008D2355">
            <w:pPr>
              <w:pStyle w:val="Heading3"/>
              <w:jc w:val="center"/>
            </w:pPr>
            <w:r>
              <w:t>Assessment</w:t>
            </w:r>
          </w:p>
        </w:tc>
        <w:tc>
          <w:tcPr>
            <w:tcW w:w="3558"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3.1</w:t>
            </w:r>
          </w:p>
        </w:tc>
        <w:tc>
          <w:tcPr>
            <w:tcW w:w="4265" w:type="dxa"/>
          </w:tcPr>
          <w:p w:rsidR="008B6F4C" w:rsidRPr="00A048D9" w:rsidRDefault="00BC31C2" w:rsidP="008B6F4C">
            <w:pPr>
              <w:autoSpaceDE w:val="0"/>
              <w:autoSpaceDN w:val="0"/>
              <w:adjustRightInd w:val="0"/>
              <w:spacing w:after="240"/>
              <w:rPr>
                <w:rFonts w:cs="Arial"/>
              </w:rPr>
            </w:pPr>
            <w:r w:rsidRPr="00BC31C2">
              <w:rPr>
                <w:rFonts w:ascii="Arial" w:hAnsi="Arial" w:cs="Arial"/>
              </w:rPr>
              <w:t>Strategies or instruments that teachers can use to determine students’ prior knowledge of culture and appropriate academic content and communicative, cultural and intercultural</w:t>
            </w:r>
            <w:r>
              <w:rPr>
                <w:rFonts w:ascii="Arial" w:hAnsi="Arial" w:cs="Arial"/>
              </w:rPr>
              <w:t xml:space="preserve"> proficiencies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3.2</w:t>
            </w:r>
          </w:p>
        </w:tc>
        <w:tc>
          <w:tcPr>
            <w:tcW w:w="4265" w:type="dxa"/>
          </w:tcPr>
          <w:p w:rsidR="008B6F4C" w:rsidRPr="00A048D9" w:rsidRDefault="00BC31C2" w:rsidP="00D15A9B">
            <w:pPr>
              <w:autoSpaceDE w:val="0"/>
              <w:autoSpaceDN w:val="0"/>
              <w:adjustRightInd w:val="0"/>
              <w:spacing w:after="240"/>
              <w:rPr>
                <w:rFonts w:cs="Arial"/>
              </w:rPr>
            </w:pPr>
            <w:r w:rsidRPr="00BC31C2">
              <w:rPr>
                <w:rFonts w:ascii="Arial" w:hAnsi="Arial" w:cs="Arial"/>
              </w:rPr>
              <w:t>A broad array of diagnostic, formative, and summative assessment strategies that allow students to demonstrate what they know, understand, and are able to</w:t>
            </w:r>
            <w:r>
              <w:rPr>
                <w:rFonts w:ascii="Arial" w:hAnsi="Arial" w:cs="Arial"/>
              </w:rPr>
              <w:t xml:space="preserve"> do</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3.3</w:t>
            </w:r>
          </w:p>
        </w:tc>
        <w:tc>
          <w:tcPr>
            <w:tcW w:w="4265" w:type="dxa"/>
          </w:tcPr>
          <w:p w:rsidR="008B6F4C" w:rsidRPr="00A048D9" w:rsidRDefault="00653FE1" w:rsidP="00D15A9B">
            <w:pPr>
              <w:autoSpaceDE w:val="0"/>
              <w:autoSpaceDN w:val="0"/>
              <w:adjustRightInd w:val="0"/>
              <w:spacing w:after="240"/>
              <w:rPr>
                <w:rFonts w:cs="Arial"/>
              </w:rPr>
            </w:pPr>
            <w:r w:rsidRPr="00653FE1">
              <w:rPr>
                <w:rFonts w:ascii="Arial" w:hAnsi="Arial" w:cs="Arial"/>
              </w:rPr>
              <w:t>High quality standards-based placement and exit assessments to help determine appropriate instructional level for entry into and exit from a course or</w:t>
            </w:r>
            <w:r>
              <w:rPr>
                <w:rFonts w:ascii="Arial" w:hAnsi="Arial" w:cs="Arial"/>
              </w:rPr>
              <w:t xml:space="preserve"> program</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3.4</w:t>
            </w:r>
          </w:p>
        </w:tc>
        <w:tc>
          <w:tcPr>
            <w:tcW w:w="4265" w:type="dxa"/>
          </w:tcPr>
          <w:p w:rsidR="008B6F4C" w:rsidRPr="00A048D9" w:rsidRDefault="00653FE1" w:rsidP="008B6F4C">
            <w:pPr>
              <w:autoSpaceDE w:val="0"/>
              <w:autoSpaceDN w:val="0"/>
              <w:adjustRightInd w:val="0"/>
              <w:spacing w:after="240"/>
              <w:rPr>
                <w:rFonts w:cs="Arial"/>
              </w:rPr>
            </w:pPr>
            <w:r w:rsidRPr="00653FE1">
              <w:rPr>
                <w:rFonts w:ascii="Arial" w:hAnsi="Arial" w:cs="Arial"/>
              </w:rPr>
              <w:t xml:space="preserve">Multiple measures of students’ ability to independently apply the world languages proficiencies described in the </w:t>
            </w:r>
            <w:r w:rsidRPr="00653FE1">
              <w:rPr>
                <w:rFonts w:ascii="Arial" w:hAnsi="Arial" w:cs="Arial"/>
                <w:i/>
              </w:rPr>
              <w:t>WL Standards,</w:t>
            </w:r>
            <w:r w:rsidRPr="00653FE1">
              <w:rPr>
                <w:rFonts w:ascii="Arial" w:hAnsi="Arial" w:cs="Arial"/>
              </w:rPr>
              <w:t xml:space="preserve"> such as observations with rubrics, task completions, collaborative conversations, samples of speech and writing, portfolio entries, measures of proficiency, content and cultural knowledge and skills, contextualized form checks, projects, performances, selected and constructed response items,</w:t>
            </w:r>
            <w:r>
              <w:rPr>
                <w:rFonts w:ascii="Arial" w:hAnsi="Arial" w:cs="Arial"/>
              </w:rPr>
              <w:t xml:space="preserve"> among others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3.5</w:t>
            </w:r>
          </w:p>
        </w:tc>
        <w:tc>
          <w:tcPr>
            <w:tcW w:w="4265" w:type="dxa"/>
          </w:tcPr>
          <w:p w:rsidR="008B6F4C" w:rsidRPr="00A048D9" w:rsidRDefault="00EB50E6" w:rsidP="00D15A9B">
            <w:pPr>
              <w:autoSpaceDE w:val="0"/>
              <w:autoSpaceDN w:val="0"/>
              <w:adjustRightInd w:val="0"/>
              <w:spacing w:after="240"/>
              <w:rPr>
                <w:rFonts w:cs="Arial"/>
              </w:rPr>
            </w:pPr>
            <w:r w:rsidRPr="00EB50E6">
              <w:rPr>
                <w:rFonts w:ascii="Arial" w:hAnsi="Arial" w:cs="Arial"/>
              </w:rPr>
              <w:t>Guidance for teachers on how to adapt instruction on the basis of evidence from assessment and make adjustments that yield immediate benefits to student</w:t>
            </w:r>
            <w:r>
              <w:rPr>
                <w:rFonts w:ascii="Arial" w:hAnsi="Arial" w:cs="Arial"/>
              </w:rPr>
              <w:t xml:space="preserve"> learning</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3.6</w:t>
            </w:r>
          </w:p>
        </w:tc>
        <w:tc>
          <w:tcPr>
            <w:tcW w:w="4265" w:type="dxa"/>
          </w:tcPr>
          <w:p w:rsidR="008B6F4C" w:rsidRPr="00A048D9" w:rsidRDefault="003C7219" w:rsidP="008B6F4C">
            <w:pPr>
              <w:autoSpaceDE w:val="0"/>
              <w:autoSpaceDN w:val="0"/>
              <w:adjustRightInd w:val="0"/>
              <w:spacing w:after="240"/>
              <w:rPr>
                <w:rFonts w:cs="Arial"/>
              </w:rPr>
            </w:pPr>
            <w:r w:rsidRPr="003C7219">
              <w:rPr>
                <w:rFonts w:ascii="Arial" w:hAnsi="Arial" w:cs="Arial"/>
                <w:bCs/>
              </w:rPr>
              <w:t>Guiding questions to monitor student receptive and productive proficiencies in the world</w:t>
            </w:r>
            <w:r>
              <w:rPr>
                <w:rFonts w:ascii="Arial" w:hAnsi="Arial" w:cs="Arial"/>
                <w:bCs/>
              </w:rPr>
              <w:t xml:space="preserve"> languages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bl>
    <w:p w:rsidR="00767A3C" w:rsidRDefault="00767A3C">
      <w:pPr>
        <w:rPr>
          <w:rFonts w:ascii="Arial" w:hAnsi="Arial" w:cs="Arial"/>
          <w:b/>
          <w:noProof/>
          <w:sz w:val="28"/>
          <w:szCs w:val="28"/>
        </w:rPr>
      </w:pPr>
      <w:r>
        <w:br w:type="page"/>
      </w:r>
    </w:p>
    <w:p w:rsidR="008D2355" w:rsidRPr="00B114B1" w:rsidRDefault="008D2355" w:rsidP="008D2355">
      <w:pPr>
        <w:pStyle w:val="Heading2"/>
        <w:spacing w:before="480" w:after="240"/>
      </w:pPr>
      <w:r>
        <w:lastRenderedPageBreak/>
        <w:t>Category 4:</w:t>
      </w:r>
      <w:r w:rsidRPr="00B114B1">
        <w:t xml:space="preserve"> </w:t>
      </w:r>
      <w:r w:rsidRPr="006A767A">
        <w:t>A</w:t>
      </w:r>
      <w:r>
        <w:t>ccess and Equity</w:t>
      </w:r>
    </w:p>
    <w:tbl>
      <w:tblPr>
        <w:tblStyle w:val="TableGrid"/>
        <w:tblW w:w="14616" w:type="dxa"/>
        <w:tblLook w:val="0020" w:firstRow="1" w:lastRow="0" w:firstColumn="0" w:lastColumn="0" w:noHBand="0" w:noVBand="0"/>
        <w:tblDescription w:val="Category 4 alignment with access and equity"/>
      </w:tblPr>
      <w:tblGrid>
        <w:gridCol w:w="1257"/>
        <w:gridCol w:w="4265"/>
        <w:gridCol w:w="3558"/>
        <w:gridCol w:w="630"/>
        <w:gridCol w:w="637"/>
        <w:gridCol w:w="4269"/>
      </w:tblGrid>
      <w:tr w:rsidR="008D2355" w:rsidRPr="00346AC0" w:rsidTr="00F830AE">
        <w:trPr>
          <w:cantSplit/>
          <w:trHeight w:val="211"/>
          <w:tblHeader/>
        </w:trPr>
        <w:tc>
          <w:tcPr>
            <w:tcW w:w="1257"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rsidR="008D2355" w:rsidRPr="00346AC0" w:rsidRDefault="008D2355" w:rsidP="008D2355">
            <w:pPr>
              <w:pStyle w:val="Heading3"/>
              <w:jc w:val="center"/>
            </w:pPr>
            <w:r>
              <w:t>Access and Equity</w:t>
            </w:r>
          </w:p>
        </w:tc>
        <w:tc>
          <w:tcPr>
            <w:tcW w:w="3558"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4.1</w:t>
            </w:r>
          </w:p>
        </w:tc>
        <w:tc>
          <w:tcPr>
            <w:tcW w:w="4265" w:type="dxa"/>
          </w:tcPr>
          <w:p w:rsidR="008B6F4C" w:rsidRPr="00A048D9" w:rsidRDefault="000873E5" w:rsidP="000873E5">
            <w:pPr>
              <w:autoSpaceDE w:val="0"/>
              <w:autoSpaceDN w:val="0"/>
              <w:adjustRightInd w:val="0"/>
              <w:spacing w:after="240"/>
              <w:rPr>
                <w:rFonts w:cs="Arial"/>
              </w:rPr>
            </w:pPr>
            <w:r>
              <w:rPr>
                <w:rFonts w:ascii="Arial" w:hAnsi="Arial" w:cs="Arial"/>
              </w:rPr>
              <w:t>The resources are a</w:t>
            </w:r>
            <w:r w:rsidR="008B6F4C" w:rsidRPr="00A048D9">
              <w:rPr>
                <w:rFonts w:ascii="Arial" w:hAnsi="Arial" w:cs="Arial"/>
              </w:rPr>
              <w:t>ppropriate for use with all students regardless of their disability, gender, gender identity, gender expression, nationality, race or ethnicity, culture, religion, sexual orientation, or living situation</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4.2</w:t>
            </w:r>
          </w:p>
        </w:tc>
        <w:tc>
          <w:tcPr>
            <w:tcW w:w="4265" w:type="dxa"/>
          </w:tcPr>
          <w:p w:rsidR="008B6F4C" w:rsidRPr="00A048D9" w:rsidRDefault="001852C1" w:rsidP="008B6F4C">
            <w:pPr>
              <w:autoSpaceDE w:val="0"/>
              <w:autoSpaceDN w:val="0"/>
              <w:adjustRightInd w:val="0"/>
              <w:spacing w:after="240"/>
              <w:rPr>
                <w:rFonts w:cs="Arial"/>
              </w:rPr>
            </w:pPr>
            <w:r w:rsidRPr="001852C1">
              <w:rPr>
                <w:rFonts w:ascii="Arial" w:hAnsi="Arial" w:cs="Arial"/>
              </w:rPr>
              <w:t xml:space="preserve">Suggestions based on current and confirmed research for adapting the curriculum and the instruction to meet students’ assessed instructional </w:t>
            </w:r>
            <w:r w:rsidR="008B6F4C" w:rsidRPr="00A048D9">
              <w:rPr>
                <w:rFonts w:ascii="Arial" w:hAnsi="Arial" w:cs="Arial"/>
              </w:rPr>
              <w:t>needs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4.3</w:t>
            </w:r>
          </w:p>
        </w:tc>
        <w:tc>
          <w:tcPr>
            <w:tcW w:w="4265" w:type="dxa"/>
          </w:tcPr>
          <w:p w:rsidR="008B6F4C" w:rsidRPr="00A048D9" w:rsidRDefault="00150F0A" w:rsidP="008B6F4C">
            <w:pPr>
              <w:autoSpaceDE w:val="0"/>
              <w:autoSpaceDN w:val="0"/>
              <w:adjustRightInd w:val="0"/>
              <w:spacing w:after="240"/>
              <w:rPr>
                <w:rFonts w:cs="Arial"/>
              </w:rPr>
            </w:pPr>
            <w:r w:rsidRPr="00150F0A">
              <w:rPr>
                <w:rFonts w:ascii="Arial" w:hAnsi="Arial" w:cs="Arial"/>
              </w:rPr>
              <w:t xml:space="preserve">Comprehensive teacher guidance and differentiation strategies, based on current and confirmed research, to adapt the curriculum to meet students' identified special needs and to provide effective, efficient instruction for all students, including students who are English learners, at-promise students, LGBTQ+ students, and students with </w:t>
            </w:r>
            <w:r w:rsidR="008B6F4C" w:rsidRPr="00A048D9">
              <w:rPr>
                <w:rFonts w:ascii="Arial" w:hAnsi="Arial" w:cs="Arial"/>
              </w:rPr>
              <w:t>disabilities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4.4</w:t>
            </w:r>
          </w:p>
        </w:tc>
        <w:tc>
          <w:tcPr>
            <w:tcW w:w="4265" w:type="dxa"/>
          </w:tcPr>
          <w:p w:rsidR="008B6F4C" w:rsidRPr="00A048D9" w:rsidRDefault="00911FA8" w:rsidP="008B6F4C">
            <w:pPr>
              <w:autoSpaceDE w:val="0"/>
              <w:autoSpaceDN w:val="0"/>
              <w:adjustRightInd w:val="0"/>
              <w:spacing w:after="240"/>
              <w:rPr>
                <w:rFonts w:cs="Arial"/>
              </w:rPr>
            </w:pPr>
            <w:r w:rsidRPr="00911FA8">
              <w:rPr>
                <w:rFonts w:ascii="Arial" w:hAnsi="Arial" w:cs="Arial"/>
              </w:rPr>
              <w:t xml:space="preserve">Strategies for students who are English learners that are consistent with the </w:t>
            </w:r>
            <w:r w:rsidRPr="00911FA8">
              <w:rPr>
                <w:rFonts w:ascii="Arial" w:hAnsi="Arial" w:cs="Arial"/>
                <w:i/>
              </w:rPr>
              <w:t>California English Language Development Standards: Kindergarten Through Grade 12</w:t>
            </w:r>
            <w:r w:rsidRPr="00911FA8">
              <w:rPr>
                <w:rFonts w:ascii="Arial" w:hAnsi="Arial" w:cs="Arial"/>
              </w:rPr>
              <w:t xml:space="preserve"> adopted under </w:t>
            </w:r>
            <w:r w:rsidRPr="00911FA8">
              <w:rPr>
                <w:rFonts w:ascii="Arial" w:hAnsi="Arial" w:cs="Arial"/>
                <w:i/>
              </w:rPr>
              <w:t>EC</w:t>
            </w:r>
            <w:r w:rsidRPr="00911FA8">
              <w:rPr>
                <w:rFonts w:ascii="Arial" w:hAnsi="Arial" w:cs="Arial"/>
              </w:rPr>
              <w:t xml:space="preserve"> Section </w:t>
            </w:r>
            <w:r w:rsidR="008B6F4C" w:rsidRPr="00A048D9">
              <w:rPr>
                <w:rFonts w:ascii="Arial" w:eastAsia="Times" w:hAnsi="Arial" w:cs="Arial"/>
                <w:color w:val="000000"/>
              </w:rPr>
              <w:t>60811</w:t>
            </w:r>
            <w:r w:rsidR="00DF22DB">
              <w:rPr>
                <w:rFonts w:ascii="Arial" w:eastAsia="Times" w:hAnsi="Arial" w:cs="Arial"/>
                <w:color w:val="000000"/>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4.5</w:t>
            </w:r>
          </w:p>
        </w:tc>
        <w:tc>
          <w:tcPr>
            <w:tcW w:w="4265" w:type="dxa"/>
          </w:tcPr>
          <w:p w:rsidR="008B6F4C" w:rsidRPr="00A048D9" w:rsidRDefault="00911FA8" w:rsidP="008B6F4C">
            <w:pPr>
              <w:autoSpaceDE w:val="0"/>
              <w:autoSpaceDN w:val="0"/>
              <w:adjustRightInd w:val="0"/>
              <w:spacing w:after="240"/>
              <w:rPr>
                <w:rFonts w:cs="Arial"/>
              </w:rPr>
            </w:pPr>
            <w:r w:rsidRPr="00911FA8">
              <w:rPr>
                <w:rFonts w:ascii="Arial" w:hAnsi="Arial" w:cs="Arial"/>
              </w:rPr>
              <w:t>Strategies for English learners in both lessons and teacher’s editions, as appropriate, for specific proficiency</w:t>
            </w:r>
            <w:r>
              <w:rPr>
                <w:rFonts w:ascii="Arial" w:hAnsi="Arial" w:cs="Arial"/>
              </w:rPr>
              <w:t xml:space="preserve"> ranges</w:t>
            </w:r>
            <w:r w:rsidR="00DF22DB">
              <w:rPr>
                <w:rFonts w:ascii="Arial" w:eastAsia="Times" w:hAnsi="Arial" w:cs="Arial"/>
                <w:color w:val="000000"/>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4.6</w:t>
            </w:r>
          </w:p>
        </w:tc>
        <w:tc>
          <w:tcPr>
            <w:tcW w:w="4265" w:type="dxa"/>
          </w:tcPr>
          <w:p w:rsidR="008B6F4C" w:rsidRPr="00A048D9" w:rsidRDefault="00A418F6" w:rsidP="008B6F4C">
            <w:pPr>
              <w:autoSpaceDE w:val="0"/>
              <w:autoSpaceDN w:val="0"/>
              <w:adjustRightInd w:val="0"/>
              <w:spacing w:after="240"/>
              <w:rPr>
                <w:rFonts w:cs="Arial"/>
              </w:rPr>
            </w:pPr>
            <w:r w:rsidRPr="00A418F6">
              <w:rPr>
                <w:rFonts w:ascii="Arial" w:hAnsi="Arial" w:cs="Arial"/>
              </w:rPr>
              <w:t>Strategies to help students who are below grade level in reading, writing, speaking, and listening in academic English to understand and communicate in world</w:t>
            </w:r>
            <w:r>
              <w:rPr>
                <w:rFonts w:ascii="Arial" w:hAnsi="Arial" w:cs="Arial"/>
              </w:rPr>
              <w:t xml:space="preserve"> languages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4.7</w:t>
            </w:r>
          </w:p>
        </w:tc>
        <w:tc>
          <w:tcPr>
            <w:tcW w:w="4265" w:type="dxa"/>
          </w:tcPr>
          <w:p w:rsidR="008B6F4C" w:rsidRPr="00A048D9" w:rsidRDefault="00C410A2" w:rsidP="008B6F4C">
            <w:pPr>
              <w:autoSpaceDE w:val="0"/>
              <w:autoSpaceDN w:val="0"/>
              <w:adjustRightInd w:val="0"/>
              <w:spacing w:after="240"/>
              <w:rPr>
                <w:rFonts w:cs="Arial"/>
              </w:rPr>
            </w:pPr>
            <w:r w:rsidRPr="00C410A2">
              <w:rPr>
                <w:rFonts w:ascii="Arial" w:hAnsi="Arial" w:cs="Arial"/>
              </w:rPr>
              <w:t xml:space="preserve">Suggestions for advanced learners that are tied to the </w:t>
            </w:r>
            <w:r w:rsidRPr="00C410A2">
              <w:rPr>
                <w:rFonts w:ascii="Arial" w:hAnsi="Arial" w:cs="Arial"/>
                <w:i/>
              </w:rPr>
              <w:t>WL Framework</w:t>
            </w:r>
            <w:r w:rsidRPr="00C410A2">
              <w:rPr>
                <w:rFonts w:ascii="Arial" w:hAnsi="Arial" w:cs="Arial"/>
              </w:rPr>
              <w:t xml:space="preserve"> and that allow students to study content in greater </w:t>
            </w:r>
            <w:r w:rsidR="008B6F4C" w:rsidRPr="00A048D9">
              <w:rPr>
                <w:rFonts w:ascii="Arial" w:hAnsi="Arial" w:cs="Arial"/>
              </w:rPr>
              <w:t>depth</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4.8</w:t>
            </w:r>
          </w:p>
        </w:tc>
        <w:tc>
          <w:tcPr>
            <w:tcW w:w="4265" w:type="dxa"/>
          </w:tcPr>
          <w:p w:rsidR="008B6F4C" w:rsidRPr="00A048D9" w:rsidRDefault="00642CE1" w:rsidP="000873E5">
            <w:pPr>
              <w:autoSpaceDE w:val="0"/>
              <w:autoSpaceDN w:val="0"/>
              <w:adjustRightInd w:val="0"/>
              <w:spacing w:after="240"/>
              <w:rPr>
                <w:rFonts w:cs="Arial"/>
              </w:rPr>
            </w:pPr>
            <w:r w:rsidRPr="00642CE1">
              <w:rPr>
                <w:rFonts w:ascii="Arial" w:hAnsi="Arial" w:cs="Arial"/>
              </w:rPr>
              <w:t>Strategies to help heritage and native language learners to maximize their learning of a heritage or native language, or to transfer these skills to the learning of an additional</w:t>
            </w:r>
            <w:r>
              <w:rPr>
                <w:rFonts w:ascii="Arial" w:hAnsi="Arial" w:cs="Arial"/>
              </w:rPr>
              <w:t xml:space="preserve"> language</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D67BE2" w:rsidRPr="00346AC0" w:rsidTr="00F830AE">
        <w:trPr>
          <w:cantSplit/>
        </w:trPr>
        <w:tc>
          <w:tcPr>
            <w:tcW w:w="1257" w:type="dxa"/>
          </w:tcPr>
          <w:p w:rsidR="00D67BE2" w:rsidRDefault="00D67BE2" w:rsidP="008B6F4C">
            <w:pPr>
              <w:autoSpaceDE w:val="0"/>
              <w:autoSpaceDN w:val="0"/>
              <w:adjustRightInd w:val="0"/>
              <w:spacing w:before="40"/>
              <w:jc w:val="center"/>
              <w:rPr>
                <w:rFonts w:ascii="Arial" w:hAnsi="Arial" w:cs="Arial"/>
                <w:noProof/>
              </w:rPr>
            </w:pPr>
            <w:r>
              <w:rPr>
                <w:rFonts w:ascii="Arial" w:hAnsi="Arial" w:cs="Arial"/>
                <w:noProof/>
              </w:rPr>
              <w:t>4.9</w:t>
            </w:r>
          </w:p>
        </w:tc>
        <w:tc>
          <w:tcPr>
            <w:tcW w:w="4265" w:type="dxa"/>
          </w:tcPr>
          <w:p w:rsidR="00D67BE2" w:rsidRPr="00642CE1" w:rsidRDefault="00D67BE2" w:rsidP="000873E5">
            <w:pPr>
              <w:autoSpaceDE w:val="0"/>
              <w:autoSpaceDN w:val="0"/>
              <w:adjustRightInd w:val="0"/>
              <w:spacing w:after="240"/>
              <w:rPr>
                <w:rFonts w:ascii="Arial" w:hAnsi="Arial" w:cs="Arial"/>
              </w:rPr>
            </w:pPr>
            <w:r w:rsidRPr="00D67BE2">
              <w:rPr>
                <w:rFonts w:ascii="Arial" w:hAnsi="Arial" w:cs="Arial"/>
              </w:rPr>
              <w:t>Images that are age</w:t>
            </w:r>
            <w:r w:rsidR="00E45837">
              <w:rPr>
                <w:rFonts w:ascii="Arial" w:hAnsi="Arial" w:cs="Arial"/>
              </w:rPr>
              <w:t xml:space="preserve"> </w:t>
            </w:r>
            <w:r w:rsidRPr="00D67BE2">
              <w:rPr>
                <w:rFonts w:ascii="Arial" w:hAnsi="Arial" w:cs="Arial"/>
              </w:rPr>
              <w:t>appropriate and depict students at the grade level or grade span of instruction, reflect the diversity of California’s students, and are affirmatively</w:t>
            </w:r>
            <w:r>
              <w:rPr>
                <w:rFonts w:ascii="Arial" w:hAnsi="Arial" w:cs="Arial"/>
              </w:rPr>
              <w:t xml:space="preserve"> inclusive.</w:t>
            </w:r>
          </w:p>
        </w:tc>
        <w:tc>
          <w:tcPr>
            <w:tcW w:w="3558" w:type="dxa"/>
          </w:tcPr>
          <w:p w:rsidR="00D67BE2" w:rsidRPr="00346AC0" w:rsidRDefault="00D67BE2" w:rsidP="008B6F4C">
            <w:pPr>
              <w:autoSpaceDE w:val="0"/>
              <w:autoSpaceDN w:val="0"/>
              <w:adjustRightInd w:val="0"/>
              <w:rPr>
                <w:rFonts w:ascii="Arial" w:hAnsi="Arial" w:cs="Arial"/>
                <w:noProof/>
              </w:rPr>
            </w:pPr>
          </w:p>
        </w:tc>
        <w:tc>
          <w:tcPr>
            <w:tcW w:w="630" w:type="dxa"/>
            <w:shd w:val="clear" w:color="auto" w:fill="D9D9D9" w:themeFill="background1" w:themeFillShade="D9"/>
          </w:tcPr>
          <w:p w:rsidR="00D67BE2" w:rsidRPr="00346AC0" w:rsidRDefault="00D67BE2" w:rsidP="008B6F4C">
            <w:pPr>
              <w:autoSpaceDE w:val="0"/>
              <w:autoSpaceDN w:val="0"/>
              <w:adjustRightInd w:val="0"/>
              <w:rPr>
                <w:rFonts w:ascii="Arial" w:hAnsi="Arial" w:cs="Arial"/>
                <w:noProof/>
              </w:rPr>
            </w:pPr>
          </w:p>
        </w:tc>
        <w:tc>
          <w:tcPr>
            <w:tcW w:w="637" w:type="dxa"/>
            <w:shd w:val="clear" w:color="auto" w:fill="D9D9D9" w:themeFill="background1" w:themeFillShade="D9"/>
          </w:tcPr>
          <w:p w:rsidR="00D67BE2" w:rsidRPr="00346AC0" w:rsidRDefault="00D67BE2" w:rsidP="008B6F4C">
            <w:pPr>
              <w:autoSpaceDE w:val="0"/>
              <w:autoSpaceDN w:val="0"/>
              <w:adjustRightInd w:val="0"/>
              <w:rPr>
                <w:rFonts w:ascii="Arial" w:hAnsi="Arial" w:cs="Arial"/>
                <w:noProof/>
              </w:rPr>
            </w:pPr>
          </w:p>
        </w:tc>
        <w:tc>
          <w:tcPr>
            <w:tcW w:w="4269" w:type="dxa"/>
            <w:shd w:val="clear" w:color="auto" w:fill="D9D9D9" w:themeFill="background1" w:themeFillShade="D9"/>
          </w:tcPr>
          <w:p w:rsidR="00D67BE2" w:rsidRPr="00346AC0" w:rsidRDefault="00D67BE2" w:rsidP="008B6F4C">
            <w:pPr>
              <w:autoSpaceDE w:val="0"/>
              <w:autoSpaceDN w:val="0"/>
              <w:adjustRightInd w:val="0"/>
              <w:rPr>
                <w:rFonts w:ascii="Arial" w:hAnsi="Arial" w:cs="Arial"/>
                <w:noProof/>
              </w:rPr>
            </w:pPr>
          </w:p>
        </w:tc>
      </w:tr>
    </w:tbl>
    <w:p w:rsidR="005F28B8" w:rsidRDefault="005F28B8">
      <w:pPr>
        <w:rPr>
          <w:rFonts w:ascii="Arial" w:hAnsi="Arial" w:cs="Arial"/>
          <w:b/>
          <w:noProof/>
          <w:sz w:val="28"/>
          <w:szCs w:val="28"/>
        </w:rPr>
      </w:pPr>
      <w:r>
        <w:br w:type="page"/>
      </w:r>
    </w:p>
    <w:p w:rsidR="008D2355" w:rsidRPr="00B114B1" w:rsidRDefault="008D2355" w:rsidP="008D2355">
      <w:pPr>
        <w:pStyle w:val="Heading2"/>
        <w:spacing w:before="480" w:after="240"/>
      </w:pPr>
      <w:r>
        <w:lastRenderedPageBreak/>
        <w:t>Category 5:</w:t>
      </w:r>
      <w:r w:rsidRPr="00B114B1">
        <w:t xml:space="preserve"> </w:t>
      </w:r>
      <w:r>
        <w:t>Instructional Planning and Support</w:t>
      </w:r>
    </w:p>
    <w:tbl>
      <w:tblPr>
        <w:tblStyle w:val="TableGrid"/>
        <w:tblW w:w="14616" w:type="dxa"/>
        <w:tblLook w:val="0020" w:firstRow="1" w:lastRow="0" w:firstColumn="0" w:lastColumn="0" w:noHBand="0" w:noVBand="0"/>
        <w:tblDescription w:val="Category 5 alignment with instructional planning and support"/>
      </w:tblPr>
      <w:tblGrid>
        <w:gridCol w:w="1257"/>
        <w:gridCol w:w="4265"/>
        <w:gridCol w:w="3558"/>
        <w:gridCol w:w="630"/>
        <w:gridCol w:w="637"/>
        <w:gridCol w:w="4269"/>
      </w:tblGrid>
      <w:tr w:rsidR="008D2355" w:rsidRPr="00346AC0" w:rsidTr="00F830AE">
        <w:trPr>
          <w:cantSplit/>
          <w:trHeight w:val="211"/>
          <w:tblHeader/>
        </w:trPr>
        <w:tc>
          <w:tcPr>
            <w:tcW w:w="1257"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rsidR="008D2355" w:rsidRPr="00346AC0" w:rsidRDefault="008D2355" w:rsidP="008D2355">
            <w:pPr>
              <w:pStyle w:val="Heading3"/>
              <w:jc w:val="center"/>
            </w:pPr>
            <w:r>
              <w:t>Instructional Planning and Support</w:t>
            </w:r>
          </w:p>
        </w:tc>
        <w:tc>
          <w:tcPr>
            <w:tcW w:w="3558"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w:t>
            </w:r>
          </w:p>
        </w:tc>
        <w:tc>
          <w:tcPr>
            <w:tcW w:w="4265" w:type="dxa"/>
          </w:tcPr>
          <w:p w:rsidR="008B6F4C" w:rsidRPr="00A048D9" w:rsidRDefault="00691BF0" w:rsidP="008B6F4C">
            <w:pPr>
              <w:spacing w:after="240"/>
              <w:rPr>
                <w:rFonts w:cs="Arial"/>
              </w:rPr>
            </w:pPr>
            <w:r w:rsidRPr="00691BF0">
              <w:rPr>
                <w:rFonts w:ascii="Arial" w:hAnsi="Arial" w:cs="Arial"/>
              </w:rPr>
              <w:t>Lesson plans, suggestions for organizing resources in the classroom, and ideas for pacing lessons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5.2</w:t>
            </w:r>
          </w:p>
        </w:tc>
        <w:tc>
          <w:tcPr>
            <w:tcW w:w="4265" w:type="dxa"/>
          </w:tcPr>
          <w:p w:rsidR="008B6F4C" w:rsidRPr="00A048D9" w:rsidRDefault="00691BF0" w:rsidP="008B6F4C">
            <w:pPr>
              <w:spacing w:after="240"/>
              <w:rPr>
                <w:rFonts w:eastAsia="Times" w:cs="Arial"/>
                <w:color w:val="000000"/>
              </w:rPr>
            </w:pPr>
            <w:r w:rsidRPr="00691BF0">
              <w:rPr>
                <w:rFonts w:ascii="Arial" w:hAnsi="Arial" w:cs="Arial"/>
              </w:rPr>
              <w:t>A pacing guide or scope and sequence for planning instruction</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5.3</w:t>
            </w:r>
          </w:p>
        </w:tc>
        <w:tc>
          <w:tcPr>
            <w:tcW w:w="4265" w:type="dxa"/>
          </w:tcPr>
          <w:p w:rsidR="008B6F4C" w:rsidRPr="00A048D9" w:rsidRDefault="00691BF0" w:rsidP="008B6F4C">
            <w:pPr>
              <w:spacing w:after="240"/>
              <w:rPr>
                <w:rFonts w:cs="Arial"/>
              </w:rPr>
            </w:pPr>
            <w:r w:rsidRPr="00691BF0">
              <w:rPr>
                <w:rFonts w:ascii="Arial" w:hAnsi="Arial" w:cs="Arial"/>
              </w:rPr>
              <w:t xml:space="preserve">A variety of pedagogical strategies aligned to Appendix 2 of the </w:t>
            </w:r>
            <w:r w:rsidRPr="00691BF0">
              <w:rPr>
                <w:rFonts w:ascii="Arial" w:hAnsi="Arial" w:cs="Arial"/>
                <w:i/>
              </w:rPr>
              <w:t>WL Standards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5.4</w:t>
            </w:r>
          </w:p>
        </w:tc>
        <w:tc>
          <w:tcPr>
            <w:tcW w:w="4265" w:type="dxa"/>
          </w:tcPr>
          <w:p w:rsidR="008B6F4C" w:rsidRPr="00A048D9" w:rsidRDefault="006106E3" w:rsidP="008B6F4C">
            <w:pPr>
              <w:spacing w:after="240"/>
              <w:rPr>
                <w:rFonts w:cs="Arial"/>
              </w:rPr>
            </w:pPr>
            <w:r w:rsidRPr="006106E3">
              <w:rPr>
                <w:rFonts w:ascii="Arial" w:hAnsi="Arial" w:cs="Arial"/>
              </w:rPr>
              <w:t>Suggestions for connecting world languages education content with other areas of the curriculum and examples of interdisciplinary instruction within the appropriate grade level or grade span</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5.5</w:t>
            </w:r>
          </w:p>
        </w:tc>
        <w:tc>
          <w:tcPr>
            <w:tcW w:w="4265" w:type="dxa"/>
          </w:tcPr>
          <w:p w:rsidR="008B6F4C" w:rsidRPr="00A048D9" w:rsidRDefault="00E4547C" w:rsidP="008B6F4C">
            <w:pPr>
              <w:spacing w:after="240"/>
              <w:rPr>
                <w:rFonts w:cs="Arial"/>
              </w:rPr>
            </w:pPr>
            <w:r w:rsidRPr="00E4547C">
              <w:rPr>
                <w:rFonts w:ascii="Arial" w:hAnsi="Arial" w:cs="Arial"/>
              </w:rPr>
              <w:t>Technical support and suggestions for appropriate use of electronic resources, audiovisual, multimedia, and information technology resources associated with a unit</w:t>
            </w:r>
            <w:r w:rsidR="00DF22DB">
              <w:rPr>
                <w:rFonts w:ascii="Arial" w:eastAsia="Times" w:hAnsi="Arial" w:cs="Arial"/>
                <w:color w:val="000000"/>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5.6</w:t>
            </w:r>
          </w:p>
        </w:tc>
        <w:tc>
          <w:tcPr>
            <w:tcW w:w="4265" w:type="dxa"/>
          </w:tcPr>
          <w:p w:rsidR="008B6F4C" w:rsidRPr="00A048D9" w:rsidRDefault="00784786" w:rsidP="008B6F4C">
            <w:pPr>
              <w:spacing w:after="240"/>
              <w:rPr>
                <w:rFonts w:cs="Arial"/>
              </w:rPr>
            </w:pPr>
            <w:r w:rsidRPr="00784786">
              <w:rPr>
                <w:rFonts w:ascii="Arial" w:hAnsi="Arial" w:cs="Arial"/>
              </w:rPr>
              <w:t>User-friendly components and platform-neutral electronic materials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5.7</w:t>
            </w:r>
          </w:p>
        </w:tc>
        <w:tc>
          <w:tcPr>
            <w:tcW w:w="4265" w:type="dxa"/>
          </w:tcPr>
          <w:p w:rsidR="008B6F4C" w:rsidRPr="00A048D9" w:rsidRDefault="00784786" w:rsidP="008B6F4C">
            <w:pPr>
              <w:spacing w:after="240"/>
              <w:rPr>
                <w:rFonts w:cs="Arial"/>
              </w:rPr>
            </w:pPr>
            <w:r w:rsidRPr="00784786">
              <w:rPr>
                <w:rFonts w:ascii="Arial" w:hAnsi="Arial" w:cs="Arial"/>
              </w:rPr>
              <w:t>Homework assignments, if included in the program, extend and reinforce classroom instruction as well as provide opportunities for additional practice and extension of skills that have been taught</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5.8</w:t>
            </w:r>
          </w:p>
        </w:tc>
        <w:tc>
          <w:tcPr>
            <w:tcW w:w="4265" w:type="dxa"/>
          </w:tcPr>
          <w:p w:rsidR="008B6F4C" w:rsidRPr="00A048D9" w:rsidRDefault="00784786" w:rsidP="008B6F4C">
            <w:pPr>
              <w:spacing w:after="240"/>
              <w:rPr>
                <w:rFonts w:cs="Arial"/>
              </w:rPr>
            </w:pPr>
            <w:r w:rsidRPr="00784786">
              <w:rPr>
                <w:rFonts w:ascii="Arial" w:hAnsi="Arial" w:cs="Arial"/>
              </w:rPr>
              <w:t>Homework assignments, if included in the program, that support parent, guardian, and caretaker engagement</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5.9</w:t>
            </w:r>
          </w:p>
        </w:tc>
        <w:tc>
          <w:tcPr>
            <w:tcW w:w="4265" w:type="dxa"/>
          </w:tcPr>
          <w:p w:rsidR="008B6F4C" w:rsidRPr="00A048D9" w:rsidRDefault="00EB031A" w:rsidP="008B6F4C">
            <w:pPr>
              <w:spacing w:after="240"/>
              <w:rPr>
                <w:rFonts w:cs="Arial"/>
              </w:rPr>
            </w:pPr>
            <w:r w:rsidRPr="00EB031A">
              <w:rPr>
                <w:rFonts w:ascii="Arial" w:hAnsi="Arial" w:cs="Arial"/>
              </w:rPr>
              <w:t>Guidance for the use of language learning strategies with opportunities to use them in context throughout the course or program</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5.10</w:t>
            </w:r>
          </w:p>
        </w:tc>
        <w:tc>
          <w:tcPr>
            <w:tcW w:w="4265" w:type="dxa"/>
          </w:tcPr>
          <w:p w:rsidR="008B6F4C" w:rsidRPr="00A048D9" w:rsidRDefault="00451C98" w:rsidP="008B6F4C">
            <w:pPr>
              <w:spacing w:after="240"/>
              <w:rPr>
                <w:rFonts w:cs="Arial"/>
              </w:rPr>
            </w:pPr>
            <w:r w:rsidRPr="00451C98">
              <w:rPr>
                <w:rFonts w:ascii="Arial" w:hAnsi="Arial" w:cs="Arial"/>
              </w:rPr>
              <w:t>Clearly written and accurate explanations of world languages education content</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r w:rsidR="008B6F4C" w:rsidRPr="00346AC0" w:rsidTr="00F830AE">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5.11</w:t>
            </w:r>
          </w:p>
        </w:tc>
        <w:tc>
          <w:tcPr>
            <w:tcW w:w="4265" w:type="dxa"/>
          </w:tcPr>
          <w:p w:rsidR="008B6F4C" w:rsidRPr="00A048D9" w:rsidRDefault="00AD4ACB" w:rsidP="008B6F4C">
            <w:pPr>
              <w:spacing w:after="240"/>
              <w:rPr>
                <w:rFonts w:cs="Arial"/>
              </w:rPr>
            </w:pPr>
            <w:r w:rsidRPr="00AD4ACB">
              <w:rPr>
                <w:rFonts w:ascii="Arial" w:hAnsi="Arial" w:cs="Arial"/>
              </w:rPr>
              <w:t>Guidelines</w:t>
            </w:r>
            <w:r w:rsidRPr="00AD4ACB">
              <w:rPr>
                <w:rFonts w:ascii="Arial" w:hAnsi="Arial" w:cs="Arial"/>
                <w:bCs/>
              </w:rPr>
              <w:t xml:space="preserve"> for formal and informal presentations of student work</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rsidR="008B6F4C" w:rsidRPr="00346AC0" w:rsidRDefault="008B6F4C" w:rsidP="008B6F4C">
            <w:pPr>
              <w:autoSpaceDE w:val="0"/>
              <w:autoSpaceDN w:val="0"/>
              <w:adjustRightInd w:val="0"/>
              <w:rPr>
                <w:rFonts w:ascii="Arial" w:hAnsi="Arial" w:cs="Arial"/>
                <w:noProof/>
              </w:rPr>
            </w:pPr>
          </w:p>
        </w:tc>
      </w:tr>
    </w:tbl>
    <w:p w:rsidR="008C7182" w:rsidRDefault="008C7182" w:rsidP="00DF22DB">
      <w:pPr>
        <w:spacing w:after="120"/>
      </w:pPr>
    </w:p>
    <w:p w:rsidR="000932E0" w:rsidRPr="000932E0" w:rsidRDefault="000932E0" w:rsidP="00DF22DB">
      <w:pPr>
        <w:spacing w:after="120"/>
        <w:rPr>
          <w:rFonts w:ascii="Arial" w:hAnsi="Arial" w:cs="Arial"/>
        </w:rPr>
      </w:pPr>
      <w:r w:rsidRPr="000932E0">
        <w:rPr>
          <w:rFonts w:ascii="Arial" w:hAnsi="Arial" w:cs="Arial"/>
        </w:rPr>
        <w:t>California Department of Education, July 2020</w:t>
      </w:r>
    </w:p>
    <w:sectPr w:rsidR="000932E0" w:rsidRPr="000932E0"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486" w:rsidRDefault="00C21486">
      <w:r>
        <w:separator/>
      </w:r>
    </w:p>
  </w:endnote>
  <w:endnote w:type="continuationSeparator" w:id="0">
    <w:p w:rsidR="00C21486" w:rsidRDefault="00C2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7C6" w:rsidRPr="00B114B1" w:rsidRDefault="002C4F57" w:rsidP="00E547C6">
    <w:pPr>
      <w:pStyle w:val="Footer"/>
      <w:tabs>
        <w:tab w:val="clear" w:pos="8640"/>
        <w:tab w:val="left" w:pos="12330"/>
      </w:tabs>
      <w:spacing w:after="240"/>
      <w:rPr>
        <w:rFonts w:ascii="Arial" w:hAnsi="Arial" w:cs="Arial"/>
      </w:rPr>
    </w:pPr>
    <w:r w:rsidRPr="002C4F57">
      <w:rPr>
        <w:rFonts w:ascii="Arial" w:hAnsi="Arial" w:cs="Arial"/>
      </w:rPr>
      <w:t>Criteria Map Template–202</w:t>
    </w:r>
    <w:r w:rsidR="00A72A02">
      <w:rPr>
        <w:rFonts w:ascii="Arial" w:hAnsi="Arial" w:cs="Arial"/>
      </w:rPr>
      <w:t>1</w:t>
    </w:r>
    <w:r w:rsidRPr="002C4F57">
      <w:rPr>
        <w:rFonts w:ascii="Arial" w:hAnsi="Arial" w:cs="Arial"/>
      </w:rPr>
      <w:t xml:space="preserve"> </w:t>
    </w:r>
    <w:r w:rsidR="00A72A02">
      <w:rPr>
        <w:rFonts w:ascii="Arial" w:hAnsi="Arial" w:cs="Arial"/>
      </w:rPr>
      <w:t>World Languages</w:t>
    </w:r>
    <w:r w:rsidRPr="002C4F57">
      <w:rPr>
        <w:rFonts w:ascii="Arial" w:hAnsi="Arial" w:cs="Arial"/>
      </w:rPr>
      <w:t xml:space="preserve">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4B6068">
      <w:rPr>
        <w:rFonts w:ascii="Arial" w:hAnsi="Arial" w:cs="Arial"/>
        <w:bCs/>
        <w:noProof/>
      </w:rPr>
      <w:t>2</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4B6068">
      <w:rPr>
        <w:rFonts w:ascii="Arial" w:hAnsi="Arial" w:cs="Arial"/>
        <w:bCs/>
        <w:noProof/>
      </w:rPr>
      <w:t>11</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486" w:rsidRDefault="00C21486">
      <w:r>
        <w:separator/>
      </w:r>
    </w:p>
  </w:footnote>
  <w:footnote w:type="continuationSeparator" w:id="0">
    <w:p w:rsidR="00C21486" w:rsidRDefault="00C2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42CA0"/>
    <w:rsid w:val="00056F4E"/>
    <w:rsid w:val="00074CC9"/>
    <w:rsid w:val="000873E5"/>
    <w:rsid w:val="000932E0"/>
    <w:rsid w:val="00093854"/>
    <w:rsid w:val="000F6DA1"/>
    <w:rsid w:val="00134166"/>
    <w:rsid w:val="00150F0A"/>
    <w:rsid w:val="001620E8"/>
    <w:rsid w:val="00166AB3"/>
    <w:rsid w:val="00181EAC"/>
    <w:rsid w:val="001852C1"/>
    <w:rsid w:val="001951F4"/>
    <w:rsid w:val="001F5338"/>
    <w:rsid w:val="002032DD"/>
    <w:rsid w:val="002078C2"/>
    <w:rsid w:val="002149A4"/>
    <w:rsid w:val="0022121E"/>
    <w:rsid w:val="00224586"/>
    <w:rsid w:val="00224EDB"/>
    <w:rsid w:val="00256E2E"/>
    <w:rsid w:val="00282F36"/>
    <w:rsid w:val="00290380"/>
    <w:rsid w:val="00292897"/>
    <w:rsid w:val="002937E3"/>
    <w:rsid w:val="002A0F48"/>
    <w:rsid w:val="002C0133"/>
    <w:rsid w:val="002C4F57"/>
    <w:rsid w:val="0031379D"/>
    <w:rsid w:val="00320718"/>
    <w:rsid w:val="00332CEB"/>
    <w:rsid w:val="00346AC0"/>
    <w:rsid w:val="003471AA"/>
    <w:rsid w:val="00364DBF"/>
    <w:rsid w:val="0037643D"/>
    <w:rsid w:val="003A2FF0"/>
    <w:rsid w:val="003C7219"/>
    <w:rsid w:val="003C72ED"/>
    <w:rsid w:val="003D5D2B"/>
    <w:rsid w:val="00451C98"/>
    <w:rsid w:val="00460ED5"/>
    <w:rsid w:val="0047499F"/>
    <w:rsid w:val="00483F8A"/>
    <w:rsid w:val="0049072B"/>
    <w:rsid w:val="00496C37"/>
    <w:rsid w:val="004A48C3"/>
    <w:rsid w:val="004B6068"/>
    <w:rsid w:val="004C1DBA"/>
    <w:rsid w:val="004C3DF9"/>
    <w:rsid w:val="004E7A00"/>
    <w:rsid w:val="004F59D8"/>
    <w:rsid w:val="00502BCD"/>
    <w:rsid w:val="00523A0A"/>
    <w:rsid w:val="00547E01"/>
    <w:rsid w:val="00553791"/>
    <w:rsid w:val="005542D9"/>
    <w:rsid w:val="00563C1E"/>
    <w:rsid w:val="005833FA"/>
    <w:rsid w:val="00586036"/>
    <w:rsid w:val="005B6390"/>
    <w:rsid w:val="005C148A"/>
    <w:rsid w:val="005E105A"/>
    <w:rsid w:val="005F28B8"/>
    <w:rsid w:val="006106E3"/>
    <w:rsid w:val="00610A12"/>
    <w:rsid w:val="0061238A"/>
    <w:rsid w:val="006307A3"/>
    <w:rsid w:val="00642CE1"/>
    <w:rsid w:val="006450DD"/>
    <w:rsid w:val="00653FE1"/>
    <w:rsid w:val="00674980"/>
    <w:rsid w:val="00691BF0"/>
    <w:rsid w:val="006951F2"/>
    <w:rsid w:val="006A0582"/>
    <w:rsid w:val="006A767A"/>
    <w:rsid w:val="006B1C93"/>
    <w:rsid w:val="006B6DA1"/>
    <w:rsid w:val="006C0ABB"/>
    <w:rsid w:val="006D3785"/>
    <w:rsid w:val="006D7DD7"/>
    <w:rsid w:val="006E3E43"/>
    <w:rsid w:val="00745A56"/>
    <w:rsid w:val="00754D4E"/>
    <w:rsid w:val="00767A3C"/>
    <w:rsid w:val="00784786"/>
    <w:rsid w:val="0079189F"/>
    <w:rsid w:val="007D7823"/>
    <w:rsid w:val="007F7243"/>
    <w:rsid w:val="00800B9D"/>
    <w:rsid w:val="008512E5"/>
    <w:rsid w:val="00887324"/>
    <w:rsid w:val="00893CC9"/>
    <w:rsid w:val="008B0A4B"/>
    <w:rsid w:val="008B2598"/>
    <w:rsid w:val="008B6F4C"/>
    <w:rsid w:val="008C7182"/>
    <w:rsid w:val="008D2355"/>
    <w:rsid w:val="00911FA8"/>
    <w:rsid w:val="00922E30"/>
    <w:rsid w:val="009442E2"/>
    <w:rsid w:val="009927E4"/>
    <w:rsid w:val="009B44DA"/>
    <w:rsid w:val="009D1F7A"/>
    <w:rsid w:val="009D3A59"/>
    <w:rsid w:val="00A166B5"/>
    <w:rsid w:val="00A16C71"/>
    <w:rsid w:val="00A23430"/>
    <w:rsid w:val="00A27837"/>
    <w:rsid w:val="00A418F6"/>
    <w:rsid w:val="00A72A02"/>
    <w:rsid w:val="00A91FD0"/>
    <w:rsid w:val="00AA59F7"/>
    <w:rsid w:val="00AB7962"/>
    <w:rsid w:val="00AD4ACB"/>
    <w:rsid w:val="00B114B1"/>
    <w:rsid w:val="00B44776"/>
    <w:rsid w:val="00B4665E"/>
    <w:rsid w:val="00BC31C2"/>
    <w:rsid w:val="00C05DBB"/>
    <w:rsid w:val="00C1300E"/>
    <w:rsid w:val="00C21486"/>
    <w:rsid w:val="00C410A2"/>
    <w:rsid w:val="00C8010A"/>
    <w:rsid w:val="00CA674C"/>
    <w:rsid w:val="00CE02DE"/>
    <w:rsid w:val="00CE59E0"/>
    <w:rsid w:val="00D15A9B"/>
    <w:rsid w:val="00D40AFF"/>
    <w:rsid w:val="00D67BE2"/>
    <w:rsid w:val="00D81BC8"/>
    <w:rsid w:val="00DB36C9"/>
    <w:rsid w:val="00DD0D25"/>
    <w:rsid w:val="00DE14F4"/>
    <w:rsid w:val="00DF22DB"/>
    <w:rsid w:val="00DF2F1B"/>
    <w:rsid w:val="00E0409E"/>
    <w:rsid w:val="00E04E58"/>
    <w:rsid w:val="00E07F57"/>
    <w:rsid w:val="00E17968"/>
    <w:rsid w:val="00E24537"/>
    <w:rsid w:val="00E4547C"/>
    <w:rsid w:val="00E45837"/>
    <w:rsid w:val="00E536B7"/>
    <w:rsid w:val="00E547C6"/>
    <w:rsid w:val="00E83725"/>
    <w:rsid w:val="00EB031A"/>
    <w:rsid w:val="00EB34C9"/>
    <w:rsid w:val="00EB50E6"/>
    <w:rsid w:val="00EF6410"/>
    <w:rsid w:val="00F02A41"/>
    <w:rsid w:val="00F15FD4"/>
    <w:rsid w:val="00F16781"/>
    <w:rsid w:val="00F432A3"/>
    <w:rsid w:val="00F45422"/>
    <w:rsid w:val="00F47459"/>
    <w:rsid w:val="00F51D6E"/>
    <w:rsid w:val="00F523DE"/>
    <w:rsid w:val="00F60164"/>
    <w:rsid w:val="00F6257C"/>
    <w:rsid w:val="00F830AE"/>
    <w:rsid w:val="00FB04C6"/>
    <w:rsid w:val="00FC2F92"/>
    <w:rsid w:val="00FE55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539B68"/>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B992-1D80-4DFB-9817-FAEF66B4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World Languages Criteria Map - Instructional Materials  (CA Dept of Education)</vt:lpstr>
    </vt:vector>
  </TitlesOfParts>
  <Company>CA Dept of Education</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Criteria Map - Instructional Materials  (CA Dept of Education)</dc:title>
  <dc:subject>Criteria Map Template–2021 World Languages Adoption Criteria Map. </dc:subject>
  <dc:creator>CA Dept of Education</dc:creator>
  <cp:keywords>introduction, high school, appendix, glossary</cp:keywords>
  <cp:lastModifiedBy>Terri Yan</cp:lastModifiedBy>
  <cp:revision>4</cp:revision>
  <cp:lastPrinted>2018-10-15T20:53:00Z</cp:lastPrinted>
  <dcterms:created xsi:type="dcterms:W3CDTF">2020-06-30T13:41:00Z</dcterms:created>
  <dcterms:modified xsi:type="dcterms:W3CDTF">2020-07-03T18:52:00Z</dcterms:modified>
</cp:coreProperties>
</file>