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37" w:rsidRDefault="004812F3">
      <w:pPr>
        <w:spacing w:after="240"/>
        <w:jc w:val="center"/>
        <w:rPr>
          <w:b/>
          <w:i/>
        </w:rPr>
      </w:pPr>
      <w:r>
        <w:rPr>
          <w:b/>
        </w:rPr>
        <w:t>This advisory recommendation has not been approved by the Instructional Quality Commission or the State Board of Education.</w:t>
      </w:r>
    </w:p>
    <w:p w:rsidR="00BD2737" w:rsidRPr="004E3C47" w:rsidRDefault="004812F3">
      <w:pPr>
        <w:pStyle w:val="Heading1"/>
        <w:rPr>
          <w:i w:val="0"/>
        </w:rPr>
      </w:pPr>
      <w:r w:rsidRPr="004E3C47">
        <w:rPr>
          <w:i w:val="0"/>
        </w:rPr>
        <w:t xml:space="preserve">REVIEW </w:t>
      </w:r>
      <w:r w:rsidR="00E62DCF" w:rsidRPr="004E3C47">
        <w:rPr>
          <w:i w:val="0"/>
        </w:rPr>
        <w:t>ADVISORY RECOMMENDATION</w:t>
      </w:r>
      <w:r w:rsidR="00E62DCF" w:rsidRPr="004E3C47">
        <w:rPr>
          <w:i w:val="0"/>
        </w:rPr>
        <w:br/>
        <w:t>2019</w:t>
      </w:r>
      <w:r w:rsidRPr="004E3C47">
        <w:rPr>
          <w:i w:val="0"/>
        </w:rPr>
        <w:t xml:space="preserve"> </w:t>
      </w:r>
      <w:r w:rsidR="001E754C" w:rsidRPr="004E3C47">
        <w:rPr>
          <w:i w:val="0"/>
        </w:rPr>
        <w:t xml:space="preserve">INSTRUCTIONAL MATERIALS </w:t>
      </w:r>
      <w:r w:rsidR="00E62DCF" w:rsidRPr="004E3C47">
        <w:rPr>
          <w:i w:val="0"/>
        </w:rPr>
        <w:t>REVISIONS PROCESS: 2017 HISTORY</w:t>
      </w:r>
      <w:r w:rsidR="00E63C88">
        <w:rPr>
          <w:i w:val="0"/>
        </w:rPr>
        <w:t>–</w:t>
      </w:r>
      <w:r w:rsidR="00E62DCF" w:rsidRPr="004E3C47">
        <w:rPr>
          <w:i w:val="0"/>
        </w:rPr>
        <w:t xml:space="preserve">SOCIAL </w:t>
      </w:r>
      <w:r w:rsidRPr="004E3C47">
        <w:rPr>
          <w:i w:val="0"/>
        </w:rPr>
        <w:t xml:space="preserve">SCIENCE </w:t>
      </w:r>
    </w:p>
    <w:tbl>
      <w:tblPr>
        <w:tblStyle w:val="a"/>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Publisher name, program name, and grade level(s)"/>
      </w:tblPr>
      <w:tblGrid>
        <w:gridCol w:w="3121"/>
        <w:gridCol w:w="3944"/>
        <w:gridCol w:w="2073"/>
      </w:tblGrid>
      <w:tr w:rsidR="00BD2737" w:rsidTr="00FB0C7E">
        <w:trPr>
          <w:cantSplit/>
          <w:trHeight w:val="420"/>
          <w:tblHeader/>
        </w:trPr>
        <w:tc>
          <w:tcPr>
            <w:tcW w:w="3122" w:type="dxa"/>
            <w:shd w:val="clear" w:color="auto" w:fill="D9D9D9"/>
          </w:tcPr>
          <w:p w:rsidR="00BD2737" w:rsidRDefault="004812F3">
            <w:pPr>
              <w:rPr>
                <w:b/>
                <w:i/>
                <w:color w:val="000000"/>
              </w:rPr>
            </w:pPr>
            <w:r>
              <w:rPr>
                <w:b/>
                <w:color w:val="000000"/>
              </w:rPr>
              <w:t>Publisher</w:t>
            </w:r>
          </w:p>
        </w:tc>
        <w:tc>
          <w:tcPr>
            <w:tcW w:w="3944" w:type="dxa"/>
            <w:shd w:val="clear" w:color="auto" w:fill="D9D9D9"/>
          </w:tcPr>
          <w:p w:rsidR="00BD2737" w:rsidRDefault="004812F3">
            <w:pPr>
              <w:rPr>
                <w:b/>
                <w:i/>
                <w:color w:val="000000"/>
              </w:rPr>
            </w:pPr>
            <w:r>
              <w:rPr>
                <w:b/>
                <w:color w:val="000000"/>
              </w:rPr>
              <w:t>Program</w:t>
            </w:r>
          </w:p>
        </w:tc>
        <w:tc>
          <w:tcPr>
            <w:tcW w:w="2073" w:type="dxa"/>
            <w:shd w:val="clear" w:color="auto" w:fill="D9D9D9"/>
          </w:tcPr>
          <w:p w:rsidR="00BD2737" w:rsidRDefault="004812F3">
            <w:pPr>
              <w:jc w:val="center"/>
              <w:rPr>
                <w:b/>
                <w:i/>
                <w:color w:val="000000"/>
              </w:rPr>
            </w:pPr>
            <w:r>
              <w:rPr>
                <w:b/>
                <w:color w:val="000000"/>
              </w:rPr>
              <w:t>Grade Level(s)</w:t>
            </w:r>
          </w:p>
        </w:tc>
      </w:tr>
      <w:tr w:rsidR="00BD2737" w:rsidTr="00FB0C7E">
        <w:trPr>
          <w:cantSplit/>
          <w:trHeight w:val="440"/>
        </w:trPr>
        <w:tc>
          <w:tcPr>
            <w:tcW w:w="3122" w:type="dxa"/>
          </w:tcPr>
          <w:p w:rsidR="00BD2737" w:rsidRPr="00174354" w:rsidRDefault="00E62DCF">
            <w:r w:rsidRPr="00174354">
              <w:t>Studies Weekly</w:t>
            </w:r>
          </w:p>
        </w:tc>
        <w:tc>
          <w:tcPr>
            <w:tcW w:w="3944" w:type="dxa"/>
          </w:tcPr>
          <w:p w:rsidR="00BD2737" w:rsidRPr="00174354" w:rsidRDefault="00E62DCF">
            <w:pPr>
              <w:rPr>
                <w:i/>
              </w:rPr>
            </w:pPr>
            <w:r w:rsidRPr="00174354">
              <w:rPr>
                <w:i/>
                <w:iCs/>
              </w:rPr>
              <w:t>California Studies Weekly – Social Studies</w:t>
            </w:r>
          </w:p>
        </w:tc>
        <w:tc>
          <w:tcPr>
            <w:tcW w:w="2073" w:type="dxa"/>
          </w:tcPr>
          <w:p w:rsidR="00BD2737" w:rsidRPr="00174354" w:rsidRDefault="00E62DCF">
            <w:pPr>
              <w:jc w:val="center"/>
            </w:pPr>
            <w:r w:rsidRPr="00174354">
              <w:t>K–6</w:t>
            </w:r>
          </w:p>
        </w:tc>
      </w:tr>
    </w:tbl>
    <w:p w:rsidR="00BD2737" w:rsidRDefault="004812F3">
      <w:pPr>
        <w:pStyle w:val="Heading2"/>
      </w:pPr>
      <w:r>
        <w:t>Program Summary:</w:t>
      </w:r>
    </w:p>
    <w:p w:rsidR="0097036A" w:rsidRPr="0097036A" w:rsidRDefault="0097036A" w:rsidP="00B70BCF">
      <w:pPr>
        <w:spacing w:after="240"/>
        <w:rPr>
          <w:rFonts w:eastAsia="Times New Roman" w:cs="Times New Roman"/>
          <w:b/>
          <w:bCs/>
          <w:i/>
          <w:u w:val="single"/>
        </w:rPr>
      </w:pPr>
      <w:r w:rsidRPr="0097036A">
        <w:rPr>
          <w:rFonts w:eastAsia="Times New Roman" w:cs="Times New Roman"/>
          <w:bCs/>
        </w:rPr>
        <w:t xml:space="preserve">California Studies Weekly </w:t>
      </w:r>
      <w:r w:rsidRPr="0097036A">
        <w:rPr>
          <w:rFonts w:eastAsia="Times New Roman" w:cs="Times New Roman"/>
          <w:i/>
        </w:rPr>
        <w:t xml:space="preserve">– </w:t>
      </w:r>
      <w:r w:rsidRPr="0097036A">
        <w:rPr>
          <w:rFonts w:eastAsia="Times New Roman" w:cs="Times New Roman"/>
        </w:rPr>
        <w:t xml:space="preserve">Social Studies </w:t>
      </w:r>
      <w:r w:rsidRPr="00B70BCF">
        <w:rPr>
          <w:rFonts w:eastAsia="Times New Roman" w:cs="Times New Roman"/>
          <w:bCs/>
          <w:iCs/>
        </w:rPr>
        <w:t>includes</w:t>
      </w:r>
      <w:r w:rsidRPr="0097036A">
        <w:rPr>
          <w:rFonts w:eastAsia="Times New Roman" w:cs="Times New Roman"/>
          <w:bCs/>
          <w:i/>
          <w:iCs/>
        </w:rPr>
        <w:t>: Student Edition (SE), Teacher Supplement (TS), digital content.</w:t>
      </w:r>
    </w:p>
    <w:p w:rsidR="004E3C47" w:rsidRDefault="004E3C47" w:rsidP="004E3C47">
      <w:pPr>
        <w:pStyle w:val="Heading2"/>
        <w:rPr>
          <w:i w:val="0"/>
        </w:rPr>
      </w:pPr>
      <w:r>
        <w:rPr>
          <w:i w:val="0"/>
        </w:rPr>
        <w:t>Parameters of Review:</w:t>
      </w:r>
    </w:p>
    <w:p w:rsidR="004E3C47" w:rsidRDefault="004E3C47" w:rsidP="00B70BCF">
      <w:pPr>
        <w:spacing w:after="240"/>
      </w:pPr>
      <w:r>
        <w:t xml:space="preserve">California </w:t>
      </w:r>
      <w:r w:rsidRPr="00CA70A4">
        <w:rPr>
          <w:i/>
        </w:rPr>
        <w:t>Education Code</w:t>
      </w:r>
      <w:r>
        <w:t xml:space="preserve"> Section 60200(b)(2) permits publishers to propose revisions to currently adopted materials, and </w:t>
      </w:r>
      <w:r w:rsidRPr="004E3C47">
        <w:t>Title 5 of the California</w:t>
      </w:r>
      <w:r w:rsidRPr="004E3C47">
        <w:rPr>
          <w:i/>
        </w:rPr>
        <w:t xml:space="preserve"> Code of Regulations</w:t>
      </w:r>
      <w:r w:rsidRPr="004E3C47">
        <w:t xml:space="preserve"> (5 </w:t>
      </w:r>
      <w:r w:rsidRPr="004E3C47">
        <w:rPr>
          <w:i/>
        </w:rPr>
        <w:t>CCR</w:t>
      </w:r>
      <w:r w:rsidRPr="004E3C47">
        <w:t>), Section 9526</w:t>
      </w:r>
      <w:r>
        <w:t xml:space="preserve"> details the process. Regulations stipulate of a publisher</w:t>
      </w:r>
      <w:r w:rsidR="00515BA7">
        <w:t>’</w:t>
      </w:r>
      <w:r>
        <w:t>s proposed revisions that</w:t>
      </w:r>
      <w:r w:rsidR="001E754C">
        <w:t>:</w:t>
      </w:r>
      <w:r>
        <w:t xml:space="preserve"> </w:t>
      </w:r>
    </w:p>
    <w:p w:rsidR="004E3C47" w:rsidRPr="004E3C47" w:rsidRDefault="00B70BCF" w:rsidP="00680569">
      <w:pPr>
        <w:numPr>
          <w:ilvl w:val="0"/>
          <w:numId w:val="2"/>
        </w:numPr>
        <w:spacing w:after="160" w:line="240" w:lineRule="atLeast"/>
        <w:ind w:left="360" w:right="90"/>
        <w:rPr>
          <w:rFonts w:eastAsia="Calibri"/>
        </w:rPr>
      </w:pPr>
      <w:r>
        <w:rPr>
          <w:rFonts w:eastAsia="Calibri"/>
        </w:rPr>
        <w:t>a</w:t>
      </w:r>
      <w:r w:rsidR="004E3C47" w:rsidRPr="004E3C47">
        <w:rPr>
          <w:rFonts w:eastAsia="Calibri"/>
        </w:rPr>
        <w:t xml:space="preserve">ny revisions </w:t>
      </w:r>
      <w:r w:rsidR="004E3C47">
        <w:rPr>
          <w:rFonts w:eastAsia="Calibri"/>
        </w:rPr>
        <w:t>sub</w:t>
      </w:r>
      <w:r w:rsidR="004E3C47" w:rsidRPr="004E3C47">
        <w:rPr>
          <w:rFonts w:eastAsia="Calibri"/>
        </w:rPr>
        <w:t>mit</w:t>
      </w:r>
      <w:r w:rsidR="004E3C47">
        <w:rPr>
          <w:rFonts w:eastAsia="Calibri"/>
        </w:rPr>
        <w:t>ted</w:t>
      </w:r>
      <w:r w:rsidR="004E3C47" w:rsidRPr="004E3C47">
        <w:rPr>
          <w:rFonts w:eastAsia="Calibri"/>
        </w:rPr>
        <w:t xml:space="preserve"> will be considered “proposed” and will be subject to a review and approval process</w:t>
      </w:r>
      <w:r>
        <w:rPr>
          <w:rFonts w:eastAsia="Calibri"/>
        </w:rPr>
        <w:t>;</w:t>
      </w:r>
    </w:p>
    <w:p w:rsidR="004E3C47" w:rsidRPr="004E3C47" w:rsidRDefault="00B70BCF" w:rsidP="00680569">
      <w:pPr>
        <w:numPr>
          <w:ilvl w:val="0"/>
          <w:numId w:val="2"/>
        </w:numPr>
        <w:spacing w:after="160" w:line="240" w:lineRule="atLeast"/>
        <w:ind w:left="360" w:right="90"/>
        <w:rPr>
          <w:rFonts w:eastAsia="Calibri"/>
        </w:rPr>
      </w:pPr>
      <w:r>
        <w:rPr>
          <w:rFonts w:eastAsia="Calibri"/>
        </w:rPr>
        <w:t>p</w:t>
      </w:r>
      <w:r w:rsidR="004E3C47" w:rsidRPr="004E3C47">
        <w:rPr>
          <w:rFonts w:eastAsia="Calibri"/>
        </w:rPr>
        <w:t xml:space="preserve">roposed revisions must be consistent with the State Board of Education (SBE)-adopted content standards, curriculum framework, and evaluation criteria utilized in the 2017 </w:t>
      </w:r>
      <w:r w:rsidR="00515BA7">
        <w:rPr>
          <w:rFonts w:eastAsia="Calibri"/>
        </w:rPr>
        <w:t>History</w:t>
      </w:r>
      <w:r w:rsidR="00E63C88">
        <w:rPr>
          <w:rFonts w:eastAsia="Calibri"/>
        </w:rPr>
        <w:t>–</w:t>
      </w:r>
      <w:r w:rsidR="004E3C47" w:rsidRPr="004E3C47">
        <w:rPr>
          <w:rFonts w:eastAsia="Calibri"/>
        </w:rPr>
        <w:t>S</w:t>
      </w:r>
      <w:r w:rsidR="00515BA7">
        <w:rPr>
          <w:rFonts w:eastAsia="Calibri"/>
        </w:rPr>
        <w:t>ocial Studies</w:t>
      </w:r>
      <w:r w:rsidR="004E3C47" w:rsidRPr="004E3C47">
        <w:rPr>
          <w:rFonts w:eastAsia="Calibri"/>
        </w:rPr>
        <w:t xml:space="preserve"> Instructional Materials Adoption and the relevant statutes</w:t>
      </w:r>
      <w:r>
        <w:rPr>
          <w:rFonts w:eastAsia="Calibri"/>
        </w:rPr>
        <w:t>;</w:t>
      </w:r>
    </w:p>
    <w:p w:rsidR="004E3C47" w:rsidRPr="004E3C47" w:rsidRDefault="00B70BCF" w:rsidP="00680569">
      <w:pPr>
        <w:numPr>
          <w:ilvl w:val="0"/>
          <w:numId w:val="2"/>
        </w:numPr>
        <w:spacing w:after="160" w:line="240" w:lineRule="atLeast"/>
        <w:ind w:left="360" w:right="90"/>
        <w:rPr>
          <w:rFonts w:eastAsia="Calibri"/>
        </w:rPr>
      </w:pPr>
      <w:r>
        <w:rPr>
          <w:rFonts w:eastAsia="Calibri"/>
        </w:rPr>
        <w:t>t</w:t>
      </w:r>
      <w:r w:rsidR="004E3C47" w:rsidRPr="004E3C47">
        <w:rPr>
          <w:rFonts w:eastAsia="Calibri"/>
        </w:rPr>
        <w:t>he approval process will include public meetings of the Instructional Quality Commission and the SBE</w:t>
      </w:r>
      <w:r>
        <w:rPr>
          <w:rFonts w:eastAsia="Calibri"/>
        </w:rPr>
        <w:t>;</w:t>
      </w:r>
    </w:p>
    <w:p w:rsidR="00C767CD" w:rsidRDefault="00B70BCF" w:rsidP="00680569">
      <w:pPr>
        <w:numPr>
          <w:ilvl w:val="0"/>
          <w:numId w:val="2"/>
        </w:numPr>
        <w:spacing w:after="240" w:line="240" w:lineRule="atLeast"/>
        <w:ind w:left="360" w:right="90"/>
        <w:rPr>
          <w:rFonts w:eastAsia="Calibri"/>
        </w:rPr>
      </w:pPr>
      <w:r>
        <w:rPr>
          <w:rFonts w:eastAsia="Calibri"/>
        </w:rPr>
        <w:t>p</w:t>
      </w:r>
      <w:r w:rsidR="004E3C47" w:rsidRPr="004E3C47">
        <w:rPr>
          <w:rFonts w:eastAsia="Calibri"/>
        </w:rPr>
        <w:t>ublishers must continue to make available originally adopted programs in addition to revised programs (not applicable to online programs)</w:t>
      </w:r>
      <w:r>
        <w:rPr>
          <w:rFonts w:eastAsia="Calibri"/>
        </w:rPr>
        <w:t>; and</w:t>
      </w:r>
    </w:p>
    <w:p w:rsidR="004E3C47" w:rsidRPr="004E3C47" w:rsidRDefault="00B70BCF" w:rsidP="00B70BCF">
      <w:pPr>
        <w:numPr>
          <w:ilvl w:val="0"/>
          <w:numId w:val="2"/>
        </w:numPr>
        <w:spacing w:after="240" w:line="240" w:lineRule="atLeast"/>
        <w:ind w:left="360" w:right="86"/>
        <w:rPr>
          <w:rFonts w:eastAsia="Calibri"/>
        </w:rPr>
      </w:pPr>
      <w:r>
        <w:rPr>
          <w:rFonts w:eastAsia="Calibri"/>
        </w:rPr>
        <w:t>a</w:t>
      </w:r>
      <w:r w:rsidR="004E3C47" w:rsidRPr="004E3C47">
        <w:rPr>
          <w:rFonts w:eastAsia="Calibri"/>
        </w:rPr>
        <w:t xml:space="preserve">dditionally, 5 </w:t>
      </w:r>
      <w:r w:rsidR="004E3C47" w:rsidRPr="004E3C47">
        <w:rPr>
          <w:rFonts w:eastAsia="Calibri"/>
          <w:i/>
        </w:rPr>
        <w:t>CCR</w:t>
      </w:r>
      <w:r w:rsidR="004E3C47" w:rsidRPr="004E3C47">
        <w:rPr>
          <w:rFonts w:eastAsia="Calibri"/>
        </w:rPr>
        <w:t xml:space="preserve"> Section 9523 require</w:t>
      </w:r>
      <w:r w:rsidR="00C767CD">
        <w:rPr>
          <w:rFonts w:eastAsia="Calibri"/>
        </w:rPr>
        <w:t>s</w:t>
      </w:r>
      <w:r w:rsidR="004E3C47" w:rsidRPr="004E3C47">
        <w:rPr>
          <w:rFonts w:eastAsia="Calibri"/>
        </w:rPr>
        <w:t xml:space="preserve"> </w:t>
      </w:r>
      <w:r w:rsidR="00C767CD">
        <w:rPr>
          <w:rFonts w:eastAsia="Calibri"/>
        </w:rPr>
        <w:t xml:space="preserve">publishers </w:t>
      </w:r>
      <w:r w:rsidR="004E3C47" w:rsidRPr="004E3C47">
        <w:rPr>
          <w:rFonts w:eastAsia="Calibri"/>
        </w:rPr>
        <w:t>to post online for public review a</w:t>
      </w:r>
      <w:r w:rsidR="00072CEC">
        <w:rPr>
          <w:rFonts w:eastAsia="Calibri"/>
        </w:rPr>
        <w:t>ll proposed revisions</w:t>
      </w:r>
      <w:r w:rsidR="004E3C47" w:rsidRPr="004E3C47">
        <w:rPr>
          <w:rFonts w:eastAsia="Calibri"/>
        </w:rPr>
        <w:t>.</w:t>
      </w:r>
    </w:p>
    <w:p w:rsidR="0097036A" w:rsidRPr="0097036A" w:rsidRDefault="0097036A">
      <w:pPr>
        <w:pStyle w:val="Heading2"/>
        <w:rPr>
          <w:i w:val="0"/>
        </w:rPr>
      </w:pPr>
      <w:r w:rsidRPr="0097036A">
        <w:rPr>
          <w:i w:val="0"/>
        </w:rPr>
        <w:t>Publisher’s Revision Proposal:</w:t>
      </w:r>
    </w:p>
    <w:p w:rsidR="00CA70A4" w:rsidRDefault="0097036A" w:rsidP="00B70BCF">
      <w:pPr>
        <w:spacing w:after="240"/>
      </w:pPr>
      <w:r w:rsidRPr="0097036A">
        <w:t xml:space="preserve">Studies Weekly proposed revisions to their 2017 </w:t>
      </w:r>
      <w:r w:rsidR="00CA70A4">
        <w:t>SBE-</w:t>
      </w:r>
      <w:r w:rsidRPr="0097036A">
        <w:t>adopted instructional materials program. The publisher proposed to delete, add, or otherwise modify</w:t>
      </w:r>
      <w:r>
        <w:t xml:space="preserve"> a total of</w:t>
      </w:r>
      <w:r w:rsidRPr="0097036A">
        <w:t xml:space="preserve"> 4,639 words</w:t>
      </w:r>
      <w:r>
        <w:t xml:space="preserve"> across the grade levels of their kindergarten through grade six program. These </w:t>
      </w:r>
      <w:r w:rsidR="004E3C47">
        <w:t xml:space="preserve">proposed </w:t>
      </w:r>
      <w:r>
        <w:t xml:space="preserve">revisions </w:t>
      </w:r>
      <w:r w:rsidR="004E3C47">
        <w:t>occur in</w:t>
      </w:r>
      <w:r>
        <w:t xml:space="preserve"> both student and </w:t>
      </w:r>
      <w:r w:rsidR="004E3C47">
        <w:t>teacher materials.</w:t>
      </w:r>
    </w:p>
    <w:p w:rsidR="0097036A" w:rsidRPr="00CC2E27" w:rsidRDefault="00CA70A4" w:rsidP="0097036A">
      <w:pPr>
        <w:rPr>
          <w:rStyle w:val="Hyperlink"/>
        </w:rPr>
      </w:pPr>
      <w:r w:rsidRPr="00B70BCF">
        <w:lastRenderedPageBreak/>
        <w:t>A</w:t>
      </w:r>
      <w:r w:rsidRPr="00B70BCF">
        <w:rPr>
          <w:lang w:val="en"/>
        </w:rPr>
        <w:t xml:space="preserve"> link to the publisher’s proposed instructional materials changes, is available at the following California Department of Education </w:t>
      </w:r>
      <w:r w:rsidR="00515BA7" w:rsidRPr="00B70BCF">
        <w:rPr>
          <w:lang w:val="en"/>
        </w:rPr>
        <w:t xml:space="preserve">(CDE) </w:t>
      </w:r>
      <w:r w:rsidRPr="00B70BCF">
        <w:rPr>
          <w:lang w:val="en"/>
        </w:rPr>
        <w:t xml:space="preserve">website: </w:t>
      </w:r>
      <w:r w:rsidR="00CC2E27">
        <w:rPr>
          <w:lang w:val="en"/>
        </w:rPr>
        <w:fldChar w:fldCharType="begin"/>
      </w:r>
      <w:r w:rsidR="00CC2E27">
        <w:rPr>
          <w:lang w:val="en"/>
        </w:rPr>
        <w:instrText xml:space="preserve"> HYPERLINK "https://www.cde.ca.gov/ci/hs/im/revprocessfor2017hssim.asp" \o "Revision Process for 2017 HSS Instructional Materials " </w:instrText>
      </w:r>
      <w:r w:rsidR="00CC2E27">
        <w:rPr>
          <w:lang w:val="en"/>
        </w:rPr>
        <w:fldChar w:fldCharType="separate"/>
      </w:r>
      <w:r w:rsidRPr="00CC2E27">
        <w:rPr>
          <w:rStyle w:val="Hyperlink"/>
          <w:lang w:val="en"/>
        </w:rPr>
        <w:t>https://www.cde.ca.gov/ci/hs/im/revprocessfor2017hssim.asp.</w:t>
      </w:r>
    </w:p>
    <w:p w:rsidR="00BD2737" w:rsidRDefault="00CC2E27">
      <w:pPr>
        <w:pStyle w:val="Heading2"/>
        <w:rPr>
          <w:i w:val="0"/>
        </w:rPr>
      </w:pPr>
      <w:r>
        <w:rPr>
          <w:b w:val="0"/>
          <w:i w:val="0"/>
          <w:lang w:val="en"/>
        </w:rPr>
        <w:fldChar w:fldCharType="end"/>
      </w:r>
      <w:r w:rsidR="00EF7BB8">
        <w:rPr>
          <w:i w:val="0"/>
        </w:rPr>
        <w:t>Review</w:t>
      </w:r>
      <w:r w:rsidR="004812F3" w:rsidRPr="0097036A">
        <w:rPr>
          <w:i w:val="0"/>
        </w:rPr>
        <w:t>:</w:t>
      </w:r>
    </w:p>
    <w:p w:rsidR="00EF7BB8" w:rsidRPr="00EF7BB8" w:rsidRDefault="00EF7BB8" w:rsidP="00B70BCF">
      <w:pPr>
        <w:spacing w:after="240"/>
        <w:rPr>
          <w:rFonts w:eastAsia="Calibri"/>
          <w:lang w:val="en"/>
        </w:rPr>
      </w:pPr>
      <w:r w:rsidRPr="004E3C47">
        <w:rPr>
          <w:rFonts w:eastAsia="Calibri"/>
        </w:rPr>
        <w:t xml:space="preserve">5 </w:t>
      </w:r>
      <w:r w:rsidRPr="004E3C47">
        <w:rPr>
          <w:rFonts w:eastAsia="Calibri"/>
          <w:i/>
        </w:rPr>
        <w:t>CCR</w:t>
      </w:r>
      <w:r>
        <w:rPr>
          <w:rFonts w:eastAsia="Calibri"/>
        </w:rPr>
        <w:t xml:space="preserve"> Section 9529 allows a publisher</w:t>
      </w:r>
      <w:r w:rsidR="001253D9">
        <w:rPr>
          <w:rFonts w:eastAsia="Calibri"/>
        </w:rPr>
        <w:t>, with only a simple approval by the CDE,</w:t>
      </w:r>
      <w:r>
        <w:rPr>
          <w:rFonts w:eastAsia="Calibri"/>
        </w:rPr>
        <w:t xml:space="preserve"> to replace </w:t>
      </w:r>
      <w:r w:rsidRPr="00EF7BB8">
        <w:rPr>
          <w:rFonts w:eastAsia="Calibri"/>
          <w:lang w:val="en"/>
        </w:rPr>
        <w:t xml:space="preserve">the original adopted edition </w:t>
      </w:r>
      <w:r>
        <w:rPr>
          <w:rFonts w:eastAsia="Calibri"/>
          <w:lang w:val="en"/>
        </w:rPr>
        <w:t xml:space="preserve">with </w:t>
      </w:r>
      <w:r w:rsidRPr="00EF7BB8">
        <w:rPr>
          <w:rFonts w:eastAsia="Calibri"/>
          <w:lang w:val="en"/>
        </w:rPr>
        <w:t>a new edition of an adopted instructional material provided that:</w:t>
      </w:r>
    </w:p>
    <w:p w:rsidR="00EF7BB8" w:rsidRPr="00EF7BB8" w:rsidRDefault="00EF7BB8" w:rsidP="00B70BCF">
      <w:pPr>
        <w:spacing w:after="240"/>
        <w:rPr>
          <w:rFonts w:eastAsia="Calibri"/>
          <w:lang w:val="en"/>
        </w:rPr>
      </w:pPr>
      <w:r w:rsidRPr="00EF7BB8">
        <w:rPr>
          <w:rFonts w:eastAsia="Calibri"/>
          <w:lang w:val="en"/>
        </w:rPr>
        <w:t>(1) Changes contained in the new edition are so minimal that both the new edition and the original adopted edition may be used together in a classroom environment. No additional content may be included in the new edition</w:t>
      </w:r>
      <w:r>
        <w:rPr>
          <w:rFonts w:eastAsia="Calibri"/>
          <w:lang w:val="en"/>
        </w:rPr>
        <w:t>.</w:t>
      </w:r>
    </w:p>
    <w:p w:rsidR="00EF7BB8" w:rsidRPr="00B70BCF" w:rsidRDefault="00EF7BB8" w:rsidP="00B70BCF">
      <w:pPr>
        <w:spacing w:after="240"/>
        <w:rPr>
          <w:rFonts w:eastAsia="Calibri"/>
          <w:lang w:val="en"/>
        </w:rPr>
      </w:pPr>
      <w:r w:rsidRPr="00EF7BB8">
        <w:rPr>
          <w:rFonts w:eastAsia="Calibri"/>
          <w:lang w:val="en"/>
        </w:rPr>
        <w:t xml:space="preserve">(2) All changes comply with the social content standards set forth in the publication entitled </w:t>
      </w:r>
      <w:r w:rsidRPr="00EF7BB8">
        <w:rPr>
          <w:rFonts w:eastAsia="Calibri"/>
          <w:i/>
          <w:iCs/>
          <w:lang w:val="en"/>
        </w:rPr>
        <w:t>Standards for Evaluating Instructional Materials for Social Content</w:t>
      </w:r>
      <w:r w:rsidRPr="00EF7BB8">
        <w:rPr>
          <w:rFonts w:eastAsia="Calibri"/>
          <w:lang w:val="en"/>
        </w:rPr>
        <w:t xml:space="preserve">, 2013 Edition, as referenced in </w:t>
      </w:r>
      <w:r w:rsidR="001253D9">
        <w:rPr>
          <w:rFonts w:eastAsia="Calibri"/>
          <w:lang w:val="en"/>
        </w:rPr>
        <w:t xml:space="preserve">5 </w:t>
      </w:r>
      <w:r w:rsidR="001253D9" w:rsidRPr="001253D9">
        <w:rPr>
          <w:rFonts w:eastAsia="Calibri"/>
          <w:i/>
          <w:lang w:val="en"/>
        </w:rPr>
        <w:t>CCR</w:t>
      </w:r>
      <w:r w:rsidR="001253D9">
        <w:rPr>
          <w:rFonts w:eastAsia="Calibri"/>
          <w:lang w:val="en"/>
        </w:rPr>
        <w:t xml:space="preserve"> S</w:t>
      </w:r>
      <w:r w:rsidRPr="00EF7BB8">
        <w:rPr>
          <w:rFonts w:eastAsia="Calibri"/>
          <w:lang w:val="en"/>
        </w:rPr>
        <w:t>ection 9518. The price of the new edition is equal to or lower than the price of the original adopted edition.</w:t>
      </w:r>
    </w:p>
    <w:p w:rsidR="005701F3" w:rsidRDefault="00EF7BB8" w:rsidP="00B70BCF">
      <w:pPr>
        <w:spacing w:after="240"/>
      </w:pPr>
      <w:r>
        <w:t xml:space="preserve">In the vast majority of </w:t>
      </w:r>
      <w:r w:rsidR="005701F3">
        <w:t>the publisher’s proposed revisions, this regulations section is applicable—the changes are so minimal as to allow side-by-side classroom use with the original materials.</w:t>
      </w:r>
    </w:p>
    <w:p w:rsidR="009F7B13" w:rsidRDefault="005701F3" w:rsidP="00B70BCF">
      <w:pPr>
        <w:spacing w:after="240"/>
      </w:pPr>
      <w:r>
        <w:t>Instances of where this regula</w:t>
      </w:r>
      <w:r w:rsidR="001253D9">
        <w:t>tions section is not applicable include where</w:t>
      </w:r>
      <w:r>
        <w:t xml:space="preserve"> the publisher has proposed replacing images or short narratives</w:t>
      </w:r>
      <w:r w:rsidR="001253D9">
        <w:t>;</w:t>
      </w:r>
      <w:r>
        <w:t xml:space="preserve"> these revisions would qualify as new content. Additionally, in some cases the publisher has revised or replaced student activities </w:t>
      </w:r>
      <w:r w:rsidR="001253D9">
        <w:t xml:space="preserve">and or assessments </w:t>
      </w:r>
      <w:r>
        <w:t>which would also constitute new content.</w:t>
      </w:r>
    </w:p>
    <w:p w:rsidR="00EF7BB8" w:rsidRDefault="009F7B13" w:rsidP="00B70BCF">
      <w:pPr>
        <w:spacing w:after="360"/>
      </w:pPr>
      <w:r>
        <w:t>For all proposed revisions, the CDE reviewed the materials to confirm that nothing proposed would violate the original adoption process finding that the publisher had fully met the evaluation criteria, including standards coverage, consistency with the curriculum framework, and abidance with all relevant statutes.</w:t>
      </w:r>
    </w:p>
    <w:p w:rsidR="00EF7BB8" w:rsidRPr="00EF140A" w:rsidRDefault="00EF7BB8" w:rsidP="00EF140A">
      <w:pPr>
        <w:pStyle w:val="Heading2"/>
        <w:rPr>
          <w:i w:val="0"/>
        </w:rPr>
      </w:pPr>
      <w:bookmarkStart w:id="0" w:name="_GoBack"/>
      <w:bookmarkEnd w:id="0"/>
      <w:r w:rsidRPr="00EF140A">
        <w:rPr>
          <w:i w:val="0"/>
        </w:rPr>
        <w:t>Recommendation:</w:t>
      </w:r>
    </w:p>
    <w:p w:rsidR="004C66D4" w:rsidRDefault="00174354" w:rsidP="00E30107">
      <w:pPr>
        <w:spacing w:after="360"/>
      </w:pPr>
      <w:r>
        <w:t xml:space="preserve">The CDE recommends approval of the revisions proposed by Studies Weekly to their </w:t>
      </w:r>
      <w:r w:rsidRPr="00174354">
        <w:rPr>
          <w:i/>
          <w:iCs/>
        </w:rPr>
        <w:t>California Studies Weekly – Social Studies</w:t>
      </w:r>
      <w:r>
        <w:rPr>
          <w:iCs/>
        </w:rPr>
        <w:t xml:space="preserve">, having found that </w:t>
      </w:r>
      <w:r>
        <w:t>the p</w:t>
      </w:r>
      <w:r w:rsidRPr="00174354">
        <w:t xml:space="preserve">roposed revisions </w:t>
      </w:r>
      <w:r>
        <w:t>are</w:t>
      </w:r>
      <w:r w:rsidRPr="00174354">
        <w:t xml:space="preserve"> consistent with the SBE-adopted content standards, curriculum framework, and evaluation criteria utilized in the 2017 H</w:t>
      </w:r>
      <w:r w:rsidR="00B70BCF">
        <w:t>istory</w:t>
      </w:r>
      <w:r w:rsidR="00E63C88">
        <w:t>–</w:t>
      </w:r>
      <w:r w:rsidR="00B70BCF">
        <w:t>Social Science</w:t>
      </w:r>
      <w:r w:rsidRPr="00174354">
        <w:t xml:space="preserve"> Instructional Materials Adoption and the relevant statutes.</w:t>
      </w:r>
      <w:r w:rsidR="00E30107">
        <w:t xml:space="preserve"> </w:t>
      </w:r>
    </w:p>
    <w:p w:rsidR="00E30107" w:rsidRDefault="00E30107" w:rsidP="00E30107">
      <w:pPr>
        <w:spacing w:after="360"/>
      </w:pPr>
      <w:r>
        <w:t>California Department of Education: September 2019</w:t>
      </w:r>
    </w:p>
    <w:p w:rsidR="00E30107" w:rsidRDefault="00E30107" w:rsidP="00EF7BB8"/>
    <w:p w:rsidR="00E30107" w:rsidRPr="00EF7BB8" w:rsidRDefault="00E30107" w:rsidP="00EF7BB8"/>
    <w:sectPr w:rsidR="00E30107" w:rsidRPr="00EF7BB8" w:rsidSect="009B4FDC">
      <w:footerReference w:type="even" r:id="rId7"/>
      <w:footerReference w:type="default" r:id="rId8"/>
      <w:pgSz w:w="12240" w:h="15840"/>
      <w:pgMar w:top="1152"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576" w:rsidRDefault="00551576">
      <w:r>
        <w:separator/>
      </w:r>
    </w:p>
  </w:endnote>
  <w:endnote w:type="continuationSeparator" w:id="0">
    <w:p w:rsidR="00551576" w:rsidRDefault="0055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737" w:rsidRDefault="004812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D2737" w:rsidRDefault="00BD27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737" w:rsidRDefault="004812F3">
    <w:pPr>
      <w:pBdr>
        <w:top w:val="nil"/>
        <w:left w:val="nil"/>
        <w:bottom w:val="nil"/>
        <w:right w:val="nil"/>
        <w:between w:val="nil"/>
      </w:pBdr>
      <w:tabs>
        <w:tab w:val="center" w:pos="4320"/>
        <w:tab w:val="right" w:pos="8640"/>
      </w:tabs>
      <w:jc w:val="right"/>
      <w:rPr>
        <w:i/>
        <w:color w:val="000000"/>
      </w:rPr>
    </w:pPr>
    <w:r>
      <w:rPr>
        <w:i/>
        <w:color w:val="000000"/>
      </w:rPr>
      <w:fldChar w:fldCharType="begin"/>
    </w:r>
    <w:r>
      <w:rPr>
        <w:color w:val="000000"/>
      </w:rPr>
      <w:instrText>PAGE</w:instrText>
    </w:r>
    <w:r>
      <w:rPr>
        <w:i/>
        <w:color w:val="000000"/>
      </w:rPr>
      <w:fldChar w:fldCharType="separate"/>
    </w:r>
    <w:r w:rsidR="009F7B13">
      <w:rPr>
        <w:noProof/>
        <w:color w:val="000000"/>
      </w:rPr>
      <w:t>2</w:t>
    </w:r>
    <w:r>
      <w:rPr>
        <w:i/>
        <w:color w:val="000000"/>
      </w:rPr>
      <w:fldChar w:fldCharType="end"/>
    </w:r>
  </w:p>
  <w:p w:rsidR="00BD2737" w:rsidRDefault="00BD2737">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576" w:rsidRDefault="00551576">
      <w:r>
        <w:separator/>
      </w:r>
    </w:p>
  </w:footnote>
  <w:footnote w:type="continuationSeparator" w:id="0">
    <w:p w:rsidR="00551576" w:rsidRDefault="0055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661E"/>
    <w:multiLevelType w:val="hybridMultilevel"/>
    <w:tmpl w:val="96A4A1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3A6365C"/>
    <w:multiLevelType w:val="multilevel"/>
    <w:tmpl w:val="3E1E93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37"/>
    <w:rsid w:val="00071204"/>
    <w:rsid w:val="00072CEC"/>
    <w:rsid w:val="000849FE"/>
    <w:rsid w:val="000D2FF5"/>
    <w:rsid w:val="001253D9"/>
    <w:rsid w:val="00127B0D"/>
    <w:rsid w:val="00174354"/>
    <w:rsid w:val="001E754C"/>
    <w:rsid w:val="00236524"/>
    <w:rsid w:val="00255699"/>
    <w:rsid w:val="0041200B"/>
    <w:rsid w:val="00426DFD"/>
    <w:rsid w:val="004418C6"/>
    <w:rsid w:val="00464972"/>
    <w:rsid w:val="00480B3E"/>
    <w:rsid w:val="004812F3"/>
    <w:rsid w:val="004C66D4"/>
    <w:rsid w:val="004E3C47"/>
    <w:rsid w:val="004F227D"/>
    <w:rsid w:val="004F4D9C"/>
    <w:rsid w:val="00515BA7"/>
    <w:rsid w:val="00537E9C"/>
    <w:rsid w:val="00551576"/>
    <w:rsid w:val="005701F3"/>
    <w:rsid w:val="00680569"/>
    <w:rsid w:val="00744248"/>
    <w:rsid w:val="007A4E91"/>
    <w:rsid w:val="00807443"/>
    <w:rsid w:val="0094368E"/>
    <w:rsid w:val="0097036A"/>
    <w:rsid w:val="00971ADE"/>
    <w:rsid w:val="009B4FDC"/>
    <w:rsid w:val="009F7B13"/>
    <w:rsid w:val="00A202A0"/>
    <w:rsid w:val="00A217A8"/>
    <w:rsid w:val="00A45EA4"/>
    <w:rsid w:val="00A530CA"/>
    <w:rsid w:val="00B70BCF"/>
    <w:rsid w:val="00BD2737"/>
    <w:rsid w:val="00C3347A"/>
    <w:rsid w:val="00C767CD"/>
    <w:rsid w:val="00CA70A4"/>
    <w:rsid w:val="00CC2E27"/>
    <w:rsid w:val="00D72DB0"/>
    <w:rsid w:val="00E30107"/>
    <w:rsid w:val="00E62DCF"/>
    <w:rsid w:val="00E63C88"/>
    <w:rsid w:val="00E958FF"/>
    <w:rsid w:val="00E96825"/>
    <w:rsid w:val="00EA66F4"/>
    <w:rsid w:val="00EF140A"/>
    <w:rsid w:val="00EF7BB8"/>
    <w:rsid w:val="00F43A4F"/>
    <w:rsid w:val="00FB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16253-993C-4577-BAFD-1E95BD2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i/>
    </w:rPr>
  </w:style>
  <w:style w:type="paragraph" w:styleId="Heading2">
    <w:name w:val="heading 2"/>
    <w:basedOn w:val="Normal"/>
    <w:next w:val="Normal"/>
    <w:uiPriority w:val="9"/>
    <w:unhideWhenUsed/>
    <w:qFormat/>
    <w:pPr>
      <w:spacing w:before="480" w:after="240"/>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4F4D9C"/>
    <w:rPr>
      <w:color w:val="0000FF" w:themeColor="hyperlink"/>
      <w:u w:val="single"/>
    </w:rPr>
  </w:style>
  <w:style w:type="character" w:customStyle="1" w:styleId="UnresolvedMention1">
    <w:name w:val="Unresolved Mention1"/>
    <w:basedOn w:val="DefaultParagraphFont"/>
    <w:uiPriority w:val="99"/>
    <w:semiHidden/>
    <w:unhideWhenUsed/>
    <w:rsid w:val="004F4D9C"/>
    <w:rPr>
      <w:color w:val="605E5C"/>
      <w:shd w:val="clear" w:color="auto" w:fill="E1DFDD"/>
    </w:rPr>
  </w:style>
  <w:style w:type="paragraph" w:styleId="Header">
    <w:name w:val="header"/>
    <w:basedOn w:val="Normal"/>
    <w:link w:val="HeaderChar"/>
    <w:uiPriority w:val="99"/>
    <w:unhideWhenUsed/>
    <w:rsid w:val="00426DFD"/>
    <w:pPr>
      <w:tabs>
        <w:tab w:val="center" w:pos="4680"/>
        <w:tab w:val="right" w:pos="9360"/>
      </w:tabs>
    </w:pPr>
  </w:style>
  <w:style w:type="character" w:customStyle="1" w:styleId="HeaderChar">
    <w:name w:val="Header Char"/>
    <w:basedOn w:val="DefaultParagraphFont"/>
    <w:link w:val="Header"/>
    <w:uiPriority w:val="99"/>
    <w:rsid w:val="00426DFD"/>
  </w:style>
  <w:style w:type="paragraph" w:styleId="Footer">
    <w:name w:val="footer"/>
    <w:basedOn w:val="Normal"/>
    <w:link w:val="FooterChar"/>
    <w:uiPriority w:val="99"/>
    <w:semiHidden/>
    <w:unhideWhenUsed/>
    <w:rsid w:val="00426DFD"/>
    <w:pPr>
      <w:tabs>
        <w:tab w:val="center" w:pos="4680"/>
        <w:tab w:val="right" w:pos="9360"/>
      </w:tabs>
    </w:pPr>
  </w:style>
  <w:style w:type="character" w:customStyle="1" w:styleId="FooterChar">
    <w:name w:val="Footer Char"/>
    <w:basedOn w:val="DefaultParagraphFont"/>
    <w:link w:val="Footer"/>
    <w:uiPriority w:val="99"/>
    <w:semiHidden/>
    <w:rsid w:val="00426DFD"/>
  </w:style>
  <w:style w:type="paragraph" w:styleId="ListParagraph">
    <w:name w:val="List Paragraph"/>
    <w:basedOn w:val="Normal"/>
    <w:uiPriority w:val="34"/>
    <w:qFormat/>
    <w:rsid w:val="00426DFD"/>
    <w:pPr>
      <w:ind w:left="720"/>
      <w:contextualSpacing/>
    </w:pPr>
  </w:style>
  <w:style w:type="character" w:styleId="UnresolvedMention">
    <w:name w:val="Unresolved Mention"/>
    <w:basedOn w:val="DefaultParagraphFont"/>
    <w:uiPriority w:val="99"/>
    <w:semiHidden/>
    <w:unhideWhenUsed/>
    <w:rsid w:val="00CC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028570">
      <w:bodyDiv w:val="1"/>
      <w:marLeft w:val="0"/>
      <w:marRight w:val="0"/>
      <w:marTop w:val="0"/>
      <w:marBottom w:val="0"/>
      <w:divBdr>
        <w:top w:val="none" w:sz="0" w:space="0" w:color="auto"/>
        <w:left w:val="none" w:sz="0" w:space="0" w:color="auto"/>
        <w:bottom w:val="none" w:sz="0" w:space="0" w:color="auto"/>
        <w:right w:val="none" w:sz="0" w:space="0" w:color="auto"/>
      </w:divBdr>
      <w:divsChild>
        <w:div w:id="1764642997">
          <w:marLeft w:val="0"/>
          <w:marRight w:val="0"/>
          <w:marTop w:val="0"/>
          <w:marBottom w:val="0"/>
          <w:divBdr>
            <w:top w:val="none" w:sz="0" w:space="0" w:color="auto"/>
            <w:left w:val="none" w:sz="0" w:space="0" w:color="auto"/>
            <w:bottom w:val="none" w:sz="0" w:space="0" w:color="auto"/>
            <w:right w:val="none" w:sz="0" w:space="0" w:color="auto"/>
          </w:divBdr>
          <w:divsChild>
            <w:div w:id="858619679">
              <w:marLeft w:val="0"/>
              <w:marRight w:val="0"/>
              <w:marTop w:val="0"/>
              <w:marBottom w:val="0"/>
              <w:divBdr>
                <w:top w:val="none" w:sz="0" w:space="0" w:color="auto"/>
                <w:left w:val="none" w:sz="0" w:space="0" w:color="auto"/>
                <w:bottom w:val="none" w:sz="0" w:space="0" w:color="auto"/>
                <w:right w:val="none" w:sz="0" w:space="0" w:color="auto"/>
              </w:divBdr>
              <w:divsChild>
                <w:div w:id="199707301">
                  <w:marLeft w:val="0"/>
                  <w:marRight w:val="0"/>
                  <w:marTop w:val="0"/>
                  <w:marBottom w:val="0"/>
                  <w:divBdr>
                    <w:top w:val="none" w:sz="0" w:space="0" w:color="auto"/>
                    <w:left w:val="none" w:sz="0" w:space="0" w:color="auto"/>
                    <w:bottom w:val="none" w:sz="0" w:space="0" w:color="auto"/>
                    <w:right w:val="none" w:sz="0" w:space="0" w:color="auto"/>
                  </w:divBdr>
                  <w:divsChild>
                    <w:div w:id="1140264117">
                      <w:marLeft w:val="0"/>
                      <w:marRight w:val="0"/>
                      <w:marTop w:val="0"/>
                      <w:marBottom w:val="0"/>
                      <w:divBdr>
                        <w:top w:val="none" w:sz="0" w:space="0" w:color="auto"/>
                        <w:left w:val="none" w:sz="0" w:space="0" w:color="auto"/>
                        <w:bottom w:val="none" w:sz="0" w:space="0" w:color="auto"/>
                        <w:right w:val="none" w:sz="0" w:space="0" w:color="auto"/>
                      </w:divBdr>
                      <w:divsChild>
                        <w:div w:id="14179407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32889951">
                              <w:marLeft w:val="0"/>
                              <w:marRight w:val="0"/>
                              <w:marTop w:val="0"/>
                              <w:marBottom w:val="0"/>
                              <w:divBdr>
                                <w:top w:val="none" w:sz="0" w:space="0" w:color="auto"/>
                                <w:left w:val="none" w:sz="0" w:space="0" w:color="auto"/>
                                <w:bottom w:val="none" w:sz="0" w:space="0" w:color="auto"/>
                                <w:right w:val="none" w:sz="0" w:space="0" w:color="auto"/>
                              </w:divBdr>
                              <w:divsChild>
                                <w:div w:id="1491749854">
                                  <w:marLeft w:val="0"/>
                                  <w:marRight w:val="0"/>
                                  <w:marTop w:val="0"/>
                                  <w:marBottom w:val="0"/>
                                  <w:divBdr>
                                    <w:top w:val="none" w:sz="0" w:space="0" w:color="auto"/>
                                    <w:left w:val="none" w:sz="0" w:space="0" w:color="auto"/>
                                    <w:bottom w:val="none" w:sz="0" w:space="0" w:color="auto"/>
                                    <w:right w:val="none" w:sz="0" w:space="0" w:color="auto"/>
                                  </w:divBdr>
                                  <w:divsChild>
                                    <w:div w:id="1363021584">
                                      <w:marLeft w:val="0"/>
                                      <w:marRight w:val="0"/>
                                      <w:marTop w:val="0"/>
                                      <w:marBottom w:val="0"/>
                                      <w:divBdr>
                                        <w:top w:val="none" w:sz="0" w:space="0" w:color="auto"/>
                                        <w:left w:val="none" w:sz="0" w:space="0" w:color="auto"/>
                                        <w:bottom w:val="none" w:sz="0" w:space="0" w:color="auto"/>
                                        <w:right w:val="none" w:sz="0" w:space="0" w:color="auto"/>
                                      </w:divBdr>
                                      <w:divsChild>
                                        <w:div w:id="486944290">
                                          <w:marLeft w:val="0"/>
                                          <w:marRight w:val="0"/>
                                          <w:marTop w:val="0"/>
                                          <w:marBottom w:val="0"/>
                                          <w:divBdr>
                                            <w:top w:val="none" w:sz="0" w:space="0" w:color="auto"/>
                                            <w:left w:val="none" w:sz="0" w:space="0" w:color="auto"/>
                                            <w:bottom w:val="none" w:sz="0" w:space="0" w:color="auto"/>
                                            <w:right w:val="none" w:sz="0" w:space="0" w:color="auto"/>
                                          </w:divBdr>
                                          <w:divsChild>
                                            <w:div w:id="757025733">
                                              <w:marLeft w:val="0"/>
                                              <w:marRight w:val="0"/>
                                              <w:marTop w:val="0"/>
                                              <w:marBottom w:val="0"/>
                                              <w:divBdr>
                                                <w:top w:val="none" w:sz="0" w:space="0" w:color="auto"/>
                                                <w:left w:val="none" w:sz="0" w:space="0" w:color="auto"/>
                                                <w:bottom w:val="none" w:sz="0" w:space="0" w:color="auto"/>
                                                <w:right w:val="none" w:sz="0" w:space="0" w:color="auto"/>
                                              </w:divBdr>
                                              <w:divsChild>
                                                <w:div w:id="1934511544">
                                                  <w:marLeft w:val="0"/>
                                                  <w:marRight w:val="0"/>
                                                  <w:marTop w:val="0"/>
                                                  <w:marBottom w:val="0"/>
                                                  <w:divBdr>
                                                    <w:top w:val="none" w:sz="0" w:space="0" w:color="auto"/>
                                                    <w:left w:val="none" w:sz="0" w:space="0" w:color="auto"/>
                                                    <w:bottom w:val="none" w:sz="0" w:space="0" w:color="auto"/>
                                                    <w:right w:val="none" w:sz="0" w:space="0" w:color="auto"/>
                                                  </w:divBdr>
                                                </w:div>
                                              </w:divsChild>
                                            </w:div>
                                            <w:div w:id="1224753633">
                                              <w:marLeft w:val="0"/>
                                              <w:marRight w:val="0"/>
                                              <w:marTop w:val="0"/>
                                              <w:marBottom w:val="0"/>
                                              <w:divBdr>
                                                <w:top w:val="none" w:sz="0" w:space="0" w:color="auto"/>
                                                <w:left w:val="none" w:sz="0" w:space="0" w:color="auto"/>
                                                <w:bottom w:val="none" w:sz="0" w:space="0" w:color="auto"/>
                                                <w:right w:val="none" w:sz="0" w:space="0" w:color="auto"/>
                                              </w:divBdr>
                                              <w:divsChild>
                                                <w:div w:id="1339692979">
                                                  <w:marLeft w:val="0"/>
                                                  <w:marRight w:val="0"/>
                                                  <w:marTop w:val="0"/>
                                                  <w:marBottom w:val="0"/>
                                                  <w:divBdr>
                                                    <w:top w:val="none" w:sz="0" w:space="0" w:color="auto"/>
                                                    <w:left w:val="none" w:sz="0" w:space="0" w:color="auto"/>
                                                    <w:bottom w:val="none" w:sz="0" w:space="0" w:color="auto"/>
                                                    <w:right w:val="none" w:sz="0" w:space="0" w:color="auto"/>
                                                  </w:divBdr>
                                                  <w:divsChild>
                                                    <w:div w:id="16724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1080">
                                              <w:marLeft w:val="0"/>
                                              <w:marRight w:val="0"/>
                                              <w:marTop w:val="0"/>
                                              <w:marBottom w:val="0"/>
                                              <w:divBdr>
                                                <w:top w:val="none" w:sz="0" w:space="0" w:color="auto"/>
                                                <w:left w:val="none" w:sz="0" w:space="0" w:color="auto"/>
                                                <w:bottom w:val="none" w:sz="0" w:space="0" w:color="auto"/>
                                                <w:right w:val="none" w:sz="0" w:space="0" w:color="auto"/>
                                              </w:divBdr>
                                              <w:divsChild>
                                                <w:div w:id="156389106">
                                                  <w:marLeft w:val="0"/>
                                                  <w:marRight w:val="0"/>
                                                  <w:marTop w:val="0"/>
                                                  <w:marBottom w:val="0"/>
                                                  <w:divBdr>
                                                    <w:top w:val="none" w:sz="0" w:space="0" w:color="auto"/>
                                                    <w:left w:val="none" w:sz="0" w:space="0" w:color="auto"/>
                                                    <w:bottom w:val="none" w:sz="0" w:space="0" w:color="auto"/>
                                                    <w:right w:val="none" w:sz="0" w:space="0" w:color="auto"/>
                                                  </w:divBdr>
                                                  <w:divsChild>
                                                    <w:div w:id="1785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Studies Weekly, K-6 - Instructional Materials (CA Dept of Education)</vt:lpstr>
    </vt:vector>
  </TitlesOfParts>
  <Company>Microsoft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Weekly, K-6 - Instructional Materials (CA Dept of Education)</dc:title>
  <dc:subject>Report of Findings of the Studies Weekly, Grades K-6 programs. </dc:subject>
  <dc:creator>CDE</dc:creator>
  <cp:lastModifiedBy>Terri Yan</cp:lastModifiedBy>
  <cp:revision>7</cp:revision>
  <cp:lastPrinted>2019-09-25T16:34:00Z</cp:lastPrinted>
  <dcterms:created xsi:type="dcterms:W3CDTF">2019-09-25T17:00:00Z</dcterms:created>
  <dcterms:modified xsi:type="dcterms:W3CDTF">2019-09-27T17:39:00Z</dcterms:modified>
</cp:coreProperties>
</file>