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BDA6" w14:textId="60DEE9F1" w:rsidR="00D3307F" w:rsidRPr="00791D9C" w:rsidRDefault="006C2C14" w:rsidP="00791D9C">
      <w:pPr>
        <w:pStyle w:val="Heading1"/>
        <w:jc w:val="center"/>
        <w:rPr>
          <w:sz w:val="28"/>
          <w:szCs w:val="28"/>
        </w:rPr>
      </w:pPr>
      <w:r w:rsidRPr="00791D9C">
        <w:rPr>
          <w:sz w:val="28"/>
          <w:szCs w:val="28"/>
        </w:rPr>
        <w:t>Comprehensive Literacy State Development Grant Literacy Lead Agency Project Overview</w:t>
      </w:r>
      <w:r w:rsidR="00791D9C">
        <w:rPr>
          <w:sz w:val="28"/>
          <w:szCs w:val="28"/>
        </w:rPr>
        <w:br/>
      </w:r>
      <w:r w:rsidR="00D3307F" w:rsidRPr="00791D9C">
        <w:rPr>
          <w:sz w:val="28"/>
          <w:szCs w:val="28"/>
        </w:rPr>
        <w:t>Statewide Literacy Priority: Priority 3</w:t>
      </w:r>
    </w:p>
    <w:p w14:paraId="4597E995" w14:textId="7CF0CB29" w:rsidR="00771BD4" w:rsidRPr="00361698" w:rsidRDefault="00771BD4" w:rsidP="00CE1B6F">
      <w:pPr>
        <w:pStyle w:val="NormalWeb"/>
        <w:spacing w:before="0" w:beforeAutospacing="0" w:after="160" w:afterAutospacing="0"/>
        <w:textAlignment w:val="baseline"/>
        <w:rPr>
          <w:rFonts w:ascii="Arial" w:hAnsi="Arial" w:cs="Arial"/>
          <w:bCs/>
          <w:color w:val="000000"/>
        </w:rPr>
      </w:pPr>
      <w:r w:rsidRPr="00361698">
        <w:rPr>
          <w:rFonts w:ascii="Arial" w:hAnsi="Arial" w:cs="Arial"/>
          <w:bCs/>
          <w:color w:val="000000"/>
        </w:rPr>
        <w:t>Build educator capacity in all content areas for evidence-based literacy instruction within a M</w:t>
      </w:r>
      <w:r w:rsidR="00361698">
        <w:rPr>
          <w:rFonts w:ascii="Arial" w:hAnsi="Arial" w:cs="Arial"/>
          <w:bCs/>
          <w:color w:val="000000"/>
        </w:rPr>
        <w:t>ulti-</w:t>
      </w:r>
      <w:r w:rsidRPr="00361698">
        <w:rPr>
          <w:rFonts w:ascii="Arial" w:hAnsi="Arial" w:cs="Arial"/>
          <w:bCs/>
          <w:color w:val="000000"/>
        </w:rPr>
        <w:t>T</w:t>
      </w:r>
      <w:r w:rsidR="00361698">
        <w:rPr>
          <w:rFonts w:ascii="Arial" w:hAnsi="Arial" w:cs="Arial"/>
          <w:bCs/>
          <w:color w:val="000000"/>
        </w:rPr>
        <w:t xml:space="preserve">iered </w:t>
      </w:r>
      <w:r w:rsidRPr="00361698">
        <w:rPr>
          <w:rFonts w:ascii="Arial" w:hAnsi="Arial" w:cs="Arial"/>
          <w:bCs/>
          <w:color w:val="000000"/>
        </w:rPr>
        <w:t>S</w:t>
      </w:r>
      <w:r w:rsidR="00361698">
        <w:rPr>
          <w:rFonts w:ascii="Arial" w:hAnsi="Arial" w:cs="Arial"/>
          <w:bCs/>
          <w:color w:val="000000"/>
        </w:rPr>
        <w:t xml:space="preserve">ystem of </w:t>
      </w:r>
      <w:r w:rsidRPr="00361698">
        <w:rPr>
          <w:rFonts w:ascii="Arial" w:hAnsi="Arial" w:cs="Arial"/>
          <w:bCs/>
          <w:color w:val="000000"/>
        </w:rPr>
        <w:t>S</w:t>
      </w:r>
      <w:r w:rsidR="00361698">
        <w:rPr>
          <w:rFonts w:ascii="Arial" w:hAnsi="Arial" w:cs="Arial"/>
          <w:bCs/>
          <w:color w:val="000000"/>
        </w:rPr>
        <w:t>upport</w:t>
      </w:r>
      <w:r w:rsidR="008F397D">
        <w:rPr>
          <w:rFonts w:ascii="Arial" w:hAnsi="Arial" w:cs="Arial"/>
          <w:bCs/>
          <w:color w:val="000000"/>
        </w:rPr>
        <w:t xml:space="preserve"> (MTSS)</w:t>
      </w:r>
      <w:r w:rsidRPr="00361698">
        <w:rPr>
          <w:rFonts w:ascii="Arial" w:hAnsi="Arial" w:cs="Arial"/>
          <w:bCs/>
          <w:color w:val="000000"/>
        </w:rPr>
        <w:t>, including Universal Tier 1 literacy instruction for all students, including but not limited to:</w:t>
      </w:r>
    </w:p>
    <w:p w14:paraId="6FE8D92F" w14:textId="756D066B" w:rsidR="00771BD4" w:rsidRPr="00361698" w:rsidRDefault="00771BD4" w:rsidP="00701909">
      <w:pPr>
        <w:pStyle w:val="NormalWeb"/>
        <w:numPr>
          <w:ilvl w:val="0"/>
          <w:numId w:val="2"/>
        </w:numPr>
        <w:spacing w:before="0" w:beforeAutospacing="0" w:after="160" w:afterAutospacing="0"/>
        <w:textAlignment w:val="baseline"/>
        <w:rPr>
          <w:rFonts w:ascii="Arial" w:hAnsi="Arial" w:cs="Arial"/>
          <w:bCs/>
          <w:color w:val="000000"/>
        </w:rPr>
      </w:pPr>
      <w:r w:rsidRPr="00361698">
        <w:rPr>
          <w:rFonts w:ascii="Arial" w:hAnsi="Arial" w:cs="Arial"/>
          <w:bCs/>
          <w:color w:val="000000"/>
        </w:rPr>
        <w:t xml:space="preserve">English learner </w:t>
      </w:r>
      <w:r w:rsidR="00361698">
        <w:rPr>
          <w:rFonts w:ascii="Arial" w:hAnsi="Arial" w:cs="Arial"/>
          <w:bCs/>
          <w:color w:val="000000"/>
        </w:rPr>
        <w:t xml:space="preserve">(EL) </w:t>
      </w:r>
      <w:r w:rsidRPr="00361698">
        <w:rPr>
          <w:rFonts w:ascii="Arial" w:hAnsi="Arial" w:cs="Arial"/>
          <w:bCs/>
          <w:color w:val="000000"/>
        </w:rPr>
        <w:t>and multilingual students with opportunities to develop biliteracy, supports for long-term EL students, integrated and designated E</w:t>
      </w:r>
      <w:r w:rsidR="00361698">
        <w:rPr>
          <w:rFonts w:ascii="Arial" w:hAnsi="Arial" w:cs="Arial"/>
          <w:bCs/>
          <w:color w:val="000000"/>
        </w:rPr>
        <w:t xml:space="preserve">nglish </w:t>
      </w:r>
      <w:r w:rsidRPr="00361698">
        <w:rPr>
          <w:rFonts w:ascii="Arial" w:hAnsi="Arial" w:cs="Arial"/>
          <w:bCs/>
          <w:color w:val="000000"/>
        </w:rPr>
        <w:t>L</w:t>
      </w:r>
      <w:r w:rsidR="00361698">
        <w:rPr>
          <w:rFonts w:ascii="Arial" w:hAnsi="Arial" w:cs="Arial"/>
          <w:bCs/>
          <w:color w:val="000000"/>
        </w:rPr>
        <w:t xml:space="preserve">anguage </w:t>
      </w:r>
      <w:r w:rsidRPr="00361698">
        <w:rPr>
          <w:rFonts w:ascii="Arial" w:hAnsi="Arial" w:cs="Arial"/>
          <w:bCs/>
          <w:color w:val="000000"/>
        </w:rPr>
        <w:t>D</w:t>
      </w:r>
      <w:r w:rsidR="00361698">
        <w:rPr>
          <w:rFonts w:ascii="Arial" w:hAnsi="Arial" w:cs="Arial"/>
          <w:bCs/>
          <w:color w:val="000000"/>
        </w:rPr>
        <w:t>evelopment</w:t>
      </w:r>
      <w:r w:rsidRPr="00361698">
        <w:rPr>
          <w:rFonts w:ascii="Arial" w:hAnsi="Arial" w:cs="Arial"/>
          <w:bCs/>
          <w:color w:val="000000"/>
        </w:rPr>
        <w:t>.</w:t>
      </w:r>
    </w:p>
    <w:p w14:paraId="52E0DB08" w14:textId="77777777" w:rsidR="00771BD4" w:rsidRPr="00361698" w:rsidRDefault="00771BD4" w:rsidP="00701909">
      <w:pPr>
        <w:pStyle w:val="NormalWeb"/>
        <w:numPr>
          <w:ilvl w:val="0"/>
          <w:numId w:val="2"/>
        </w:numPr>
        <w:spacing w:before="0" w:beforeAutospacing="0" w:after="160" w:afterAutospacing="0"/>
        <w:textAlignment w:val="baseline"/>
        <w:rPr>
          <w:rFonts w:ascii="Arial" w:hAnsi="Arial" w:cs="Arial"/>
          <w:bCs/>
          <w:color w:val="000000"/>
        </w:rPr>
      </w:pPr>
      <w:r w:rsidRPr="00361698">
        <w:rPr>
          <w:rFonts w:ascii="Arial" w:hAnsi="Arial" w:cs="Arial"/>
          <w:bCs/>
          <w:color w:val="000000"/>
        </w:rPr>
        <w:t>Students struggling with literacy, including, but not limited to, students with disabilities and students with dyslexia.</w:t>
      </w:r>
    </w:p>
    <w:p w14:paraId="173F9E98" w14:textId="77777777" w:rsidR="00771BD4" w:rsidRPr="00361698" w:rsidRDefault="00771BD4" w:rsidP="00701909">
      <w:pPr>
        <w:pStyle w:val="NormalWeb"/>
        <w:numPr>
          <w:ilvl w:val="0"/>
          <w:numId w:val="2"/>
        </w:numPr>
        <w:spacing w:before="0" w:beforeAutospacing="0" w:after="160" w:afterAutospacing="0"/>
        <w:textAlignment w:val="baseline"/>
        <w:rPr>
          <w:rFonts w:ascii="Arial" w:hAnsi="Arial" w:cs="Arial"/>
          <w:bCs/>
          <w:strike/>
        </w:rPr>
      </w:pPr>
      <w:r w:rsidRPr="00361698">
        <w:rPr>
          <w:rFonts w:ascii="Arial" w:hAnsi="Arial" w:cs="Arial"/>
          <w:bCs/>
          <w:color w:val="000000"/>
        </w:rPr>
        <w:t>Other identified student populations.</w:t>
      </w:r>
    </w:p>
    <w:p w14:paraId="0365E859" w14:textId="77777777" w:rsidR="00D3307F" w:rsidRPr="00361698" w:rsidRDefault="00D3307F" w:rsidP="00701909">
      <w:pPr>
        <w:spacing w:line="240" w:lineRule="auto"/>
        <w:rPr>
          <w:rFonts w:ascii="Arial" w:eastAsia="Calibri" w:hAnsi="Arial" w:cs="Arial"/>
          <w:kern w:val="0"/>
          <w14:ligatures w14:val="none"/>
        </w:rPr>
      </w:pPr>
      <w:r w:rsidRPr="00361698">
        <w:rPr>
          <w:rFonts w:ascii="Arial" w:eastAsia="Calibri" w:hAnsi="Arial" w:cs="Arial"/>
          <w:b/>
          <w:kern w:val="0"/>
          <w14:ligatures w14:val="none"/>
        </w:rPr>
        <w:t xml:space="preserve">Literacy Lead Agency: </w:t>
      </w:r>
      <w:r w:rsidRPr="00361698">
        <w:rPr>
          <w:rFonts w:ascii="Arial" w:eastAsia="Calibri" w:hAnsi="Arial" w:cs="Arial"/>
          <w:kern w:val="0"/>
          <w14:ligatures w14:val="none"/>
        </w:rPr>
        <w:t>Napa County Office of Education (COE)</w:t>
      </w:r>
    </w:p>
    <w:p w14:paraId="0602AF37" w14:textId="77777777" w:rsidR="00771BD4" w:rsidRPr="00361698" w:rsidRDefault="00D3307F" w:rsidP="00701909">
      <w:pPr>
        <w:spacing w:line="240" w:lineRule="auto"/>
        <w:rPr>
          <w:rFonts w:ascii="Arial" w:eastAsia="Calibri" w:hAnsi="Arial" w:cs="Arial"/>
          <w:kern w:val="0"/>
          <w14:ligatures w14:val="none"/>
        </w:rPr>
      </w:pPr>
      <w:r w:rsidRPr="00361698">
        <w:rPr>
          <w:rFonts w:ascii="Arial" w:eastAsia="Calibri" w:hAnsi="Arial" w:cs="Arial"/>
          <w:b/>
          <w:kern w:val="0"/>
          <w14:ligatures w14:val="none"/>
        </w:rPr>
        <w:t xml:space="preserve">Consortium </w:t>
      </w:r>
      <w:r w:rsidR="00771BD4" w:rsidRPr="00361698">
        <w:rPr>
          <w:rFonts w:ascii="Arial" w:eastAsia="Calibri" w:hAnsi="Arial" w:cs="Arial"/>
          <w:b/>
          <w:kern w:val="0"/>
          <w14:ligatures w14:val="none"/>
        </w:rPr>
        <w:t>Leads</w:t>
      </w:r>
      <w:r w:rsidRPr="00361698">
        <w:rPr>
          <w:rFonts w:ascii="Arial" w:eastAsia="Calibri" w:hAnsi="Arial" w:cs="Arial"/>
          <w:b/>
          <w:kern w:val="0"/>
          <w14:ligatures w14:val="none"/>
        </w:rPr>
        <w:t>:</w:t>
      </w:r>
      <w:r w:rsidRPr="00361698">
        <w:rPr>
          <w:rFonts w:ascii="Arial" w:eastAsia="Calibri" w:hAnsi="Arial" w:cs="Arial"/>
          <w:kern w:val="0"/>
          <w14:ligatures w14:val="none"/>
        </w:rPr>
        <w:t xml:space="preserve"> Riverside COE, Siskiyou COE</w:t>
      </w:r>
      <w:r w:rsidR="00771BD4" w:rsidRPr="00361698">
        <w:rPr>
          <w:rFonts w:ascii="Arial" w:eastAsia="Calibri" w:hAnsi="Arial" w:cs="Arial"/>
          <w:kern w:val="0"/>
          <w14:ligatures w14:val="none"/>
        </w:rPr>
        <w:t>, Butte COE, Tulare COE</w:t>
      </w:r>
    </w:p>
    <w:p w14:paraId="778F59F9" w14:textId="6ED3D833" w:rsidR="00D3307F" w:rsidRPr="00361698" w:rsidRDefault="00771BD4" w:rsidP="00701909">
      <w:pPr>
        <w:spacing w:line="240" w:lineRule="auto"/>
        <w:rPr>
          <w:rFonts w:ascii="Arial" w:eastAsia="Calibri" w:hAnsi="Arial" w:cs="Arial"/>
          <w:noProof/>
        </w:rPr>
      </w:pPr>
      <w:r w:rsidRPr="00361698">
        <w:rPr>
          <w:rFonts w:ascii="Arial" w:eastAsia="Calibri" w:hAnsi="Arial" w:cs="Arial"/>
          <w:b/>
          <w:bCs/>
          <w:kern w:val="0"/>
          <w14:ligatures w14:val="none"/>
        </w:rPr>
        <w:t>Consortium Partners:</w:t>
      </w:r>
      <w:r w:rsidRPr="00361698">
        <w:rPr>
          <w:rFonts w:ascii="Arial" w:eastAsia="Calibri" w:hAnsi="Arial" w:cs="Arial"/>
          <w:kern w:val="0"/>
          <w14:ligatures w14:val="none"/>
        </w:rPr>
        <w:t xml:space="preserve"> Alameda COE, Santa Clara COE, Glenn COE, Sacramento COE, Madera County Superintendent of Schools, Monterey COE, Santa Barbara COE, Orange County Department of Education</w:t>
      </w:r>
      <w:r w:rsidRPr="00361698">
        <w:rPr>
          <w:rFonts w:ascii="Arial" w:eastAsia="Calibri" w:hAnsi="Arial" w:cs="Arial"/>
          <w:noProof/>
        </w:rPr>
        <w:t xml:space="preserve">  </w:t>
      </w:r>
    </w:p>
    <w:p w14:paraId="2F39FA5F" w14:textId="00B8F835" w:rsidR="004756E3" w:rsidRPr="00361698" w:rsidRDefault="004756E3" w:rsidP="00701909">
      <w:pPr>
        <w:spacing w:line="240" w:lineRule="auto"/>
        <w:rPr>
          <w:rFonts w:ascii="Arial" w:eastAsia="Calibri" w:hAnsi="Arial" w:cs="Arial"/>
          <w:kern w:val="0"/>
          <w14:ligatures w14:val="none"/>
        </w:rPr>
      </w:pPr>
      <w:r w:rsidRPr="00361698">
        <w:rPr>
          <w:rFonts w:ascii="Arial" w:hAnsi="Arial" w:cs="Arial"/>
          <w:b/>
          <w:bCs/>
        </w:rPr>
        <w:t xml:space="preserve">Institution of Higher Education Partners: </w:t>
      </w:r>
      <w:r w:rsidRPr="00361698">
        <w:rPr>
          <w:rFonts w:ascii="Arial" w:eastAsia="Times New Roman" w:hAnsi="Arial" w:cs="Arial"/>
          <w:noProof/>
          <w:lang w:val="en"/>
        </w:rPr>
        <w:t>University of California (UC) Davis, UC Riverside, California State University Chico, and University of Massachusetts Global</w:t>
      </w:r>
    </w:p>
    <w:p w14:paraId="517B95C6" w14:textId="77777777" w:rsidR="00D3307F" w:rsidRPr="00361698" w:rsidRDefault="00D3307F" w:rsidP="00701909">
      <w:pPr>
        <w:spacing w:line="240" w:lineRule="auto"/>
        <w:rPr>
          <w:rFonts w:ascii="Arial" w:eastAsia="Times New Roman" w:hAnsi="Arial" w:cs="Arial"/>
          <w:kern w:val="0"/>
          <w14:ligatures w14:val="none"/>
        </w:rPr>
      </w:pPr>
      <w:r w:rsidRPr="00361698">
        <w:rPr>
          <w:rFonts w:ascii="Arial" w:eastAsia="Times New Roman" w:hAnsi="Arial" w:cs="Arial"/>
          <w:b/>
          <w:kern w:val="0"/>
          <w14:ligatures w14:val="none"/>
        </w:rPr>
        <w:t xml:space="preserve">Project Name: </w:t>
      </w:r>
      <w:r w:rsidRPr="00361698">
        <w:rPr>
          <w:rFonts w:ascii="Arial" w:eastAsia="Times New Roman" w:hAnsi="Arial" w:cs="Arial"/>
          <w:color w:val="000000"/>
          <w:kern w:val="0"/>
          <w:shd w:val="clear" w:color="auto" w:fill="FFFFFF"/>
          <w14:ligatures w14:val="none"/>
        </w:rPr>
        <w:t xml:space="preserve">The Lead to Literacy (LtL) Project </w:t>
      </w:r>
    </w:p>
    <w:p w14:paraId="0D2DB190" w14:textId="77777777" w:rsidR="00D3307F" w:rsidRPr="00361698" w:rsidRDefault="00D3307F" w:rsidP="00701909">
      <w:pPr>
        <w:spacing w:line="240" w:lineRule="auto"/>
        <w:rPr>
          <w:rFonts w:ascii="Arial" w:eastAsia="Times New Roman" w:hAnsi="Arial" w:cs="Arial"/>
          <w:kern w:val="0"/>
          <w14:ligatures w14:val="none"/>
        </w:rPr>
      </w:pPr>
      <w:r w:rsidRPr="00361698">
        <w:rPr>
          <w:rFonts w:ascii="Arial" w:eastAsia="Times New Roman" w:hAnsi="Arial" w:cs="Arial"/>
          <w:b/>
          <w:kern w:val="0"/>
          <w14:ligatures w14:val="none"/>
        </w:rPr>
        <w:t xml:space="preserve">Project Overview: </w:t>
      </w:r>
      <w:r w:rsidRPr="00361698">
        <w:rPr>
          <w:rFonts w:ascii="Arial" w:eastAsia="Times New Roman" w:hAnsi="Arial" w:cs="Arial"/>
          <w:kern w:val="0"/>
          <w14:ligatures w14:val="none"/>
        </w:rPr>
        <w:t>Key activities of the LtL Project include:</w:t>
      </w:r>
    </w:p>
    <w:p w14:paraId="12A97ACE" w14:textId="3890325E" w:rsidR="00DC0A38" w:rsidRPr="00361698" w:rsidRDefault="00DC0A38" w:rsidP="00701909">
      <w:pPr>
        <w:spacing w:line="240" w:lineRule="auto"/>
        <w:rPr>
          <w:rFonts w:ascii="Arial" w:eastAsia="Times New Roman" w:hAnsi="Arial" w:cs="Arial"/>
          <w:b/>
          <w:kern w:val="0"/>
          <w14:ligatures w14:val="none"/>
        </w:rPr>
      </w:pPr>
      <w:r w:rsidRPr="00361698">
        <w:rPr>
          <w:rFonts w:ascii="Arial" w:eastAsia="Times New Roman" w:hAnsi="Arial" w:cs="Arial"/>
          <w:bCs/>
          <w:kern w:val="0"/>
          <w14:ligatures w14:val="none"/>
        </w:rPr>
        <w:t>Three phases of implementation over four years:</w:t>
      </w:r>
      <w:r w:rsidR="003528B8" w:rsidRPr="00361698">
        <w:rPr>
          <w:rFonts w:ascii="Arial" w:eastAsia="Times New Roman" w:hAnsi="Arial" w:cs="Arial"/>
          <w:bCs/>
          <w:kern w:val="0"/>
          <w14:ligatures w14:val="none"/>
        </w:rPr>
        <w:t xml:space="preserve"> </w:t>
      </w:r>
      <w:r w:rsidR="003528B8" w:rsidRPr="00361698">
        <w:rPr>
          <w:rFonts w:ascii="Arial" w:eastAsia="Times New Roman" w:hAnsi="Arial" w:cs="Arial"/>
          <w:b/>
          <w:kern w:val="0"/>
          <w14:ligatures w14:val="none"/>
        </w:rPr>
        <w:t>Foundation → Focus → Flow</w:t>
      </w:r>
    </w:p>
    <w:p w14:paraId="67F24A2E" w14:textId="5AAC8EFB" w:rsidR="00CB1C36" w:rsidRPr="00361698" w:rsidRDefault="00CB1C36" w:rsidP="00701909">
      <w:pPr>
        <w:spacing w:line="240" w:lineRule="auto"/>
        <w:textAlignment w:val="baseline"/>
        <w:rPr>
          <w:rFonts w:ascii="Arial" w:eastAsia="Calibri" w:hAnsi="Arial" w:cs="Arial"/>
          <w:noProof/>
        </w:rPr>
      </w:pPr>
      <w:r w:rsidRPr="00361698">
        <w:rPr>
          <w:rFonts w:ascii="Arial" w:eastAsia="Times New Roman" w:hAnsi="Arial" w:cs="Arial"/>
          <w:b/>
          <w:bCs/>
          <w:color w:val="000000"/>
          <w:kern w:val="0"/>
          <w14:ligatures w14:val="none"/>
        </w:rPr>
        <w:t>Foundation</w:t>
      </w:r>
      <w:r w:rsidRPr="00361698">
        <w:rPr>
          <w:rFonts w:ascii="Arial" w:eastAsia="Times New Roman" w:hAnsi="Arial" w:cs="Arial"/>
          <w:color w:val="000000"/>
          <w:kern w:val="0"/>
          <w14:ligatures w14:val="none"/>
        </w:rPr>
        <w:t xml:space="preserve"> (Short-term, Year 1): </w:t>
      </w:r>
      <w:r w:rsidRPr="00361698">
        <w:rPr>
          <w:rFonts w:ascii="Arial" w:eastAsia="Calibri" w:hAnsi="Arial" w:cs="Arial"/>
          <w:noProof/>
        </w:rPr>
        <w:t>Local educational agencies (LEA) conduct comprehensive needs assessments and develop local literacy plans aligned to the Comprehensive and Integrated Literacy Model, establish shared language through Assessment Literacy within their MTSS, and implement Structured Literacy practices. Lead COEs develop tools and resources while Partner COEs build capacity through Foundation implementation, producing clear definitions of comprehensive literacy, planning tools, and assessment protocols.</w:t>
      </w:r>
    </w:p>
    <w:p w14:paraId="782A14D6" w14:textId="31681405" w:rsidR="003528B8" w:rsidRPr="00361698" w:rsidRDefault="00CB1C36" w:rsidP="00701909">
      <w:pPr>
        <w:spacing w:line="240" w:lineRule="auto"/>
        <w:textAlignment w:val="baseline"/>
        <w:rPr>
          <w:rFonts w:ascii="Arial" w:eastAsia="Calibri" w:hAnsi="Arial" w:cs="Arial"/>
          <w:noProof/>
        </w:rPr>
      </w:pPr>
      <w:r w:rsidRPr="00361698">
        <w:rPr>
          <w:rFonts w:ascii="Arial" w:eastAsia="Calibri" w:hAnsi="Arial" w:cs="Arial"/>
          <w:b/>
          <w:bCs/>
          <w:noProof/>
        </w:rPr>
        <w:t xml:space="preserve">Focus </w:t>
      </w:r>
      <w:r w:rsidR="003528B8" w:rsidRPr="00361698">
        <w:rPr>
          <w:rFonts w:ascii="Arial" w:eastAsia="Calibri" w:hAnsi="Arial" w:cs="Arial"/>
          <w:noProof/>
        </w:rPr>
        <w:t>(</w:t>
      </w:r>
      <w:r w:rsidRPr="00361698">
        <w:rPr>
          <w:rFonts w:ascii="Arial" w:eastAsia="Calibri" w:hAnsi="Arial" w:cs="Arial"/>
          <w:noProof/>
        </w:rPr>
        <w:t>Medium-term, Year 2): LEAs select content based on assessment evidence and local context. Counties implement Focus selections with Partner COEs serving as literacy lead agencies, demonstrating improved classroom practice enabled by coherent coaching systems.</w:t>
      </w:r>
    </w:p>
    <w:p w14:paraId="29CC2E85" w14:textId="2159E213" w:rsidR="003528B8" w:rsidRPr="006644C1" w:rsidRDefault="00CB1C36" w:rsidP="00701909">
      <w:pPr>
        <w:spacing w:line="240" w:lineRule="auto"/>
        <w:textAlignment w:val="baseline"/>
        <w:rPr>
          <w:rFonts w:ascii="Arial" w:eastAsia="Calibri" w:hAnsi="Arial" w:cs="Arial"/>
          <w:noProof/>
        </w:rPr>
      </w:pPr>
      <w:r w:rsidRPr="00361698">
        <w:rPr>
          <w:rFonts w:ascii="Arial" w:eastAsia="Calibri" w:hAnsi="Arial" w:cs="Arial"/>
          <w:b/>
          <w:bCs/>
          <w:noProof/>
        </w:rPr>
        <w:t xml:space="preserve">Flow </w:t>
      </w:r>
      <w:r w:rsidRPr="00361698">
        <w:rPr>
          <w:rFonts w:ascii="Arial" w:eastAsia="Calibri" w:hAnsi="Arial" w:cs="Arial"/>
          <w:noProof/>
        </w:rPr>
        <w:t xml:space="preserve">(Long-term, Years 3+): The Flow Phase represents sustainable regional networks where established systems continue through regular operations rather than external </w:t>
      </w:r>
      <w:r w:rsidRPr="00361698">
        <w:rPr>
          <w:rFonts w:ascii="Arial" w:eastAsia="Calibri" w:hAnsi="Arial" w:cs="Arial"/>
          <w:noProof/>
        </w:rPr>
        <w:lastRenderedPageBreak/>
        <w:t>support.</w:t>
      </w:r>
      <w:r w:rsidR="003528B8" w:rsidRPr="00361698">
        <w:rPr>
          <w:rFonts w:ascii="Arial" w:eastAsia="Calibri" w:hAnsi="Arial" w:cs="Arial"/>
          <w:noProof/>
        </w:rPr>
        <w:t xml:space="preserve"> Flow achieves improved literacy outcomes through sustainable regional networks integrated into Local Control Accountability Plan cycles; state and local knowledge sustains supports and professional learning beyond the grant.</w:t>
      </w:r>
    </w:p>
    <w:p w14:paraId="05110C6A" w14:textId="3645D0CE" w:rsidR="007C7C99" w:rsidRDefault="00361698" w:rsidP="00701909">
      <w:pPr>
        <w:spacing w:line="240" w:lineRule="auto"/>
        <w:ind w:right="75" w:firstLine="15"/>
        <w:textAlignment w:val="baseline"/>
        <w:rPr>
          <w:rFonts w:ascii="Arial" w:eastAsia="Times New Roman" w:hAnsi="Arial" w:cs="Arial"/>
          <w:kern w:val="0"/>
          <w14:ligatures w14:val="none"/>
        </w:rPr>
      </w:pPr>
      <w:r w:rsidRPr="00361698">
        <w:rPr>
          <w:rFonts w:ascii="Arial" w:hAnsi="Arial" w:cs="Arial"/>
          <w:color w:val="000000" w:themeColor="text1"/>
        </w:rPr>
        <w:t xml:space="preserve">Resources related to this project can be found in the Literacy Resources Repository on the California Educators Together web page: </w:t>
      </w:r>
      <w:hyperlink r:id="rId7" w:tooltip="Literacy Resources Repository on the California Educators Together web page">
        <w:r w:rsidRPr="006644C1">
          <w:rPr>
            <w:rStyle w:val="Hyperlink"/>
            <w:rFonts w:ascii="Arial" w:eastAsiaTheme="majorEastAsia" w:hAnsi="Arial" w:cs="Arial"/>
            <w:color w:val="0563C1"/>
          </w:rPr>
          <w:t>https://www.caeducatorstogether.org/groups/hmdnyg/comprehensive-literacy-state-development-grant-resource-repository</w:t>
        </w:r>
      </w:hyperlink>
      <w:r w:rsidR="00D3307F" w:rsidRPr="00361698">
        <w:rPr>
          <w:rFonts w:ascii="Arial" w:eastAsia="Times New Roman" w:hAnsi="Arial" w:cs="Arial"/>
          <w:kern w:val="0"/>
          <w14:ligatures w14:val="none"/>
        </w:rPr>
        <w:t xml:space="preserve"> </w:t>
      </w:r>
    </w:p>
    <w:p w14:paraId="5AD7CA1F" w14:textId="2FE2EE02" w:rsidR="00DB307D" w:rsidRPr="00DB307D" w:rsidRDefault="00DB307D" w:rsidP="00DB307D">
      <w:pPr>
        <w:pStyle w:val="Footer"/>
        <w:rPr>
          <w:rFonts w:ascii="Arial" w:hAnsi="Arial" w:cs="Arial"/>
          <w:sz w:val="24"/>
          <w:szCs w:val="24"/>
        </w:rPr>
      </w:pP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Pr>
          <w:rFonts w:ascii="Arial" w:hAnsi="Arial" w:cs="Arial"/>
          <w:sz w:val="24"/>
          <w:szCs w:val="24"/>
        </w:rPr>
        <w:br/>
      </w:r>
      <w:r w:rsidRPr="00791D9C">
        <w:rPr>
          <w:rFonts w:ascii="Arial" w:hAnsi="Arial" w:cs="Arial"/>
          <w:sz w:val="24"/>
          <w:szCs w:val="24"/>
        </w:rPr>
        <w:t>California Department of Education</w:t>
      </w:r>
      <w:r w:rsidR="00023A89">
        <w:rPr>
          <w:rFonts w:ascii="Arial" w:hAnsi="Arial" w:cs="Arial"/>
          <w:sz w:val="24"/>
          <w:szCs w:val="24"/>
        </w:rPr>
        <w:t>,</w:t>
      </w:r>
      <w:r w:rsidRPr="00791D9C">
        <w:rPr>
          <w:rFonts w:ascii="Arial" w:hAnsi="Arial" w:cs="Arial"/>
          <w:sz w:val="24"/>
          <w:szCs w:val="24"/>
        </w:rPr>
        <w:t xml:space="preserve"> April 2026</w:t>
      </w:r>
    </w:p>
    <w:sectPr w:rsidR="00DB307D" w:rsidRPr="00DB307D" w:rsidSect="006644C1">
      <w:headerReference w:type="firs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3DB6" w14:textId="77777777" w:rsidR="00222783" w:rsidRDefault="00222783" w:rsidP="004756E3">
      <w:pPr>
        <w:spacing w:after="0" w:line="240" w:lineRule="auto"/>
      </w:pPr>
      <w:r>
        <w:separator/>
      </w:r>
    </w:p>
  </w:endnote>
  <w:endnote w:type="continuationSeparator" w:id="0">
    <w:p w14:paraId="7408D906" w14:textId="77777777" w:rsidR="00222783" w:rsidRDefault="00222783" w:rsidP="0047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5C9F" w14:textId="77777777" w:rsidR="00222783" w:rsidRDefault="00222783" w:rsidP="004756E3">
      <w:pPr>
        <w:spacing w:after="0" w:line="240" w:lineRule="auto"/>
      </w:pPr>
      <w:r>
        <w:separator/>
      </w:r>
    </w:p>
  </w:footnote>
  <w:footnote w:type="continuationSeparator" w:id="0">
    <w:p w14:paraId="28E500B7" w14:textId="77777777" w:rsidR="00222783" w:rsidRDefault="00222783" w:rsidP="0047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B446" w14:textId="74704C93" w:rsidR="006644C1" w:rsidRPr="006C2C14" w:rsidRDefault="006C2C14" w:rsidP="006C2C14">
    <w:pPr>
      <w:pStyle w:val="Header"/>
      <w:jc w:val="center"/>
    </w:pPr>
    <w:r w:rsidRPr="00361698">
      <w:rPr>
        <w:rFonts w:ascii="Arial" w:eastAsia="Calibri" w:hAnsi="Arial" w:cs="Arial"/>
        <w:noProof/>
      </w:rPr>
      <w:drawing>
        <wp:inline distT="0" distB="0" distL="0" distR="0" wp14:anchorId="13369705" wp14:editId="670A1BE0">
          <wp:extent cx="1009650" cy="1009650"/>
          <wp:effectExtent l="0" t="0" r="0" b="0"/>
          <wp:docPr id="2119799184" name="Picture 2119799184">
            <a:extLst xmlns:a="http://schemas.openxmlformats.org/drawingml/2006/main">
              <a:ext uri="{FF2B5EF4-FFF2-40B4-BE49-F238E27FC236}">
                <a16:creationId xmlns:a16="http://schemas.microsoft.com/office/drawing/2014/main" id="{B63E3E96-B749-4A75-818C-E207538E78B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99184" name="Picture 2119799184">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F04"/>
    <w:multiLevelType w:val="hybridMultilevel"/>
    <w:tmpl w:val="35EA9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980328"/>
    <w:multiLevelType w:val="hybridMultilevel"/>
    <w:tmpl w:val="8BA4AC3A"/>
    <w:lvl w:ilvl="0" w:tplc="872C495C">
      <w:start w:val="1"/>
      <w:numFmt w:val="bullet"/>
      <w:lvlText w:val=""/>
      <w:lvlJc w:val="left"/>
      <w:pPr>
        <w:ind w:left="720" w:hanging="360"/>
      </w:pPr>
      <w:rPr>
        <w:rFonts w:ascii="Symbol" w:hAnsi="Symbol" w:hint="default"/>
        <w:color w:val="000000" w:themeColor="text1"/>
      </w:rPr>
    </w:lvl>
    <w:lvl w:ilvl="1" w:tplc="DADCDDFA" w:tentative="1">
      <w:start w:val="1"/>
      <w:numFmt w:val="bullet"/>
      <w:lvlText w:val="o"/>
      <w:lvlJc w:val="left"/>
      <w:pPr>
        <w:ind w:left="1440" w:hanging="360"/>
      </w:pPr>
      <w:rPr>
        <w:rFonts w:ascii="Courier New" w:hAnsi="Courier New" w:hint="default"/>
      </w:rPr>
    </w:lvl>
    <w:lvl w:ilvl="2" w:tplc="76D09D08" w:tentative="1">
      <w:start w:val="1"/>
      <w:numFmt w:val="bullet"/>
      <w:lvlText w:val=""/>
      <w:lvlJc w:val="left"/>
      <w:pPr>
        <w:ind w:left="2160" w:hanging="360"/>
      </w:pPr>
      <w:rPr>
        <w:rFonts w:ascii="Wingdings" w:hAnsi="Wingdings" w:hint="default"/>
      </w:rPr>
    </w:lvl>
    <w:lvl w:ilvl="3" w:tplc="E84C5B0E" w:tentative="1">
      <w:start w:val="1"/>
      <w:numFmt w:val="bullet"/>
      <w:lvlText w:val=""/>
      <w:lvlJc w:val="left"/>
      <w:pPr>
        <w:ind w:left="2880" w:hanging="360"/>
      </w:pPr>
      <w:rPr>
        <w:rFonts w:ascii="Symbol" w:hAnsi="Symbol" w:hint="default"/>
      </w:rPr>
    </w:lvl>
    <w:lvl w:ilvl="4" w:tplc="BB3EC4D0" w:tentative="1">
      <w:start w:val="1"/>
      <w:numFmt w:val="bullet"/>
      <w:lvlText w:val="o"/>
      <w:lvlJc w:val="left"/>
      <w:pPr>
        <w:ind w:left="3600" w:hanging="360"/>
      </w:pPr>
      <w:rPr>
        <w:rFonts w:ascii="Courier New" w:hAnsi="Courier New" w:hint="default"/>
      </w:rPr>
    </w:lvl>
    <w:lvl w:ilvl="5" w:tplc="11A8B250" w:tentative="1">
      <w:start w:val="1"/>
      <w:numFmt w:val="bullet"/>
      <w:lvlText w:val=""/>
      <w:lvlJc w:val="left"/>
      <w:pPr>
        <w:ind w:left="4320" w:hanging="360"/>
      </w:pPr>
      <w:rPr>
        <w:rFonts w:ascii="Wingdings" w:hAnsi="Wingdings" w:hint="default"/>
      </w:rPr>
    </w:lvl>
    <w:lvl w:ilvl="6" w:tplc="55C62664" w:tentative="1">
      <w:start w:val="1"/>
      <w:numFmt w:val="bullet"/>
      <w:lvlText w:val=""/>
      <w:lvlJc w:val="left"/>
      <w:pPr>
        <w:ind w:left="5040" w:hanging="360"/>
      </w:pPr>
      <w:rPr>
        <w:rFonts w:ascii="Symbol" w:hAnsi="Symbol" w:hint="default"/>
      </w:rPr>
    </w:lvl>
    <w:lvl w:ilvl="7" w:tplc="10B2D27C" w:tentative="1">
      <w:start w:val="1"/>
      <w:numFmt w:val="bullet"/>
      <w:lvlText w:val="o"/>
      <w:lvlJc w:val="left"/>
      <w:pPr>
        <w:ind w:left="5760" w:hanging="360"/>
      </w:pPr>
      <w:rPr>
        <w:rFonts w:ascii="Courier New" w:hAnsi="Courier New" w:hint="default"/>
      </w:rPr>
    </w:lvl>
    <w:lvl w:ilvl="8" w:tplc="586EDE7A" w:tentative="1">
      <w:start w:val="1"/>
      <w:numFmt w:val="bullet"/>
      <w:lvlText w:val=""/>
      <w:lvlJc w:val="left"/>
      <w:pPr>
        <w:ind w:left="6480" w:hanging="360"/>
      </w:pPr>
      <w:rPr>
        <w:rFonts w:ascii="Wingdings" w:hAnsi="Wingdings" w:hint="default"/>
      </w:rPr>
    </w:lvl>
  </w:abstractNum>
  <w:num w:numId="1" w16cid:durableId="1061095932">
    <w:abstractNumId w:val="0"/>
  </w:num>
  <w:num w:numId="2" w16cid:durableId="175682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7F"/>
    <w:rsid w:val="0001595C"/>
    <w:rsid w:val="00023A89"/>
    <w:rsid w:val="000877E5"/>
    <w:rsid w:val="00201227"/>
    <w:rsid w:val="00214A77"/>
    <w:rsid w:val="00222783"/>
    <w:rsid w:val="00254928"/>
    <w:rsid w:val="002F03AB"/>
    <w:rsid w:val="002F1B0F"/>
    <w:rsid w:val="003124FC"/>
    <w:rsid w:val="003528B8"/>
    <w:rsid w:val="00361698"/>
    <w:rsid w:val="003A1411"/>
    <w:rsid w:val="00420C32"/>
    <w:rsid w:val="0042632E"/>
    <w:rsid w:val="004756E3"/>
    <w:rsid w:val="00492FEC"/>
    <w:rsid w:val="00542820"/>
    <w:rsid w:val="005448F3"/>
    <w:rsid w:val="00551810"/>
    <w:rsid w:val="006062FA"/>
    <w:rsid w:val="00635927"/>
    <w:rsid w:val="006644C1"/>
    <w:rsid w:val="00686088"/>
    <w:rsid w:val="006C2C14"/>
    <w:rsid w:val="006D5A6B"/>
    <w:rsid w:val="00701909"/>
    <w:rsid w:val="00751F94"/>
    <w:rsid w:val="00771BD4"/>
    <w:rsid w:val="00791D9C"/>
    <w:rsid w:val="007C7C99"/>
    <w:rsid w:val="008B5DC6"/>
    <w:rsid w:val="008F397D"/>
    <w:rsid w:val="00921041"/>
    <w:rsid w:val="00941D05"/>
    <w:rsid w:val="00A653DC"/>
    <w:rsid w:val="00B31716"/>
    <w:rsid w:val="00BC337B"/>
    <w:rsid w:val="00BE3920"/>
    <w:rsid w:val="00C17D29"/>
    <w:rsid w:val="00C70E3A"/>
    <w:rsid w:val="00CB1C36"/>
    <w:rsid w:val="00CC6B11"/>
    <w:rsid w:val="00CE1B6F"/>
    <w:rsid w:val="00D06252"/>
    <w:rsid w:val="00D3307F"/>
    <w:rsid w:val="00D33693"/>
    <w:rsid w:val="00D776CE"/>
    <w:rsid w:val="00DB307D"/>
    <w:rsid w:val="00DC0A38"/>
    <w:rsid w:val="00E92780"/>
    <w:rsid w:val="00E9578E"/>
    <w:rsid w:val="00F62D02"/>
    <w:rsid w:val="00F7472A"/>
    <w:rsid w:val="00FB36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6AD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909"/>
    <w:pPr>
      <w:spacing w:line="240" w:lineRule="auto"/>
      <w:outlineLvl w:val="0"/>
    </w:pPr>
    <w:rPr>
      <w:rFonts w:ascii="Arial" w:eastAsia="Calibri" w:hAnsi="Arial" w:cs="Arial"/>
      <w:b/>
      <w:kern w:val="0"/>
      <w14:ligatures w14:val="none"/>
    </w:rPr>
  </w:style>
  <w:style w:type="paragraph" w:styleId="Heading2">
    <w:name w:val="heading 2"/>
    <w:basedOn w:val="Normal"/>
    <w:next w:val="Normal"/>
    <w:link w:val="Heading2Char"/>
    <w:uiPriority w:val="9"/>
    <w:semiHidden/>
    <w:unhideWhenUsed/>
    <w:qFormat/>
    <w:rsid w:val="00D3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09"/>
    <w:rPr>
      <w:rFonts w:ascii="Arial" w:eastAsia="Calibri" w:hAnsi="Arial" w:cs="Arial"/>
      <w:b/>
      <w:kern w:val="0"/>
      <w14:ligatures w14:val="none"/>
    </w:rPr>
  </w:style>
  <w:style w:type="character" w:customStyle="1" w:styleId="Heading2Char">
    <w:name w:val="Heading 2 Char"/>
    <w:basedOn w:val="DefaultParagraphFont"/>
    <w:link w:val="Heading2"/>
    <w:uiPriority w:val="9"/>
    <w:semiHidden/>
    <w:rsid w:val="00D3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07F"/>
    <w:rPr>
      <w:rFonts w:eastAsiaTheme="majorEastAsia" w:cstheme="majorBidi"/>
      <w:color w:val="272727" w:themeColor="text1" w:themeTint="D8"/>
    </w:rPr>
  </w:style>
  <w:style w:type="paragraph" w:styleId="Title">
    <w:name w:val="Title"/>
    <w:basedOn w:val="Normal"/>
    <w:next w:val="Normal"/>
    <w:link w:val="TitleChar"/>
    <w:uiPriority w:val="10"/>
    <w:qFormat/>
    <w:rsid w:val="00D3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07F"/>
    <w:pPr>
      <w:spacing w:before="160"/>
      <w:jc w:val="center"/>
    </w:pPr>
    <w:rPr>
      <w:i/>
      <w:iCs/>
      <w:color w:val="404040" w:themeColor="text1" w:themeTint="BF"/>
    </w:rPr>
  </w:style>
  <w:style w:type="character" w:customStyle="1" w:styleId="QuoteChar">
    <w:name w:val="Quote Char"/>
    <w:basedOn w:val="DefaultParagraphFont"/>
    <w:link w:val="Quote"/>
    <w:uiPriority w:val="29"/>
    <w:rsid w:val="00D3307F"/>
    <w:rPr>
      <w:i/>
      <w:iCs/>
      <w:color w:val="404040" w:themeColor="text1" w:themeTint="BF"/>
    </w:rPr>
  </w:style>
  <w:style w:type="paragraph" w:styleId="ListParagraph">
    <w:name w:val="List Paragraph"/>
    <w:basedOn w:val="Normal"/>
    <w:uiPriority w:val="34"/>
    <w:qFormat/>
    <w:rsid w:val="00D3307F"/>
    <w:pPr>
      <w:ind w:left="720"/>
      <w:contextualSpacing/>
    </w:pPr>
  </w:style>
  <w:style w:type="character" w:styleId="IntenseEmphasis">
    <w:name w:val="Intense Emphasis"/>
    <w:basedOn w:val="DefaultParagraphFont"/>
    <w:uiPriority w:val="21"/>
    <w:qFormat/>
    <w:rsid w:val="00D3307F"/>
    <w:rPr>
      <w:i/>
      <w:iCs/>
      <w:color w:val="0F4761" w:themeColor="accent1" w:themeShade="BF"/>
    </w:rPr>
  </w:style>
  <w:style w:type="paragraph" w:styleId="IntenseQuote">
    <w:name w:val="Intense Quote"/>
    <w:basedOn w:val="Normal"/>
    <w:next w:val="Normal"/>
    <w:link w:val="IntenseQuoteChar"/>
    <w:uiPriority w:val="30"/>
    <w:qFormat/>
    <w:rsid w:val="00D3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07F"/>
    <w:rPr>
      <w:i/>
      <w:iCs/>
      <w:color w:val="0F4761" w:themeColor="accent1" w:themeShade="BF"/>
    </w:rPr>
  </w:style>
  <w:style w:type="character" w:styleId="IntenseReference">
    <w:name w:val="Intense Reference"/>
    <w:basedOn w:val="DefaultParagraphFont"/>
    <w:uiPriority w:val="32"/>
    <w:qFormat/>
    <w:rsid w:val="00D3307F"/>
    <w:rPr>
      <w:b/>
      <w:bCs/>
      <w:smallCaps/>
      <w:color w:val="0F4761" w:themeColor="accent1" w:themeShade="BF"/>
      <w:spacing w:val="5"/>
    </w:rPr>
  </w:style>
  <w:style w:type="paragraph" w:styleId="Header">
    <w:name w:val="header"/>
    <w:basedOn w:val="Normal"/>
    <w:link w:val="HeaderChar"/>
    <w:uiPriority w:val="99"/>
    <w:unhideWhenUsed/>
    <w:rsid w:val="00D3307F"/>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3307F"/>
    <w:rPr>
      <w:kern w:val="0"/>
      <w:sz w:val="22"/>
      <w:szCs w:val="22"/>
      <w14:ligatures w14:val="none"/>
    </w:rPr>
  </w:style>
  <w:style w:type="paragraph" w:styleId="Footer">
    <w:name w:val="footer"/>
    <w:basedOn w:val="Normal"/>
    <w:link w:val="FooterChar"/>
    <w:uiPriority w:val="99"/>
    <w:unhideWhenUsed/>
    <w:rsid w:val="00D3307F"/>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D3307F"/>
    <w:rPr>
      <w:kern w:val="0"/>
      <w:sz w:val="22"/>
      <w:szCs w:val="22"/>
      <w14:ligatures w14:val="none"/>
    </w:rPr>
  </w:style>
  <w:style w:type="paragraph" w:styleId="NormalWeb">
    <w:name w:val="Normal (Web)"/>
    <w:basedOn w:val="Normal"/>
    <w:uiPriority w:val="99"/>
    <w:unhideWhenUsed/>
    <w:rsid w:val="00771BD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61698"/>
    <w:rPr>
      <w:color w:val="467886" w:themeColor="hyperlink"/>
      <w:u w:val="single"/>
    </w:rPr>
  </w:style>
  <w:style w:type="character" w:styleId="CommentReference">
    <w:name w:val="annotation reference"/>
    <w:basedOn w:val="DefaultParagraphFont"/>
    <w:uiPriority w:val="99"/>
    <w:semiHidden/>
    <w:unhideWhenUsed/>
    <w:rsid w:val="002F03AB"/>
    <w:rPr>
      <w:sz w:val="16"/>
      <w:szCs w:val="16"/>
    </w:rPr>
  </w:style>
  <w:style w:type="paragraph" w:styleId="CommentText">
    <w:name w:val="annotation text"/>
    <w:basedOn w:val="Normal"/>
    <w:link w:val="CommentTextChar"/>
    <w:uiPriority w:val="99"/>
    <w:unhideWhenUsed/>
    <w:rsid w:val="002F03AB"/>
    <w:pPr>
      <w:spacing w:line="240" w:lineRule="auto"/>
    </w:pPr>
    <w:rPr>
      <w:sz w:val="20"/>
      <w:szCs w:val="20"/>
    </w:rPr>
  </w:style>
  <w:style w:type="character" w:customStyle="1" w:styleId="CommentTextChar">
    <w:name w:val="Comment Text Char"/>
    <w:basedOn w:val="DefaultParagraphFont"/>
    <w:link w:val="CommentText"/>
    <w:uiPriority w:val="99"/>
    <w:rsid w:val="002F03AB"/>
    <w:rPr>
      <w:sz w:val="20"/>
      <w:szCs w:val="20"/>
    </w:rPr>
  </w:style>
  <w:style w:type="paragraph" w:styleId="CommentSubject">
    <w:name w:val="annotation subject"/>
    <w:basedOn w:val="CommentText"/>
    <w:next w:val="CommentText"/>
    <w:link w:val="CommentSubjectChar"/>
    <w:uiPriority w:val="99"/>
    <w:semiHidden/>
    <w:unhideWhenUsed/>
    <w:rsid w:val="002F03AB"/>
    <w:rPr>
      <w:b/>
      <w:bCs/>
    </w:rPr>
  </w:style>
  <w:style w:type="character" w:customStyle="1" w:styleId="CommentSubjectChar">
    <w:name w:val="Comment Subject Char"/>
    <w:basedOn w:val="CommentTextChar"/>
    <w:link w:val="CommentSubject"/>
    <w:uiPriority w:val="99"/>
    <w:semiHidden/>
    <w:rsid w:val="002F0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educatorstogether.org/groups/hmdnyg/comprehensive-literacy-state-development-grant-resource-reposi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Priority 3 LLA Overview - Professional Learning (CA Dept of Education)</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3 LLA Overview - Professional Learning (CA Dept of Education)</dc:title>
  <dc:subject>Statewide Literacy Priority 3 Literacy Lead Agency (LLA) Overview.</dc:subject>
  <dc:creator/>
  <cp:keywords/>
  <dc:description/>
  <cp:lastModifiedBy/>
  <cp:revision>1</cp:revision>
  <dcterms:created xsi:type="dcterms:W3CDTF">2026-05-11T23:20:00Z</dcterms:created>
  <dcterms:modified xsi:type="dcterms:W3CDTF">2026-05-13T22:17:00Z</dcterms:modified>
</cp:coreProperties>
</file>