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1E70" w14:textId="2FB42080" w:rsidR="00817FD0" w:rsidRPr="00DD2A4D" w:rsidRDefault="00817FD0" w:rsidP="00DD2A4D">
      <w:pPr>
        <w:pStyle w:val="Heading1"/>
        <w:rPr>
          <w:rFonts w:ascii="Arial" w:hAnsi="Arial" w:cs="Arial"/>
          <w:sz w:val="48"/>
          <w:szCs w:val="48"/>
        </w:rPr>
      </w:pPr>
      <w:r w:rsidRPr="00DD2A4D">
        <w:rPr>
          <w:rFonts w:ascii="Arial" w:hAnsi="Arial" w:cs="Arial"/>
          <w:sz w:val="48"/>
          <w:szCs w:val="48"/>
        </w:rPr>
        <w:t xml:space="preserve">Percentage of </w:t>
      </w:r>
      <w:r w:rsidR="2456575C" w:rsidRPr="00DD2A4D">
        <w:rPr>
          <w:rFonts w:ascii="Arial" w:hAnsi="Arial" w:cs="Arial"/>
          <w:sz w:val="48"/>
          <w:szCs w:val="48"/>
        </w:rPr>
        <w:t>Three</w:t>
      </w:r>
      <w:r w:rsidRPr="00DD2A4D">
        <w:rPr>
          <w:rFonts w:ascii="Arial" w:hAnsi="Arial" w:cs="Arial"/>
          <w:sz w:val="48"/>
          <w:szCs w:val="48"/>
        </w:rPr>
        <w:t>-Year-Olds Enrolled in CSPP by County, October 202</w:t>
      </w:r>
      <w:r w:rsidR="006241C2" w:rsidRPr="00DD2A4D">
        <w:rPr>
          <w:rFonts w:ascii="Arial" w:hAnsi="Arial" w:cs="Arial"/>
          <w:sz w:val="48"/>
          <w:szCs w:val="48"/>
        </w:rPr>
        <w:t>3</w:t>
      </w:r>
    </w:p>
    <w:p w14:paraId="6A8BD9C8" w14:textId="57DB1785" w:rsidR="00642246" w:rsidRDefault="005D4FE9">
      <w:pPr>
        <w:rPr>
          <w:rFonts w:ascii="Arial" w:hAnsi="Arial" w:cs="Arial"/>
          <w:noProof/>
          <w:sz w:val="24"/>
          <w:szCs w:val="24"/>
        </w:rPr>
      </w:pPr>
      <w:r w:rsidRPr="6CEB0440">
        <w:rPr>
          <w:rFonts w:ascii="Arial" w:hAnsi="Arial" w:cs="Arial"/>
          <w:noProof/>
          <w:sz w:val="24"/>
          <w:szCs w:val="24"/>
        </w:rPr>
        <w:t xml:space="preserve">This map shows the percentage of unduplicated California State Preschool Program (CSPP) enrollments for </w:t>
      </w:r>
      <w:r w:rsidR="2EB18402" w:rsidRPr="6CEB0440">
        <w:rPr>
          <w:rFonts w:ascii="Arial" w:hAnsi="Arial" w:cs="Arial"/>
          <w:noProof/>
          <w:sz w:val="24"/>
          <w:szCs w:val="24"/>
        </w:rPr>
        <w:t>three</w:t>
      </w:r>
      <w:r w:rsidRPr="6CEB0440">
        <w:rPr>
          <w:rFonts w:ascii="Arial" w:hAnsi="Arial" w:cs="Arial"/>
          <w:noProof/>
          <w:sz w:val="24"/>
          <w:szCs w:val="24"/>
        </w:rPr>
        <w:t xml:space="preserve">-year-olds by county </w:t>
      </w:r>
      <w:r w:rsidR="00F10794" w:rsidRPr="6CEB0440">
        <w:rPr>
          <w:rFonts w:ascii="Arial" w:hAnsi="Arial" w:cs="Arial"/>
          <w:noProof/>
          <w:sz w:val="24"/>
          <w:szCs w:val="24"/>
        </w:rPr>
        <w:t>(in ranges).</w:t>
      </w:r>
      <w:r w:rsidR="00097C19" w:rsidRPr="6CEB0440">
        <w:rPr>
          <w:rFonts w:ascii="Arial" w:hAnsi="Arial" w:cs="Arial"/>
          <w:noProof/>
          <w:sz w:val="24"/>
          <w:szCs w:val="24"/>
        </w:rPr>
        <w:t xml:space="preserve"> </w:t>
      </w:r>
      <w:r w:rsidR="00355146" w:rsidRPr="6CEB0440">
        <w:rPr>
          <w:rFonts w:ascii="Arial" w:hAnsi="Arial" w:cs="Arial"/>
          <w:noProof/>
          <w:sz w:val="24"/>
          <w:szCs w:val="24"/>
        </w:rPr>
        <w:t>The color codes provided in the table correspond to the figure presented on page 2.</w:t>
      </w:r>
    </w:p>
    <w:tbl>
      <w:tblPr>
        <w:tblStyle w:val="TableGrid"/>
        <w:tblW w:w="9265" w:type="dxa"/>
        <w:jc w:val="center"/>
        <w:tblLook w:val="04A0" w:firstRow="1" w:lastRow="0" w:firstColumn="1" w:lastColumn="0" w:noHBand="0" w:noVBand="1"/>
        <w:tblCaption w:val="Percentage of 3-Year-Olds (Statutory Age) Enrolled in CSPP by County, October 2021"/>
        <w:tblDescription w:val="Map showing the percentage of 3-year-olds in CSPP by county, categorized and color-coded by enrollment percentage ranges."/>
      </w:tblPr>
      <w:tblGrid>
        <w:gridCol w:w="4855"/>
        <w:gridCol w:w="4410"/>
      </w:tblGrid>
      <w:tr w:rsidR="00642246" w:rsidRPr="00272201" w14:paraId="1FFF8A12" w14:textId="77777777" w:rsidTr="00DD3B88">
        <w:trPr>
          <w:trHeight w:val="300"/>
          <w:jc w:val="center"/>
        </w:trPr>
        <w:tc>
          <w:tcPr>
            <w:tcW w:w="4855" w:type="dxa"/>
            <w:vAlign w:val="bottom"/>
          </w:tcPr>
          <w:p w14:paraId="48B4263C" w14:textId="7831E8E8" w:rsidR="00642246" w:rsidRPr="00BC2D1C" w:rsidRDefault="00642246" w:rsidP="00642246">
            <w:pPr>
              <w:pStyle w:val="Heading2"/>
              <w:rPr>
                <w:rFonts w:ascii="Arial" w:hAnsi="Arial" w:cs="Arial"/>
                <w:color w:val="auto"/>
              </w:rPr>
            </w:pPr>
            <w:r w:rsidRPr="00BC2D1C">
              <w:rPr>
                <w:rFonts w:ascii="Arial" w:hAnsi="Arial" w:cs="Arial"/>
                <w:color w:val="auto"/>
              </w:rPr>
              <w:t>County Names</w:t>
            </w:r>
          </w:p>
        </w:tc>
        <w:tc>
          <w:tcPr>
            <w:tcW w:w="4410" w:type="dxa"/>
            <w:vAlign w:val="bottom"/>
          </w:tcPr>
          <w:p w14:paraId="422BA902" w14:textId="69FC43FE" w:rsidR="00642246" w:rsidRPr="00BC2D1C" w:rsidRDefault="00F97EE3" w:rsidP="00DD3B88">
            <w:pPr>
              <w:pStyle w:val="Heading2"/>
              <w:jc w:val="center"/>
              <w:rPr>
                <w:rFonts w:ascii="Arial" w:hAnsi="Arial" w:cs="Arial"/>
                <w:color w:val="auto"/>
                <w:kern w:val="0"/>
                <w:sz w:val="21"/>
                <w:szCs w:val="21"/>
              </w:rPr>
            </w:pPr>
            <w:r w:rsidRPr="1C466B77">
              <w:rPr>
                <w:rFonts w:ascii="Arial" w:hAnsi="Arial" w:cs="Arial"/>
                <w:color w:val="auto"/>
              </w:rPr>
              <w:t xml:space="preserve">Percentage </w:t>
            </w:r>
            <w:r w:rsidR="008F12DB" w:rsidRPr="1C466B77">
              <w:rPr>
                <w:rFonts w:ascii="Arial" w:hAnsi="Arial" w:cs="Arial"/>
                <w:color w:val="auto"/>
              </w:rPr>
              <w:t>O</w:t>
            </w:r>
            <w:r w:rsidRPr="1C466B77">
              <w:rPr>
                <w:rFonts w:ascii="Arial" w:hAnsi="Arial" w:cs="Arial"/>
                <w:color w:val="auto"/>
              </w:rPr>
              <w:t xml:space="preserve">f </w:t>
            </w:r>
            <w:r w:rsidR="0ECD22D1" w:rsidRPr="1C466B77">
              <w:rPr>
                <w:rFonts w:ascii="Arial" w:hAnsi="Arial" w:cs="Arial"/>
                <w:color w:val="auto"/>
              </w:rPr>
              <w:t>Three</w:t>
            </w:r>
            <w:r w:rsidRPr="1C466B77">
              <w:rPr>
                <w:rFonts w:ascii="Arial" w:hAnsi="Arial" w:cs="Arial"/>
                <w:color w:val="auto"/>
              </w:rPr>
              <w:t xml:space="preserve">-Year-Olds </w:t>
            </w:r>
            <w:r w:rsidR="14A70402" w:rsidRPr="1C466B77">
              <w:rPr>
                <w:rFonts w:ascii="Arial" w:hAnsi="Arial" w:cs="Arial"/>
                <w:color w:val="auto"/>
              </w:rPr>
              <w:t>o</w:t>
            </w:r>
            <w:r w:rsidRPr="1C466B77">
              <w:rPr>
                <w:rFonts w:ascii="Arial" w:hAnsi="Arial" w:cs="Arial"/>
                <w:color w:val="auto"/>
              </w:rPr>
              <w:t xml:space="preserve">f CSPP Enrollment </w:t>
            </w:r>
            <w:r w:rsidR="3EA1F43B" w:rsidRPr="1C466B77">
              <w:rPr>
                <w:rFonts w:ascii="Arial" w:hAnsi="Arial" w:cs="Arial"/>
                <w:color w:val="auto"/>
              </w:rPr>
              <w:t>b</w:t>
            </w:r>
            <w:r w:rsidRPr="1C466B77">
              <w:rPr>
                <w:rFonts w:ascii="Arial" w:hAnsi="Arial" w:cs="Arial"/>
                <w:color w:val="auto"/>
              </w:rPr>
              <w:t xml:space="preserve">y County </w:t>
            </w:r>
            <w:r w:rsidR="6F0DF82D" w:rsidRPr="1C466B77">
              <w:rPr>
                <w:rFonts w:ascii="Arial" w:hAnsi="Arial" w:cs="Arial"/>
                <w:color w:val="auto"/>
              </w:rPr>
              <w:t>a</w:t>
            </w:r>
            <w:r w:rsidRPr="1C466B77">
              <w:rPr>
                <w:rFonts w:ascii="Arial" w:hAnsi="Arial" w:cs="Arial"/>
                <w:color w:val="auto"/>
              </w:rPr>
              <w:t>nd Color Code</w:t>
            </w:r>
          </w:p>
        </w:tc>
      </w:tr>
      <w:tr w:rsidR="00642246" w:rsidRPr="00272201" w14:paraId="549886C9" w14:textId="77777777" w:rsidTr="019223C4">
        <w:trPr>
          <w:jc w:val="center"/>
        </w:trPr>
        <w:tc>
          <w:tcPr>
            <w:tcW w:w="4855" w:type="dxa"/>
          </w:tcPr>
          <w:p w14:paraId="47ECD9E3" w14:textId="77777777" w:rsidR="00701C0D" w:rsidRPr="00701C0D" w:rsidRDefault="00701C0D" w:rsidP="00701C0D">
            <w:pPr>
              <w:rPr>
                <w:rFonts w:ascii="Arial" w:hAnsi="Arial" w:cs="Arial"/>
                <w:sz w:val="24"/>
                <w:szCs w:val="24"/>
              </w:rPr>
            </w:pPr>
            <w:r w:rsidRPr="00701C0D">
              <w:rPr>
                <w:rFonts w:ascii="Arial" w:hAnsi="Arial" w:cs="Arial"/>
                <w:sz w:val="24"/>
                <w:szCs w:val="24"/>
              </w:rPr>
              <w:t>Trinity</w:t>
            </w:r>
          </w:p>
          <w:p w14:paraId="304AD0DF" w14:textId="79D6F140" w:rsidR="00642246" w:rsidRPr="00701C0D" w:rsidRDefault="00642246" w:rsidP="18A9BFDA">
            <w:pPr>
              <w:pStyle w:val="NormalWeb"/>
              <w:rPr>
                <w:rFonts w:ascii="Arial" w:eastAsiaTheme="minorHAnsi" w:hAnsi="Arial" w:cs="Arial"/>
                <w:kern w:val="2"/>
                <w14:ligatures w14:val="standardContextual"/>
              </w:rPr>
            </w:pPr>
          </w:p>
        </w:tc>
        <w:tc>
          <w:tcPr>
            <w:tcW w:w="4410" w:type="dxa"/>
            <w:shd w:val="clear" w:color="auto" w:fill="9EBCD8"/>
            <w:vAlign w:val="center"/>
          </w:tcPr>
          <w:p w14:paraId="413BCEDB" w14:textId="40F5AFCB" w:rsidR="00642246" w:rsidRPr="00272201" w:rsidRDefault="006241C2" w:rsidP="007B5A95">
            <w:pPr>
              <w:jc w:val="center"/>
              <w:rPr>
                <w:rFonts w:ascii="Arial" w:hAnsi="Arial" w:cs="Arial"/>
                <w:sz w:val="24"/>
                <w:szCs w:val="24"/>
              </w:rPr>
            </w:pPr>
            <w:r>
              <w:rPr>
                <w:rFonts w:ascii="Arial" w:hAnsi="Arial" w:cs="Arial"/>
                <w:sz w:val="24"/>
                <w:szCs w:val="24"/>
              </w:rPr>
              <w:t>&gt;</w:t>
            </w:r>
            <w:r w:rsidR="00A224F8">
              <w:rPr>
                <w:rFonts w:ascii="Arial" w:hAnsi="Arial" w:cs="Arial"/>
                <w:sz w:val="24"/>
                <w:szCs w:val="24"/>
              </w:rPr>
              <w:t>5</w:t>
            </w:r>
            <w:r>
              <w:rPr>
                <w:rFonts w:ascii="Arial" w:hAnsi="Arial" w:cs="Arial"/>
                <w:sz w:val="24"/>
                <w:szCs w:val="24"/>
              </w:rPr>
              <w:t>5</w:t>
            </w:r>
            <w:r w:rsidR="00642246">
              <w:rPr>
                <w:rFonts w:ascii="Arial" w:hAnsi="Arial" w:cs="Arial"/>
                <w:sz w:val="24"/>
                <w:szCs w:val="24"/>
              </w:rPr>
              <w:t>%</w:t>
            </w:r>
          </w:p>
          <w:p w14:paraId="2E7B8B37" w14:textId="09B635E3" w:rsidR="00642246" w:rsidRPr="00272201" w:rsidRDefault="00642246" w:rsidP="007B5A95">
            <w:pPr>
              <w:jc w:val="center"/>
              <w:rPr>
                <w:rFonts w:ascii="Arial" w:hAnsi="Arial" w:cs="Arial"/>
                <w:sz w:val="24"/>
                <w:szCs w:val="24"/>
              </w:rPr>
            </w:pPr>
            <w:r w:rsidRPr="00272201">
              <w:rPr>
                <w:rFonts w:ascii="Arial" w:hAnsi="Arial" w:cs="Arial"/>
                <w:sz w:val="24"/>
                <w:szCs w:val="24"/>
              </w:rPr>
              <w:t>(</w:t>
            </w:r>
            <w:r w:rsidR="008F12DB">
              <w:rPr>
                <w:rFonts w:ascii="Arial" w:hAnsi="Arial" w:cs="Arial"/>
                <w:sz w:val="24"/>
                <w:szCs w:val="24"/>
              </w:rPr>
              <w:t>B</w:t>
            </w:r>
            <w:r w:rsidRPr="00272201">
              <w:rPr>
                <w:rFonts w:ascii="Arial" w:hAnsi="Arial" w:cs="Arial"/>
                <w:sz w:val="24"/>
                <w:szCs w:val="24"/>
              </w:rPr>
              <w:t>lue)</w:t>
            </w:r>
          </w:p>
        </w:tc>
      </w:tr>
      <w:tr w:rsidR="00642246" w:rsidRPr="00272201" w14:paraId="537D9BE1" w14:textId="77777777" w:rsidTr="019223C4">
        <w:trPr>
          <w:jc w:val="center"/>
        </w:trPr>
        <w:tc>
          <w:tcPr>
            <w:tcW w:w="4855" w:type="dxa"/>
          </w:tcPr>
          <w:p w14:paraId="174C426E" w14:textId="4CD3D827" w:rsidR="00642246" w:rsidRPr="00701C0D" w:rsidRDefault="00701C0D" w:rsidP="18A9BFDA">
            <w:pPr>
              <w:rPr>
                <w:rFonts w:ascii="Arial" w:hAnsi="Arial" w:cs="Arial"/>
                <w:sz w:val="24"/>
                <w:szCs w:val="24"/>
              </w:rPr>
            </w:pPr>
            <w:r w:rsidRPr="00701C0D">
              <w:rPr>
                <w:rFonts w:ascii="Arial" w:hAnsi="Arial" w:cs="Arial"/>
                <w:sz w:val="24"/>
                <w:szCs w:val="24"/>
              </w:rPr>
              <w:t>Lassen, Mono, Shasta, Tuolumne</w:t>
            </w:r>
          </w:p>
        </w:tc>
        <w:tc>
          <w:tcPr>
            <w:tcW w:w="4410" w:type="dxa"/>
            <w:shd w:val="clear" w:color="auto" w:fill="74B273"/>
            <w:vAlign w:val="center"/>
          </w:tcPr>
          <w:p w14:paraId="639D35B9" w14:textId="29EC1064" w:rsidR="00642246" w:rsidRPr="00272201" w:rsidRDefault="00A224F8" w:rsidP="007B5A95">
            <w:pPr>
              <w:jc w:val="center"/>
              <w:rPr>
                <w:rFonts w:ascii="Arial" w:hAnsi="Arial" w:cs="Arial"/>
                <w:sz w:val="24"/>
                <w:szCs w:val="24"/>
              </w:rPr>
            </w:pPr>
            <w:r>
              <w:rPr>
                <w:rFonts w:ascii="Arial" w:hAnsi="Arial" w:cs="Arial"/>
                <w:sz w:val="24"/>
                <w:szCs w:val="24"/>
              </w:rPr>
              <w:t>4</w:t>
            </w:r>
            <w:r w:rsidR="006241C2">
              <w:rPr>
                <w:rFonts w:ascii="Arial" w:hAnsi="Arial" w:cs="Arial"/>
                <w:sz w:val="24"/>
                <w:szCs w:val="24"/>
              </w:rPr>
              <w:t>6</w:t>
            </w:r>
            <w:r w:rsidR="00642246" w:rsidRPr="18A9BFDA">
              <w:rPr>
                <w:rFonts w:ascii="Arial" w:hAnsi="Arial" w:cs="Arial"/>
                <w:sz w:val="24"/>
                <w:szCs w:val="24"/>
              </w:rPr>
              <w:t>%</w:t>
            </w:r>
            <w:r w:rsidR="008F12DB" w:rsidRPr="18A9BFDA">
              <w:rPr>
                <w:rFonts w:ascii="Arial" w:hAnsi="Arial" w:cs="Arial"/>
                <w:sz w:val="24"/>
                <w:szCs w:val="24"/>
              </w:rPr>
              <w:t>–</w:t>
            </w:r>
            <w:r w:rsidR="00EE6C9D">
              <w:rPr>
                <w:rFonts w:ascii="Arial" w:hAnsi="Arial" w:cs="Arial"/>
                <w:sz w:val="24"/>
                <w:szCs w:val="24"/>
              </w:rPr>
              <w:t>55</w:t>
            </w:r>
            <w:r w:rsidR="00642246" w:rsidRPr="18A9BFDA">
              <w:rPr>
                <w:rFonts w:ascii="Arial" w:hAnsi="Arial" w:cs="Arial"/>
                <w:sz w:val="24"/>
                <w:szCs w:val="24"/>
              </w:rPr>
              <w:t>%</w:t>
            </w:r>
          </w:p>
          <w:p w14:paraId="2122EA27" w14:textId="77777777" w:rsidR="00642246" w:rsidRPr="00272201" w:rsidRDefault="00642246" w:rsidP="007B5A95">
            <w:pPr>
              <w:jc w:val="center"/>
              <w:rPr>
                <w:rFonts w:ascii="Arial" w:hAnsi="Arial" w:cs="Arial"/>
                <w:sz w:val="24"/>
                <w:szCs w:val="24"/>
              </w:rPr>
            </w:pPr>
            <w:r w:rsidRPr="00272201">
              <w:rPr>
                <w:rFonts w:ascii="Arial" w:hAnsi="Arial" w:cs="Arial"/>
                <w:sz w:val="24"/>
                <w:szCs w:val="24"/>
              </w:rPr>
              <w:t>(</w:t>
            </w:r>
            <w:r>
              <w:rPr>
                <w:rFonts w:ascii="Arial" w:hAnsi="Arial" w:cs="Arial"/>
                <w:sz w:val="24"/>
                <w:szCs w:val="24"/>
              </w:rPr>
              <w:t>Green</w:t>
            </w:r>
            <w:r w:rsidRPr="00272201">
              <w:rPr>
                <w:rFonts w:ascii="Arial" w:hAnsi="Arial" w:cs="Arial"/>
                <w:sz w:val="24"/>
                <w:szCs w:val="24"/>
              </w:rPr>
              <w:t>)</w:t>
            </w:r>
          </w:p>
        </w:tc>
      </w:tr>
      <w:tr w:rsidR="00642246" w:rsidRPr="00272201" w14:paraId="2B89D5A3" w14:textId="77777777" w:rsidTr="019223C4">
        <w:trPr>
          <w:trHeight w:val="305"/>
          <w:jc w:val="center"/>
        </w:trPr>
        <w:tc>
          <w:tcPr>
            <w:tcW w:w="4855" w:type="dxa"/>
          </w:tcPr>
          <w:p w14:paraId="555B7838" w14:textId="064FAE9A" w:rsidR="00642246" w:rsidRPr="00272201" w:rsidRDefault="00701C0D" w:rsidP="009B40C5">
            <w:pPr>
              <w:rPr>
                <w:rFonts w:ascii="Arial" w:hAnsi="Arial" w:cs="Arial"/>
                <w:sz w:val="24"/>
                <w:szCs w:val="24"/>
              </w:rPr>
            </w:pPr>
            <w:r w:rsidRPr="00701C0D">
              <w:rPr>
                <w:rFonts w:ascii="Arial" w:hAnsi="Arial" w:cs="Arial"/>
                <w:sz w:val="24"/>
                <w:szCs w:val="24"/>
              </w:rPr>
              <w:t>Alameda, Butte, Colusa, Contra Costa, Del Norte, El Dorado, Glenn, Humboldt, Imperial, Kings, Lake, Los Angeles, Madera, Mendocino, Nevada, Orange, Placer, Plumas, San Benito, San Diego, San Francisco, San Mateo, Santa Barbara, Santa Clara, Siskiyou, Sonoma, Stanislaus, Sutter, Tehama, Yolo</w:t>
            </w:r>
          </w:p>
        </w:tc>
        <w:tc>
          <w:tcPr>
            <w:tcW w:w="4410" w:type="dxa"/>
            <w:shd w:val="clear" w:color="auto" w:fill="FFFFBF"/>
            <w:vAlign w:val="center"/>
          </w:tcPr>
          <w:p w14:paraId="311FEEFC" w14:textId="19C33CAD" w:rsidR="00642246" w:rsidRPr="00272201" w:rsidRDefault="00642246" w:rsidP="007B5A95">
            <w:pPr>
              <w:jc w:val="center"/>
              <w:rPr>
                <w:rFonts w:ascii="Arial" w:hAnsi="Arial" w:cs="Arial"/>
                <w:sz w:val="24"/>
                <w:szCs w:val="24"/>
              </w:rPr>
            </w:pPr>
            <w:r w:rsidRPr="18A9BFDA">
              <w:rPr>
                <w:rFonts w:ascii="Arial" w:hAnsi="Arial" w:cs="Arial"/>
                <w:sz w:val="24"/>
                <w:szCs w:val="24"/>
              </w:rPr>
              <w:t>3</w:t>
            </w:r>
            <w:r w:rsidR="006241C2">
              <w:rPr>
                <w:rFonts w:ascii="Arial" w:hAnsi="Arial" w:cs="Arial"/>
                <w:sz w:val="24"/>
                <w:szCs w:val="24"/>
              </w:rPr>
              <w:t>6</w:t>
            </w:r>
            <w:r w:rsidRPr="18A9BFDA">
              <w:rPr>
                <w:rFonts w:ascii="Arial" w:hAnsi="Arial" w:cs="Arial"/>
                <w:sz w:val="24"/>
                <w:szCs w:val="24"/>
              </w:rPr>
              <w:t>%</w:t>
            </w:r>
            <w:r w:rsidR="008F12DB" w:rsidRPr="18A9BFDA">
              <w:rPr>
                <w:rFonts w:ascii="Arial" w:hAnsi="Arial" w:cs="Arial"/>
                <w:sz w:val="24"/>
                <w:szCs w:val="24"/>
              </w:rPr>
              <w:t>–</w:t>
            </w:r>
            <w:r w:rsidR="00A224F8">
              <w:rPr>
                <w:rFonts w:ascii="Arial" w:hAnsi="Arial" w:cs="Arial"/>
                <w:sz w:val="24"/>
                <w:szCs w:val="24"/>
              </w:rPr>
              <w:t>4</w:t>
            </w:r>
            <w:r w:rsidR="006241C2">
              <w:rPr>
                <w:rFonts w:ascii="Arial" w:hAnsi="Arial" w:cs="Arial"/>
                <w:sz w:val="24"/>
                <w:szCs w:val="24"/>
              </w:rPr>
              <w:t>5</w:t>
            </w:r>
            <w:r w:rsidRPr="18A9BFDA">
              <w:rPr>
                <w:rFonts w:ascii="Arial" w:hAnsi="Arial" w:cs="Arial"/>
                <w:sz w:val="24"/>
                <w:szCs w:val="24"/>
              </w:rPr>
              <w:t>%</w:t>
            </w:r>
          </w:p>
          <w:p w14:paraId="36105496" w14:textId="34A51DEB" w:rsidR="00642246" w:rsidRPr="00272201" w:rsidRDefault="00642246" w:rsidP="008877B2">
            <w:pPr>
              <w:jc w:val="center"/>
              <w:rPr>
                <w:rFonts w:ascii="Arial" w:hAnsi="Arial" w:cs="Arial"/>
                <w:sz w:val="24"/>
                <w:szCs w:val="24"/>
              </w:rPr>
            </w:pPr>
            <w:r w:rsidRPr="00272201">
              <w:rPr>
                <w:rFonts w:ascii="Arial" w:hAnsi="Arial" w:cs="Arial"/>
                <w:sz w:val="24"/>
                <w:szCs w:val="24"/>
              </w:rPr>
              <w:t>(</w:t>
            </w:r>
            <w:r>
              <w:rPr>
                <w:rFonts w:ascii="Arial" w:hAnsi="Arial" w:cs="Arial"/>
                <w:sz w:val="24"/>
                <w:szCs w:val="24"/>
              </w:rPr>
              <w:t>Yellow</w:t>
            </w:r>
            <w:r w:rsidRPr="00272201">
              <w:rPr>
                <w:rFonts w:ascii="Arial" w:hAnsi="Arial" w:cs="Arial"/>
                <w:sz w:val="24"/>
                <w:szCs w:val="24"/>
              </w:rPr>
              <w:t>)</w:t>
            </w:r>
          </w:p>
        </w:tc>
      </w:tr>
      <w:tr w:rsidR="00642246" w:rsidRPr="00272201" w14:paraId="21E1A737" w14:textId="77777777" w:rsidTr="019223C4">
        <w:trPr>
          <w:jc w:val="center"/>
        </w:trPr>
        <w:tc>
          <w:tcPr>
            <w:tcW w:w="4855" w:type="dxa"/>
          </w:tcPr>
          <w:p w14:paraId="31C03929" w14:textId="03DEC678" w:rsidR="00642246" w:rsidRPr="00272201" w:rsidRDefault="00701C0D" w:rsidP="009B40C5">
            <w:pPr>
              <w:rPr>
                <w:rFonts w:ascii="Arial" w:hAnsi="Arial" w:cs="Arial"/>
                <w:sz w:val="24"/>
                <w:szCs w:val="24"/>
              </w:rPr>
            </w:pPr>
            <w:r w:rsidRPr="00701C0D">
              <w:rPr>
                <w:rFonts w:ascii="Arial" w:hAnsi="Arial" w:cs="Arial"/>
                <w:sz w:val="24"/>
                <w:szCs w:val="24"/>
              </w:rPr>
              <w:t xml:space="preserve">Amador, </w:t>
            </w:r>
            <w:r w:rsidR="00C62721" w:rsidRPr="00701C0D">
              <w:rPr>
                <w:rFonts w:ascii="Arial" w:hAnsi="Arial" w:cs="Arial"/>
                <w:sz w:val="24"/>
                <w:szCs w:val="24"/>
              </w:rPr>
              <w:t>Calaveras</w:t>
            </w:r>
            <w:r w:rsidR="00C62721">
              <w:rPr>
                <w:rFonts w:ascii="Arial" w:hAnsi="Arial" w:cs="Arial"/>
                <w:sz w:val="24"/>
                <w:szCs w:val="24"/>
              </w:rPr>
              <w:t>,</w:t>
            </w:r>
            <w:r w:rsidR="00C62721" w:rsidRPr="00701C0D">
              <w:rPr>
                <w:rFonts w:ascii="Arial" w:hAnsi="Arial" w:cs="Arial"/>
                <w:sz w:val="24"/>
                <w:szCs w:val="24"/>
              </w:rPr>
              <w:t xml:space="preserve"> </w:t>
            </w:r>
            <w:r w:rsidRPr="00701C0D">
              <w:rPr>
                <w:rFonts w:ascii="Arial" w:hAnsi="Arial" w:cs="Arial"/>
                <w:sz w:val="24"/>
                <w:szCs w:val="24"/>
              </w:rPr>
              <w:t>Fresno, Inyo, Kern, Marin, Merced, Monterey, Napa, Riverside, Sacramento, San Bernardino, San Joaquin, San Luis Obispo, Santa Cruz, Solano, Tulare, Ventura, Yuba</w:t>
            </w:r>
          </w:p>
        </w:tc>
        <w:tc>
          <w:tcPr>
            <w:tcW w:w="4410" w:type="dxa"/>
            <w:shd w:val="clear" w:color="auto" w:fill="FEA500"/>
            <w:vAlign w:val="center"/>
          </w:tcPr>
          <w:p w14:paraId="365DAD11" w14:textId="31AF404F" w:rsidR="00642246" w:rsidRPr="00272201" w:rsidRDefault="006241C2" w:rsidP="007B5A95">
            <w:pPr>
              <w:jc w:val="center"/>
              <w:rPr>
                <w:rFonts w:ascii="Arial" w:hAnsi="Arial" w:cs="Arial"/>
                <w:sz w:val="24"/>
                <w:szCs w:val="24"/>
              </w:rPr>
            </w:pPr>
            <w:r>
              <w:rPr>
                <w:rFonts w:ascii="Arial" w:hAnsi="Arial" w:cs="Arial"/>
                <w:sz w:val="24"/>
                <w:szCs w:val="24"/>
              </w:rPr>
              <w:t>26</w:t>
            </w:r>
            <w:r w:rsidR="00642246">
              <w:rPr>
                <w:rFonts w:ascii="Arial" w:hAnsi="Arial" w:cs="Arial"/>
                <w:sz w:val="24"/>
                <w:szCs w:val="24"/>
              </w:rPr>
              <w:t>%</w:t>
            </w:r>
            <w:r w:rsidR="008F12DB" w:rsidRPr="008F12DB">
              <w:rPr>
                <w:rFonts w:ascii="Arial" w:hAnsi="Arial" w:cs="Arial"/>
                <w:sz w:val="24"/>
                <w:szCs w:val="24"/>
              </w:rPr>
              <w:t>–</w:t>
            </w:r>
            <w:r>
              <w:rPr>
                <w:rFonts w:ascii="Arial" w:hAnsi="Arial" w:cs="Arial"/>
                <w:sz w:val="24"/>
                <w:szCs w:val="24"/>
              </w:rPr>
              <w:t>35</w:t>
            </w:r>
            <w:r w:rsidR="00642246">
              <w:rPr>
                <w:rFonts w:ascii="Arial" w:hAnsi="Arial" w:cs="Arial"/>
                <w:sz w:val="24"/>
                <w:szCs w:val="24"/>
              </w:rPr>
              <w:t>%</w:t>
            </w:r>
          </w:p>
          <w:p w14:paraId="42C5307B" w14:textId="1AF6CDF2" w:rsidR="00642246" w:rsidRPr="00272201" w:rsidRDefault="00642246" w:rsidP="007B5A95">
            <w:pPr>
              <w:jc w:val="center"/>
              <w:rPr>
                <w:rFonts w:ascii="Arial" w:hAnsi="Arial" w:cs="Arial"/>
                <w:sz w:val="24"/>
                <w:szCs w:val="24"/>
              </w:rPr>
            </w:pPr>
            <w:r w:rsidRPr="00272201">
              <w:rPr>
                <w:rFonts w:ascii="Arial" w:hAnsi="Arial" w:cs="Arial"/>
                <w:sz w:val="24"/>
                <w:szCs w:val="24"/>
              </w:rPr>
              <w:t>(</w:t>
            </w:r>
            <w:r>
              <w:rPr>
                <w:rFonts w:ascii="Arial" w:hAnsi="Arial" w:cs="Arial"/>
                <w:sz w:val="24"/>
                <w:szCs w:val="24"/>
              </w:rPr>
              <w:t>Orange</w:t>
            </w:r>
            <w:r w:rsidRPr="00272201">
              <w:rPr>
                <w:rFonts w:ascii="Arial" w:hAnsi="Arial" w:cs="Arial"/>
                <w:sz w:val="24"/>
                <w:szCs w:val="24"/>
              </w:rPr>
              <w:t>)</w:t>
            </w:r>
          </w:p>
        </w:tc>
      </w:tr>
      <w:tr w:rsidR="00642246" w:rsidRPr="004B7CF4" w14:paraId="50584C55" w14:textId="77777777" w:rsidTr="019223C4">
        <w:trPr>
          <w:jc w:val="center"/>
        </w:trPr>
        <w:tc>
          <w:tcPr>
            <w:tcW w:w="4855" w:type="dxa"/>
          </w:tcPr>
          <w:p w14:paraId="72CE40A1" w14:textId="035748FB" w:rsidR="00642246" w:rsidRPr="00272201" w:rsidRDefault="00701C0D" w:rsidP="009B40C5">
            <w:pPr>
              <w:rPr>
                <w:rFonts w:ascii="Arial" w:hAnsi="Arial" w:cs="Arial"/>
                <w:sz w:val="24"/>
                <w:szCs w:val="24"/>
              </w:rPr>
            </w:pPr>
            <w:r w:rsidRPr="00701C0D">
              <w:rPr>
                <w:rFonts w:ascii="Arial" w:hAnsi="Arial" w:cs="Arial"/>
                <w:sz w:val="24"/>
                <w:szCs w:val="24"/>
              </w:rPr>
              <w:t>Modoc</w:t>
            </w:r>
          </w:p>
        </w:tc>
        <w:tc>
          <w:tcPr>
            <w:tcW w:w="4410" w:type="dxa"/>
            <w:shd w:val="clear" w:color="auto" w:fill="FF7474"/>
            <w:vAlign w:val="center"/>
          </w:tcPr>
          <w:p w14:paraId="6D92554D" w14:textId="36FCAECD" w:rsidR="00642246" w:rsidRPr="00272201" w:rsidRDefault="00642246" w:rsidP="007B5A95">
            <w:pPr>
              <w:jc w:val="center"/>
              <w:rPr>
                <w:rFonts w:ascii="Arial" w:hAnsi="Arial" w:cs="Arial"/>
                <w:sz w:val="24"/>
                <w:szCs w:val="24"/>
              </w:rPr>
            </w:pPr>
            <w:r w:rsidRPr="00272201">
              <w:rPr>
                <w:rFonts w:ascii="Arial" w:hAnsi="Arial" w:cs="Arial"/>
                <w:sz w:val="24"/>
                <w:szCs w:val="24"/>
              </w:rPr>
              <w:t>1</w:t>
            </w:r>
            <w:r>
              <w:rPr>
                <w:rFonts w:ascii="Arial" w:hAnsi="Arial" w:cs="Arial"/>
                <w:sz w:val="24"/>
                <w:szCs w:val="24"/>
              </w:rPr>
              <w:t>%</w:t>
            </w:r>
            <w:r w:rsidR="008F12DB" w:rsidRPr="008F12DB">
              <w:rPr>
                <w:rFonts w:ascii="Arial" w:hAnsi="Arial" w:cs="Arial"/>
                <w:sz w:val="24"/>
                <w:szCs w:val="24"/>
              </w:rPr>
              <w:t>–</w:t>
            </w:r>
            <w:r w:rsidR="006241C2">
              <w:rPr>
                <w:rFonts w:ascii="Arial" w:hAnsi="Arial" w:cs="Arial"/>
                <w:sz w:val="24"/>
                <w:szCs w:val="24"/>
              </w:rPr>
              <w:t>25</w:t>
            </w:r>
            <w:r>
              <w:rPr>
                <w:rFonts w:ascii="Arial" w:hAnsi="Arial" w:cs="Arial"/>
                <w:sz w:val="24"/>
                <w:szCs w:val="24"/>
              </w:rPr>
              <w:t>%</w:t>
            </w:r>
          </w:p>
          <w:p w14:paraId="0364E2AA" w14:textId="3FB30460" w:rsidR="00642246" w:rsidRPr="004B7CF4" w:rsidRDefault="00642246" w:rsidP="00CD7DE3">
            <w:pPr>
              <w:jc w:val="center"/>
              <w:rPr>
                <w:rFonts w:ascii="Arial" w:hAnsi="Arial" w:cs="Arial"/>
                <w:sz w:val="24"/>
                <w:szCs w:val="24"/>
              </w:rPr>
            </w:pPr>
            <w:r w:rsidRPr="00272201">
              <w:rPr>
                <w:rFonts w:ascii="Arial" w:hAnsi="Arial" w:cs="Arial"/>
                <w:sz w:val="24"/>
                <w:szCs w:val="24"/>
              </w:rPr>
              <w:t>(</w:t>
            </w:r>
            <w:r>
              <w:rPr>
                <w:rFonts w:ascii="Arial" w:hAnsi="Arial" w:cs="Arial"/>
                <w:sz w:val="24"/>
                <w:szCs w:val="24"/>
              </w:rPr>
              <w:t>Red</w:t>
            </w:r>
            <w:r w:rsidR="007B5A95">
              <w:rPr>
                <w:rFonts w:ascii="Arial" w:hAnsi="Arial" w:cs="Arial"/>
                <w:sz w:val="24"/>
                <w:szCs w:val="24"/>
              </w:rPr>
              <w:t>)</w:t>
            </w:r>
          </w:p>
        </w:tc>
      </w:tr>
      <w:tr w:rsidR="00642246" w:rsidRPr="00272201" w14:paraId="3609D1FD" w14:textId="77777777" w:rsidTr="019223C4">
        <w:trPr>
          <w:jc w:val="center"/>
        </w:trPr>
        <w:tc>
          <w:tcPr>
            <w:tcW w:w="4855" w:type="dxa"/>
          </w:tcPr>
          <w:p w14:paraId="150E7D8A" w14:textId="3255A177" w:rsidR="00642246" w:rsidRPr="00272201" w:rsidRDefault="00701C0D" w:rsidP="009B40C5">
            <w:pPr>
              <w:rPr>
                <w:rFonts w:ascii="Arial" w:hAnsi="Arial" w:cs="Arial"/>
                <w:sz w:val="24"/>
                <w:szCs w:val="24"/>
              </w:rPr>
            </w:pPr>
            <w:r w:rsidRPr="00701C0D">
              <w:rPr>
                <w:rFonts w:ascii="Arial" w:hAnsi="Arial" w:cs="Arial"/>
                <w:sz w:val="24"/>
                <w:szCs w:val="24"/>
              </w:rPr>
              <w:t>Alpine, Mariposa, Sierra</w:t>
            </w:r>
          </w:p>
        </w:tc>
        <w:tc>
          <w:tcPr>
            <w:tcW w:w="4410" w:type="dxa"/>
            <w:vAlign w:val="center"/>
          </w:tcPr>
          <w:p w14:paraId="3627CD05" w14:textId="3081A4F6" w:rsidR="377035B2" w:rsidRDefault="377035B2" w:rsidP="019223C4">
            <w:pPr>
              <w:jc w:val="center"/>
            </w:pPr>
            <w:r w:rsidRPr="019223C4">
              <w:rPr>
                <w:rFonts w:ascii="Arial" w:hAnsi="Arial" w:cs="Arial"/>
                <w:sz w:val="24"/>
                <w:szCs w:val="24"/>
              </w:rPr>
              <w:t>No Enrollment</w:t>
            </w:r>
          </w:p>
          <w:p w14:paraId="697E86E4" w14:textId="77777777" w:rsidR="00642246" w:rsidRPr="00272201" w:rsidRDefault="00642246" w:rsidP="007B5A95">
            <w:pPr>
              <w:jc w:val="center"/>
              <w:rPr>
                <w:rFonts w:ascii="Arial" w:hAnsi="Arial" w:cs="Arial"/>
                <w:sz w:val="24"/>
                <w:szCs w:val="24"/>
              </w:rPr>
            </w:pPr>
            <w:r w:rsidRPr="019223C4">
              <w:rPr>
                <w:rFonts w:ascii="Arial" w:hAnsi="Arial" w:cs="Arial"/>
                <w:sz w:val="24"/>
                <w:szCs w:val="24"/>
              </w:rPr>
              <w:t>(White)</w:t>
            </w:r>
          </w:p>
        </w:tc>
      </w:tr>
    </w:tbl>
    <w:p w14:paraId="7BBA8638" w14:textId="188473AA" w:rsidR="00097C19" w:rsidRDefault="00097C19" w:rsidP="18A9BFDA">
      <w:pPr>
        <w:spacing w:before="240" w:after="240"/>
        <w:rPr>
          <w:rFonts w:ascii="Arial" w:hAnsi="Arial" w:cs="Arial"/>
          <w:sz w:val="24"/>
          <w:szCs w:val="24"/>
        </w:rPr>
      </w:pPr>
      <w:r w:rsidRPr="019223C4">
        <w:rPr>
          <w:rFonts w:ascii="Arial" w:hAnsi="Arial" w:cs="Arial"/>
          <w:b/>
          <w:bCs/>
          <w:sz w:val="24"/>
          <w:szCs w:val="24"/>
        </w:rPr>
        <w:t>Data Sources</w:t>
      </w:r>
      <w:r w:rsidRPr="019223C4">
        <w:rPr>
          <w:rFonts w:ascii="Arial" w:hAnsi="Arial" w:cs="Arial"/>
          <w:sz w:val="24"/>
          <w:szCs w:val="24"/>
        </w:rPr>
        <w:t>:</w:t>
      </w:r>
      <w:r w:rsidRPr="019223C4">
        <w:rPr>
          <w:sz w:val="24"/>
          <w:szCs w:val="24"/>
        </w:rPr>
        <w:t xml:space="preserve"> </w:t>
      </w:r>
      <w:r w:rsidR="006241C2" w:rsidRPr="019223C4">
        <w:rPr>
          <w:rFonts w:ascii="Arial" w:hAnsi="Arial" w:cs="Arial"/>
          <w:sz w:val="24"/>
          <w:szCs w:val="24"/>
        </w:rPr>
        <w:t>Child Development Management Information System (CDMIS) – 801A Monthly Child Care Population Report. Notes: This data set is filtered for the following program: CSPP. Date: April 30, 2025. Source: California Department of Education, Early Education Division, Applied Data Research and Evaluation Office.</w:t>
      </w:r>
    </w:p>
    <w:p w14:paraId="322FBBC3" w14:textId="152987C6" w:rsidR="0017727F" w:rsidRPr="00191D79" w:rsidRDefault="00191D79" w:rsidP="18A9BFDA">
      <w:pPr>
        <w:spacing w:before="240" w:after="240"/>
        <w:rPr>
          <w:rFonts w:ascii="Arial" w:hAnsi="Arial" w:cs="Arial"/>
          <w:sz w:val="24"/>
          <w:szCs w:val="24"/>
        </w:rPr>
      </w:pPr>
      <w:r>
        <w:rPr>
          <w:rFonts w:ascii="Arial" w:hAnsi="Arial" w:cs="Arial"/>
          <w:sz w:val="24"/>
          <w:szCs w:val="24"/>
        </w:rPr>
        <w:t>(California Department of Education, July 15, 2025)</w:t>
      </w:r>
    </w:p>
    <w:p w14:paraId="33F7B8C1" w14:textId="138CA650" w:rsidR="00A033F1" w:rsidRPr="00272201" w:rsidRDefault="00097C19" w:rsidP="001F5E4B">
      <w:pPr>
        <w:spacing w:after="0"/>
        <w:jc w:val="center"/>
        <w:rPr>
          <w:rFonts w:ascii="Arial" w:hAnsi="Arial" w:cs="Arial"/>
          <w:sz w:val="24"/>
          <w:szCs w:val="24"/>
        </w:rPr>
      </w:pPr>
      <w:r w:rsidRPr="2397AE48">
        <w:rPr>
          <w:rFonts w:ascii="Arial" w:hAnsi="Arial" w:cs="Arial"/>
          <w:sz w:val="24"/>
          <w:szCs w:val="24"/>
        </w:rPr>
        <w:br w:type="page"/>
      </w:r>
      <w:r w:rsidR="00053842">
        <w:rPr>
          <w:noProof/>
        </w:rPr>
        <w:lastRenderedPageBreak/>
        <w:drawing>
          <wp:inline distT="0" distB="0" distL="0" distR="0" wp14:anchorId="15D4FF84" wp14:editId="4DF81844">
            <wp:extent cx="6876852" cy="8160386"/>
            <wp:effectExtent l="0" t="0" r="635" b="0"/>
            <wp:docPr id="2072804434" name="Picture 1" descr="Color coded map that shows percentage of three year olds of CSPP enrollment  by county. Map data is displayed in table above on P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04434" name="Picture 1" descr="Color coded map that shows percentage of three year olds of CSPP enrollment  by county. Map data is displayed in table above on Page 1.&#10;"/>
                    <pic:cNvPicPr/>
                  </pic:nvPicPr>
                  <pic:blipFill>
                    <a:blip r:embed="rId7"/>
                    <a:stretch>
                      <a:fillRect/>
                    </a:stretch>
                  </pic:blipFill>
                  <pic:spPr>
                    <a:xfrm>
                      <a:off x="0" y="0"/>
                      <a:ext cx="6881920" cy="8166400"/>
                    </a:xfrm>
                    <a:prstGeom prst="rect">
                      <a:avLst/>
                    </a:prstGeom>
                  </pic:spPr>
                </pic:pic>
              </a:graphicData>
            </a:graphic>
          </wp:inline>
        </w:drawing>
      </w:r>
    </w:p>
    <w:sectPr w:rsidR="00A033F1" w:rsidRPr="002722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6240" w14:textId="77777777" w:rsidR="00192618" w:rsidRDefault="00192618" w:rsidP="000E1505">
      <w:pPr>
        <w:spacing w:after="0" w:line="240" w:lineRule="auto"/>
      </w:pPr>
      <w:r>
        <w:separator/>
      </w:r>
    </w:p>
  </w:endnote>
  <w:endnote w:type="continuationSeparator" w:id="0">
    <w:p w14:paraId="319A4B4E" w14:textId="77777777" w:rsidR="00192618" w:rsidRDefault="00192618" w:rsidP="000E1505">
      <w:pPr>
        <w:spacing w:after="0" w:line="240" w:lineRule="auto"/>
      </w:pPr>
      <w:r>
        <w:continuationSeparator/>
      </w:r>
    </w:p>
  </w:endnote>
  <w:endnote w:type="continuationNotice" w:id="1">
    <w:p w14:paraId="67345E12" w14:textId="77777777" w:rsidR="00192618" w:rsidRDefault="00192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BD614" w14:textId="77777777" w:rsidR="00192618" w:rsidRDefault="00192618" w:rsidP="000E1505">
      <w:pPr>
        <w:spacing w:after="0" w:line="240" w:lineRule="auto"/>
      </w:pPr>
      <w:r>
        <w:separator/>
      </w:r>
    </w:p>
  </w:footnote>
  <w:footnote w:type="continuationSeparator" w:id="0">
    <w:p w14:paraId="3A61A3AD" w14:textId="77777777" w:rsidR="00192618" w:rsidRDefault="00192618" w:rsidP="000E1505">
      <w:pPr>
        <w:spacing w:after="0" w:line="240" w:lineRule="auto"/>
      </w:pPr>
      <w:r>
        <w:continuationSeparator/>
      </w:r>
    </w:p>
  </w:footnote>
  <w:footnote w:type="continuationNotice" w:id="1">
    <w:p w14:paraId="41DDA367" w14:textId="77777777" w:rsidR="00192618" w:rsidRDefault="001926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05AE5"/>
    <w:multiLevelType w:val="multilevel"/>
    <w:tmpl w:val="A59CF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7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17"/>
    <w:rsid w:val="00003720"/>
    <w:rsid w:val="00023ACC"/>
    <w:rsid w:val="00053842"/>
    <w:rsid w:val="000575AB"/>
    <w:rsid w:val="00074F68"/>
    <w:rsid w:val="00091AEA"/>
    <w:rsid w:val="00097717"/>
    <w:rsid w:val="00097C19"/>
    <w:rsid w:val="000D6670"/>
    <w:rsid w:val="000E1505"/>
    <w:rsid w:val="000F7A4E"/>
    <w:rsid w:val="0010411B"/>
    <w:rsid w:val="001055FF"/>
    <w:rsid w:val="00112424"/>
    <w:rsid w:val="00121CBE"/>
    <w:rsid w:val="00123531"/>
    <w:rsid w:val="00155CC6"/>
    <w:rsid w:val="0017727F"/>
    <w:rsid w:val="00191A48"/>
    <w:rsid w:val="00191D79"/>
    <w:rsid w:val="00192618"/>
    <w:rsid w:val="001B4DC2"/>
    <w:rsid w:val="001C12E9"/>
    <w:rsid w:val="001E7648"/>
    <w:rsid w:val="001F1731"/>
    <w:rsid w:val="001F5E4B"/>
    <w:rsid w:val="002016FD"/>
    <w:rsid w:val="00202673"/>
    <w:rsid w:val="00215563"/>
    <w:rsid w:val="002160AC"/>
    <w:rsid w:val="00217845"/>
    <w:rsid w:val="00221500"/>
    <w:rsid w:val="002458F3"/>
    <w:rsid w:val="00272201"/>
    <w:rsid w:val="002C18CA"/>
    <w:rsid w:val="002D56AE"/>
    <w:rsid w:val="003060B4"/>
    <w:rsid w:val="0031437A"/>
    <w:rsid w:val="00315118"/>
    <w:rsid w:val="00317B68"/>
    <w:rsid w:val="0033479D"/>
    <w:rsid w:val="0033481C"/>
    <w:rsid w:val="00355146"/>
    <w:rsid w:val="00364170"/>
    <w:rsid w:val="003642ED"/>
    <w:rsid w:val="00364341"/>
    <w:rsid w:val="0037314F"/>
    <w:rsid w:val="00392BC0"/>
    <w:rsid w:val="003A6E70"/>
    <w:rsid w:val="003B49BD"/>
    <w:rsid w:val="003B7DDE"/>
    <w:rsid w:val="003C2736"/>
    <w:rsid w:val="003C6D23"/>
    <w:rsid w:val="003D2B90"/>
    <w:rsid w:val="003D2F93"/>
    <w:rsid w:val="003E3494"/>
    <w:rsid w:val="003F5C4D"/>
    <w:rsid w:val="004078AE"/>
    <w:rsid w:val="00431ABA"/>
    <w:rsid w:val="004A5ABB"/>
    <w:rsid w:val="004B7CF4"/>
    <w:rsid w:val="004C345A"/>
    <w:rsid w:val="004C4C6E"/>
    <w:rsid w:val="004D63BB"/>
    <w:rsid w:val="004D7206"/>
    <w:rsid w:val="004D7B22"/>
    <w:rsid w:val="004E1A54"/>
    <w:rsid w:val="004E3533"/>
    <w:rsid w:val="004F5F63"/>
    <w:rsid w:val="004F6333"/>
    <w:rsid w:val="00520C91"/>
    <w:rsid w:val="00530806"/>
    <w:rsid w:val="00563658"/>
    <w:rsid w:val="00564579"/>
    <w:rsid w:val="00583166"/>
    <w:rsid w:val="00587B3C"/>
    <w:rsid w:val="00597982"/>
    <w:rsid w:val="005A1D47"/>
    <w:rsid w:val="005B77CF"/>
    <w:rsid w:val="005C79A7"/>
    <w:rsid w:val="005D14CA"/>
    <w:rsid w:val="005D23B3"/>
    <w:rsid w:val="005D4FE9"/>
    <w:rsid w:val="005E1943"/>
    <w:rsid w:val="00605ABD"/>
    <w:rsid w:val="00607F24"/>
    <w:rsid w:val="006129FF"/>
    <w:rsid w:val="006241C2"/>
    <w:rsid w:val="00642246"/>
    <w:rsid w:val="006610B6"/>
    <w:rsid w:val="00672219"/>
    <w:rsid w:val="00674A5C"/>
    <w:rsid w:val="00681E8C"/>
    <w:rsid w:val="006824C1"/>
    <w:rsid w:val="006A1C1B"/>
    <w:rsid w:val="006D66DB"/>
    <w:rsid w:val="006E3088"/>
    <w:rsid w:val="006F6510"/>
    <w:rsid w:val="00701C0D"/>
    <w:rsid w:val="00705C3A"/>
    <w:rsid w:val="0071006A"/>
    <w:rsid w:val="0071336A"/>
    <w:rsid w:val="0072257B"/>
    <w:rsid w:val="00733949"/>
    <w:rsid w:val="00745213"/>
    <w:rsid w:val="007642FD"/>
    <w:rsid w:val="007677F3"/>
    <w:rsid w:val="007704EF"/>
    <w:rsid w:val="0077698B"/>
    <w:rsid w:val="007802B9"/>
    <w:rsid w:val="00782299"/>
    <w:rsid w:val="00786C85"/>
    <w:rsid w:val="0078754A"/>
    <w:rsid w:val="00791E3B"/>
    <w:rsid w:val="0079556F"/>
    <w:rsid w:val="007B5A95"/>
    <w:rsid w:val="007F448B"/>
    <w:rsid w:val="00805F66"/>
    <w:rsid w:val="00817FD0"/>
    <w:rsid w:val="008471AE"/>
    <w:rsid w:val="008507E6"/>
    <w:rsid w:val="00857BF5"/>
    <w:rsid w:val="00866B7E"/>
    <w:rsid w:val="0086783B"/>
    <w:rsid w:val="00870805"/>
    <w:rsid w:val="00870D23"/>
    <w:rsid w:val="00874E5C"/>
    <w:rsid w:val="00876EA1"/>
    <w:rsid w:val="008862CC"/>
    <w:rsid w:val="008877B2"/>
    <w:rsid w:val="00890F7C"/>
    <w:rsid w:val="00891074"/>
    <w:rsid w:val="00895543"/>
    <w:rsid w:val="008A24F3"/>
    <w:rsid w:val="008A6F98"/>
    <w:rsid w:val="008B7205"/>
    <w:rsid w:val="008B7ECB"/>
    <w:rsid w:val="008C2D6C"/>
    <w:rsid w:val="008C5B1B"/>
    <w:rsid w:val="008E1A89"/>
    <w:rsid w:val="008E7B1B"/>
    <w:rsid w:val="008F12DB"/>
    <w:rsid w:val="008F6FAE"/>
    <w:rsid w:val="009231E2"/>
    <w:rsid w:val="00943F79"/>
    <w:rsid w:val="0095115F"/>
    <w:rsid w:val="00960638"/>
    <w:rsid w:val="00971366"/>
    <w:rsid w:val="0098736B"/>
    <w:rsid w:val="009A040F"/>
    <w:rsid w:val="009A0726"/>
    <w:rsid w:val="009B40C5"/>
    <w:rsid w:val="009B5034"/>
    <w:rsid w:val="009D258E"/>
    <w:rsid w:val="00A033F1"/>
    <w:rsid w:val="00A04B52"/>
    <w:rsid w:val="00A04D7F"/>
    <w:rsid w:val="00A224F8"/>
    <w:rsid w:val="00A2406E"/>
    <w:rsid w:val="00A31B92"/>
    <w:rsid w:val="00A34718"/>
    <w:rsid w:val="00A559A4"/>
    <w:rsid w:val="00A6634E"/>
    <w:rsid w:val="00A96CB4"/>
    <w:rsid w:val="00AC7E48"/>
    <w:rsid w:val="00AD1317"/>
    <w:rsid w:val="00AE4CDA"/>
    <w:rsid w:val="00B013FA"/>
    <w:rsid w:val="00B01AC6"/>
    <w:rsid w:val="00B46132"/>
    <w:rsid w:val="00B46423"/>
    <w:rsid w:val="00B550DA"/>
    <w:rsid w:val="00BB5029"/>
    <w:rsid w:val="00BC2D1C"/>
    <w:rsid w:val="00BD0DB3"/>
    <w:rsid w:val="00BD59AE"/>
    <w:rsid w:val="00C02ECC"/>
    <w:rsid w:val="00C07C13"/>
    <w:rsid w:val="00C12A86"/>
    <w:rsid w:val="00C35554"/>
    <w:rsid w:val="00C406D9"/>
    <w:rsid w:val="00C4432A"/>
    <w:rsid w:val="00C62721"/>
    <w:rsid w:val="00C74EE0"/>
    <w:rsid w:val="00C8039B"/>
    <w:rsid w:val="00CA336C"/>
    <w:rsid w:val="00CB52C7"/>
    <w:rsid w:val="00CD7DE3"/>
    <w:rsid w:val="00D328E2"/>
    <w:rsid w:val="00D33D8F"/>
    <w:rsid w:val="00D47A9B"/>
    <w:rsid w:val="00D53475"/>
    <w:rsid w:val="00DA146E"/>
    <w:rsid w:val="00DB444C"/>
    <w:rsid w:val="00DC3CED"/>
    <w:rsid w:val="00DC3DC9"/>
    <w:rsid w:val="00DD2A4D"/>
    <w:rsid w:val="00DD3B88"/>
    <w:rsid w:val="00DE5F86"/>
    <w:rsid w:val="00DE708A"/>
    <w:rsid w:val="00DF050A"/>
    <w:rsid w:val="00DF7288"/>
    <w:rsid w:val="00DF788C"/>
    <w:rsid w:val="00E10DAF"/>
    <w:rsid w:val="00E263D9"/>
    <w:rsid w:val="00E709A7"/>
    <w:rsid w:val="00E822A2"/>
    <w:rsid w:val="00E927FD"/>
    <w:rsid w:val="00E92C72"/>
    <w:rsid w:val="00EB31E6"/>
    <w:rsid w:val="00EB7B21"/>
    <w:rsid w:val="00EE6C9D"/>
    <w:rsid w:val="00EF0848"/>
    <w:rsid w:val="00EF36A8"/>
    <w:rsid w:val="00F038DD"/>
    <w:rsid w:val="00F046BC"/>
    <w:rsid w:val="00F10794"/>
    <w:rsid w:val="00F32A0B"/>
    <w:rsid w:val="00F36EF5"/>
    <w:rsid w:val="00F54DD2"/>
    <w:rsid w:val="00F60F60"/>
    <w:rsid w:val="00F81A93"/>
    <w:rsid w:val="00F91335"/>
    <w:rsid w:val="00F97EE3"/>
    <w:rsid w:val="00FB56BD"/>
    <w:rsid w:val="00FC1543"/>
    <w:rsid w:val="00FD118C"/>
    <w:rsid w:val="00FD1564"/>
    <w:rsid w:val="00FD561C"/>
    <w:rsid w:val="018E1C4A"/>
    <w:rsid w:val="019223C4"/>
    <w:rsid w:val="098F2744"/>
    <w:rsid w:val="0D2B84F1"/>
    <w:rsid w:val="0DC0E443"/>
    <w:rsid w:val="0ECD22D1"/>
    <w:rsid w:val="14A70402"/>
    <w:rsid w:val="176C671F"/>
    <w:rsid w:val="18A9BFDA"/>
    <w:rsid w:val="1C466B77"/>
    <w:rsid w:val="1DEB3F0D"/>
    <w:rsid w:val="1ED945B0"/>
    <w:rsid w:val="1F79D406"/>
    <w:rsid w:val="20D3D2E1"/>
    <w:rsid w:val="2397AE48"/>
    <w:rsid w:val="2456575C"/>
    <w:rsid w:val="2ABE6A04"/>
    <w:rsid w:val="2EB18402"/>
    <w:rsid w:val="3462C6BE"/>
    <w:rsid w:val="377035B2"/>
    <w:rsid w:val="3EA1F43B"/>
    <w:rsid w:val="43312365"/>
    <w:rsid w:val="505AAC1A"/>
    <w:rsid w:val="5CA63F30"/>
    <w:rsid w:val="6224DBDC"/>
    <w:rsid w:val="629C04BC"/>
    <w:rsid w:val="6729349A"/>
    <w:rsid w:val="6CEB0440"/>
    <w:rsid w:val="6F0DF82D"/>
    <w:rsid w:val="74384E92"/>
    <w:rsid w:val="795B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8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717"/>
    <w:rPr>
      <w:rFonts w:eastAsiaTheme="majorEastAsia" w:cstheme="majorBidi"/>
      <w:color w:val="272727" w:themeColor="text1" w:themeTint="D8"/>
    </w:rPr>
  </w:style>
  <w:style w:type="paragraph" w:styleId="Title">
    <w:name w:val="Title"/>
    <w:basedOn w:val="Normal"/>
    <w:next w:val="Normal"/>
    <w:link w:val="TitleChar"/>
    <w:uiPriority w:val="10"/>
    <w:qFormat/>
    <w:rsid w:val="00097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717"/>
    <w:pPr>
      <w:spacing w:before="160"/>
      <w:jc w:val="center"/>
    </w:pPr>
    <w:rPr>
      <w:i/>
      <w:iCs/>
      <w:color w:val="404040" w:themeColor="text1" w:themeTint="BF"/>
    </w:rPr>
  </w:style>
  <w:style w:type="character" w:customStyle="1" w:styleId="QuoteChar">
    <w:name w:val="Quote Char"/>
    <w:basedOn w:val="DefaultParagraphFont"/>
    <w:link w:val="Quote"/>
    <w:uiPriority w:val="29"/>
    <w:rsid w:val="00097717"/>
    <w:rPr>
      <w:i/>
      <w:iCs/>
      <w:color w:val="404040" w:themeColor="text1" w:themeTint="BF"/>
    </w:rPr>
  </w:style>
  <w:style w:type="paragraph" w:styleId="ListParagraph">
    <w:name w:val="List Paragraph"/>
    <w:basedOn w:val="Normal"/>
    <w:uiPriority w:val="34"/>
    <w:qFormat/>
    <w:rsid w:val="00097717"/>
    <w:pPr>
      <w:ind w:left="720"/>
      <w:contextualSpacing/>
    </w:pPr>
  </w:style>
  <w:style w:type="character" w:styleId="IntenseEmphasis">
    <w:name w:val="Intense Emphasis"/>
    <w:basedOn w:val="DefaultParagraphFont"/>
    <w:uiPriority w:val="21"/>
    <w:qFormat/>
    <w:rsid w:val="00097717"/>
    <w:rPr>
      <w:i/>
      <w:iCs/>
      <w:color w:val="0F4761" w:themeColor="accent1" w:themeShade="BF"/>
    </w:rPr>
  </w:style>
  <w:style w:type="paragraph" w:styleId="IntenseQuote">
    <w:name w:val="Intense Quote"/>
    <w:basedOn w:val="Normal"/>
    <w:next w:val="Normal"/>
    <w:link w:val="IntenseQuoteChar"/>
    <w:uiPriority w:val="30"/>
    <w:qFormat/>
    <w:rsid w:val="00097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717"/>
    <w:rPr>
      <w:i/>
      <w:iCs/>
      <w:color w:val="0F4761" w:themeColor="accent1" w:themeShade="BF"/>
    </w:rPr>
  </w:style>
  <w:style w:type="character" w:styleId="IntenseReference">
    <w:name w:val="Intense Reference"/>
    <w:basedOn w:val="DefaultParagraphFont"/>
    <w:uiPriority w:val="32"/>
    <w:qFormat/>
    <w:rsid w:val="00097717"/>
    <w:rPr>
      <w:b/>
      <w:bCs/>
      <w:smallCaps/>
      <w:color w:val="0F4761" w:themeColor="accent1" w:themeShade="BF"/>
      <w:spacing w:val="5"/>
    </w:rPr>
  </w:style>
  <w:style w:type="table" w:styleId="TableGrid">
    <w:name w:val="Table Grid"/>
    <w:basedOn w:val="TableNormal"/>
    <w:uiPriority w:val="39"/>
    <w:rsid w:val="00A03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6F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E1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505"/>
  </w:style>
  <w:style w:type="paragraph" w:styleId="Footer">
    <w:name w:val="footer"/>
    <w:basedOn w:val="Normal"/>
    <w:link w:val="FooterChar"/>
    <w:uiPriority w:val="99"/>
    <w:unhideWhenUsed/>
    <w:rsid w:val="000E1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50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4135">
      <w:bodyDiv w:val="1"/>
      <w:marLeft w:val="0"/>
      <w:marRight w:val="0"/>
      <w:marTop w:val="0"/>
      <w:marBottom w:val="0"/>
      <w:divBdr>
        <w:top w:val="none" w:sz="0" w:space="0" w:color="auto"/>
        <w:left w:val="none" w:sz="0" w:space="0" w:color="auto"/>
        <w:bottom w:val="none" w:sz="0" w:space="0" w:color="auto"/>
        <w:right w:val="none" w:sz="0" w:space="0" w:color="auto"/>
      </w:divBdr>
    </w:div>
    <w:div w:id="244849391">
      <w:bodyDiv w:val="1"/>
      <w:marLeft w:val="0"/>
      <w:marRight w:val="0"/>
      <w:marTop w:val="0"/>
      <w:marBottom w:val="0"/>
      <w:divBdr>
        <w:top w:val="none" w:sz="0" w:space="0" w:color="auto"/>
        <w:left w:val="none" w:sz="0" w:space="0" w:color="auto"/>
        <w:bottom w:val="none" w:sz="0" w:space="0" w:color="auto"/>
        <w:right w:val="none" w:sz="0" w:space="0" w:color="auto"/>
      </w:divBdr>
    </w:div>
    <w:div w:id="716972141">
      <w:bodyDiv w:val="1"/>
      <w:marLeft w:val="0"/>
      <w:marRight w:val="0"/>
      <w:marTop w:val="0"/>
      <w:marBottom w:val="0"/>
      <w:divBdr>
        <w:top w:val="none" w:sz="0" w:space="0" w:color="auto"/>
        <w:left w:val="none" w:sz="0" w:space="0" w:color="auto"/>
        <w:bottom w:val="none" w:sz="0" w:space="0" w:color="auto"/>
        <w:right w:val="none" w:sz="0" w:space="0" w:color="auto"/>
      </w:divBdr>
    </w:div>
    <w:div w:id="760486632">
      <w:bodyDiv w:val="1"/>
      <w:marLeft w:val="0"/>
      <w:marRight w:val="0"/>
      <w:marTop w:val="0"/>
      <w:marBottom w:val="0"/>
      <w:divBdr>
        <w:top w:val="none" w:sz="0" w:space="0" w:color="auto"/>
        <w:left w:val="none" w:sz="0" w:space="0" w:color="auto"/>
        <w:bottom w:val="none" w:sz="0" w:space="0" w:color="auto"/>
        <w:right w:val="none" w:sz="0" w:space="0" w:color="auto"/>
      </w:divBdr>
    </w:div>
    <w:div w:id="895626452">
      <w:bodyDiv w:val="1"/>
      <w:marLeft w:val="0"/>
      <w:marRight w:val="0"/>
      <w:marTop w:val="0"/>
      <w:marBottom w:val="0"/>
      <w:divBdr>
        <w:top w:val="none" w:sz="0" w:space="0" w:color="auto"/>
        <w:left w:val="none" w:sz="0" w:space="0" w:color="auto"/>
        <w:bottom w:val="none" w:sz="0" w:space="0" w:color="auto"/>
        <w:right w:val="none" w:sz="0" w:space="0" w:color="auto"/>
      </w:divBdr>
    </w:div>
    <w:div w:id="1388918783">
      <w:bodyDiv w:val="1"/>
      <w:marLeft w:val="0"/>
      <w:marRight w:val="0"/>
      <w:marTop w:val="0"/>
      <w:marBottom w:val="0"/>
      <w:divBdr>
        <w:top w:val="none" w:sz="0" w:space="0" w:color="auto"/>
        <w:left w:val="none" w:sz="0" w:space="0" w:color="auto"/>
        <w:bottom w:val="none" w:sz="0" w:space="0" w:color="auto"/>
        <w:right w:val="none" w:sz="0" w:space="0" w:color="auto"/>
      </w:divBdr>
    </w:div>
    <w:div w:id="1407263241">
      <w:bodyDiv w:val="1"/>
      <w:marLeft w:val="0"/>
      <w:marRight w:val="0"/>
      <w:marTop w:val="0"/>
      <w:marBottom w:val="0"/>
      <w:divBdr>
        <w:top w:val="none" w:sz="0" w:space="0" w:color="auto"/>
        <w:left w:val="none" w:sz="0" w:space="0" w:color="auto"/>
        <w:bottom w:val="none" w:sz="0" w:space="0" w:color="auto"/>
        <w:right w:val="none" w:sz="0" w:space="0" w:color="auto"/>
      </w:divBdr>
    </w:div>
    <w:div w:id="1693147164">
      <w:bodyDiv w:val="1"/>
      <w:marLeft w:val="0"/>
      <w:marRight w:val="0"/>
      <w:marTop w:val="0"/>
      <w:marBottom w:val="0"/>
      <w:divBdr>
        <w:top w:val="none" w:sz="0" w:space="0" w:color="auto"/>
        <w:left w:val="none" w:sz="0" w:space="0" w:color="auto"/>
        <w:bottom w:val="none" w:sz="0" w:space="0" w:color="auto"/>
        <w:right w:val="none" w:sz="0" w:space="0" w:color="auto"/>
      </w:divBdr>
    </w:div>
    <w:div w:id="210306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Percentage of 3-Year-Olds in CSPP, October 2023 – Child Development (CA Dept of Education)</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Percentage of 3-Year-Olds in CSPP, October 2023 – Child Development (CA Dept of Education)</dc:title>
  <dc:subject>Percentage of 3-year-old CSPP enrollment by county for October 2023, developed for data-informed decision-making and technical assistance.</dc:subject>
  <dc:creator/>
  <cp:keywords/>
  <dc:description/>
  <cp:lastModifiedBy/>
  <cp:revision>1</cp:revision>
  <dcterms:created xsi:type="dcterms:W3CDTF">2025-07-11T20:15:00Z</dcterms:created>
  <dcterms:modified xsi:type="dcterms:W3CDTF">2025-07-16T15:52:00Z</dcterms:modified>
</cp:coreProperties>
</file>