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5505" w14:textId="6D2AC241" w:rsidR="00B9514D" w:rsidRPr="00DF3E88" w:rsidRDefault="007F6B9A" w:rsidP="00194D9D">
      <w:pPr>
        <w:pStyle w:val="Heading1"/>
        <w:spacing w:before="2160"/>
      </w:pPr>
      <w:bookmarkStart w:id="0" w:name="_Toc6407580"/>
      <w:bookmarkStart w:id="1" w:name="_Toc37067286"/>
      <w:bookmarkStart w:id="2" w:name="_Toc69896911"/>
      <w:bookmarkStart w:id="3" w:name="_Toc106879788"/>
      <w:bookmarkStart w:id="4" w:name="_Toc108703506"/>
      <w:bookmarkStart w:id="5" w:name="_Toc137062459"/>
      <w:bookmarkStart w:id="6" w:name="_Toc161732588"/>
      <w:bookmarkStart w:id="7" w:name="_Toc193182644"/>
      <w:bookmarkStart w:id="8" w:name="_Toc225766216"/>
      <w:bookmarkStart w:id="9" w:name="_Toc513565255"/>
      <w:r w:rsidRPr="00DF3E88">
        <w:t>20</w:t>
      </w:r>
      <w:r w:rsidR="00D32984">
        <w:t>2</w:t>
      </w:r>
      <w:r w:rsidR="00750B7C">
        <w:t>6</w:t>
      </w:r>
      <w:r w:rsidR="000E1D0D">
        <w:t>–2</w:t>
      </w:r>
      <w:r w:rsidR="00750B7C">
        <w:t>7</w:t>
      </w:r>
      <w:r w:rsidRPr="00DF3E88">
        <w:t xml:space="preserve"> </w:t>
      </w:r>
      <w:r w:rsidR="00B9514D" w:rsidRPr="00DF3E88">
        <w:t xml:space="preserve">Consolidated Application Guidance </w:t>
      </w:r>
      <w:r w:rsidR="00894D06">
        <w:br w:type="textWrapping" w:clear="all"/>
      </w:r>
      <w:r w:rsidR="00B9514D" w:rsidRPr="00DF3E88">
        <w:t>(Spring Version)</w:t>
      </w:r>
      <w:bookmarkEnd w:id="0"/>
      <w:bookmarkEnd w:id="1"/>
      <w:bookmarkEnd w:id="2"/>
      <w:bookmarkEnd w:id="3"/>
      <w:bookmarkEnd w:id="4"/>
      <w:bookmarkEnd w:id="5"/>
      <w:bookmarkEnd w:id="6"/>
      <w:bookmarkEnd w:id="7"/>
      <w:bookmarkEnd w:id="8"/>
    </w:p>
    <w:bookmarkEnd w:id="9"/>
    <w:p w14:paraId="0CC01B37" w14:textId="4BA19306" w:rsidR="00DF3E88" w:rsidRDefault="006E7CBD" w:rsidP="008A622F">
      <w:pPr>
        <w:spacing w:before="240" w:after="240"/>
        <w:jc w:val="center"/>
      </w:pPr>
      <w:r w:rsidRPr="00DF3E88">
        <w:t>Prepared by the California Department of Education</w:t>
      </w:r>
      <w:r w:rsidR="00DF3E88">
        <w:t>,</w:t>
      </w:r>
    </w:p>
    <w:p w14:paraId="7C4C3E29" w14:textId="40E0C7CD" w:rsidR="009F7577" w:rsidRPr="00DF3E88" w:rsidRDefault="006E7CBD" w:rsidP="00DF3E88">
      <w:pPr>
        <w:spacing w:after="480"/>
        <w:jc w:val="center"/>
      </w:pPr>
      <w:r w:rsidRPr="00DF3E88">
        <w:t>Educational Data Management Division</w:t>
      </w:r>
    </w:p>
    <w:p w14:paraId="766910B2" w14:textId="6DEDB086" w:rsidR="006C7466" w:rsidRDefault="006A1A20" w:rsidP="00DF3E88">
      <w:pPr>
        <w:jc w:val="center"/>
        <w:rPr>
          <w:bCs/>
        </w:rPr>
      </w:pPr>
      <w:r>
        <w:rPr>
          <w:bCs/>
        </w:rPr>
        <w:t>May 1, 202</w:t>
      </w:r>
      <w:r w:rsidR="00750B7C">
        <w:rPr>
          <w:bCs/>
        </w:rPr>
        <w:t>6</w:t>
      </w:r>
      <w:r w:rsidR="006C7466">
        <w:rPr>
          <w:bCs/>
        </w:rPr>
        <w:br w:type="page"/>
      </w:r>
    </w:p>
    <w:p w14:paraId="5F25B5BB" w14:textId="77777777" w:rsidR="00E74AE4" w:rsidRDefault="00983167" w:rsidP="00875990">
      <w:pPr>
        <w:pStyle w:val="Heading2"/>
        <w:rPr>
          <w:noProof/>
        </w:rPr>
      </w:pPr>
      <w:bookmarkStart w:id="10" w:name="_Toc6407581"/>
      <w:bookmarkStart w:id="11" w:name="_Toc37067287"/>
      <w:bookmarkStart w:id="12" w:name="_Toc69896912"/>
      <w:bookmarkStart w:id="13" w:name="_Toc106879789"/>
      <w:bookmarkStart w:id="14" w:name="_Toc108703507"/>
      <w:bookmarkStart w:id="15" w:name="_Toc137062460"/>
      <w:bookmarkStart w:id="16" w:name="_Toc161732589"/>
      <w:bookmarkStart w:id="17" w:name="_Toc193182645"/>
      <w:bookmarkStart w:id="18" w:name="_Toc225766217"/>
      <w:r w:rsidRPr="00875990">
        <w:lastRenderedPageBreak/>
        <w:t>Table of Contents</w:t>
      </w:r>
      <w:bookmarkStart w:id="19" w:name="_Toc513565257"/>
      <w:bookmarkEnd w:id="10"/>
      <w:bookmarkEnd w:id="11"/>
      <w:bookmarkEnd w:id="12"/>
      <w:bookmarkEnd w:id="13"/>
      <w:bookmarkEnd w:id="14"/>
      <w:bookmarkEnd w:id="15"/>
      <w:bookmarkEnd w:id="16"/>
      <w:bookmarkEnd w:id="17"/>
      <w:bookmarkEnd w:id="18"/>
      <w:r w:rsidR="00DA7900">
        <w:fldChar w:fldCharType="begin"/>
      </w:r>
      <w:r w:rsidR="00DA7900" w:rsidRPr="00875990">
        <w:instrText xml:space="preserve"> TOC \o "1-2" \h \z \u </w:instrText>
      </w:r>
      <w:r w:rsidR="00DA7900">
        <w:fldChar w:fldCharType="separate"/>
      </w:r>
    </w:p>
    <w:p w14:paraId="1E84992A" w14:textId="285ADEAE" w:rsidR="00E74AE4" w:rsidRDefault="002A1B00">
      <w:pPr>
        <w:pStyle w:val="TOC2"/>
        <w:rPr>
          <w:rFonts w:asciiTheme="minorHAnsi" w:eastAsiaTheme="minorEastAsia" w:hAnsiTheme="minorHAnsi" w:cstheme="minorBidi"/>
          <w:noProof/>
          <w:color w:val="auto"/>
          <w:kern w:val="2"/>
          <w14:ligatures w14:val="standardContextual"/>
        </w:rPr>
      </w:pPr>
      <w:hyperlink w:anchor="_Toc225766218" w:history="1">
        <w:r w:rsidR="00E74AE4" w:rsidRPr="00B602FF">
          <w:rPr>
            <w:rStyle w:val="Hyperlink"/>
            <w:noProof/>
          </w:rPr>
          <w:t>Program Guidance for the Spring Release</w:t>
        </w:r>
        <w:r w:rsidR="00E74AE4">
          <w:rPr>
            <w:noProof/>
            <w:webHidden/>
          </w:rPr>
          <w:tab/>
        </w:r>
        <w:r w:rsidR="00E74AE4">
          <w:rPr>
            <w:noProof/>
            <w:webHidden/>
          </w:rPr>
          <w:fldChar w:fldCharType="begin"/>
        </w:r>
        <w:r w:rsidR="00E74AE4">
          <w:rPr>
            <w:noProof/>
            <w:webHidden/>
          </w:rPr>
          <w:instrText xml:space="preserve"> PAGEREF _Toc225766218 \h </w:instrText>
        </w:r>
        <w:r w:rsidR="00E74AE4">
          <w:rPr>
            <w:noProof/>
            <w:webHidden/>
          </w:rPr>
        </w:r>
        <w:r w:rsidR="00E74AE4">
          <w:rPr>
            <w:noProof/>
            <w:webHidden/>
          </w:rPr>
          <w:fldChar w:fldCharType="separate"/>
        </w:r>
        <w:r w:rsidR="00E74AE4">
          <w:rPr>
            <w:noProof/>
            <w:webHidden/>
          </w:rPr>
          <w:t>3</w:t>
        </w:r>
        <w:r w:rsidR="00E74AE4">
          <w:rPr>
            <w:noProof/>
            <w:webHidden/>
          </w:rPr>
          <w:fldChar w:fldCharType="end"/>
        </w:r>
      </w:hyperlink>
    </w:p>
    <w:p w14:paraId="5FF49468" w14:textId="69463CE5" w:rsidR="00E74AE4" w:rsidRDefault="002A1B00">
      <w:pPr>
        <w:pStyle w:val="TOC2"/>
        <w:rPr>
          <w:rFonts w:asciiTheme="minorHAnsi" w:eastAsiaTheme="minorEastAsia" w:hAnsiTheme="minorHAnsi" w:cstheme="minorBidi"/>
          <w:noProof/>
          <w:color w:val="auto"/>
          <w:kern w:val="2"/>
          <w14:ligatures w14:val="standardContextual"/>
        </w:rPr>
      </w:pPr>
      <w:hyperlink w:anchor="_Toc225766219" w:history="1">
        <w:r w:rsidR="00E74AE4" w:rsidRPr="00B602FF">
          <w:rPr>
            <w:rStyle w:val="Hyperlink"/>
            <w:noProof/>
          </w:rPr>
          <w:t>Records Retention</w:t>
        </w:r>
        <w:r w:rsidR="00E74AE4">
          <w:rPr>
            <w:noProof/>
            <w:webHidden/>
          </w:rPr>
          <w:tab/>
        </w:r>
        <w:r w:rsidR="00E74AE4">
          <w:rPr>
            <w:noProof/>
            <w:webHidden/>
          </w:rPr>
          <w:fldChar w:fldCharType="begin"/>
        </w:r>
        <w:r w:rsidR="00E74AE4">
          <w:rPr>
            <w:noProof/>
            <w:webHidden/>
          </w:rPr>
          <w:instrText xml:space="preserve"> PAGEREF _Toc225766219 \h </w:instrText>
        </w:r>
        <w:r w:rsidR="00E74AE4">
          <w:rPr>
            <w:noProof/>
            <w:webHidden/>
          </w:rPr>
        </w:r>
        <w:r w:rsidR="00E74AE4">
          <w:rPr>
            <w:noProof/>
            <w:webHidden/>
          </w:rPr>
          <w:fldChar w:fldCharType="separate"/>
        </w:r>
        <w:r w:rsidR="00E74AE4">
          <w:rPr>
            <w:noProof/>
            <w:webHidden/>
          </w:rPr>
          <w:t>3</w:t>
        </w:r>
        <w:r w:rsidR="00E74AE4">
          <w:rPr>
            <w:noProof/>
            <w:webHidden/>
          </w:rPr>
          <w:fldChar w:fldCharType="end"/>
        </w:r>
      </w:hyperlink>
    </w:p>
    <w:p w14:paraId="44EE43CE" w14:textId="51529644" w:rsidR="00E74AE4" w:rsidRDefault="002A1B00">
      <w:pPr>
        <w:pStyle w:val="TOC2"/>
        <w:rPr>
          <w:rFonts w:asciiTheme="minorHAnsi" w:eastAsiaTheme="minorEastAsia" w:hAnsiTheme="minorHAnsi" w:cstheme="minorBidi"/>
          <w:noProof/>
          <w:color w:val="auto"/>
          <w:kern w:val="2"/>
          <w14:ligatures w14:val="standardContextual"/>
        </w:rPr>
      </w:pPr>
      <w:hyperlink w:anchor="_Toc225766220" w:history="1">
        <w:r w:rsidR="00E74AE4" w:rsidRPr="00B602FF">
          <w:rPr>
            <w:rStyle w:val="Hyperlink"/>
            <w:noProof/>
          </w:rPr>
          <w:t>2024–25 Title III Immigrant Program</w:t>
        </w:r>
        <w:r w:rsidR="00E74AE4">
          <w:rPr>
            <w:noProof/>
            <w:webHidden/>
          </w:rPr>
          <w:tab/>
        </w:r>
        <w:r w:rsidR="00E74AE4">
          <w:rPr>
            <w:noProof/>
            <w:webHidden/>
          </w:rPr>
          <w:fldChar w:fldCharType="begin"/>
        </w:r>
        <w:r w:rsidR="00E74AE4">
          <w:rPr>
            <w:noProof/>
            <w:webHidden/>
          </w:rPr>
          <w:instrText xml:space="preserve"> PAGEREF _Toc225766220 \h </w:instrText>
        </w:r>
        <w:r w:rsidR="00E74AE4">
          <w:rPr>
            <w:noProof/>
            <w:webHidden/>
          </w:rPr>
        </w:r>
        <w:r w:rsidR="00E74AE4">
          <w:rPr>
            <w:noProof/>
            <w:webHidden/>
          </w:rPr>
          <w:fldChar w:fldCharType="separate"/>
        </w:r>
        <w:r w:rsidR="00E74AE4">
          <w:rPr>
            <w:noProof/>
            <w:webHidden/>
          </w:rPr>
          <w:t>4</w:t>
        </w:r>
        <w:r w:rsidR="00E74AE4">
          <w:rPr>
            <w:noProof/>
            <w:webHidden/>
          </w:rPr>
          <w:fldChar w:fldCharType="end"/>
        </w:r>
      </w:hyperlink>
    </w:p>
    <w:p w14:paraId="03AC1081" w14:textId="56A3006E" w:rsidR="00E74AE4" w:rsidRDefault="002A1B00">
      <w:pPr>
        <w:pStyle w:val="TOC2"/>
        <w:rPr>
          <w:rFonts w:asciiTheme="minorHAnsi" w:eastAsiaTheme="minorEastAsia" w:hAnsiTheme="minorHAnsi" w:cstheme="minorBidi"/>
          <w:noProof/>
          <w:color w:val="auto"/>
          <w:kern w:val="2"/>
          <w14:ligatures w14:val="standardContextual"/>
        </w:rPr>
      </w:pPr>
      <w:hyperlink w:anchor="_Toc225766221" w:history="1">
        <w:r w:rsidR="00E74AE4" w:rsidRPr="00B602FF">
          <w:rPr>
            <w:rStyle w:val="Hyperlink"/>
            <w:noProof/>
          </w:rPr>
          <w:t>2024–25 Title III English Learner Program</w:t>
        </w:r>
        <w:r w:rsidR="00E74AE4">
          <w:rPr>
            <w:noProof/>
            <w:webHidden/>
          </w:rPr>
          <w:tab/>
        </w:r>
        <w:r w:rsidR="00E74AE4">
          <w:rPr>
            <w:noProof/>
            <w:webHidden/>
          </w:rPr>
          <w:fldChar w:fldCharType="begin"/>
        </w:r>
        <w:r w:rsidR="00E74AE4">
          <w:rPr>
            <w:noProof/>
            <w:webHidden/>
          </w:rPr>
          <w:instrText xml:space="preserve"> PAGEREF _Toc225766221 \h </w:instrText>
        </w:r>
        <w:r w:rsidR="00E74AE4">
          <w:rPr>
            <w:noProof/>
            <w:webHidden/>
          </w:rPr>
        </w:r>
        <w:r w:rsidR="00E74AE4">
          <w:rPr>
            <w:noProof/>
            <w:webHidden/>
          </w:rPr>
          <w:fldChar w:fldCharType="separate"/>
        </w:r>
        <w:r w:rsidR="00E74AE4">
          <w:rPr>
            <w:noProof/>
            <w:webHidden/>
          </w:rPr>
          <w:t>6</w:t>
        </w:r>
        <w:r w:rsidR="00E74AE4">
          <w:rPr>
            <w:noProof/>
            <w:webHidden/>
          </w:rPr>
          <w:fldChar w:fldCharType="end"/>
        </w:r>
      </w:hyperlink>
    </w:p>
    <w:p w14:paraId="7B01D018" w14:textId="1EA80BE8" w:rsidR="00E74AE4" w:rsidRDefault="002A1B00">
      <w:pPr>
        <w:pStyle w:val="TOC2"/>
        <w:rPr>
          <w:rFonts w:asciiTheme="minorHAnsi" w:eastAsiaTheme="minorEastAsia" w:hAnsiTheme="minorHAnsi" w:cstheme="minorBidi"/>
          <w:noProof/>
          <w:color w:val="auto"/>
          <w:kern w:val="2"/>
          <w14:ligatures w14:val="standardContextual"/>
        </w:rPr>
      </w:pPr>
      <w:hyperlink w:anchor="_Toc225766222" w:history="1">
        <w:r w:rsidR="00E74AE4" w:rsidRPr="00B602FF">
          <w:rPr>
            <w:rStyle w:val="Hyperlink"/>
            <w:noProof/>
          </w:rPr>
          <w:t>2026–27 Title III Student Program Subgrants</w:t>
        </w:r>
        <w:r w:rsidR="00E74AE4">
          <w:rPr>
            <w:noProof/>
            <w:webHidden/>
          </w:rPr>
          <w:tab/>
        </w:r>
        <w:r w:rsidR="00E74AE4">
          <w:rPr>
            <w:noProof/>
            <w:webHidden/>
          </w:rPr>
          <w:fldChar w:fldCharType="begin"/>
        </w:r>
        <w:r w:rsidR="00E74AE4">
          <w:rPr>
            <w:noProof/>
            <w:webHidden/>
          </w:rPr>
          <w:instrText xml:space="preserve"> PAGEREF _Toc225766222 \h </w:instrText>
        </w:r>
        <w:r w:rsidR="00E74AE4">
          <w:rPr>
            <w:noProof/>
            <w:webHidden/>
          </w:rPr>
        </w:r>
        <w:r w:rsidR="00E74AE4">
          <w:rPr>
            <w:noProof/>
            <w:webHidden/>
          </w:rPr>
          <w:fldChar w:fldCharType="separate"/>
        </w:r>
        <w:r w:rsidR="00E74AE4">
          <w:rPr>
            <w:noProof/>
            <w:webHidden/>
          </w:rPr>
          <w:t>8</w:t>
        </w:r>
        <w:r w:rsidR="00E74AE4">
          <w:rPr>
            <w:noProof/>
            <w:webHidden/>
          </w:rPr>
          <w:fldChar w:fldCharType="end"/>
        </w:r>
      </w:hyperlink>
    </w:p>
    <w:p w14:paraId="470388CD" w14:textId="2406D83C" w:rsidR="009F7577" w:rsidRDefault="00DA7900" w:rsidP="00DF3E88">
      <w:r>
        <w:rPr>
          <w:b/>
          <w:bCs/>
        </w:rPr>
        <w:fldChar w:fldCharType="end"/>
      </w:r>
      <w:r w:rsidR="009F7577">
        <w:br w:type="page"/>
      </w:r>
    </w:p>
    <w:p w14:paraId="2A8F573B" w14:textId="0A76FEBD" w:rsidR="002300C0" w:rsidRPr="0009141C" w:rsidRDefault="007311E2" w:rsidP="00875990">
      <w:pPr>
        <w:pStyle w:val="Heading2"/>
      </w:pPr>
      <w:bookmarkStart w:id="20" w:name="_Toc225766218"/>
      <w:r w:rsidRPr="0009141C">
        <w:lastRenderedPageBreak/>
        <w:t>Program Guidance</w:t>
      </w:r>
      <w:r w:rsidR="002300C0" w:rsidRPr="0009141C">
        <w:t xml:space="preserve"> for </w:t>
      </w:r>
      <w:r w:rsidR="004A134C" w:rsidRPr="0009141C">
        <w:t>the Spring Release</w:t>
      </w:r>
      <w:bookmarkEnd w:id="19"/>
      <w:bookmarkEnd w:id="20"/>
    </w:p>
    <w:p w14:paraId="58122E86" w14:textId="446C2B46" w:rsidR="002300C0" w:rsidRPr="005E7240" w:rsidRDefault="00E64A8A" w:rsidP="00C53844">
      <w:pPr>
        <w:spacing w:before="240" w:after="240"/>
        <w:rPr>
          <w:color w:val="auto"/>
        </w:rPr>
      </w:pPr>
      <w:r w:rsidRPr="005E7240">
        <w:rPr>
          <w:color w:val="auto"/>
        </w:rPr>
        <w:t xml:space="preserve">The </w:t>
      </w:r>
      <w:r w:rsidR="00AB191B">
        <w:rPr>
          <w:color w:val="auto"/>
        </w:rPr>
        <w:t>S</w:t>
      </w:r>
      <w:r w:rsidR="004A134C" w:rsidRPr="005E7240">
        <w:rPr>
          <w:color w:val="auto"/>
        </w:rPr>
        <w:t xml:space="preserve">pring </w:t>
      </w:r>
      <w:r w:rsidR="00AB191B">
        <w:rPr>
          <w:color w:val="auto"/>
        </w:rPr>
        <w:t>R</w:t>
      </w:r>
      <w:r w:rsidR="004A134C" w:rsidRPr="005E7240">
        <w:rPr>
          <w:color w:val="auto"/>
        </w:rPr>
        <w:t>elease</w:t>
      </w:r>
      <w:r w:rsidR="002300C0" w:rsidRPr="005E7240">
        <w:rPr>
          <w:color w:val="auto"/>
        </w:rPr>
        <w:t xml:space="preserve"> of the </w:t>
      </w:r>
      <w:r w:rsidR="00FB3E1D" w:rsidRPr="005E7240">
        <w:rPr>
          <w:iCs/>
          <w:color w:val="auto"/>
        </w:rPr>
        <w:t>20</w:t>
      </w:r>
      <w:r w:rsidR="0038683F">
        <w:rPr>
          <w:iCs/>
          <w:color w:val="auto"/>
        </w:rPr>
        <w:t>2</w:t>
      </w:r>
      <w:r w:rsidR="00750B7C">
        <w:rPr>
          <w:iCs/>
          <w:color w:val="auto"/>
        </w:rPr>
        <w:t>6</w:t>
      </w:r>
      <w:r w:rsidR="00DA6EA7">
        <w:rPr>
          <w:iCs/>
          <w:color w:val="auto"/>
        </w:rPr>
        <w:t>–2</w:t>
      </w:r>
      <w:r w:rsidR="00750B7C">
        <w:rPr>
          <w:iCs/>
          <w:color w:val="auto"/>
        </w:rPr>
        <w:t>7</w:t>
      </w:r>
      <w:r w:rsidR="002300C0" w:rsidRPr="005E7240">
        <w:rPr>
          <w:iCs/>
          <w:color w:val="auto"/>
        </w:rPr>
        <w:t xml:space="preserve"> Consolidated Application (</w:t>
      </w:r>
      <w:proofErr w:type="spellStart"/>
      <w:r w:rsidR="002300C0" w:rsidRPr="005E7240">
        <w:rPr>
          <w:iCs/>
          <w:color w:val="auto"/>
        </w:rPr>
        <w:t>ConApp</w:t>
      </w:r>
      <w:proofErr w:type="spellEnd"/>
      <w:r w:rsidR="002300C0" w:rsidRPr="005E7240">
        <w:rPr>
          <w:iCs/>
          <w:color w:val="auto"/>
        </w:rPr>
        <w:t>) for Funding Categorical Aid Programs</w:t>
      </w:r>
      <w:r w:rsidR="002300C0" w:rsidRPr="005E7240">
        <w:rPr>
          <w:color w:val="auto"/>
        </w:rPr>
        <w:t xml:space="preserve"> collects information related to local educational agencies</w:t>
      </w:r>
      <w:r w:rsidR="00A616B4">
        <w:rPr>
          <w:color w:val="auto"/>
        </w:rPr>
        <w:t xml:space="preserve"> (LEAs)</w:t>
      </w:r>
      <w:r w:rsidR="002300C0" w:rsidRPr="005E7240">
        <w:rPr>
          <w:color w:val="auto"/>
        </w:rPr>
        <w:t xml:space="preserve"> intention to participate in </w:t>
      </w:r>
      <w:r w:rsidR="000F5C14" w:rsidRPr="005E7240">
        <w:rPr>
          <w:iCs/>
          <w:color w:val="auto"/>
        </w:rPr>
        <w:t>20</w:t>
      </w:r>
      <w:r w:rsidR="000F5C14">
        <w:rPr>
          <w:iCs/>
          <w:color w:val="auto"/>
        </w:rPr>
        <w:t>2</w:t>
      </w:r>
      <w:r w:rsidR="00750B7C">
        <w:rPr>
          <w:iCs/>
          <w:color w:val="auto"/>
        </w:rPr>
        <w:t>6</w:t>
      </w:r>
      <w:r w:rsidR="000F5C14">
        <w:rPr>
          <w:iCs/>
          <w:color w:val="auto"/>
        </w:rPr>
        <w:t>–2</w:t>
      </w:r>
      <w:r w:rsidR="00750B7C">
        <w:rPr>
          <w:iCs/>
          <w:color w:val="auto"/>
        </w:rPr>
        <w:t>7</w:t>
      </w:r>
      <w:r w:rsidR="000F5C14" w:rsidRPr="005E7240">
        <w:rPr>
          <w:iCs/>
          <w:color w:val="auto"/>
        </w:rPr>
        <w:t xml:space="preserve"> </w:t>
      </w:r>
      <w:proofErr w:type="spellStart"/>
      <w:r w:rsidR="00206D6A">
        <w:rPr>
          <w:iCs/>
          <w:color w:val="auto"/>
        </w:rPr>
        <w:t>ConApp</w:t>
      </w:r>
      <w:proofErr w:type="spellEnd"/>
      <w:r w:rsidRPr="005E7240">
        <w:rPr>
          <w:color w:val="auto"/>
        </w:rPr>
        <w:t xml:space="preserve"> </w:t>
      </w:r>
      <w:r w:rsidR="00720A4B" w:rsidRPr="005E7240">
        <w:rPr>
          <w:color w:val="auto"/>
        </w:rPr>
        <w:t>programs and</w:t>
      </w:r>
      <w:r w:rsidR="0038683F">
        <w:rPr>
          <w:color w:val="auto"/>
        </w:rPr>
        <w:t xml:space="preserve"> includes </w:t>
      </w:r>
      <w:r w:rsidR="002300C0" w:rsidRPr="005E7240">
        <w:rPr>
          <w:color w:val="auto"/>
        </w:rPr>
        <w:t xml:space="preserve">legal assurances of compliance as required by state and federal statute, and other required program participation information. The ConApp </w:t>
      </w:r>
      <w:r w:rsidR="0038683F">
        <w:rPr>
          <w:color w:val="auto"/>
        </w:rPr>
        <w:t>is</w:t>
      </w:r>
      <w:r w:rsidR="002300C0" w:rsidRPr="005E7240">
        <w:rPr>
          <w:color w:val="auto"/>
        </w:rPr>
        <w:t xml:space="preserve"> submitted electronically</w:t>
      </w:r>
      <w:r w:rsidR="0038683F">
        <w:rPr>
          <w:color w:val="auto"/>
        </w:rPr>
        <w:t xml:space="preserve"> by LEAs</w:t>
      </w:r>
      <w:r w:rsidR="002300C0" w:rsidRPr="005E7240">
        <w:rPr>
          <w:color w:val="auto"/>
        </w:rPr>
        <w:t xml:space="preserve">. </w:t>
      </w:r>
      <w:r w:rsidR="004A134C" w:rsidRPr="005E7240">
        <w:rPr>
          <w:color w:val="auto"/>
        </w:rPr>
        <w:t>All pages</w:t>
      </w:r>
      <w:r w:rsidR="002300C0" w:rsidRPr="005E7240">
        <w:rPr>
          <w:color w:val="auto"/>
        </w:rPr>
        <w:t xml:space="preserve"> which contain original </w:t>
      </w:r>
      <w:r w:rsidR="00002BF3" w:rsidRPr="005E7240">
        <w:rPr>
          <w:color w:val="auto"/>
        </w:rPr>
        <w:t>signatures</w:t>
      </w:r>
      <w:r w:rsidR="002300C0" w:rsidRPr="005E7240">
        <w:rPr>
          <w:color w:val="auto"/>
        </w:rPr>
        <w:t xml:space="preserve"> must be maintained on file in </w:t>
      </w:r>
      <w:r w:rsidR="00C846ED">
        <w:rPr>
          <w:color w:val="auto"/>
        </w:rPr>
        <w:t xml:space="preserve">the </w:t>
      </w:r>
      <w:r w:rsidR="00A616B4">
        <w:rPr>
          <w:color w:val="auto"/>
        </w:rPr>
        <w:t>LEAs</w:t>
      </w:r>
      <w:r w:rsidR="00C846ED">
        <w:rPr>
          <w:color w:val="auto"/>
        </w:rPr>
        <w:t xml:space="preserve"> office.</w:t>
      </w:r>
    </w:p>
    <w:p w14:paraId="4189E73E" w14:textId="2D802DB5" w:rsidR="002300C0" w:rsidRPr="00322F91" w:rsidRDefault="002300C0" w:rsidP="00875990">
      <w:pPr>
        <w:pStyle w:val="Heading2"/>
      </w:pPr>
      <w:bookmarkStart w:id="21" w:name="_Toc293390699"/>
      <w:bookmarkStart w:id="22" w:name="_Toc309215885"/>
      <w:bookmarkStart w:id="23" w:name="_Toc513565258"/>
      <w:bookmarkStart w:id="24" w:name="_Toc225766219"/>
      <w:r w:rsidRPr="00322F91">
        <w:t>Records Retention</w:t>
      </w:r>
      <w:bookmarkEnd w:id="21"/>
      <w:bookmarkEnd w:id="22"/>
      <w:bookmarkEnd w:id="23"/>
      <w:bookmarkEnd w:id="24"/>
    </w:p>
    <w:p w14:paraId="1057E8E2" w14:textId="765F7E2A" w:rsidR="000146AF" w:rsidRDefault="002A1B00" w:rsidP="003B784E">
      <w:pPr>
        <w:spacing w:before="240" w:after="240"/>
        <w:rPr>
          <w:color w:val="auto"/>
        </w:rPr>
      </w:pPr>
      <w:hyperlink w:history="1"/>
      <w:r w:rsidR="00F646DA">
        <w:rPr>
          <w:color w:val="auto"/>
        </w:rPr>
        <w:t>E</w:t>
      </w:r>
      <w:r w:rsidR="002300C0" w:rsidRPr="00D846A1">
        <w:rPr>
          <w:bCs/>
          <w:color w:val="auto"/>
        </w:rPr>
        <w:t>ach recipient</w:t>
      </w:r>
      <w:r w:rsidR="002300C0" w:rsidRPr="005E7240">
        <w:rPr>
          <w:color w:val="auto"/>
        </w:rPr>
        <w:t xml:space="preserve"> of </w:t>
      </w:r>
      <w:r w:rsidR="007831E4" w:rsidRPr="005E7240">
        <w:rPr>
          <w:color w:val="auto"/>
        </w:rPr>
        <w:t>f</w:t>
      </w:r>
      <w:r w:rsidR="002300C0" w:rsidRPr="005E7240">
        <w:rPr>
          <w:color w:val="auto"/>
        </w:rPr>
        <w:t>ederal funds under any applicable program through any grant, subgrant, cooperative agreement, loan, or other arrangement shall keep records which fully disclose the amount and disposition by the recipient of those funds, the total cost of the activity for which the funds are used, the share of that cost provided from other sources, and such other records as will facilitate an effective financial or programmatic audit.</w:t>
      </w:r>
      <w:r w:rsidR="003C6C7D">
        <w:rPr>
          <w:color w:val="auto"/>
        </w:rPr>
        <w:t xml:space="preserve"> </w:t>
      </w:r>
      <w:r w:rsidR="003C6C7D" w:rsidRPr="003C6C7D">
        <w:rPr>
          <w:color w:val="auto"/>
        </w:rPr>
        <w:t xml:space="preserve">The </w:t>
      </w:r>
      <w:r w:rsidR="003C6C7D" w:rsidRPr="003C6C7D">
        <w:rPr>
          <w:bCs/>
          <w:color w:val="auto"/>
        </w:rPr>
        <w:t>recipient shall maintain such records for three years after the completion of the activity for which the funds are used</w:t>
      </w:r>
      <w:r w:rsidR="003C6C7D" w:rsidRPr="003C6C7D">
        <w:rPr>
          <w:color w:val="auto"/>
        </w:rPr>
        <w:t>.</w:t>
      </w:r>
      <w:r w:rsidR="00F646DA">
        <w:rPr>
          <w:color w:val="auto"/>
        </w:rPr>
        <w:t xml:space="preserve"> (</w:t>
      </w:r>
      <w:r w:rsidR="00F646DA" w:rsidRPr="005E7240">
        <w:rPr>
          <w:color w:val="auto"/>
        </w:rPr>
        <w:t xml:space="preserve">Title 20, </w:t>
      </w:r>
      <w:r w:rsidR="001E2F81">
        <w:rPr>
          <w:color w:val="auto"/>
        </w:rPr>
        <w:t xml:space="preserve">United States </w:t>
      </w:r>
      <w:r w:rsidR="001E2F81" w:rsidRPr="005E7240">
        <w:rPr>
          <w:color w:val="auto"/>
        </w:rPr>
        <w:t>Code</w:t>
      </w:r>
      <w:r w:rsidR="001E2F81">
        <w:rPr>
          <w:color w:val="auto"/>
        </w:rPr>
        <w:t xml:space="preserve"> </w:t>
      </w:r>
      <w:r w:rsidR="0028365B">
        <w:rPr>
          <w:color w:val="auto"/>
        </w:rPr>
        <w:t>[</w:t>
      </w:r>
      <w:r w:rsidR="001E2F81">
        <w:rPr>
          <w:color w:val="auto"/>
        </w:rPr>
        <w:t>USC</w:t>
      </w:r>
      <w:r w:rsidR="0028365B">
        <w:rPr>
          <w:color w:val="auto"/>
        </w:rPr>
        <w:t>]</w:t>
      </w:r>
      <w:r w:rsidR="001E2F81" w:rsidRPr="005E7240">
        <w:rPr>
          <w:color w:val="auto"/>
        </w:rPr>
        <w:t xml:space="preserve">, </w:t>
      </w:r>
      <w:r w:rsidR="00F646DA">
        <w:rPr>
          <w:color w:val="auto"/>
        </w:rPr>
        <w:t xml:space="preserve">Chapter 31, Subchapter III, Part 4, </w:t>
      </w:r>
      <w:r w:rsidR="00CD7BA0">
        <w:rPr>
          <w:color w:val="auto"/>
        </w:rPr>
        <w:t>S</w:t>
      </w:r>
      <w:r w:rsidR="00252CC4">
        <w:rPr>
          <w:color w:val="auto"/>
        </w:rPr>
        <w:t>ection 1232f[</w:t>
      </w:r>
      <w:r w:rsidR="00F646DA" w:rsidRPr="005E7240">
        <w:rPr>
          <w:color w:val="auto"/>
        </w:rPr>
        <w:t>a</w:t>
      </w:r>
      <w:r w:rsidR="00252CC4">
        <w:rPr>
          <w:color w:val="auto"/>
        </w:rPr>
        <w:t>]</w:t>
      </w:r>
      <w:r w:rsidR="00F646DA">
        <w:rPr>
          <w:color w:val="auto"/>
        </w:rPr>
        <w:t>)</w:t>
      </w:r>
    </w:p>
    <w:p w14:paraId="1C630FA6" w14:textId="3A7CB5BE" w:rsidR="00F646DA" w:rsidRDefault="002300C0" w:rsidP="003B784E">
      <w:pPr>
        <w:spacing w:before="240" w:after="240"/>
        <w:rPr>
          <w:color w:val="auto"/>
        </w:rPr>
      </w:pPr>
      <w:r w:rsidRPr="005E7240">
        <w:rPr>
          <w:color w:val="auto"/>
        </w:rPr>
        <w:t>The Secretary and the Comptroller General of the United States, or any of their duly authorized representatives, shall have access, for the purpose of audit examination, to any records maintained by a recipient that may be related, or pertinent to, grants, subgrants, cooperative agreements, loans, or other arrangements to which reference is made in subsection (a) of this section, or which may relate to the compliance of the recipient with any requir</w:t>
      </w:r>
      <w:r w:rsidR="00C846ED">
        <w:rPr>
          <w:color w:val="auto"/>
        </w:rPr>
        <w:t>ement of an applicable program.</w:t>
      </w:r>
      <w:r w:rsidR="00EB4F3F">
        <w:rPr>
          <w:color w:val="auto"/>
        </w:rPr>
        <w:t xml:space="preserve"> (Title 20</w:t>
      </w:r>
      <w:r w:rsidR="000306A0">
        <w:rPr>
          <w:color w:val="auto"/>
        </w:rPr>
        <w:t>,</w:t>
      </w:r>
      <w:r w:rsidR="00EB4F3F">
        <w:rPr>
          <w:color w:val="auto"/>
        </w:rPr>
        <w:t xml:space="preserve"> USC, Chapter 31, Subchapter III, </w:t>
      </w:r>
      <w:r w:rsidR="008030FC">
        <w:rPr>
          <w:color w:val="auto"/>
        </w:rPr>
        <w:t>S</w:t>
      </w:r>
      <w:r w:rsidR="00EB4F3F">
        <w:rPr>
          <w:color w:val="auto"/>
        </w:rPr>
        <w:t>ection 1232f</w:t>
      </w:r>
      <w:r w:rsidR="00252CC4">
        <w:rPr>
          <w:color w:val="auto"/>
        </w:rPr>
        <w:t>[</w:t>
      </w:r>
      <w:r w:rsidR="00EB4F3F">
        <w:rPr>
          <w:color w:val="auto"/>
        </w:rPr>
        <w:t>b</w:t>
      </w:r>
      <w:r w:rsidR="00252CC4">
        <w:rPr>
          <w:color w:val="auto"/>
        </w:rPr>
        <w:t>]</w:t>
      </w:r>
      <w:r w:rsidR="00EB4F3F">
        <w:rPr>
          <w:color w:val="auto"/>
        </w:rPr>
        <w:t>)</w:t>
      </w:r>
    </w:p>
    <w:p w14:paraId="1F5C10C0" w14:textId="7CAD0F29" w:rsidR="00F646DA" w:rsidRPr="005E7240" w:rsidRDefault="00F646DA" w:rsidP="002300C0">
      <w:pPr>
        <w:rPr>
          <w:color w:val="auto"/>
        </w:rPr>
      </w:pPr>
      <w:r>
        <w:rPr>
          <w:color w:val="auto"/>
        </w:rPr>
        <w:t xml:space="preserve">Additional information is available on the Office of the Law Revision Counsel USC web page at </w:t>
      </w:r>
      <w:hyperlink r:id="rId8" w:tooltip="U.S. Code Title 20 Section 1232 web page" w:history="1">
        <w:r w:rsidR="00BD04A1">
          <w:rPr>
            <w:rStyle w:val="Hyperlink"/>
          </w:rPr>
          <w:t>https://uscode.house.gov/view.xhtml?req=granuleid:USC-prelim-title20-section1232f&amp;num=0&amp;edition=prelim</w:t>
        </w:r>
      </w:hyperlink>
      <w:r w:rsidRPr="003872E4">
        <w:rPr>
          <w:rStyle w:val="Hyperlink"/>
          <w:color w:val="auto"/>
          <w:u w:val="none"/>
        </w:rPr>
        <w:t>.</w:t>
      </w:r>
    </w:p>
    <w:p w14:paraId="2CC55DC3" w14:textId="02C5A276" w:rsidR="00535078" w:rsidRPr="001A608A" w:rsidRDefault="00180466" w:rsidP="00322F91">
      <w:pPr>
        <w:pStyle w:val="Heading2"/>
        <w:rPr>
          <w:color w:val="auto"/>
          <w:sz w:val="32"/>
          <w:szCs w:val="32"/>
        </w:rPr>
      </w:pPr>
      <w:r w:rsidRPr="005E7240">
        <w:br w:type="page"/>
      </w:r>
      <w:bookmarkStart w:id="25" w:name="_Toc513565259"/>
      <w:bookmarkStart w:id="26" w:name="_Toc225766220"/>
      <w:bookmarkStart w:id="27" w:name="_Hlk68620510"/>
      <w:r w:rsidR="0018100D" w:rsidRPr="001A608A">
        <w:rPr>
          <w:color w:val="auto"/>
          <w:sz w:val="32"/>
          <w:szCs w:val="32"/>
        </w:rPr>
        <w:lastRenderedPageBreak/>
        <w:t>20</w:t>
      </w:r>
      <w:r w:rsidR="00C917E6">
        <w:rPr>
          <w:color w:val="auto"/>
          <w:sz w:val="32"/>
          <w:szCs w:val="32"/>
        </w:rPr>
        <w:t>2</w:t>
      </w:r>
      <w:r w:rsidR="00750B7C">
        <w:rPr>
          <w:color w:val="auto"/>
          <w:sz w:val="32"/>
          <w:szCs w:val="32"/>
        </w:rPr>
        <w:t>4</w:t>
      </w:r>
      <w:r w:rsidR="00EB4F3F" w:rsidRPr="001A608A">
        <w:rPr>
          <w:color w:val="auto"/>
          <w:sz w:val="32"/>
          <w:szCs w:val="32"/>
        </w:rPr>
        <w:t>–</w:t>
      </w:r>
      <w:r w:rsidR="00F03406">
        <w:rPr>
          <w:color w:val="auto"/>
          <w:sz w:val="32"/>
          <w:szCs w:val="32"/>
        </w:rPr>
        <w:t>2</w:t>
      </w:r>
      <w:r w:rsidR="00750B7C">
        <w:rPr>
          <w:color w:val="auto"/>
          <w:sz w:val="32"/>
          <w:szCs w:val="32"/>
        </w:rPr>
        <w:t>5</w:t>
      </w:r>
      <w:r w:rsidR="0018100D" w:rsidRPr="001A608A">
        <w:rPr>
          <w:color w:val="auto"/>
          <w:sz w:val="32"/>
          <w:szCs w:val="32"/>
        </w:rPr>
        <w:t xml:space="preserve"> </w:t>
      </w:r>
      <w:r w:rsidR="00987CB2" w:rsidRPr="001A608A">
        <w:rPr>
          <w:color w:val="auto"/>
          <w:sz w:val="32"/>
          <w:szCs w:val="32"/>
        </w:rPr>
        <w:t>Title III</w:t>
      </w:r>
      <w:r w:rsidR="00535078" w:rsidRPr="001A608A">
        <w:rPr>
          <w:color w:val="auto"/>
          <w:sz w:val="32"/>
          <w:szCs w:val="32"/>
        </w:rPr>
        <w:t xml:space="preserve"> Immigrant Program</w:t>
      </w:r>
      <w:bookmarkEnd w:id="25"/>
      <w:bookmarkEnd w:id="26"/>
    </w:p>
    <w:p w14:paraId="6999377E" w14:textId="5251AD02" w:rsidR="00604253" w:rsidRDefault="00A332E2" w:rsidP="007F6E07">
      <w:pPr>
        <w:pStyle w:val="Heading3"/>
      </w:pPr>
      <w:bookmarkStart w:id="28" w:name="_Toc513565260"/>
      <w:r>
        <w:t>Subg</w:t>
      </w:r>
      <w:r w:rsidR="00FC5AE5" w:rsidRPr="004B2B63">
        <w:t>rant Period</w:t>
      </w:r>
      <w:bookmarkEnd w:id="28"/>
    </w:p>
    <w:p w14:paraId="2A93A52A" w14:textId="75B9B817" w:rsidR="004929BB" w:rsidRDefault="004929BB" w:rsidP="00C846ED">
      <w:pPr>
        <w:spacing w:before="240" w:after="240"/>
        <w:rPr>
          <w:color w:val="auto"/>
        </w:rPr>
      </w:pPr>
      <w:r w:rsidRPr="008C5B3C">
        <w:rPr>
          <w:color w:val="auto"/>
        </w:rPr>
        <w:t>The funding period for fiscal year (FY) 20</w:t>
      </w:r>
      <w:r w:rsidR="00C917E6">
        <w:rPr>
          <w:color w:val="auto"/>
        </w:rPr>
        <w:t>2</w:t>
      </w:r>
      <w:r w:rsidR="00750B7C">
        <w:rPr>
          <w:color w:val="auto"/>
        </w:rPr>
        <w:t>4</w:t>
      </w:r>
      <w:r w:rsidRPr="008C5B3C">
        <w:rPr>
          <w:color w:val="auto"/>
        </w:rPr>
        <w:t>–</w:t>
      </w:r>
      <w:r w:rsidR="001056AD">
        <w:rPr>
          <w:color w:val="auto"/>
        </w:rPr>
        <w:t>2</w:t>
      </w:r>
      <w:r w:rsidR="00750B7C">
        <w:rPr>
          <w:color w:val="auto"/>
        </w:rPr>
        <w:t>5</w:t>
      </w:r>
      <w:r w:rsidRPr="008C5B3C">
        <w:rPr>
          <w:color w:val="auto"/>
        </w:rPr>
        <w:t xml:space="preserve"> </w:t>
      </w:r>
      <w:r>
        <w:rPr>
          <w:color w:val="auto"/>
        </w:rPr>
        <w:t xml:space="preserve">Title III </w:t>
      </w:r>
      <w:r w:rsidRPr="008C5B3C">
        <w:rPr>
          <w:color w:val="auto"/>
        </w:rPr>
        <w:t>subgrants</w:t>
      </w:r>
      <w:r w:rsidR="00223B30">
        <w:rPr>
          <w:color w:val="auto"/>
        </w:rPr>
        <w:t xml:space="preserve"> </w:t>
      </w:r>
      <w:r w:rsidR="00337ECA">
        <w:rPr>
          <w:color w:val="auto"/>
        </w:rPr>
        <w:t>r</w:t>
      </w:r>
      <w:r w:rsidR="003E2B13">
        <w:rPr>
          <w:color w:val="auto"/>
        </w:rPr>
        <w:t xml:space="preserve">uns </w:t>
      </w:r>
      <w:r w:rsidRPr="008C5B3C">
        <w:rPr>
          <w:color w:val="auto"/>
        </w:rPr>
        <w:t>from July</w:t>
      </w:r>
      <w:r>
        <w:rPr>
          <w:color w:val="auto"/>
        </w:rPr>
        <w:t xml:space="preserve"> 1, 20</w:t>
      </w:r>
      <w:r w:rsidR="00C917E6">
        <w:rPr>
          <w:color w:val="auto"/>
        </w:rPr>
        <w:t>2</w:t>
      </w:r>
      <w:r w:rsidR="00750B7C">
        <w:rPr>
          <w:color w:val="auto"/>
        </w:rPr>
        <w:t>4</w:t>
      </w:r>
      <w:r>
        <w:rPr>
          <w:color w:val="auto"/>
        </w:rPr>
        <w:t xml:space="preserve"> to September 30, 20</w:t>
      </w:r>
      <w:r w:rsidR="00DD5DA2">
        <w:rPr>
          <w:color w:val="auto"/>
        </w:rPr>
        <w:t>2</w:t>
      </w:r>
      <w:r w:rsidR="00750B7C">
        <w:rPr>
          <w:color w:val="auto"/>
        </w:rPr>
        <w:t>6</w:t>
      </w:r>
      <w:r>
        <w:rPr>
          <w:color w:val="auto"/>
        </w:rPr>
        <w:t>.</w:t>
      </w:r>
    </w:p>
    <w:p w14:paraId="13EDEC84" w14:textId="320B8411" w:rsidR="004929BB" w:rsidRPr="005E7240" w:rsidRDefault="004929BB" w:rsidP="007F6E07">
      <w:pPr>
        <w:pStyle w:val="Heading3"/>
        <w:rPr>
          <w:color w:val="auto"/>
        </w:rPr>
      </w:pPr>
      <w:r>
        <w:t>Obligations</w:t>
      </w:r>
    </w:p>
    <w:p w14:paraId="538B2EAD" w14:textId="59B1C695" w:rsidR="005166B1" w:rsidRPr="005166B1" w:rsidRDefault="005166B1" w:rsidP="00155B28">
      <w:pPr>
        <w:rPr>
          <w:b/>
        </w:rPr>
      </w:pPr>
      <w:r w:rsidRPr="005166B1">
        <w:t xml:space="preserve">The </w:t>
      </w:r>
      <w:r w:rsidRPr="008A6553">
        <w:t>Elementary and Secondary Education Act (ESEA), Section 3115(e)</w:t>
      </w:r>
      <w:r>
        <w:t xml:space="preserve"> </w:t>
      </w:r>
      <w:r w:rsidRPr="008A6553">
        <w:t>defines allowable expenditures for Title III Immigrant subgrant funds.</w:t>
      </w:r>
    </w:p>
    <w:p w14:paraId="1D752B6B" w14:textId="05FE6647" w:rsidR="00F52342" w:rsidRDefault="00535078" w:rsidP="00C47A28">
      <w:pPr>
        <w:spacing w:before="240" w:after="240"/>
        <w:rPr>
          <w:iCs/>
          <w:color w:val="auto"/>
        </w:rPr>
      </w:pPr>
      <w:r w:rsidRPr="005E7240">
        <w:rPr>
          <w:color w:val="auto"/>
        </w:rPr>
        <w:t>All obligations must be liquidated no later</w:t>
      </w:r>
      <w:r w:rsidRPr="005E7240">
        <w:rPr>
          <w:iCs/>
          <w:color w:val="auto"/>
        </w:rPr>
        <w:t xml:space="preserve"> </w:t>
      </w:r>
      <w:r w:rsidRPr="005E7240">
        <w:rPr>
          <w:color w:val="auto"/>
        </w:rPr>
        <w:t xml:space="preserve">than 90 </w:t>
      </w:r>
      <w:r w:rsidR="009B7F23">
        <w:rPr>
          <w:color w:val="auto"/>
        </w:rPr>
        <w:t xml:space="preserve">calendar </w:t>
      </w:r>
      <w:r w:rsidRPr="005E7240">
        <w:rPr>
          <w:color w:val="auto"/>
        </w:rPr>
        <w:t>days after the funding period end</w:t>
      </w:r>
      <w:r w:rsidR="004929BB">
        <w:rPr>
          <w:color w:val="auto"/>
        </w:rPr>
        <w:t xml:space="preserve"> date</w:t>
      </w:r>
      <w:r w:rsidRPr="005E7240">
        <w:rPr>
          <w:color w:val="auto"/>
        </w:rPr>
        <w:t xml:space="preserve">. For the FY </w:t>
      </w:r>
      <w:r w:rsidR="00CA03C7" w:rsidRPr="005E7240">
        <w:rPr>
          <w:color w:val="auto"/>
        </w:rPr>
        <w:t>20</w:t>
      </w:r>
      <w:r w:rsidR="00C917E6">
        <w:rPr>
          <w:color w:val="auto"/>
        </w:rPr>
        <w:t>2</w:t>
      </w:r>
      <w:r w:rsidR="00750B7C">
        <w:rPr>
          <w:color w:val="auto"/>
        </w:rPr>
        <w:t>4</w:t>
      </w:r>
      <w:r w:rsidR="004929BB">
        <w:rPr>
          <w:color w:val="auto"/>
        </w:rPr>
        <w:t>–</w:t>
      </w:r>
      <w:r w:rsidR="003E2B13">
        <w:rPr>
          <w:color w:val="auto"/>
        </w:rPr>
        <w:t>2</w:t>
      </w:r>
      <w:r w:rsidR="00750B7C">
        <w:rPr>
          <w:color w:val="auto"/>
        </w:rPr>
        <w:t>5</w:t>
      </w:r>
      <w:r w:rsidRPr="005E7240">
        <w:rPr>
          <w:color w:val="auto"/>
        </w:rPr>
        <w:t xml:space="preserve"> subgrant</w:t>
      </w:r>
      <w:r w:rsidR="004929BB">
        <w:rPr>
          <w:color w:val="auto"/>
        </w:rPr>
        <w:t>s</w:t>
      </w:r>
      <w:r w:rsidRPr="005E7240">
        <w:rPr>
          <w:color w:val="auto"/>
        </w:rPr>
        <w:t>, all obligations need to be liquidated by December 30, 20</w:t>
      </w:r>
      <w:r w:rsidR="00DD5DA2">
        <w:rPr>
          <w:color w:val="auto"/>
        </w:rPr>
        <w:t>2</w:t>
      </w:r>
      <w:r w:rsidR="00750B7C">
        <w:rPr>
          <w:color w:val="auto"/>
        </w:rPr>
        <w:t>6</w:t>
      </w:r>
      <w:r w:rsidRPr="005E7240">
        <w:rPr>
          <w:color w:val="auto"/>
        </w:rPr>
        <w:t xml:space="preserve">. </w:t>
      </w:r>
      <w:r w:rsidR="0031618A">
        <w:rPr>
          <w:color w:val="auto"/>
        </w:rPr>
        <w:t>Any local educational agency (LEA) reporting unexpended funds after this date will be invoiced by the California Department of Education</w:t>
      </w:r>
      <w:r w:rsidR="003B784E">
        <w:rPr>
          <w:color w:val="auto"/>
        </w:rPr>
        <w:t xml:space="preserve"> (CDE)</w:t>
      </w:r>
      <w:r w:rsidR="0031618A">
        <w:rPr>
          <w:color w:val="auto"/>
        </w:rPr>
        <w:t xml:space="preserve">. </w:t>
      </w:r>
      <w:r w:rsidRPr="005E7240">
        <w:rPr>
          <w:iCs/>
          <w:color w:val="auto"/>
        </w:rPr>
        <w:t>According to the California State Accounting Manual, “Legal obligations are commitments made by an LEA to purchase goods or services immediately or in a future period.” To determine whether a financial commitment should be reported as an obligation, please refer to</w:t>
      </w:r>
      <w:r w:rsidRPr="005E7240">
        <w:rPr>
          <w:bCs/>
          <w:lang w:val="en"/>
        </w:rPr>
        <w:t xml:space="preserve"> </w:t>
      </w:r>
      <w:r w:rsidR="000503CF">
        <w:rPr>
          <w:bCs/>
          <w:lang w:val="en"/>
        </w:rPr>
        <w:t>the Code of Federal Regula</w:t>
      </w:r>
      <w:r w:rsidR="00F52342">
        <w:rPr>
          <w:bCs/>
          <w:lang w:val="en"/>
        </w:rPr>
        <w:t>tions (</w:t>
      </w:r>
      <w:r w:rsidR="00943250">
        <w:rPr>
          <w:bCs/>
          <w:lang w:val="en"/>
        </w:rPr>
        <w:t>CFR</w:t>
      </w:r>
      <w:r w:rsidR="00F52342">
        <w:rPr>
          <w:bCs/>
          <w:lang w:val="en"/>
        </w:rPr>
        <w:t xml:space="preserve">) </w:t>
      </w:r>
      <w:r w:rsidR="00CA638A" w:rsidRPr="005E7240">
        <w:rPr>
          <w:iCs/>
          <w:color w:val="auto"/>
        </w:rPr>
        <w:t>T</w:t>
      </w:r>
      <w:r w:rsidRPr="005E7240">
        <w:rPr>
          <w:iCs/>
          <w:color w:val="auto"/>
        </w:rPr>
        <w:t xml:space="preserve">itle 2, </w:t>
      </w:r>
      <w:r w:rsidR="008030FC">
        <w:rPr>
          <w:iCs/>
          <w:color w:val="auto"/>
        </w:rPr>
        <w:t>S</w:t>
      </w:r>
      <w:r w:rsidR="00F52342">
        <w:rPr>
          <w:iCs/>
          <w:color w:val="auto"/>
        </w:rPr>
        <w:t xml:space="preserve">ection </w:t>
      </w:r>
      <w:r w:rsidRPr="005E7240">
        <w:rPr>
          <w:iCs/>
          <w:color w:val="auto"/>
        </w:rPr>
        <w:t xml:space="preserve">200.34 </w:t>
      </w:r>
      <w:r w:rsidRPr="00CC7CA8">
        <w:rPr>
          <w:iCs/>
          <w:color w:val="auto"/>
        </w:rPr>
        <w:t>o</w:t>
      </w:r>
      <w:r w:rsidR="00CC7CA8">
        <w:rPr>
          <w:iCs/>
          <w:color w:val="auto"/>
        </w:rPr>
        <w:t>n</w:t>
      </w:r>
      <w:r w:rsidRPr="00CC7CA8">
        <w:rPr>
          <w:iCs/>
          <w:color w:val="auto"/>
        </w:rPr>
        <w:t xml:space="preserve"> the</w:t>
      </w:r>
      <w:r w:rsidR="00A74E66" w:rsidRPr="00CC7CA8">
        <w:rPr>
          <w:iCs/>
          <w:color w:val="auto"/>
        </w:rPr>
        <w:t xml:space="preserve"> </w:t>
      </w:r>
      <w:r w:rsidR="006D35BF" w:rsidRPr="00CC7CA8">
        <w:rPr>
          <w:iCs/>
          <w:color w:val="auto"/>
        </w:rPr>
        <w:t>Electronic CFR</w:t>
      </w:r>
      <w:r w:rsidRPr="00CC7CA8">
        <w:rPr>
          <w:iCs/>
          <w:color w:val="auto"/>
        </w:rPr>
        <w:t xml:space="preserve"> </w:t>
      </w:r>
      <w:r w:rsidR="00CC7CA8">
        <w:rPr>
          <w:iCs/>
          <w:color w:val="auto"/>
        </w:rPr>
        <w:t>w</w:t>
      </w:r>
      <w:r w:rsidRPr="00CC7CA8">
        <w:rPr>
          <w:iCs/>
          <w:color w:val="auto"/>
        </w:rPr>
        <w:t xml:space="preserve">eb </w:t>
      </w:r>
      <w:r w:rsidR="00E957FD">
        <w:rPr>
          <w:iCs/>
          <w:color w:val="auto"/>
        </w:rPr>
        <w:t>p</w:t>
      </w:r>
      <w:r w:rsidRPr="00CC7CA8">
        <w:rPr>
          <w:iCs/>
          <w:color w:val="auto"/>
        </w:rPr>
        <w:t xml:space="preserve">age at </w:t>
      </w:r>
      <w:hyperlink r:id="rId9" w:tooltip="Electronic Code of Federal Regulations web page" w:history="1">
        <w:r w:rsidR="00870901">
          <w:rPr>
            <w:rStyle w:val="Hyperlink"/>
          </w:rPr>
          <w:t>https://www.ecfr.gov/current/title-2/subtitle-A/chapter-II/part-200</w:t>
        </w:r>
      </w:hyperlink>
      <w:r w:rsidRPr="00CC7CA8">
        <w:rPr>
          <w:iCs/>
          <w:color w:val="auto"/>
        </w:rPr>
        <w:t>.</w:t>
      </w:r>
    </w:p>
    <w:p w14:paraId="2CF33285" w14:textId="220F6DA7" w:rsidR="00F52342" w:rsidRDefault="00F52342" w:rsidP="007F6E07">
      <w:pPr>
        <w:pStyle w:val="Heading3"/>
      </w:pPr>
      <w:r>
        <w:t>Direct Administrative Costs</w:t>
      </w:r>
    </w:p>
    <w:p w14:paraId="74E8CD0D" w14:textId="77EBA85A" w:rsidR="00F52342" w:rsidRDefault="00F52342" w:rsidP="000146AF">
      <w:pPr>
        <w:spacing w:before="240" w:after="240"/>
        <w:rPr>
          <w:iCs/>
          <w:color w:val="auto"/>
          <w:u w:val="single"/>
          <w:lang w:val="en"/>
        </w:rPr>
      </w:pPr>
      <w:r w:rsidRPr="0063237F">
        <w:rPr>
          <w:iCs/>
          <w:color w:val="auto"/>
          <w:lang w:val="en"/>
        </w:rPr>
        <w:t xml:space="preserve">Recommended direct administration expenses for a fiscal year may not exceed </w:t>
      </w:r>
      <w:r w:rsidR="001F5293">
        <w:rPr>
          <w:iCs/>
          <w:color w:val="auto"/>
          <w:lang w:val="en"/>
        </w:rPr>
        <w:t>2</w:t>
      </w:r>
      <w:r w:rsidRPr="0063237F">
        <w:rPr>
          <w:iCs/>
          <w:color w:val="auto"/>
          <w:lang w:val="en"/>
        </w:rPr>
        <w:t xml:space="preserve"> percent of such funds for the cost of administering the program.</w:t>
      </w:r>
    </w:p>
    <w:p w14:paraId="4F6C9D00" w14:textId="14CFEBD5" w:rsidR="00F52342" w:rsidRDefault="00F52342" w:rsidP="007F6E07">
      <w:pPr>
        <w:pStyle w:val="Heading3"/>
        <w:rPr>
          <w:lang w:val="en"/>
        </w:rPr>
      </w:pPr>
      <w:r>
        <w:rPr>
          <w:lang w:val="en"/>
        </w:rPr>
        <w:t>Indirect Costs</w:t>
      </w:r>
    </w:p>
    <w:p w14:paraId="3FD730D1" w14:textId="7B8CEECD" w:rsidR="00F52342" w:rsidRDefault="00F52342" w:rsidP="00F52342">
      <w:pPr>
        <w:spacing w:before="240" w:after="240"/>
        <w:rPr>
          <w:color w:val="auto"/>
        </w:rPr>
      </w:pPr>
      <w:r w:rsidRPr="0063237F">
        <w:rPr>
          <w:iCs/>
          <w:color w:val="auto"/>
          <w:lang w:val="en"/>
        </w:rPr>
        <w:t xml:space="preserve">LEAs are authorized to assess approved indirect costs to the portion of the subgrants that is not reserved for direct administrative costs. A list of LEAs’ approved indirect cost rates is available on the CDE Indirect Cost Rates web page at </w:t>
      </w:r>
      <w:hyperlink r:id="rId10" w:tooltip="Indirect Cost Rates web page" w:history="1">
        <w:r w:rsidRPr="0063237F">
          <w:rPr>
            <w:rStyle w:val="Hyperlink"/>
            <w:iCs/>
            <w:lang w:val="en"/>
          </w:rPr>
          <w:t>https://www.cde.ca.gov/fg/ac/ic/</w:t>
        </w:r>
      </w:hyperlink>
      <w:r w:rsidRPr="0063237F">
        <w:rPr>
          <w:iCs/>
          <w:color w:val="auto"/>
          <w:lang w:val="en"/>
        </w:rPr>
        <w:t>.</w:t>
      </w:r>
    </w:p>
    <w:p w14:paraId="4C15F581" w14:textId="44DE3A0F" w:rsidR="00F52342" w:rsidRPr="001B5F8A" w:rsidRDefault="00CC7CA8" w:rsidP="000146AF">
      <w:pPr>
        <w:spacing w:before="240" w:after="240"/>
        <w:rPr>
          <w:lang w:val="en"/>
        </w:rPr>
      </w:pPr>
      <w:r>
        <w:rPr>
          <w:color w:val="auto"/>
        </w:rPr>
        <w:t>For additional information</w:t>
      </w:r>
      <w:r w:rsidR="00F52342" w:rsidRPr="00EF1473">
        <w:rPr>
          <w:color w:val="auto"/>
        </w:rPr>
        <w:t xml:space="preserve"> </w:t>
      </w:r>
      <w:r w:rsidR="001C5878">
        <w:rPr>
          <w:color w:val="auto"/>
        </w:rPr>
        <w:t>regarding</w:t>
      </w:r>
      <w:r w:rsidR="001C5878" w:rsidRPr="00EF1473">
        <w:rPr>
          <w:color w:val="auto"/>
        </w:rPr>
        <w:t xml:space="preserve"> classification of direct versus indirect costs</w:t>
      </w:r>
      <w:r w:rsidR="001C5878">
        <w:rPr>
          <w:color w:val="auto"/>
        </w:rPr>
        <w:t xml:space="preserve"> </w:t>
      </w:r>
      <w:r>
        <w:rPr>
          <w:color w:val="auto"/>
        </w:rPr>
        <w:t>refer to the</w:t>
      </w:r>
      <w:r w:rsidR="00F52342" w:rsidRPr="00EF1473">
        <w:rPr>
          <w:color w:val="auto"/>
        </w:rPr>
        <w:t xml:space="preserve"> CFR</w:t>
      </w:r>
      <w:r w:rsidR="001C5878">
        <w:rPr>
          <w:color w:val="auto"/>
        </w:rPr>
        <w:t xml:space="preserve"> Title </w:t>
      </w:r>
      <w:r w:rsidR="00D93570">
        <w:rPr>
          <w:color w:val="auto"/>
        </w:rPr>
        <w:t xml:space="preserve">2, sections 200.412-200.417 on the U.S. </w:t>
      </w:r>
      <w:r w:rsidR="00D93570" w:rsidRPr="00CC7CA8">
        <w:rPr>
          <w:iCs/>
          <w:color w:val="auto"/>
        </w:rPr>
        <w:t>Government Publishing Office’s Electronic CF</w:t>
      </w:r>
      <w:r w:rsidR="00D93570">
        <w:rPr>
          <w:iCs/>
          <w:color w:val="auto"/>
        </w:rPr>
        <w:t>R</w:t>
      </w:r>
      <w:r w:rsidR="00D93570" w:rsidRPr="00CC7CA8">
        <w:rPr>
          <w:iCs/>
          <w:color w:val="auto"/>
        </w:rPr>
        <w:t xml:space="preserve"> </w:t>
      </w:r>
      <w:r w:rsidR="00D93570">
        <w:rPr>
          <w:iCs/>
          <w:color w:val="auto"/>
        </w:rPr>
        <w:t>w</w:t>
      </w:r>
      <w:r w:rsidR="00DC7882">
        <w:rPr>
          <w:iCs/>
          <w:color w:val="auto"/>
        </w:rPr>
        <w:t>eb p</w:t>
      </w:r>
      <w:r w:rsidR="00D93570" w:rsidRPr="00CC7CA8">
        <w:rPr>
          <w:iCs/>
          <w:color w:val="auto"/>
        </w:rPr>
        <w:t xml:space="preserve">age at </w:t>
      </w:r>
      <w:hyperlink r:id="rId11" w:tooltip="Electronic Code of Federal Regulations web page" w:history="1">
        <w:r w:rsidR="00D81058" w:rsidRPr="00F1281D">
          <w:rPr>
            <w:rStyle w:val="Hyperlink"/>
          </w:rPr>
          <w:t>https://www.ecfr.gov/current/title-2/subtitle-A/chapter-II/part-200?toc=1</w:t>
        </w:r>
      </w:hyperlink>
      <w:r>
        <w:rPr>
          <w:color w:val="auto"/>
        </w:rPr>
        <w:t xml:space="preserve"> </w:t>
      </w:r>
      <w:r w:rsidR="001F5293" w:rsidRPr="00D93570">
        <w:rPr>
          <w:rStyle w:val="Hyperlink"/>
          <w:iCs/>
          <w:color w:val="auto"/>
          <w:u w:val="none"/>
        </w:rPr>
        <w:t>and</w:t>
      </w:r>
      <w:r w:rsidR="00F52342" w:rsidRPr="00EF1473">
        <w:rPr>
          <w:color w:val="auto"/>
        </w:rPr>
        <w:t xml:space="preserve"> the CDE </w:t>
      </w:r>
      <w:r w:rsidR="001F5293">
        <w:rPr>
          <w:color w:val="auto"/>
        </w:rPr>
        <w:t xml:space="preserve">Title III </w:t>
      </w:r>
      <w:r w:rsidR="00F52342" w:rsidRPr="00EF1473">
        <w:rPr>
          <w:color w:val="auto"/>
        </w:rPr>
        <w:t xml:space="preserve">Authorized Costs web page at </w:t>
      </w:r>
      <w:hyperlink r:id="rId12" w:tooltip="Title 3 Authorized Costs web page" w:history="1">
        <w:r w:rsidR="00857A76" w:rsidRPr="00857A76">
          <w:rPr>
            <w:rStyle w:val="Hyperlink"/>
          </w:rPr>
          <w:t>https://www.cde.ca.gov/sp/ml/t3authorizedcosts.asp</w:t>
        </w:r>
      </w:hyperlink>
      <w:r w:rsidR="00F52342" w:rsidRPr="00EF1473">
        <w:rPr>
          <w:color w:val="auto"/>
        </w:rPr>
        <w:t>.</w:t>
      </w:r>
    </w:p>
    <w:p w14:paraId="034F3563" w14:textId="10BFBE28" w:rsidR="00604253" w:rsidRDefault="00604253" w:rsidP="007F6E07">
      <w:pPr>
        <w:pStyle w:val="Heading3"/>
      </w:pPr>
      <w:bookmarkStart w:id="29" w:name="_Toc513565263"/>
      <w:r w:rsidRPr="004B2B63">
        <w:t>Supplement, Not Supplant</w:t>
      </w:r>
      <w:bookmarkEnd w:id="29"/>
    </w:p>
    <w:p w14:paraId="0B686211" w14:textId="4106AC90" w:rsidR="005166B1" w:rsidRDefault="00535078" w:rsidP="00C61A8D">
      <w:pPr>
        <w:spacing w:before="240" w:after="240"/>
        <w:rPr>
          <w:b/>
          <w:bCs/>
          <w:color w:val="auto"/>
          <w:sz w:val="32"/>
          <w:szCs w:val="32"/>
        </w:rPr>
      </w:pPr>
      <w:r w:rsidRPr="007231EC">
        <w:t xml:space="preserve">Federal funds made available under </w:t>
      </w:r>
      <w:r w:rsidR="000503CF">
        <w:t>Title III subgrants</w:t>
      </w:r>
      <w:r w:rsidRPr="007231EC">
        <w:t xml:space="preserve"> shall be used </w:t>
      </w:r>
      <w:r w:rsidR="00AC5F2A" w:rsidRPr="007231EC">
        <w:t>to supplement the level of f</w:t>
      </w:r>
      <w:r w:rsidRPr="007231EC">
        <w:t xml:space="preserve">ederal, </w:t>
      </w:r>
      <w:r w:rsidR="00AC5F2A" w:rsidRPr="007231EC">
        <w:t>s</w:t>
      </w:r>
      <w:r w:rsidRPr="007231EC">
        <w:t xml:space="preserve">tate, and local public funds that, in the absence of such availability, would have been expended for programs for English </w:t>
      </w:r>
      <w:r w:rsidR="006B022B" w:rsidRPr="007231EC">
        <w:t>learners</w:t>
      </w:r>
      <w:r w:rsidRPr="007231EC">
        <w:t xml:space="preserve"> and immigrant children </w:t>
      </w:r>
      <w:r w:rsidRPr="007231EC">
        <w:lastRenderedPageBreak/>
        <w:t>and youth a</w:t>
      </w:r>
      <w:r w:rsidR="00AC5F2A" w:rsidRPr="007231EC">
        <w:t>nd in no case to supplant such federal, s</w:t>
      </w:r>
      <w:r w:rsidRPr="007231EC">
        <w:t>tate, and local public funds.</w:t>
      </w:r>
      <w:r w:rsidR="005166B1">
        <w:t xml:space="preserve"> (ESEA </w:t>
      </w:r>
      <w:r w:rsidR="005166B1" w:rsidRPr="00186DD8">
        <w:t>Title III, Section 3115 [b])</w:t>
      </w:r>
      <w:bookmarkStart w:id="30" w:name="_Toc513565264"/>
      <w:r w:rsidR="005166B1">
        <w:rPr>
          <w:color w:val="auto"/>
          <w:sz w:val="32"/>
          <w:szCs w:val="32"/>
        </w:rPr>
        <w:br w:type="page"/>
      </w:r>
    </w:p>
    <w:p w14:paraId="4734C641" w14:textId="67F3AF5E" w:rsidR="00535078" w:rsidRPr="001A608A" w:rsidRDefault="0018100D" w:rsidP="007231EC">
      <w:pPr>
        <w:pStyle w:val="Heading2"/>
        <w:rPr>
          <w:sz w:val="32"/>
          <w:szCs w:val="32"/>
        </w:rPr>
      </w:pPr>
      <w:bookmarkStart w:id="31" w:name="_Toc225766221"/>
      <w:r w:rsidRPr="001A608A">
        <w:rPr>
          <w:color w:val="auto"/>
          <w:sz w:val="32"/>
          <w:szCs w:val="32"/>
        </w:rPr>
        <w:lastRenderedPageBreak/>
        <w:t>20</w:t>
      </w:r>
      <w:r w:rsidR="00C917E6">
        <w:rPr>
          <w:color w:val="auto"/>
          <w:sz w:val="32"/>
          <w:szCs w:val="32"/>
        </w:rPr>
        <w:t>2</w:t>
      </w:r>
      <w:r w:rsidR="00750B7C">
        <w:rPr>
          <w:color w:val="auto"/>
          <w:sz w:val="32"/>
          <w:szCs w:val="32"/>
        </w:rPr>
        <w:t>4</w:t>
      </w:r>
      <w:r w:rsidR="003D3978" w:rsidRPr="001A608A">
        <w:rPr>
          <w:color w:val="auto"/>
          <w:sz w:val="32"/>
          <w:szCs w:val="32"/>
        </w:rPr>
        <w:t>–</w:t>
      </w:r>
      <w:r w:rsidR="003E2B13">
        <w:rPr>
          <w:color w:val="auto"/>
          <w:sz w:val="32"/>
          <w:szCs w:val="32"/>
        </w:rPr>
        <w:t>2</w:t>
      </w:r>
      <w:r w:rsidR="00750B7C">
        <w:rPr>
          <w:color w:val="auto"/>
          <w:sz w:val="32"/>
          <w:szCs w:val="32"/>
        </w:rPr>
        <w:t>5</w:t>
      </w:r>
      <w:r w:rsidRPr="001A608A">
        <w:rPr>
          <w:color w:val="auto"/>
          <w:sz w:val="32"/>
          <w:szCs w:val="32"/>
        </w:rPr>
        <w:t xml:space="preserve"> </w:t>
      </w:r>
      <w:r w:rsidR="00535078" w:rsidRPr="001A608A">
        <w:rPr>
          <w:color w:val="auto"/>
          <w:sz w:val="32"/>
          <w:szCs w:val="32"/>
        </w:rPr>
        <w:t>Title III E</w:t>
      </w:r>
      <w:r w:rsidR="0085735B" w:rsidRPr="001A608A">
        <w:rPr>
          <w:color w:val="auto"/>
          <w:sz w:val="32"/>
          <w:szCs w:val="32"/>
        </w:rPr>
        <w:t xml:space="preserve">nglish </w:t>
      </w:r>
      <w:r w:rsidR="009D4F06" w:rsidRPr="001A608A">
        <w:rPr>
          <w:color w:val="auto"/>
          <w:sz w:val="32"/>
          <w:szCs w:val="32"/>
        </w:rPr>
        <w:t>Learner</w:t>
      </w:r>
      <w:bookmarkEnd w:id="30"/>
      <w:r w:rsidR="00D7376E">
        <w:rPr>
          <w:color w:val="auto"/>
          <w:sz w:val="32"/>
          <w:szCs w:val="32"/>
        </w:rPr>
        <w:t xml:space="preserve"> Program</w:t>
      </w:r>
      <w:bookmarkEnd w:id="31"/>
    </w:p>
    <w:p w14:paraId="4D2E066A" w14:textId="189E9D0F" w:rsidR="00394BBC" w:rsidRDefault="00A332E2" w:rsidP="007F6E07">
      <w:pPr>
        <w:pStyle w:val="Heading3"/>
      </w:pPr>
      <w:bookmarkStart w:id="32" w:name="_Toc513565265"/>
      <w:r>
        <w:t>Subg</w:t>
      </w:r>
      <w:r w:rsidR="00FC5AE5" w:rsidRPr="00891522">
        <w:t>rant Period</w:t>
      </w:r>
      <w:bookmarkEnd w:id="32"/>
    </w:p>
    <w:p w14:paraId="2FACED57" w14:textId="0CD980FC" w:rsidR="009D2F2E" w:rsidRPr="005E7240" w:rsidRDefault="003D3978" w:rsidP="00322F91">
      <w:pPr>
        <w:spacing w:before="240" w:after="240"/>
        <w:rPr>
          <w:color w:val="auto"/>
        </w:rPr>
      </w:pPr>
      <w:r>
        <w:rPr>
          <w:color w:val="auto"/>
        </w:rPr>
        <w:t xml:space="preserve">The funding </w:t>
      </w:r>
      <w:r w:rsidR="00B64EFC">
        <w:rPr>
          <w:color w:val="auto"/>
        </w:rPr>
        <w:t>period</w:t>
      </w:r>
      <w:r>
        <w:rPr>
          <w:color w:val="auto"/>
        </w:rPr>
        <w:t xml:space="preserve"> for</w:t>
      </w:r>
      <w:r w:rsidR="00A271F9" w:rsidRPr="005E7240">
        <w:rPr>
          <w:color w:val="auto"/>
        </w:rPr>
        <w:t xml:space="preserve"> </w:t>
      </w:r>
      <w:r w:rsidR="006B022B">
        <w:rPr>
          <w:color w:val="auto"/>
        </w:rPr>
        <w:t>fiscal year (</w:t>
      </w:r>
      <w:r w:rsidR="00A271F9" w:rsidRPr="005E7240">
        <w:rPr>
          <w:color w:val="auto"/>
        </w:rPr>
        <w:t>FY</w:t>
      </w:r>
      <w:r w:rsidR="006B022B">
        <w:rPr>
          <w:color w:val="auto"/>
        </w:rPr>
        <w:t>)</w:t>
      </w:r>
      <w:r w:rsidR="00A271F9" w:rsidRPr="005E7240">
        <w:rPr>
          <w:color w:val="auto"/>
        </w:rPr>
        <w:t xml:space="preserve"> </w:t>
      </w:r>
      <w:r w:rsidR="00CA03C7" w:rsidRPr="005E7240">
        <w:rPr>
          <w:color w:val="auto"/>
        </w:rPr>
        <w:t>20</w:t>
      </w:r>
      <w:r w:rsidR="00C917E6">
        <w:rPr>
          <w:color w:val="auto"/>
        </w:rPr>
        <w:t>2</w:t>
      </w:r>
      <w:r w:rsidR="00750B7C">
        <w:rPr>
          <w:color w:val="auto"/>
        </w:rPr>
        <w:t>4</w:t>
      </w:r>
      <w:r>
        <w:rPr>
          <w:color w:val="auto"/>
        </w:rPr>
        <w:t>–</w:t>
      </w:r>
      <w:r w:rsidR="003E2B13">
        <w:rPr>
          <w:color w:val="auto"/>
        </w:rPr>
        <w:t>2</w:t>
      </w:r>
      <w:r w:rsidR="00750B7C">
        <w:rPr>
          <w:color w:val="auto"/>
        </w:rPr>
        <w:t>5</w:t>
      </w:r>
      <w:r w:rsidR="00CA03C7">
        <w:rPr>
          <w:color w:val="auto"/>
        </w:rPr>
        <w:t xml:space="preserve"> </w:t>
      </w:r>
      <w:r>
        <w:rPr>
          <w:color w:val="auto"/>
        </w:rPr>
        <w:t xml:space="preserve">Title III </w:t>
      </w:r>
      <w:r w:rsidR="00A271F9" w:rsidRPr="005E7240">
        <w:rPr>
          <w:color w:val="auto"/>
        </w:rPr>
        <w:t>subgrant</w:t>
      </w:r>
      <w:r>
        <w:rPr>
          <w:color w:val="auto"/>
        </w:rPr>
        <w:t>s</w:t>
      </w:r>
      <w:r w:rsidR="00D7775C">
        <w:rPr>
          <w:color w:val="auto"/>
        </w:rPr>
        <w:t xml:space="preserve"> </w:t>
      </w:r>
      <w:r>
        <w:rPr>
          <w:color w:val="auto"/>
        </w:rPr>
        <w:t>runs from</w:t>
      </w:r>
      <w:r w:rsidR="00A271F9" w:rsidRPr="005E7240">
        <w:rPr>
          <w:color w:val="auto"/>
        </w:rPr>
        <w:t xml:space="preserve"> July 1, 20</w:t>
      </w:r>
      <w:r w:rsidR="00C917E6">
        <w:rPr>
          <w:color w:val="auto"/>
        </w:rPr>
        <w:t>2</w:t>
      </w:r>
      <w:r w:rsidR="00750B7C">
        <w:rPr>
          <w:color w:val="auto"/>
        </w:rPr>
        <w:t>4</w:t>
      </w:r>
      <w:r w:rsidR="00A271F9" w:rsidRPr="005E7240">
        <w:rPr>
          <w:color w:val="auto"/>
        </w:rPr>
        <w:t>, to September 30, 20</w:t>
      </w:r>
      <w:r w:rsidR="009B4BB9">
        <w:rPr>
          <w:color w:val="auto"/>
        </w:rPr>
        <w:t>2</w:t>
      </w:r>
      <w:r w:rsidR="00750B7C">
        <w:rPr>
          <w:color w:val="auto"/>
        </w:rPr>
        <w:t>6</w:t>
      </w:r>
      <w:r w:rsidR="00A271F9" w:rsidRPr="005E7240">
        <w:rPr>
          <w:color w:val="auto"/>
        </w:rPr>
        <w:t>.</w:t>
      </w:r>
    </w:p>
    <w:p w14:paraId="0FBBE34A" w14:textId="07371CAF" w:rsidR="005259FD" w:rsidRDefault="005259FD" w:rsidP="007F6E07">
      <w:pPr>
        <w:pStyle w:val="Heading3"/>
      </w:pPr>
      <w:bookmarkStart w:id="33" w:name="_Toc513565266"/>
      <w:r w:rsidRPr="00891522">
        <w:t>Obligations</w:t>
      </w:r>
      <w:bookmarkEnd w:id="33"/>
    </w:p>
    <w:p w14:paraId="69139560" w14:textId="76B7A39D" w:rsidR="005259FD" w:rsidRPr="005E7240" w:rsidRDefault="003D3978" w:rsidP="00322F91">
      <w:pPr>
        <w:spacing w:before="240" w:after="240"/>
        <w:rPr>
          <w:color w:val="auto"/>
        </w:rPr>
      </w:pPr>
      <w:r>
        <w:rPr>
          <w:color w:val="auto"/>
        </w:rPr>
        <w:t>T</w:t>
      </w:r>
      <w:r w:rsidR="005259FD" w:rsidRPr="005E7240">
        <w:rPr>
          <w:color w:val="auto"/>
        </w:rPr>
        <w:t xml:space="preserve">he </w:t>
      </w:r>
      <w:r w:rsidR="005259FD">
        <w:rPr>
          <w:color w:val="auto"/>
        </w:rPr>
        <w:t xml:space="preserve">Elementary </w:t>
      </w:r>
      <w:bookmarkStart w:id="34" w:name="_Hlk73033781"/>
      <w:r w:rsidR="005259FD">
        <w:rPr>
          <w:color w:val="auto"/>
        </w:rPr>
        <w:t>and Secondary Education Act</w:t>
      </w:r>
      <w:r w:rsidR="00907B5E">
        <w:rPr>
          <w:color w:val="auto"/>
        </w:rPr>
        <w:t xml:space="preserve"> (ESEA)</w:t>
      </w:r>
      <w:r w:rsidR="005259FD" w:rsidRPr="005E7240">
        <w:rPr>
          <w:color w:val="auto"/>
        </w:rPr>
        <w:t>, Section 3115(c)(1)(2) and (d)</w:t>
      </w:r>
      <w:r>
        <w:rPr>
          <w:color w:val="auto"/>
        </w:rPr>
        <w:t xml:space="preserve"> defines</w:t>
      </w:r>
      <w:r w:rsidR="005259FD" w:rsidRPr="005E7240">
        <w:rPr>
          <w:color w:val="auto"/>
        </w:rPr>
        <w:t xml:space="preserve"> allowable expenditures</w:t>
      </w:r>
      <w:r>
        <w:rPr>
          <w:color w:val="auto"/>
        </w:rPr>
        <w:t xml:space="preserve"> for Title III English </w:t>
      </w:r>
      <w:r w:rsidR="00BF3C0F">
        <w:rPr>
          <w:color w:val="auto"/>
        </w:rPr>
        <w:t>Learner</w:t>
      </w:r>
      <w:r w:rsidR="00907B5E">
        <w:rPr>
          <w:color w:val="auto"/>
        </w:rPr>
        <w:t xml:space="preserve"> (EL)</w:t>
      </w:r>
      <w:r w:rsidR="00BF3C0F">
        <w:rPr>
          <w:color w:val="auto"/>
        </w:rPr>
        <w:t xml:space="preserve"> </w:t>
      </w:r>
      <w:r w:rsidR="00A332E2">
        <w:rPr>
          <w:color w:val="auto"/>
        </w:rPr>
        <w:t xml:space="preserve">program subgrant </w:t>
      </w:r>
      <w:r w:rsidR="00BF3C0F">
        <w:rPr>
          <w:color w:val="auto"/>
        </w:rPr>
        <w:t>funds</w:t>
      </w:r>
      <w:r w:rsidR="005259FD">
        <w:rPr>
          <w:color w:val="auto"/>
        </w:rPr>
        <w:t>.</w:t>
      </w:r>
    </w:p>
    <w:p w14:paraId="2887B7F0" w14:textId="7E88CA31" w:rsidR="00535078" w:rsidRPr="005E7240" w:rsidRDefault="00A271F9" w:rsidP="00322F91">
      <w:pPr>
        <w:spacing w:before="240" w:after="240"/>
        <w:rPr>
          <w:color w:val="auto"/>
        </w:rPr>
      </w:pPr>
      <w:r w:rsidRPr="005E7240">
        <w:rPr>
          <w:color w:val="auto"/>
        </w:rPr>
        <w:t>All obligations must be liquidated no later</w:t>
      </w:r>
      <w:r w:rsidRPr="005E7240">
        <w:rPr>
          <w:iCs/>
          <w:color w:val="auto"/>
        </w:rPr>
        <w:t xml:space="preserve"> </w:t>
      </w:r>
      <w:r w:rsidRPr="005E7240">
        <w:rPr>
          <w:color w:val="auto"/>
        </w:rPr>
        <w:t xml:space="preserve">than 90 </w:t>
      </w:r>
      <w:r w:rsidR="009B7F23">
        <w:rPr>
          <w:color w:val="auto"/>
        </w:rPr>
        <w:t xml:space="preserve">calendar </w:t>
      </w:r>
      <w:r w:rsidRPr="005E7240">
        <w:rPr>
          <w:color w:val="auto"/>
        </w:rPr>
        <w:t>days after the funding period end</w:t>
      </w:r>
      <w:r w:rsidR="00BF3C0F">
        <w:rPr>
          <w:color w:val="auto"/>
        </w:rPr>
        <w:t xml:space="preserve"> date</w:t>
      </w:r>
      <w:r w:rsidRPr="005E7240">
        <w:rPr>
          <w:color w:val="auto"/>
        </w:rPr>
        <w:t xml:space="preserve">. For the FY </w:t>
      </w:r>
      <w:r w:rsidR="00CA03C7" w:rsidRPr="005E7240">
        <w:rPr>
          <w:color w:val="auto"/>
        </w:rPr>
        <w:t>20</w:t>
      </w:r>
      <w:r w:rsidR="00C917E6">
        <w:rPr>
          <w:color w:val="auto"/>
        </w:rPr>
        <w:t>2</w:t>
      </w:r>
      <w:r w:rsidR="000943F1">
        <w:rPr>
          <w:color w:val="auto"/>
        </w:rPr>
        <w:t>4</w:t>
      </w:r>
      <w:r w:rsidR="00BF3C0F">
        <w:rPr>
          <w:color w:val="auto"/>
        </w:rPr>
        <w:t>–</w:t>
      </w:r>
      <w:r w:rsidR="003E2B13">
        <w:rPr>
          <w:color w:val="auto"/>
        </w:rPr>
        <w:t>2</w:t>
      </w:r>
      <w:r w:rsidR="000943F1">
        <w:rPr>
          <w:color w:val="auto"/>
        </w:rPr>
        <w:t>5</w:t>
      </w:r>
      <w:r w:rsidR="00CA03C7">
        <w:rPr>
          <w:color w:val="auto"/>
        </w:rPr>
        <w:t xml:space="preserve"> </w:t>
      </w:r>
      <w:r w:rsidRPr="005E7240">
        <w:rPr>
          <w:color w:val="auto"/>
        </w:rPr>
        <w:t>subgrant</w:t>
      </w:r>
      <w:r w:rsidR="00E666A7">
        <w:rPr>
          <w:color w:val="auto"/>
        </w:rPr>
        <w:t>s</w:t>
      </w:r>
      <w:r w:rsidRPr="005E7240">
        <w:rPr>
          <w:color w:val="auto"/>
        </w:rPr>
        <w:t xml:space="preserve">, all obligations </w:t>
      </w:r>
      <w:r w:rsidR="00E666A7">
        <w:rPr>
          <w:color w:val="auto"/>
        </w:rPr>
        <w:t>must</w:t>
      </w:r>
      <w:r w:rsidRPr="005E7240">
        <w:rPr>
          <w:color w:val="auto"/>
        </w:rPr>
        <w:t xml:space="preserve"> be liquidated by December 30, 20</w:t>
      </w:r>
      <w:r w:rsidR="000223D0">
        <w:rPr>
          <w:color w:val="auto"/>
        </w:rPr>
        <w:t>2</w:t>
      </w:r>
      <w:r w:rsidR="000943F1">
        <w:rPr>
          <w:color w:val="auto"/>
        </w:rPr>
        <w:t>6</w:t>
      </w:r>
      <w:r w:rsidRPr="005E7240">
        <w:rPr>
          <w:color w:val="auto"/>
        </w:rPr>
        <w:t xml:space="preserve">. </w:t>
      </w:r>
      <w:r w:rsidR="00E666A7">
        <w:rPr>
          <w:color w:val="auto"/>
        </w:rPr>
        <w:t xml:space="preserve">Any local educational agency (LEA) reporting unexpended funds after this date will be invoiced by the California Department of Education (CDE). </w:t>
      </w:r>
      <w:r w:rsidRPr="005E7240">
        <w:rPr>
          <w:iCs/>
          <w:color w:val="auto"/>
        </w:rPr>
        <w:t xml:space="preserve">According to the </w:t>
      </w:r>
      <w:r w:rsidR="006B022B">
        <w:rPr>
          <w:iCs/>
          <w:color w:val="auto"/>
        </w:rPr>
        <w:t>California Sch</w:t>
      </w:r>
      <w:r w:rsidR="008914CD">
        <w:rPr>
          <w:iCs/>
          <w:color w:val="auto"/>
        </w:rPr>
        <w:t>ool Accounting Manual</w:t>
      </w:r>
      <w:r w:rsidRPr="005E7240">
        <w:rPr>
          <w:iCs/>
          <w:color w:val="auto"/>
        </w:rPr>
        <w:t xml:space="preserve">, “Legal obligations are commitments made by an LEA to purchase goods or services immediately or in a future period.” To determine whether a financial commitment should be reported as an obligation, please refer to </w:t>
      </w:r>
      <w:r w:rsidR="0004475B">
        <w:rPr>
          <w:iCs/>
          <w:color w:val="auto"/>
        </w:rPr>
        <w:t>the Code of Federal Regulations (</w:t>
      </w:r>
      <w:r w:rsidR="00B848C8">
        <w:rPr>
          <w:iCs/>
          <w:color w:val="auto"/>
        </w:rPr>
        <w:t>CFR</w:t>
      </w:r>
      <w:r w:rsidR="0004475B">
        <w:rPr>
          <w:iCs/>
          <w:color w:val="auto"/>
        </w:rPr>
        <w:t xml:space="preserve">) </w:t>
      </w:r>
      <w:r w:rsidRPr="005E7240">
        <w:rPr>
          <w:iCs/>
          <w:color w:val="auto"/>
        </w:rPr>
        <w:t xml:space="preserve">Title 2, </w:t>
      </w:r>
      <w:r w:rsidR="00CF5116">
        <w:rPr>
          <w:iCs/>
          <w:color w:val="auto"/>
        </w:rPr>
        <w:t>S</w:t>
      </w:r>
      <w:r w:rsidR="0004475B">
        <w:rPr>
          <w:iCs/>
          <w:color w:val="auto"/>
        </w:rPr>
        <w:t>ection</w:t>
      </w:r>
      <w:r w:rsidRPr="005E7240">
        <w:rPr>
          <w:iCs/>
          <w:color w:val="auto"/>
        </w:rPr>
        <w:t xml:space="preserve"> 200.34 of the </w:t>
      </w:r>
      <w:bookmarkEnd w:id="34"/>
      <w:r w:rsidR="006B022B" w:rsidRPr="005E7240">
        <w:rPr>
          <w:iCs/>
          <w:color w:val="auto"/>
        </w:rPr>
        <w:t>Electronic CF</w:t>
      </w:r>
      <w:r w:rsidR="00B848C8">
        <w:rPr>
          <w:iCs/>
          <w:color w:val="auto"/>
        </w:rPr>
        <w:t>R web</w:t>
      </w:r>
      <w:r w:rsidRPr="005E7240">
        <w:rPr>
          <w:iCs/>
          <w:color w:val="auto"/>
        </w:rPr>
        <w:t xml:space="preserve"> </w:t>
      </w:r>
      <w:r w:rsidR="00B848C8">
        <w:rPr>
          <w:iCs/>
          <w:color w:val="auto"/>
        </w:rPr>
        <w:t>p</w:t>
      </w:r>
      <w:r w:rsidRPr="005E7240">
        <w:rPr>
          <w:iCs/>
          <w:color w:val="auto"/>
        </w:rPr>
        <w:t xml:space="preserve">age at </w:t>
      </w:r>
      <w:bookmarkStart w:id="35" w:name="_Hlk73033797"/>
      <w:r w:rsidR="00C30784">
        <w:fldChar w:fldCharType="begin"/>
      </w:r>
      <w:r w:rsidR="00C25B58">
        <w:instrText>HYPERLINK "https://www.ecfr.gov/current/title-2/subtitle-A/chapter-II/part-200" \o "Electronic Code of Federal Regulations web page"</w:instrText>
      </w:r>
      <w:r w:rsidR="00C30784">
        <w:fldChar w:fldCharType="separate"/>
      </w:r>
      <w:r w:rsidR="00C25B58">
        <w:rPr>
          <w:rStyle w:val="Hyperlink"/>
          <w:iCs/>
        </w:rPr>
        <w:t>https://www.ecfr.gov/current/title-2/subtitle-A/chapter-II/part-200</w:t>
      </w:r>
      <w:r w:rsidR="00C30784">
        <w:rPr>
          <w:rStyle w:val="Hyperlink"/>
          <w:iCs/>
        </w:rPr>
        <w:fldChar w:fldCharType="end"/>
      </w:r>
      <w:bookmarkEnd w:id="35"/>
      <w:r w:rsidRPr="005E7240">
        <w:rPr>
          <w:iCs/>
          <w:color w:val="auto"/>
        </w:rPr>
        <w:t>.</w:t>
      </w:r>
    </w:p>
    <w:p w14:paraId="270CB4E8" w14:textId="13682CD2" w:rsidR="00A318E0" w:rsidRDefault="00907B5E" w:rsidP="007F6E07">
      <w:pPr>
        <w:pStyle w:val="Heading3"/>
      </w:pPr>
      <w:bookmarkStart w:id="36" w:name="_Toc513565267"/>
      <w:r>
        <w:t xml:space="preserve">Direct </w:t>
      </w:r>
      <w:r w:rsidR="00535078" w:rsidRPr="00891522">
        <w:t>Administrative Costs</w:t>
      </w:r>
      <w:bookmarkEnd w:id="36"/>
    </w:p>
    <w:p w14:paraId="4E7DBE95" w14:textId="1E8C26CB" w:rsidR="00907B5E" w:rsidRDefault="00907B5E" w:rsidP="000E4666">
      <w:pPr>
        <w:spacing w:before="240" w:after="240"/>
      </w:pPr>
      <w:r>
        <w:t>LEAs may use no more than 2 percent of the EL program subgrant for direct administrative costs for fiscal year (ESEA Title III, Section 3115 [b]).</w:t>
      </w:r>
    </w:p>
    <w:p w14:paraId="5ED85692" w14:textId="0F00102E" w:rsidR="00F7042B" w:rsidRPr="00AE61AB" w:rsidRDefault="00F7042B" w:rsidP="007F6E07">
      <w:pPr>
        <w:pStyle w:val="Heading3"/>
        <w:rPr>
          <w:lang w:val="en"/>
        </w:rPr>
      </w:pPr>
      <w:r w:rsidRPr="00AE61AB">
        <w:rPr>
          <w:lang w:val="en"/>
        </w:rPr>
        <w:t>Indirect Costs</w:t>
      </w:r>
    </w:p>
    <w:p w14:paraId="49E9375A" w14:textId="2B410262" w:rsidR="00907B5E" w:rsidRDefault="00907B5E" w:rsidP="00907B5E">
      <w:pPr>
        <w:spacing w:before="240" w:after="240"/>
        <w:rPr>
          <w:lang w:val="en"/>
        </w:rPr>
      </w:pPr>
      <w:r>
        <w:rPr>
          <w:lang w:val="en"/>
        </w:rPr>
        <w:t xml:space="preserve">An </w:t>
      </w:r>
      <w:r w:rsidRPr="00B133C3">
        <w:rPr>
          <w:lang w:val="en"/>
        </w:rPr>
        <w:t xml:space="preserve">LEA can apply its approved indirect rate to the portion of the subgrant that is not reserved for direct administrative costs. A list of approved indirect cost rates are available on the CDE </w:t>
      </w:r>
      <w:r>
        <w:rPr>
          <w:lang w:val="en"/>
        </w:rPr>
        <w:t xml:space="preserve">Indirect Cost Rates </w:t>
      </w:r>
      <w:r w:rsidRPr="00B133C3">
        <w:rPr>
          <w:lang w:val="en"/>
        </w:rPr>
        <w:t xml:space="preserve">web page at </w:t>
      </w:r>
      <w:hyperlink r:id="rId13" w:tooltip="Indirect Cost Rates web page" w:history="1">
        <w:r w:rsidR="00E6458D">
          <w:rPr>
            <w:rStyle w:val="Hyperlink"/>
            <w:lang w:val="en"/>
          </w:rPr>
          <w:t>https://www.cde.ca.gov/fg/ac/ic/index.asp</w:t>
        </w:r>
      </w:hyperlink>
      <w:r w:rsidRPr="00A65AF3">
        <w:rPr>
          <w:color w:val="auto"/>
          <w:lang w:val="en"/>
        </w:rPr>
        <w:t>.</w:t>
      </w:r>
    </w:p>
    <w:p w14:paraId="68C8C777" w14:textId="75986A8B" w:rsidR="008914CD" w:rsidRPr="001B5F8A" w:rsidRDefault="008914CD" w:rsidP="000E4666">
      <w:pPr>
        <w:spacing w:before="240" w:after="240"/>
        <w:rPr>
          <w:lang w:val="en"/>
        </w:rPr>
      </w:pPr>
      <w:bookmarkStart w:id="37" w:name="_Toc513565268"/>
      <w:r>
        <w:rPr>
          <w:color w:val="auto"/>
        </w:rPr>
        <w:t>For additional information</w:t>
      </w:r>
      <w:r w:rsidRPr="00EF1473">
        <w:rPr>
          <w:color w:val="auto"/>
        </w:rPr>
        <w:t xml:space="preserve"> </w:t>
      </w:r>
      <w:r>
        <w:rPr>
          <w:color w:val="auto"/>
        </w:rPr>
        <w:t>regarding</w:t>
      </w:r>
      <w:r w:rsidRPr="00EF1473">
        <w:rPr>
          <w:color w:val="auto"/>
        </w:rPr>
        <w:t xml:space="preserve"> classification of direct versus indirect costs</w:t>
      </w:r>
      <w:r>
        <w:rPr>
          <w:color w:val="auto"/>
        </w:rPr>
        <w:t xml:space="preserve"> refer to the</w:t>
      </w:r>
      <w:r w:rsidRPr="00EF1473">
        <w:rPr>
          <w:color w:val="auto"/>
        </w:rPr>
        <w:t xml:space="preserve"> CFR</w:t>
      </w:r>
      <w:r>
        <w:rPr>
          <w:color w:val="auto"/>
        </w:rPr>
        <w:t xml:space="preserve"> Title 2, sections 200.412-200.417 on the U.S. </w:t>
      </w:r>
      <w:r w:rsidRPr="00CC7CA8">
        <w:rPr>
          <w:iCs/>
          <w:color w:val="auto"/>
        </w:rPr>
        <w:t>Government Publishing Office’s Electronic CF</w:t>
      </w:r>
      <w:r>
        <w:rPr>
          <w:iCs/>
          <w:color w:val="auto"/>
        </w:rPr>
        <w:t>R</w:t>
      </w:r>
      <w:r w:rsidRPr="00CC7CA8">
        <w:rPr>
          <w:iCs/>
          <w:color w:val="auto"/>
        </w:rPr>
        <w:t xml:space="preserve"> </w:t>
      </w:r>
      <w:r>
        <w:rPr>
          <w:iCs/>
          <w:color w:val="auto"/>
        </w:rPr>
        <w:t>w</w:t>
      </w:r>
      <w:r w:rsidRPr="00CC7CA8">
        <w:rPr>
          <w:iCs/>
          <w:color w:val="auto"/>
        </w:rPr>
        <w:t xml:space="preserve">eb </w:t>
      </w:r>
      <w:r w:rsidR="00DC7882">
        <w:rPr>
          <w:iCs/>
          <w:color w:val="auto"/>
        </w:rPr>
        <w:t>p</w:t>
      </w:r>
      <w:r w:rsidRPr="00CC7CA8">
        <w:rPr>
          <w:iCs/>
          <w:color w:val="auto"/>
        </w:rPr>
        <w:t xml:space="preserve">age at </w:t>
      </w:r>
      <w:hyperlink r:id="rId14" w:tooltip="Electronic Code of Federal Regulations web page" w:history="1">
        <w:r w:rsidR="00D81058" w:rsidRPr="00F1281D">
          <w:rPr>
            <w:rStyle w:val="Hyperlink"/>
          </w:rPr>
          <w:t>https://www.ecfr.gov/current/title-2/subtitle-A/chapter-II/part-200?toc=1</w:t>
        </w:r>
      </w:hyperlink>
      <w:r>
        <w:rPr>
          <w:color w:val="auto"/>
        </w:rPr>
        <w:t xml:space="preserve"> </w:t>
      </w:r>
      <w:r w:rsidRPr="00D93570">
        <w:rPr>
          <w:rStyle w:val="Hyperlink"/>
          <w:iCs/>
          <w:color w:val="auto"/>
          <w:u w:val="none"/>
        </w:rPr>
        <w:t>and</w:t>
      </w:r>
      <w:r w:rsidRPr="00EF1473">
        <w:rPr>
          <w:color w:val="auto"/>
        </w:rPr>
        <w:t xml:space="preserve"> the CDE </w:t>
      </w:r>
      <w:r>
        <w:rPr>
          <w:color w:val="auto"/>
        </w:rPr>
        <w:t xml:space="preserve">Title III </w:t>
      </w:r>
      <w:r w:rsidRPr="00EF1473">
        <w:rPr>
          <w:color w:val="auto"/>
        </w:rPr>
        <w:t xml:space="preserve">Authorized Costs web page at </w:t>
      </w:r>
      <w:hyperlink r:id="rId15" w:tooltip="Title 3 Authorized Costs web page" w:history="1">
        <w:r w:rsidR="00192103" w:rsidRPr="00F1281D">
          <w:rPr>
            <w:rStyle w:val="Hyperlink"/>
          </w:rPr>
          <w:t>https://www.cde.ca.gov/sp/ml/t3authorizedcosts.asp</w:t>
        </w:r>
      </w:hyperlink>
      <w:r w:rsidRPr="00EF1473">
        <w:rPr>
          <w:color w:val="auto"/>
        </w:rPr>
        <w:t>.</w:t>
      </w:r>
    </w:p>
    <w:p w14:paraId="74AA5007" w14:textId="2C69649E" w:rsidR="00A318E0" w:rsidRPr="004B2B63" w:rsidRDefault="00A318E0" w:rsidP="007F6E07">
      <w:pPr>
        <w:pStyle w:val="Heading3"/>
      </w:pPr>
      <w:r w:rsidRPr="004B2B63">
        <w:t>Supplement, Not Supplant</w:t>
      </w:r>
      <w:bookmarkEnd w:id="37"/>
    </w:p>
    <w:p w14:paraId="3C157243" w14:textId="3816EC07" w:rsidR="00DF2CFC" w:rsidRDefault="00535078" w:rsidP="00C61A8D">
      <w:pPr>
        <w:spacing w:before="240" w:after="240"/>
        <w:rPr>
          <w:bCs/>
          <w:color w:val="auto"/>
          <w:kern w:val="32"/>
          <w:sz w:val="32"/>
          <w:szCs w:val="32"/>
        </w:rPr>
      </w:pPr>
      <w:r w:rsidRPr="005E7240">
        <w:t xml:space="preserve">Federal funds made available under </w:t>
      </w:r>
      <w:r w:rsidR="00907B5E">
        <w:t>Title III subgrants</w:t>
      </w:r>
      <w:r w:rsidRPr="005E7240">
        <w:t xml:space="preserve"> shall be used </w:t>
      </w:r>
      <w:r w:rsidR="00AC5F2A">
        <w:t>to supplement the level of federal, s</w:t>
      </w:r>
      <w:r w:rsidRPr="005E7240">
        <w:t>tate, and local public funds that, in the absence of such availability would have been expended for programs for English</w:t>
      </w:r>
      <w:r w:rsidR="00F83D95">
        <w:t xml:space="preserve"> learners</w:t>
      </w:r>
      <w:r w:rsidRPr="005E7240">
        <w:t xml:space="preserve"> and immigrant children </w:t>
      </w:r>
      <w:r w:rsidRPr="005E7240">
        <w:lastRenderedPageBreak/>
        <w:t xml:space="preserve">and youth and in no case to supplant such </w:t>
      </w:r>
      <w:r w:rsidR="00AC5F2A">
        <w:t>f</w:t>
      </w:r>
      <w:r w:rsidRPr="005E7240">
        <w:t xml:space="preserve">ederal, </w:t>
      </w:r>
      <w:r w:rsidR="00AC5F2A">
        <w:t>s</w:t>
      </w:r>
      <w:r w:rsidRPr="005E7240">
        <w:t>tate, and local public funds.</w:t>
      </w:r>
      <w:r w:rsidR="001001B3">
        <w:t xml:space="preserve"> </w:t>
      </w:r>
      <w:r w:rsidR="001001B3" w:rsidRPr="00186DD8">
        <w:t>(ESEA Title III, Section 3115 [</w:t>
      </w:r>
      <w:r w:rsidR="001001B3">
        <w:t>g</w:t>
      </w:r>
      <w:r w:rsidR="001001B3" w:rsidRPr="00186DD8">
        <w:t>])</w:t>
      </w:r>
      <w:r w:rsidR="00DF2CFC">
        <w:rPr>
          <w:b/>
          <w:color w:val="auto"/>
        </w:rPr>
        <w:br w:type="page"/>
      </w:r>
    </w:p>
    <w:p w14:paraId="5841C181" w14:textId="7D493CB0" w:rsidR="00FA0B3C" w:rsidRPr="00322F91" w:rsidRDefault="0018100D" w:rsidP="000E23B8">
      <w:pPr>
        <w:pStyle w:val="Heading2"/>
      </w:pPr>
      <w:bookmarkStart w:id="38" w:name="_Toc513565270"/>
      <w:bookmarkStart w:id="39" w:name="_Toc225766222"/>
      <w:bookmarkStart w:id="40" w:name="_Toc293390708"/>
      <w:bookmarkStart w:id="41" w:name="_Toc309215887"/>
      <w:r w:rsidRPr="00322F91">
        <w:lastRenderedPageBreak/>
        <w:t>20</w:t>
      </w:r>
      <w:r w:rsidR="000223D0">
        <w:t>2</w:t>
      </w:r>
      <w:r w:rsidR="000943F1">
        <w:t>6</w:t>
      </w:r>
      <w:r w:rsidR="00D625AE">
        <w:t>–2</w:t>
      </w:r>
      <w:r w:rsidR="000943F1">
        <w:t>7</w:t>
      </w:r>
      <w:r w:rsidRPr="00322F91">
        <w:t xml:space="preserve"> </w:t>
      </w:r>
      <w:r w:rsidR="00FA0B3C" w:rsidRPr="00322F91">
        <w:t>Title III Student Program Subgrants</w:t>
      </w:r>
      <w:bookmarkEnd w:id="38"/>
      <w:bookmarkEnd w:id="39"/>
    </w:p>
    <w:p w14:paraId="11CA3593" w14:textId="664DCCB7" w:rsidR="00FA0B3C" w:rsidRDefault="00FA0B3C" w:rsidP="007F6E07">
      <w:pPr>
        <w:pStyle w:val="Heading3"/>
      </w:pPr>
      <w:bookmarkStart w:id="42" w:name="_Toc513565271"/>
      <w:r w:rsidRPr="00891522">
        <w:t xml:space="preserve">Title III English </w:t>
      </w:r>
      <w:r w:rsidR="00C05091" w:rsidRPr="00891522">
        <w:t>Learner</w:t>
      </w:r>
      <w:r w:rsidRPr="00891522">
        <w:t xml:space="preserve"> </w:t>
      </w:r>
      <w:r w:rsidR="007E4018" w:rsidRPr="00891522">
        <w:t xml:space="preserve">Student Program </w:t>
      </w:r>
      <w:r w:rsidRPr="00891522">
        <w:t>Subgrant</w:t>
      </w:r>
      <w:bookmarkEnd w:id="42"/>
    </w:p>
    <w:p w14:paraId="506A9C72" w14:textId="38A4CD19" w:rsidR="00D625AE" w:rsidRDefault="00D625AE" w:rsidP="00322F91">
      <w:pPr>
        <w:spacing w:before="240" w:after="240"/>
      </w:pPr>
      <w:r>
        <w:t>A local educational agency (LEA) that reported the enrollment of one or more English Learner (EL) students</w:t>
      </w:r>
      <w:r w:rsidR="00223D10">
        <w:t xml:space="preserve"> on Fall Census Day (the first Wednesday in October 202</w:t>
      </w:r>
      <w:r w:rsidR="000943F1">
        <w:t>5</w:t>
      </w:r>
      <w:r w:rsidR="00223D10">
        <w:t>),</w:t>
      </w:r>
      <w:r>
        <w:t xml:space="preserve"> via the California Longitudinal Pupil Achievement Data System (CALPADS) data collection is eligible to apply for the 20</w:t>
      </w:r>
      <w:r w:rsidR="000223D0">
        <w:t>2</w:t>
      </w:r>
      <w:r w:rsidR="000943F1">
        <w:t>6</w:t>
      </w:r>
      <w:r>
        <w:t>–2</w:t>
      </w:r>
      <w:r w:rsidR="000943F1">
        <w:t>7</w:t>
      </w:r>
      <w:r>
        <w:t xml:space="preserve"> Title III EL student program formula subgrant.</w:t>
      </w:r>
    </w:p>
    <w:p w14:paraId="3504A832" w14:textId="692D00F4" w:rsidR="00D625AE" w:rsidRDefault="00D625AE" w:rsidP="00322F91">
      <w:pPr>
        <w:spacing w:before="240" w:after="240"/>
      </w:pPr>
      <w:r>
        <w:t>All eligible LEAs that</w:t>
      </w:r>
      <w:r w:rsidR="00A2562A">
        <w:t xml:space="preserve"> qualify for 20</w:t>
      </w:r>
      <w:r w:rsidR="000223D0">
        <w:t>2</w:t>
      </w:r>
      <w:r w:rsidR="000943F1">
        <w:t>6</w:t>
      </w:r>
      <w:r w:rsidR="00A2562A">
        <w:t>–2</w:t>
      </w:r>
      <w:r w:rsidR="000943F1">
        <w:t>7</w:t>
      </w:r>
      <w:r w:rsidR="00A2562A">
        <w:t xml:space="preserve"> Title III EL Student Program Subgrant must apply for funding on the Consolidated Application and Reporting System (CARS)</w:t>
      </w:r>
      <w:r w:rsidR="00042865">
        <w:t>,</w:t>
      </w:r>
      <w:r w:rsidR="00A2562A">
        <w:t xml:space="preserve"> by selecting </w:t>
      </w:r>
      <w:r w:rsidR="00042865">
        <w:t xml:space="preserve">the </w:t>
      </w:r>
      <w:r w:rsidR="00A2562A">
        <w:t>Yes</w:t>
      </w:r>
      <w:r w:rsidR="00042865">
        <w:t xml:space="preserve"> option</w:t>
      </w:r>
      <w:r w:rsidR="00A2562A">
        <w:t xml:space="preserve"> </w:t>
      </w:r>
      <w:r w:rsidR="00EB1605">
        <w:t xml:space="preserve">for Title III EL </w:t>
      </w:r>
      <w:r w:rsidR="00A2562A">
        <w:t>on the 20</w:t>
      </w:r>
      <w:r w:rsidR="000223D0">
        <w:t>2</w:t>
      </w:r>
      <w:r w:rsidR="000943F1">
        <w:t>6</w:t>
      </w:r>
      <w:r w:rsidR="00A2562A">
        <w:t>–2</w:t>
      </w:r>
      <w:r w:rsidR="000943F1">
        <w:t>7</w:t>
      </w:r>
      <w:r w:rsidR="00A2562A">
        <w:t xml:space="preserve"> Application for Funding.</w:t>
      </w:r>
    </w:p>
    <w:p w14:paraId="30AD351D" w14:textId="6AA34815" w:rsidR="00EB1605" w:rsidRDefault="00EB1605" w:rsidP="00322F91">
      <w:pPr>
        <w:spacing w:before="240" w:after="240"/>
      </w:pPr>
      <w:r>
        <w:t xml:space="preserve">LEAs are eligible </w:t>
      </w:r>
      <w:r w:rsidR="00950120">
        <w:t>to receive EL funding directly if their preliminary entitlement is $10,000 or greater</w:t>
      </w:r>
      <w:r w:rsidR="00501B1F">
        <w:t>. If the preliminary entitlement is under $10,000</w:t>
      </w:r>
      <w:r w:rsidR="0068712E">
        <w:t xml:space="preserve">, the LEA may still be eligible for the funds by additionally </w:t>
      </w:r>
      <w:r w:rsidR="000460F4">
        <w:t>applying as a consortium via the Consortium Online Application</w:t>
      </w:r>
      <w:r w:rsidR="00FC2A91">
        <w:t>.</w:t>
      </w:r>
    </w:p>
    <w:p w14:paraId="6FCE9650" w14:textId="3CA86299" w:rsidR="00FA0B3C" w:rsidRPr="005E7240" w:rsidRDefault="00FA0B3C" w:rsidP="00322F91">
      <w:pPr>
        <w:spacing w:before="240" w:after="240"/>
      </w:pPr>
      <w:r w:rsidRPr="005E7240">
        <w:t xml:space="preserve">To determine the estimated amount of your LEA's subgrant for EL students, please visit the </w:t>
      </w:r>
      <w:r w:rsidR="0018100D">
        <w:t>California Department of Education (</w:t>
      </w:r>
      <w:r w:rsidRPr="005E7240">
        <w:t>CDE</w:t>
      </w:r>
      <w:r w:rsidR="0018100D">
        <w:t>)</w:t>
      </w:r>
      <w:r w:rsidR="00AB0343">
        <w:t>,</w:t>
      </w:r>
      <w:r w:rsidRPr="005E7240">
        <w:t xml:space="preserve"> Title III, </w:t>
      </w:r>
      <w:r w:rsidR="0018100D">
        <w:t xml:space="preserve">English Learner </w:t>
      </w:r>
      <w:r w:rsidR="00FC2A91">
        <w:t>and</w:t>
      </w:r>
      <w:r w:rsidR="0018100D">
        <w:t xml:space="preserve"> </w:t>
      </w:r>
      <w:r w:rsidR="008252EA">
        <w:t xml:space="preserve">Immigrant </w:t>
      </w:r>
      <w:r w:rsidRPr="005E7240">
        <w:t xml:space="preserve">Programs </w:t>
      </w:r>
      <w:r w:rsidR="00FC2A91">
        <w:t>w</w:t>
      </w:r>
      <w:r w:rsidRPr="005E7240">
        <w:t xml:space="preserve">eb page at </w:t>
      </w:r>
      <w:hyperlink r:id="rId16" w:tooltip="Title 3 English Learner and Immigrant Programs web page" w:history="1">
        <w:r w:rsidR="00266623" w:rsidRPr="00266623">
          <w:rPr>
            <w:rStyle w:val="Hyperlink"/>
          </w:rPr>
          <w:t>https://www.cde.ca.gov/fg/aa/ca/titleiii.asp</w:t>
        </w:r>
      </w:hyperlink>
      <w:r w:rsidR="00322F91">
        <w:t>.</w:t>
      </w:r>
    </w:p>
    <w:p w14:paraId="56FED4B6" w14:textId="0CC601CA" w:rsidR="00FA0B3C" w:rsidRPr="005E7240" w:rsidRDefault="003A419F" w:rsidP="00322F91">
      <w:pPr>
        <w:spacing w:before="240" w:after="240"/>
      </w:pPr>
      <w:r>
        <w:t>The LEA is not eligible for the subgrant, i</w:t>
      </w:r>
      <w:r w:rsidR="00FA0B3C" w:rsidRPr="005E7240">
        <w:t xml:space="preserve">n cases where the LEA did not report the enrollment of one or more EL students </w:t>
      </w:r>
      <w:r w:rsidR="00FA0B3C">
        <w:t xml:space="preserve">on </w:t>
      </w:r>
      <w:r w:rsidR="00FA0B3C" w:rsidRPr="005E7240">
        <w:t xml:space="preserve">Fall Census Day </w:t>
      </w:r>
      <w:r w:rsidR="00FC2A91">
        <w:t>(</w:t>
      </w:r>
      <w:r w:rsidR="00FA0B3C" w:rsidRPr="005E7240">
        <w:t>the first Wednesday in October</w:t>
      </w:r>
      <w:r w:rsidR="00FA0B3C">
        <w:t xml:space="preserve"> 20</w:t>
      </w:r>
      <w:r w:rsidR="0015496D">
        <w:t>2</w:t>
      </w:r>
      <w:r w:rsidR="000943F1">
        <w:t>5</w:t>
      </w:r>
      <w:r w:rsidR="00FC2A91">
        <w:t>)</w:t>
      </w:r>
      <w:r w:rsidR="00FA0B3C">
        <w:t xml:space="preserve"> i</w:t>
      </w:r>
      <w:r w:rsidR="00FA0B3C" w:rsidRPr="005E7240">
        <w:t>n the CALPADS</w:t>
      </w:r>
      <w:r w:rsidR="00322F91">
        <w:t>.</w:t>
      </w:r>
    </w:p>
    <w:p w14:paraId="093337F7" w14:textId="13E8C7E7" w:rsidR="00FA0B3C" w:rsidRPr="00983167" w:rsidRDefault="00FA0B3C" w:rsidP="007F6E07">
      <w:pPr>
        <w:pStyle w:val="Heading3"/>
      </w:pPr>
      <w:bookmarkStart w:id="43" w:name="_Toc293390703"/>
      <w:r w:rsidRPr="00983167">
        <w:t xml:space="preserve">Title III Immigrant Student </w:t>
      </w:r>
      <w:r w:rsidR="007E4018">
        <w:t xml:space="preserve">Program </w:t>
      </w:r>
      <w:r w:rsidRPr="00983167">
        <w:t>Subgrant</w:t>
      </w:r>
      <w:bookmarkEnd w:id="43"/>
    </w:p>
    <w:p w14:paraId="07CAFD87" w14:textId="61C80F1B" w:rsidR="00FA0B3C" w:rsidRDefault="00FA0B3C" w:rsidP="00322F91">
      <w:pPr>
        <w:spacing w:before="240" w:after="240"/>
      </w:pPr>
      <w:r w:rsidRPr="005E7240">
        <w:t>All LEAs that qualify for a</w:t>
      </w:r>
      <w:r w:rsidR="00F04853">
        <w:t xml:space="preserve"> 20</w:t>
      </w:r>
      <w:r w:rsidR="000223D0">
        <w:t>2</w:t>
      </w:r>
      <w:r w:rsidR="000943F1">
        <w:t>6</w:t>
      </w:r>
      <w:r w:rsidR="00F04853">
        <w:t>–2</w:t>
      </w:r>
      <w:r w:rsidR="000943F1">
        <w:t>7</w:t>
      </w:r>
      <w:r w:rsidRPr="005E7240">
        <w:t xml:space="preserve"> </w:t>
      </w:r>
      <w:r w:rsidR="00F04853">
        <w:t xml:space="preserve">Title III </w:t>
      </w:r>
      <w:r w:rsidRPr="005E7240">
        <w:t xml:space="preserve">Immigrant Student </w:t>
      </w:r>
      <w:r w:rsidR="007E4018">
        <w:t xml:space="preserve">Program </w:t>
      </w:r>
      <w:r w:rsidRPr="005E7240">
        <w:t>Subgrant</w:t>
      </w:r>
      <w:r w:rsidR="00042865" w:rsidRPr="00042865">
        <w:t xml:space="preserve"> must apply for funding on the CARS, by selecting the Yes option for Title III Immigrant on the 20</w:t>
      </w:r>
      <w:r w:rsidR="000223D0">
        <w:t>2</w:t>
      </w:r>
      <w:r w:rsidR="000943F1">
        <w:t>6</w:t>
      </w:r>
      <w:r w:rsidR="00042865" w:rsidRPr="00042865">
        <w:t>–2</w:t>
      </w:r>
      <w:r w:rsidR="000943F1">
        <w:t>7</w:t>
      </w:r>
      <w:r w:rsidR="00042865" w:rsidRPr="00042865">
        <w:t xml:space="preserve"> Application for Funding.</w:t>
      </w:r>
    </w:p>
    <w:p w14:paraId="3EAD36B0" w14:textId="27E6855B" w:rsidR="00042865" w:rsidRPr="005E7240" w:rsidRDefault="00042865" w:rsidP="00042865">
      <w:pPr>
        <w:spacing w:before="240" w:after="240"/>
      </w:pPr>
      <w:r>
        <w:t>To be eligible for a Title III Immigrant subgrant a</w:t>
      </w:r>
      <w:r w:rsidRPr="005E7240">
        <w:t xml:space="preserve"> LEA must have </w:t>
      </w:r>
      <w:r w:rsidR="004A36FF">
        <w:t>five</w:t>
      </w:r>
      <w:r>
        <w:t xml:space="preserve"> or more eligible immigrant </w:t>
      </w:r>
      <w:r w:rsidR="00720A4B">
        <w:t>students and</w:t>
      </w:r>
      <w:r>
        <w:t xml:space="preserve"> have experienced a significant increase of </w:t>
      </w:r>
      <w:r w:rsidR="004A36FF">
        <w:t>one half of one</w:t>
      </w:r>
      <w:r>
        <w:t xml:space="preserve"> </w:t>
      </w:r>
      <w:r w:rsidRPr="005E7240">
        <w:t xml:space="preserve">percent </w:t>
      </w:r>
      <w:r>
        <w:t xml:space="preserve">or greater </w:t>
      </w:r>
      <w:r w:rsidRPr="005E7240">
        <w:t xml:space="preserve">growth in the </w:t>
      </w:r>
      <w:r>
        <w:t xml:space="preserve">eligible </w:t>
      </w:r>
      <w:r w:rsidRPr="005E7240">
        <w:t xml:space="preserve">immigrant student </w:t>
      </w:r>
      <w:r>
        <w:t>enrollment</w:t>
      </w:r>
      <w:r w:rsidRPr="005E7240">
        <w:t xml:space="preserve">. Eligibility is not based on the total number of immigrant students. For </w:t>
      </w:r>
      <w:r>
        <w:t>fiscal year (</w:t>
      </w:r>
      <w:r w:rsidRPr="005E7240">
        <w:t>FY</w:t>
      </w:r>
      <w:r>
        <w:t>)</w:t>
      </w:r>
      <w:r w:rsidRPr="005E7240">
        <w:t xml:space="preserve"> 20</w:t>
      </w:r>
      <w:r w:rsidR="000223D0">
        <w:t>2</w:t>
      </w:r>
      <w:r w:rsidR="006A0371">
        <w:t>6</w:t>
      </w:r>
      <w:r>
        <w:t>–2</w:t>
      </w:r>
      <w:r w:rsidR="006A0371">
        <w:t>7</w:t>
      </w:r>
      <w:r w:rsidRPr="005E7240">
        <w:t>, eligibility is calculated by averaging the previous two years of immigrant student numbers (FY</w:t>
      </w:r>
      <w:r>
        <w:t>s</w:t>
      </w:r>
      <w:r w:rsidRPr="005E7240">
        <w:t xml:space="preserve"> 20</w:t>
      </w:r>
      <w:r w:rsidR="000F5C14">
        <w:t>2</w:t>
      </w:r>
      <w:r w:rsidR="006A0371">
        <w:t>3</w:t>
      </w:r>
      <w:r w:rsidR="0057481D">
        <w:t>–</w:t>
      </w:r>
      <w:r w:rsidR="00B32073">
        <w:t>2</w:t>
      </w:r>
      <w:r w:rsidR="006A0371">
        <w:t>4</w:t>
      </w:r>
      <w:r w:rsidRPr="005E7240">
        <w:t xml:space="preserve"> and 20</w:t>
      </w:r>
      <w:r w:rsidR="00B32073">
        <w:t>2</w:t>
      </w:r>
      <w:r w:rsidR="006A0371">
        <w:t>4</w:t>
      </w:r>
      <w:r w:rsidR="0057481D">
        <w:t>–</w:t>
      </w:r>
      <w:r w:rsidR="0015496D">
        <w:t>2</w:t>
      </w:r>
      <w:r w:rsidR="006A0371">
        <w:t>5</w:t>
      </w:r>
      <w:r w:rsidR="00297A24" w:rsidRPr="005E7240">
        <w:t>) and</w:t>
      </w:r>
      <w:r w:rsidRPr="005E7240">
        <w:t xml:space="preserve"> comparing this average to the third year (FY 20</w:t>
      </w:r>
      <w:r w:rsidR="0015496D">
        <w:t>2</w:t>
      </w:r>
      <w:r w:rsidR="006A0371">
        <w:t>5</w:t>
      </w:r>
      <w:r w:rsidR="0057481D">
        <w:t>–</w:t>
      </w:r>
      <w:r w:rsidR="000223D0">
        <w:t>2</w:t>
      </w:r>
      <w:r w:rsidR="006A0371">
        <w:t>6</w:t>
      </w:r>
      <w:r w:rsidRPr="005E7240">
        <w:t>). The student count numbers are extracted from the CALPADS as of FY 20</w:t>
      </w:r>
      <w:r w:rsidR="0015496D">
        <w:t>2</w:t>
      </w:r>
      <w:r w:rsidR="006A0371">
        <w:t>5</w:t>
      </w:r>
      <w:r w:rsidR="0057481D">
        <w:t>–</w:t>
      </w:r>
      <w:r w:rsidR="00C354A5">
        <w:t>2</w:t>
      </w:r>
      <w:r w:rsidR="006A0371">
        <w:t>6</w:t>
      </w:r>
      <w:r w:rsidRPr="005E7240">
        <w:t xml:space="preserve">. If there has been </w:t>
      </w:r>
      <w:r w:rsidR="000E0D2D">
        <w:t>one half of one</w:t>
      </w:r>
      <w:r w:rsidR="00223B30">
        <w:t xml:space="preserve"> </w:t>
      </w:r>
      <w:r w:rsidRPr="005E7240">
        <w:t xml:space="preserve">percent growth, the LEA is considered eligible </w:t>
      </w:r>
      <w:r w:rsidR="0057481D">
        <w:t xml:space="preserve">for </w:t>
      </w:r>
      <w:r w:rsidRPr="005E7240">
        <w:t>FY 20</w:t>
      </w:r>
      <w:r w:rsidR="00C354A5">
        <w:t>2</w:t>
      </w:r>
      <w:r w:rsidR="006A0371">
        <w:t>6</w:t>
      </w:r>
      <w:r w:rsidR="0057481D">
        <w:t>–2</w:t>
      </w:r>
      <w:r w:rsidR="006A0371">
        <w:t>7</w:t>
      </w:r>
      <w:r w:rsidR="0057481D">
        <w:t xml:space="preserve"> Immigrant funding</w:t>
      </w:r>
      <w:r w:rsidRPr="005E7240">
        <w:t>.</w:t>
      </w:r>
      <w:r w:rsidR="0057481D">
        <w:t xml:space="preserve"> Please note that</w:t>
      </w:r>
      <w:r w:rsidR="008A2A3A">
        <w:t xml:space="preserve"> LEAs add the nonprofit private school Student National Origin Report data to calculate and determine</w:t>
      </w:r>
      <w:r w:rsidR="00E835AC">
        <w:t xml:space="preserve"> if the district meets the </w:t>
      </w:r>
      <w:r w:rsidR="000E0D2D">
        <w:t>one half of one</w:t>
      </w:r>
      <w:r w:rsidR="00E835AC">
        <w:t xml:space="preserve"> percent growth requirement to qualify for funding.</w:t>
      </w:r>
    </w:p>
    <w:p w14:paraId="065DA0BF" w14:textId="74507012" w:rsidR="00252CC4" w:rsidRDefault="00FA0B3C" w:rsidP="00AB0343">
      <w:pPr>
        <w:spacing w:before="240" w:after="240"/>
      </w:pPr>
      <w:r w:rsidRPr="005E7240">
        <w:t xml:space="preserve">To determine eligibility and the estimated amount of your LEA's Title III </w:t>
      </w:r>
      <w:r w:rsidR="00AB0343">
        <w:t>S</w:t>
      </w:r>
      <w:r w:rsidRPr="005E7240">
        <w:t xml:space="preserve">ubgrant for </w:t>
      </w:r>
      <w:r w:rsidR="00AB0343">
        <w:t>I</w:t>
      </w:r>
      <w:r w:rsidRPr="005E7240">
        <w:t xml:space="preserve">mmigrant </w:t>
      </w:r>
      <w:r w:rsidR="00AB0343">
        <w:t>S</w:t>
      </w:r>
      <w:r w:rsidRPr="005E7240">
        <w:t>tudents, please visit the CDE</w:t>
      </w:r>
      <w:r w:rsidR="00AB0343">
        <w:t>,</w:t>
      </w:r>
      <w:r w:rsidRPr="005E7240">
        <w:t xml:space="preserve"> Title III, </w:t>
      </w:r>
      <w:r w:rsidR="00190F7C">
        <w:t xml:space="preserve">English Learner </w:t>
      </w:r>
      <w:r w:rsidR="00E835AC">
        <w:t>and</w:t>
      </w:r>
      <w:r w:rsidR="00190F7C">
        <w:t xml:space="preserve"> </w:t>
      </w:r>
      <w:r w:rsidRPr="005E7240">
        <w:t xml:space="preserve">Immigrant Programs </w:t>
      </w:r>
      <w:r w:rsidR="00E835AC">
        <w:t>w</w:t>
      </w:r>
      <w:r w:rsidRPr="005E7240">
        <w:t xml:space="preserve">eb page at </w:t>
      </w:r>
      <w:hyperlink r:id="rId17" w:tooltip="Title 3 English Learner and Immigrant Programs web page" w:history="1">
        <w:r w:rsidR="00266623" w:rsidRPr="00266623">
          <w:rPr>
            <w:rStyle w:val="Hyperlink"/>
          </w:rPr>
          <w:t>https</w:t>
        </w:r>
        <w:r w:rsidR="00266623" w:rsidRPr="00A63423">
          <w:rPr>
            <w:rStyle w:val="Hyperlink"/>
          </w:rPr>
          <w:t>://www.cde.ca.gov/fg/aa/ca/titleiii.asp</w:t>
        </w:r>
      </w:hyperlink>
      <w:r w:rsidRPr="005E7240">
        <w:t>.</w:t>
      </w:r>
    </w:p>
    <w:p w14:paraId="31D0E123" w14:textId="51856AC3" w:rsidR="00FA0B3C" w:rsidRPr="005E7240" w:rsidRDefault="00FA0B3C" w:rsidP="00322F91">
      <w:pPr>
        <w:spacing w:before="240" w:after="240"/>
      </w:pPr>
      <w:r>
        <w:lastRenderedPageBreak/>
        <w:t xml:space="preserve">LEAs are not eligible for Immigrant Student </w:t>
      </w:r>
      <w:r w:rsidR="007E4018">
        <w:t xml:space="preserve">Program </w:t>
      </w:r>
      <w:r>
        <w:t xml:space="preserve">Subgrants </w:t>
      </w:r>
      <w:r w:rsidRPr="005E7240">
        <w:t>in cases where</w:t>
      </w:r>
      <w:r w:rsidR="0039390F">
        <w:t xml:space="preserve"> the</w:t>
      </w:r>
      <w:r w:rsidR="00322F91">
        <w:t>:</w:t>
      </w:r>
    </w:p>
    <w:p w14:paraId="513D4773" w14:textId="541A8F2E" w:rsidR="00FA0B3C" w:rsidRPr="005E7240" w:rsidRDefault="00FA0B3C" w:rsidP="00322F91">
      <w:pPr>
        <w:numPr>
          <w:ilvl w:val="0"/>
          <w:numId w:val="1"/>
        </w:numPr>
        <w:spacing w:before="240" w:after="240"/>
      </w:pPr>
      <w:r w:rsidRPr="005E7240">
        <w:t xml:space="preserve">LEA did not report the enrollment of </w:t>
      </w:r>
      <w:r w:rsidR="000E0D2D">
        <w:t>five</w:t>
      </w:r>
      <w:r w:rsidRPr="005E7240">
        <w:t xml:space="preserve"> or more immigrant students on Fall Census Day, </w:t>
      </w:r>
      <w:r w:rsidR="00E835AC">
        <w:t>(</w:t>
      </w:r>
      <w:r w:rsidRPr="005E7240">
        <w:t>the first Wednesday in October</w:t>
      </w:r>
      <w:r w:rsidR="00E835AC">
        <w:t xml:space="preserve"> 20</w:t>
      </w:r>
      <w:r w:rsidR="00290765">
        <w:t>2</w:t>
      </w:r>
      <w:r w:rsidR="006A0371">
        <w:t>5</w:t>
      </w:r>
      <w:r w:rsidR="00E835AC">
        <w:t>)</w:t>
      </w:r>
      <w:r w:rsidRPr="005E7240">
        <w:t xml:space="preserve"> in CALPADS;</w:t>
      </w:r>
      <w:r w:rsidR="001A12D6">
        <w:t xml:space="preserve"> or</w:t>
      </w:r>
    </w:p>
    <w:p w14:paraId="48B31611" w14:textId="4F35B2C2" w:rsidR="007B6E4B" w:rsidRPr="00911AFA" w:rsidRDefault="00266623" w:rsidP="002969C8">
      <w:pPr>
        <w:numPr>
          <w:ilvl w:val="0"/>
          <w:numId w:val="1"/>
        </w:numPr>
        <w:spacing w:before="240" w:after="240"/>
      </w:pPr>
      <w:r>
        <w:t>S</w:t>
      </w:r>
      <w:r w:rsidR="00FA0B3C" w:rsidRPr="005E7240">
        <w:t xml:space="preserve">ubmitted </w:t>
      </w:r>
      <w:bookmarkStart w:id="44" w:name="_Hlk103071449"/>
      <w:r w:rsidR="00FA0B3C" w:rsidRPr="005E7240">
        <w:t xml:space="preserve">data did not reflect </w:t>
      </w:r>
      <w:r w:rsidR="000E0D2D">
        <w:t>one half of one</w:t>
      </w:r>
      <w:r w:rsidR="0005139A">
        <w:t xml:space="preserve"> </w:t>
      </w:r>
      <w:r w:rsidR="00FA0B3C" w:rsidRPr="005E7240">
        <w:t>percent growth based on averaging two years (</w:t>
      </w:r>
      <w:r w:rsidR="007E4018">
        <w:t xml:space="preserve">FYs </w:t>
      </w:r>
      <w:r w:rsidR="00FA0B3C" w:rsidRPr="005E7240">
        <w:t>20</w:t>
      </w:r>
      <w:r w:rsidR="000F5C14">
        <w:t>2</w:t>
      </w:r>
      <w:r w:rsidR="006A0371">
        <w:t>3</w:t>
      </w:r>
      <w:r w:rsidR="00E835AC">
        <w:t>–</w:t>
      </w:r>
      <w:r w:rsidR="00B32073">
        <w:t>2</w:t>
      </w:r>
      <w:r w:rsidR="006A0371">
        <w:t>4</w:t>
      </w:r>
      <w:r w:rsidR="00FA0B3C" w:rsidRPr="005E7240">
        <w:t xml:space="preserve"> and 20</w:t>
      </w:r>
      <w:r w:rsidR="00B32073">
        <w:t>2</w:t>
      </w:r>
      <w:r w:rsidR="006A0371">
        <w:t>4</w:t>
      </w:r>
      <w:r w:rsidR="00E835AC">
        <w:t>–</w:t>
      </w:r>
      <w:r w:rsidR="00290765">
        <w:t>2</w:t>
      </w:r>
      <w:r w:rsidR="006A0371">
        <w:t>5</w:t>
      </w:r>
      <w:r w:rsidR="00FA0B3C" w:rsidRPr="005E7240">
        <w:t>) and comparing it to the third year (</w:t>
      </w:r>
      <w:r w:rsidR="007E4018">
        <w:t xml:space="preserve">FY </w:t>
      </w:r>
      <w:r w:rsidR="00FA0B3C" w:rsidRPr="005E7240">
        <w:t>20</w:t>
      </w:r>
      <w:r w:rsidR="00290765">
        <w:t>2</w:t>
      </w:r>
      <w:r w:rsidR="006A0371">
        <w:t>5</w:t>
      </w:r>
      <w:r w:rsidR="00E835AC">
        <w:t>–</w:t>
      </w:r>
      <w:r w:rsidR="00C354A5">
        <w:t>2</w:t>
      </w:r>
      <w:r w:rsidR="006A0371">
        <w:t>6</w:t>
      </w:r>
      <w:r w:rsidR="00FA0B3C" w:rsidRPr="005E7240">
        <w:t>).</w:t>
      </w:r>
      <w:bookmarkEnd w:id="27"/>
      <w:bookmarkEnd w:id="40"/>
      <w:bookmarkEnd w:id="41"/>
      <w:bookmarkEnd w:id="44"/>
    </w:p>
    <w:sectPr w:rsidR="007B6E4B" w:rsidRPr="00911AFA" w:rsidSect="006740A3">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C608" w14:textId="77777777" w:rsidR="00D53B22" w:rsidRDefault="00D53B22">
      <w:r>
        <w:separator/>
      </w:r>
    </w:p>
    <w:p w14:paraId="792FC804" w14:textId="77777777" w:rsidR="00D53B22" w:rsidRDefault="00D53B22"/>
  </w:endnote>
  <w:endnote w:type="continuationSeparator" w:id="0">
    <w:p w14:paraId="17EA67F0" w14:textId="77777777" w:rsidR="00D53B22" w:rsidRDefault="00D53B22">
      <w:r>
        <w:continuationSeparator/>
      </w:r>
    </w:p>
    <w:p w14:paraId="16A21FEE" w14:textId="77777777" w:rsidR="00D53B22" w:rsidRDefault="00D5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0340E" w14:textId="77777777" w:rsidR="006E7CBD" w:rsidRPr="006740A3" w:rsidRDefault="006E7CBD" w:rsidP="000960EE">
    <w:pPr>
      <w:pStyle w:val="Footer"/>
      <w:jc w:val="center"/>
    </w:pPr>
    <w:r w:rsidRPr="006740A3">
      <w:t xml:space="preserve">Page </w:t>
    </w:r>
    <w:r w:rsidRPr="006740A3">
      <w:fldChar w:fldCharType="begin"/>
    </w:r>
    <w:r w:rsidRPr="006740A3">
      <w:instrText xml:space="preserve"> PAGE </w:instrText>
    </w:r>
    <w:r w:rsidRPr="006740A3">
      <w:fldChar w:fldCharType="separate"/>
    </w:r>
    <w:r w:rsidR="00A65AF3">
      <w:rPr>
        <w:noProof/>
      </w:rPr>
      <w:t>1</w:t>
    </w:r>
    <w:r w:rsidRPr="006740A3">
      <w:fldChar w:fldCharType="end"/>
    </w:r>
    <w:r w:rsidRPr="006740A3">
      <w:t xml:space="preserve"> of </w:t>
    </w:r>
    <w:r w:rsidR="00DD4299">
      <w:fldChar w:fldCharType="begin"/>
    </w:r>
    <w:r w:rsidR="00DD4299">
      <w:instrText xml:space="preserve"> NUMPAGES </w:instrText>
    </w:r>
    <w:r w:rsidR="00DD4299">
      <w:fldChar w:fldCharType="separate"/>
    </w:r>
    <w:r w:rsidR="00A65AF3">
      <w:rPr>
        <w:noProof/>
      </w:rPr>
      <w:t>10</w:t>
    </w:r>
    <w:r w:rsidR="00DD42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74F4C" w14:textId="77777777" w:rsidR="00D53B22" w:rsidRDefault="00D53B22">
      <w:r>
        <w:separator/>
      </w:r>
    </w:p>
    <w:p w14:paraId="6389FA69" w14:textId="77777777" w:rsidR="00D53B22" w:rsidRDefault="00D53B22"/>
  </w:footnote>
  <w:footnote w:type="continuationSeparator" w:id="0">
    <w:p w14:paraId="430941A0" w14:textId="77777777" w:rsidR="00D53B22" w:rsidRDefault="00D53B22">
      <w:r>
        <w:continuationSeparator/>
      </w:r>
    </w:p>
    <w:p w14:paraId="552770D0" w14:textId="77777777" w:rsidR="00D53B22" w:rsidRDefault="00D53B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64BAF"/>
    <w:multiLevelType w:val="hybridMultilevel"/>
    <w:tmpl w:val="69F68584"/>
    <w:lvl w:ilvl="0" w:tplc="D7DE115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DD0231"/>
    <w:multiLevelType w:val="hybridMultilevel"/>
    <w:tmpl w:val="313C59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00162C"/>
    <w:multiLevelType w:val="hybridMultilevel"/>
    <w:tmpl w:val="B66A8ABC"/>
    <w:lvl w:ilvl="0" w:tplc="CABAEF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2B02A9"/>
    <w:multiLevelType w:val="hybridMultilevel"/>
    <w:tmpl w:val="77AC7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E65AE7"/>
    <w:multiLevelType w:val="hybridMultilevel"/>
    <w:tmpl w:val="4A3AEBDE"/>
    <w:lvl w:ilvl="0" w:tplc="624EDB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86CA3"/>
    <w:multiLevelType w:val="hybridMultilevel"/>
    <w:tmpl w:val="1EFAB328"/>
    <w:lvl w:ilvl="0" w:tplc="4B709DFA">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F3D99"/>
    <w:multiLevelType w:val="hybridMultilevel"/>
    <w:tmpl w:val="A6C683FE"/>
    <w:lvl w:ilvl="0" w:tplc="AAF2B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644B9"/>
    <w:multiLevelType w:val="hybridMultilevel"/>
    <w:tmpl w:val="93A22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A2360"/>
    <w:multiLevelType w:val="hybridMultilevel"/>
    <w:tmpl w:val="35A6686C"/>
    <w:lvl w:ilvl="0" w:tplc="1170675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669830C1"/>
    <w:multiLevelType w:val="hybridMultilevel"/>
    <w:tmpl w:val="0DB2E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82782C"/>
    <w:multiLevelType w:val="hybridMultilevel"/>
    <w:tmpl w:val="0E4CDF10"/>
    <w:lvl w:ilvl="0" w:tplc="9600252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5B22D1"/>
    <w:multiLevelType w:val="hybridMultilevel"/>
    <w:tmpl w:val="93CA5052"/>
    <w:lvl w:ilvl="0" w:tplc="04090005">
      <w:start w:val="1"/>
      <w:numFmt w:val="bullet"/>
      <w:lvlText w:val=""/>
      <w:lvlJc w:val="left"/>
      <w:pPr>
        <w:tabs>
          <w:tab w:val="num" w:pos="1152"/>
        </w:tabs>
        <w:ind w:left="1152" w:hanging="360"/>
      </w:pPr>
      <w:rPr>
        <w:rFonts w:ascii="Wingdings" w:hAnsi="Wingdings" w:hint="default"/>
      </w:rPr>
    </w:lvl>
    <w:lvl w:ilvl="1" w:tplc="C160F440">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6890973">
    <w:abstractNumId w:val="3"/>
  </w:num>
  <w:num w:numId="2" w16cid:durableId="1020544879">
    <w:abstractNumId w:val="1"/>
  </w:num>
  <w:num w:numId="3" w16cid:durableId="2048725029">
    <w:abstractNumId w:val="11"/>
  </w:num>
  <w:num w:numId="4" w16cid:durableId="1957062654">
    <w:abstractNumId w:val="9"/>
  </w:num>
  <w:num w:numId="5" w16cid:durableId="570239417">
    <w:abstractNumId w:val="8"/>
  </w:num>
  <w:num w:numId="6" w16cid:durableId="1832871760">
    <w:abstractNumId w:val="0"/>
  </w:num>
  <w:num w:numId="7" w16cid:durableId="1676609518">
    <w:abstractNumId w:val="2"/>
  </w:num>
  <w:num w:numId="8" w16cid:durableId="304823923">
    <w:abstractNumId w:val="10"/>
  </w:num>
  <w:num w:numId="9" w16cid:durableId="1996294747">
    <w:abstractNumId w:val="5"/>
  </w:num>
  <w:num w:numId="10" w16cid:durableId="2109884706">
    <w:abstractNumId w:val="6"/>
  </w:num>
  <w:num w:numId="11" w16cid:durableId="299962528">
    <w:abstractNumId w:val="7"/>
  </w:num>
  <w:num w:numId="12" w16cid:durableId="14589089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C0"/>
    <w:rsid w:val="000006EE"/>
    <w:rsid w:val="00001109"/>
    <w:rsid w:val="00002BF3"/>
    <w:rsid w:val="000047F7"/>
    <w:rsid w:val="00004F80"/>
    <w:rsid w:val="00006265"/>
    <w:rsid w:val="000115A9"/>
    <w:rsid w:val="00012EA1"/>
    <w:rsid w:val="000146AF"/>
    <w:rsid w:val="000164C9"/>
    <w:rsid w:val="00016DA3"/>
    <w:rsid w:val="000223D0"/>
    <w:rsid w:val="0002452C"/>
    <w:rsid w:val="0002539F"/>
    <w:rsid w:val="00025FC3"/>
    <w:rsid w:val="000266E4"/>
    <w:rsid w:val="000273BA"/>
    <w:rsid w:val="000306A0"/>
    <w:rsid w:val="0003168E"/>
    <w:rsid w:val="00032923"/>
    <w:rsid w:val="00032E61"/>
    <w:rsid w:val="00035256"/>
    <w:rsid w:val="00042865"/>
    <w:rsid w:val="0004475B"/>
    <w:rsid w:val="00044FEA"/>
    <w:rsid w:val="000460BB"/>
    <w:rsid w:val="000460F4"/>
    <w:rsid w:val="0004614E"/>
    <w:rsid w:val="00047841"/>
    <w:rsid w:val="000503CF"/>
    <w:rsid w:val="00050CEF"/>
    <w:rsid w:val="0005139A"/>
    <w:rsid w:val="00051646"/>
    <w:rsid w:val="00052D9D"/>
    <w:rsid w:val="00054647"/>
    <w:rsid w:val="0005489A"/>
    <w:rsid w:val="0005564C"/>
    <w:rsid w:val="00061232"/>
    <w:rsid w:val="00063C5A"/>
    <w:rsid w:val="00063C99"/>
    <w:rsid w:val="0006511F"/>
    <w:rsid w:val="00065948"/>
    <w:rsid w:val="000748FA"/>
    <w:rsid w:val="00074DFE"/>
    <w:rsid w:val="00076073"/>
    <w:rsid w:val="00077F5D"/>
    <w:rsid w:val="00080201"/>
    <w:rsid w:val="00082721"/>
    <w:rsid w:val="00086B17"/>
    <w:rsid w:val="0009141C"/>
    <w:rsid w:val="000943F1"/>
    <w:rsid w:val="00094840"/>
    <w:rsid w:val="000960EE"/>
    <w:rsid w:val="000A02F2"/>
    <w:rsid w:val="000A326E"/>
    <w:rsid w:val="000A6EC7"/>
    <w:rsid w:val="000A76C6"/>
    <w:rsid w:val="000A7938"/>
    <w:rsid w:val="000B3F5D"/>
    <w:rsid w:val="000B4CC0"/>
    <w:rsid w:val="000B667A"/>
    <w:rsid w:val="000B76A7"/>
    <w:rsid w:val="000C1C8D"/>
    <w:rsid w:val="000C263F"/>
    <w:rsid w:val="000C741B"/>
    <w:rsid w:val="000D2938"/>
    <w:rsid w:val="000D4D96"/>
    <w:rsid w:val="000E0D2D"/>
    <w:rsid w:val="000E1D0D"/>
    <w:rsid w:val="000E1E25"/>
    <w:rsid w:val="000E23B8"/>
    <w:rsid w:val="000E43C2"/>
    <w:rsid w:val="000E4666"/>
    <w:rsid w:val="000E49E8"/>
    <w:rsid w:val="000F163C"/>
    <w:rsid w:val="000F1B47"/>
    <w:rsid w:val="000F5C14"/>
    <w:rsid w:val="001001B3"/>
    <w:rsid w:val="00103CB5"/>
    <w:rsid w:val="001041CC"/>
    <w:rsid w:val="001049AF"/>
    <w:rsid w:val="001056AD"/>
    <w:rsid w:val="00106CF0"/>
    <w:rsid w:val="00107000"/>
    <w:rsid w:val="001107C5"/>
    <w:rsid w:val="00110BFB"/>
    <w:rsid w:val="0011219A"/>
    <w:rsid w:val="00113B06"/>
    <w:rsid w:val="00114C9A"/>
    <w:rsid w:val="0011585C"/>
    <w:rsid w:val="0012446D"/>
    <w:rsid w:val="00127B79"/>
    <w:rsid w:val="0013156B"/>
    <w:rsid w:val="001344ED"/>
    <w:rsid w:val="00142243"/>
    <w:rsid w:val="00144224"/>
    <w:rsid w:val="001445C4"/>
    <w:rsid w:val="00146BA9"/>
    <w:rsid w:val="00152D3A"/>
    <w:rsid w:val="0015496D"/>
    <w:rsid w:val="00155B28"/>
    <w:rsid w:val="001563A2"/>
    <w:rsid w:val="00157C41"/>
    <w:rsid w:val="001612DB"/>
    <w:rsid w:val="001635B3"/>
    <w:rsid w:val="00164218"/>
    <w:rsid w:val="001650E0"/>
    <w:rsid w:val="0016623D"/>
    <w:rsid w:val="00177027"/>
    <w:rsid w:val="00180466"/>
    <w:rsid w:val="0018100D"/>
    <w:rsid w:val="00181648"/>
    <w:rsid w:val="00183B69"/>
    <w:rsid w:val="0018425B"/>
    <w:rsid w:val="00187D21"/>
    <w:rsid w:val="001909D0"/>
    <w:rsid w:val="00190F7C"/>
    <w:rsid w:val="00192103"/>
    <w:rsid w:val="0019236D"/>
    <w:rsid w:val="0019455C"/>
    <w:rsid w:val="00194D9D"/>
    <w:rsid w:val="001963A0"/>
    <w:rsid w:val="001A12D6"/>
    <w:rsid w:val="001A608A"/>
    <w:rsid w:val="001B1150"/>
    <w:rsid w:val="001B117A"/>
    <w:rsid w:val="001B11C4"/>
    <w:rsid w:val="001B12A4"/>
    <w:rsid w:val="001B5056"/>
    <w:rsid w:val="001B5699"/>
    <w:rsid w:val="001B5F8A"/>
    <w:rsid w:val="001B70E7"/>
    <w:rsid w:val="001C5878"/>
    <w:rsid w:val="001D0C83"/>
    <w:rsid w:val="001D259C"/>
    <w:rsid w:val="001D6048"/>
    <w:rsid w:val="001E0969"/>
    <w:rsid w:val="001E26F9"/>
    <w:rsid w:val="001E27E5"/>
    <w:rsid w:val="001E2933"/>
    <w:rsid w:val="001E2F81"/>
    <w:rsid w:val="001E438E"/>
    <w:rsid w:val="001E53E8"/>
    <w:rsid w:val="001E6034"/>
    <w:rsid w:val="001E7DAA"/>
    <w:rsid w:val="001F069E"/>
    <w:rsid w:val="001F5293"/>
    <w:rsid w:val="00200770"/>
    <w:rsid w:val="00201D60"/>
    <w:rsid w:val="00203BCA"/>
    <w:rsid w:val="00206D6A"/>
    <w:rsid w:val="0021111A"/>
    <w:rsid w:val="00212C74"/>
    <w:rsid w:val="002130BE"/>
    <w:rsid w:val="00214C53"/>
    <w:rsid w:val="002156C6"/>
    <w:rsid w:val="002220BB"/>
    <w:rsid w:val="0022357B"/>
    <w:rsid w:val="00223B30"/>
    <w:rsid w:val="00223D10"/>
    <w:rsid w:val="0022414A"/>
    <w:rsid w:val="002259E3"/>
    <w:rsid w:val="00226F1D"/>
    <w:rsid w:val="002300C0"/>
    <w:rsid w:val="00233F49"/>
    <w:rsid w:val="00235428"/>
    <w:rsid w:val="00236C89"/>
    <w:rsid w:val="002437BF"/>
    <w:rsid w:val="00245F55"/>
    <w:rsid w:val="002474E3"/>
    <w:rsid w:val="002525EC"/>
    <w:rsid w:val="00252CC4"/>
    <w:rsid w:val="002545CC"/>
    <w:rsid w:val="002556C0"/>
    <w:rsid w:val="0025717B"/>
    <w:rsid w:val="00257545"/>
    <w:rsid w:val="002601E3"/>
    <w:rsid w:val="00263C31"/>
    <w:rsid w:val="00264ED2"/>
    <w:rsid w:val="00266623"/>
    <w:rsid w:val="00270CB4"/>
    <w:rsid w:val="00271BDE"/>
    <w:rsid w:val="002737C6"/>
    <w:rsid w:val="00275BD9"/>
    <w:rsid w:val="00275ED1"/>
    <w:rsid w:val="00276F7B"/>
    <w:rsid w:val="002773CB"/>
    <w:rsid w:val="00277454"/>
    <w:rsid w:val="002776EA"/>
    <w:rsid w:val="0028365B"/>
    <w:rsid w:val="002849A5"/>
    <w:rsid w:val="00287A6D"/>
    <w:rsid w:val="00290765"/>
    <w:rsid w:val="00290B93"/>
    <w:rsid w:val="002913E7"/>
    <w:rsid w:val="00294203"/>
    <w:rsid w:val="00296D4F"/>
    <w:rsid w:val="00297A10"/>
    <w:rsid w:val="00297A24"/>
    <w:rsid w:val="002A0DD6"/>
    <w:rsid w:val="002A1B00"/>
    <w:rsid w:val="002A3E36"/>
    <w:rsid w:val="002B2B9C"/>
    <w:rsid w:val="002B3A77"/>
    <w:rsid w:val="002B610A"/>
    <w:rsid w:val="002C13C7"/>
    <w:rsid w:val="002C1451"/>
    <w:rsid w:val="002C3605"/>
    <w:rsid w:val="002C4FFF"/>
    <w:rsid w:val="002C5BF0"/>
    <w:rsid w:val="002C7154"/>
    <w:rsid w:val="002D1E1C"/>
    <w:rsid w:val="002D7D02"/>
    <w:rsid w:val="002E2CD1"/>
    <w:rsid w:val="002F1B50"/>
    <w:rsid w:val="002F2F43"/>
    <w:rsid w:val="002F59A8"/>
    <w:rsid w:val="00300840"/>
    <w:rsid w:val="0030085D"/>
    <w:rsid w:val="00300F37"/>
    <w:rsid w:val="00302CE3"/>
    <w:rsid w:val="00303020"/>
    <w:rsid w:val="003031D7"/>
    <w:rsid w:val="003059EE"/>
    <w:rsid w:val="00314957"/>
    <w:rsid w:val="0031618A"/>
    <w:rsid w:val="0031733A"/>
    <w:rsid w:val="00320758"/>
    <w:rsid w:val="00320C1D"/>
    <w:rsid w:val="00321F13"/>
    <w:rsid w:val="00322F91"/>
    <w:rsid w:val="003273BC"/>
    <w:rsid w:val="00331978"/>
    <w:rsid w:val="00332BC9"/>
    <w:rsid w:val="00332C94"/>
    <w:rsid w:val="00333CAD"/>
    <w:rsid w:val="00335B06"/>
    <w:rsid w:val="00337ECA"/>
    <w:rsid w:val="0034023C"/>
    <w:rsid w:val="00342C8B"/>
    <w:rsid w:val="003433F7"/>
    <w:rsid w:val="00345F66"/>
    <w:rsid w:val="0035039D"/>
    <w:rsid w:val="00352A5D"/>
    <w:rsid w:val="003606BD"/>
    <w:rsid w:val="00360C5A"/>
    <w:rsid w:val="00362134"/>
    <w:rsid w:val="00362622"/>
    <w:rsid w:val="00363AB1"/>
    <w:rsid w:val="0036738F"/>
    <w:rsid w:val="00367ACE"/>
    <w:rsid w:val="00372171"/>
    <w:rsid w:val="00384837"/>
    <w:rsid w:val="0038683F"/>
    <w:rsid w:val="003872E4"/>
    <w:rsid w:val="00391A72"/>
    <w:rsid w:val="00391CD1"/>
    <w:rsid w:val="0039390F"/>
    <w:rsid w:val="00394BBC"/>
    <w:rsid w:val="00396500"/>
    <w:rsid w:val="00396F54"/>
    <w:rsid w:val="003A419F"/>
    <w:rsid w:val="003A767B"/>
    <w:rsid w:val="003B1DA9"/>
    <w:rsid w:val="003B1F4D"/>
    <w:rsid w:val="003B3D3D"/>
    <w:rsid w:val="003B462C"/>
    <w:rsid w:val="003B710D"/>
    <w:rsid w:val="003B784E"/>
    <w:rsid w:val="003C6C7D"/>
    <w:rsid w:val="003C77B7"/>
    <w:rsid w:val="003D1E05"/>
    <w:rsid w:val="003D38DB"/>
    <w:rsid w:val="003D3978"/>
    <w:rsid w:val="003D4F0D"/>
    <w:rsid w:val="003E05C0"/>
    <w:rsid w:val="003E196F"/>
    <w:rsid w:val="003E2B13"/>
    <w:rsid w:val="003E50CE"/>
    <w:rsid w:val="003E7BDF"/>
    <w:rsid w:val="003F339B"/>
    <w:rsid w:val="003F369D"/>
    <w:rsid w:val="003F399A"/>
    <w:rsid w:val="003F488D"/>
    <w:rsid w:val="00400513"/>
    <w:rsid w:val="00410EAF"/>
    <w:rsid w:val="0041203C"/>
    <w:rsid w:val="00413D17"/>
    <w:rsid w:val="004144B9"/>
    <w:rsid w:val="004221D6"/>
    <w:rsid w:val="004235DA"/>
    <w:rsid w:val="00423E99"/>
    <w:rsid w:val="004246C6"/>
    <w:rsid w:val="00425375"/>
    <w:rsid w:val="00425708"/>
    <w:rsid w:val="004318FC"/>
    <w:rsid w:val="0043236F"/>
    <w:rsid w:val="004329CC"/>
    <w:rsid w:val="00433069"/>
    <w:rsid w:val="00434502"/>
    <w:rsid w:val="004378F2"/>
    <w:rsid w:val="004432EB"/>
    <w:rsid w:val="0044516A"/>
    <w:rsid w:val="00445D30"/>
    <w:rsid w:val="004471C2"/>
    <w:rsid w:val="00451FC0"/>
    <w:rsid w:val="004542BB"/>
    <w:rsid w:val="00454715"/>
    <w:rsid w:val="004552B4"/>
    <w:rsid w:val="00457C9C"/>
    <w:rsid w:val="00457E50"/>
    <w:rsid w:val="00472B03"/>
    <w:rsid w:val="0047750F"/>
    <w:rsid w:val="004929BB"/>
    <w:rsid w:val="004969D1"/>
    <w:rsid w:val="004970AC"/>
    <w:rsid w:val="004A134C"/>
    <w:rsid w:val="004A18F6"/>
    <w:rsid w:val="004A2F0A"/>
    <w:rsid w:val="004A36FF"/>
    <w:rsid w:val="004A4123"/>
    <w:rsid w:val="004A58FF"/>
    <w:rsid w:val="004A5E63"/>
    <w:rsid w:val="004A67E5"/>
    <w:rsid w:val="004B1DC3"/>
    <w:rsid w:val="004B2B63"/>
    <w:rsid w:val="004B4B73"/>
    <w:rsid w:val="004B77EC"/>
    <w:rsid w:val="004C05C5"/>
    <w:rsid w:val="004C199A"/>
    <w:rsid w:val="004C5E06"/>
    <w:rsid w:val="004D5D6E"/>
    <w:rsid w:val="004E435F"/>
    <w:rsid w:val="004E4F70"/>
    <w:rsid w:val="004E54B7"/>
    <w:rsid w:val="004E75C0"/>
    <w:rsid w:val="004F08DA"/>
    <w:rsid w:val="004F1D39"/>
    <w:rsid w:val="004F6806"/>
    <w:rsid w:val="004F6C04"/>
    <w:rsid w:val="00500CC5"/>
    <w:rsid w:val="00501691"/>
    <w:rsid w:val="00501B1F"/>
    <w:rsid w:val="00504B00"/>
    <w:rsid w:val="00511D39"/>
    <w:rsid w:val="00512CFA"/>
    <w:rsid w:val="005132C8"/>
    <w:rsid w:val="00514DFD"/>
    <w:rsid w:val="005151B0"/>
    <w:rsid w:val="005166B1"/>
    <w:rsid w:val="00517BBC"/>
    <w:rsid w:val="00522793"/>
    <w:rsid w:val="0052424A"/>
    <w:rsid w:val="005246E6"/>
    <w:rsid w:val="005259FD"/>
    <w:rsid w:val="00526651"/>
    <w:rsid w:val="0052757C"/>
    <w:rsid w:val="00527914"/>
    <w:rsid w:val="0053023B"/>
    <w:rsid w:val="0053137E"/>
    <w:rsid w:val="00534F76"/>
    <w:rsid w:val="00535078"/>
    <w:rsid w:val="00535915"/>
    <w:rsid w:val="00535E54"/>
    <w:rsid w:val="00540877"/>
    <w:rsid w:val="00541BB5"/>
    <w:rsid w:val="005476DB"/>
    <w:rsid w:val="00550E83"/>
    <w:rsid w:val="00551555"/>
    <w:rsid w:val="00553968"/>
    <w:rsid w:val="005567F6"/>
    <w:rsid w:val="00560304"/>
    <w:rsid w:val="005622F1"/>
    <w:rsid w:val="00562FEA"/>
    <w:rsid w:val="005636B2"/>
    <w:rsid w:val="00563DA8"/>
    <w:rsid w:val="005652B7"/>
    <w:rsid w:val="005661F2"/>
    <w:rsid w:val="00567EFD"/>
    <w:rsid w:val="0057082B"/>
    <w:rsid w:val="00571BC8"/>
    <w:rsid w:val="005722CD"/>
    <w:rsid w:val="00573129"/>
    <w:rsid w:val="00574795"/>
    <w:rsid w:val="005747F7"/>
    <w:rsid w:val="0057481D"/>
    <w:rsid w:val="00575BD8"/>
    <w:rsid w:val="00575F0E"/>
    <w:rsid w:val="00576C2A"/>
    <w:rsid w:val="00582FF4"/>
    <w:rsid w:val="0058302D"/>
    <w:rsid w:val="00584F35"/>
    <w:rsid w:val="00585AAD"/>
    <w:rsid w:val="00587796"/>
    <w:rsid w:val="005933C8"/>
    <w:rsid w:val="00594EF4"/>
    <w:rsid w:val="00596219"/>
    <w:rsid w:val="005A011D"/>
    <w:rsid w:val="005A468E"/>
    <w:rsid w:val="005A56AF"/>
    <w:rsid w:val="005A709C"/>
    <w:rsid w:val="005B1313"/>
    <w:rsid w:val="005B3334"/>
    <w:rsid w:val="005B3F35"/>
    <w:rsid w:val="005B3F98"/>
    <w:rsid w:val="005B6CF9"/>
    <w:rsid w:val="005B6F2F"/>
    <w:rsid w:val="005C00D9"/>
    <w:rsid w:val="005C0C51"/>
    <w:rsid w:val="005C171F"/>
    <w:rsid w:val="005C61E2"/>
    <w:rsid w:val="005D695C"/>
    <w:rsid w:val="005E084C"/>
    <w:rsid w:val="005E1AC1"/>
    <w:rsid w:val="005E3950"/>
    <w:rsid w:val="005E4819"/>
    <w:rsid w:val="005E7240"/>
    <w:rsid w:val="005F389F"/>
    <w:rsid w:val="005F543C"/>
    <w:rsid w:val="005F7681"/>
    <w:rsid w:val="006038A5"/>
    <w:rsid w:val="00603AD0"/>
    <w:rsid w:val="00604253"/>
    <w:rsid w:val="006061AE"/>
    <w:rsid w:val="006170FB"/>
    <w:rsid w:val="006204AD"/>
    <w:rsid w:val="00621A09"/>
    <w:rsid w:val="00621BB1"/>
    <w:rsid w:val="00622125"/>
    <w:rsid w:val="00632C4A"/>
    <w:rsid w:val="00632D92"/>
    <w:rsid w:val="006330A8"/>
    <w:rsid w:val="00636F6C"/>
    <w:rsid w:val="006406FF"/>
    <w:rsid w:val="0064280D"/>
    <w:rsid w:val="00642D4C"/>
    <w:rsid w:val="00645215"/>
    <w:rsid w:val="00647D85"/>
    <w:rsid w:val="006506F0"/>
    <w:rsid w:val="00654C44"/>
    <w:rsid w:val="006551EE"/>
    <w:rsid w:val="0065521A"/>
    <w:rsid w:val="00655315"/>
    <w:rsid w:val="006555C0"/>
    <w:rsid w:val="0065615C"/>
    <w:rsid w:val="006576FB"/>
    <w:rsid w:val="0066094A"/>
    <w:rsid w:val="00661ADA"/>
    <w:rsid w:val="006658F1"/>
    <w:rsid w:val="006704AD"/>
    <w:rsid w:val="006721E5"/>
    <w:rsid w:val="006740A3"/>
    <w:rsid w:val="00677331"/>
    <w:rsid w:val="00677594"/>
    <w:rsid w:val="006825C1"/>
    <w:rsid w:val="00683534"/>
    <w:rsid w:val="00683894"/>
    <w:rsid w:val="00684379"/>
    <w:rsid w:val="0068518E"/>
    <w:rsid w:val="0068712E"/>
    <w:rsid w:val="0069043C"/>
    <w:rsid w:val="00690B17"/>
    <w:rsid w:val="00691465"/>
    <w:rsid w:val="00691989"/>
    <w:rsid w:val="00692DF2"/>
    <w:rsid w:val="00693501"/>
    <w:rsid w:val="00695E0A"/>
    <w:rsid w:val="006968CB"/>
    <w:rsid w:val="006A0371"/>
    <w:rsid w:val="006A1A20"/>
    <w:rsid w:val="006B022B"/>
    <w:rsid w:val="006B108B"/>
    <w:rsid w:val="006B6677"/>
    <w:rsid w:val="006B68C0"/>
    <w:rsid w:val="006B6F19"/>
    <w:rsid w:val="006C0517"/>
    <w:rsid w:val="006C2277"/>
    <w:rsid w:val="006C476A"/>
    <w:rsid w:val="006C4955"/>
    <w:rsid w:val="006C4FD7"/>
    <w:rsid w:val="006C5761"/>
    <w:rsid w:val="006C713F"/>
    <w:rsid w:val="006C7466"/>
    <w:rsid w:val="006D35BF"/>
    <w:rsid w:val="006E22EB"/>
    <w:rsid w:val="006E7373"/>
    <w:rsid w:val="006E7CBD"/>
    <w:rsid w:val="006F33ED"/>
    <w:rsid w:val="006F462D"/>
    <w:rsid w:val="006F6AA0"/>
    <w:rsid w:val="006F7E8F"/>
    <w:rsid w:val="007008DB"/>
    <w:rsid w:val="00702910"/>
    <w:rsid w:val="007037DF"/>
    <w:rsid w:val="00704646"/>
    <w:rsid w:val="00706D67"/>
    <w:rsid w:val="007076BF"/>
    <w:rsid w:val="007106EC"/>
    <w:rsid w:val="00711CCF"/>
    <w:rsid w:val="00712E4D"/>
    <w:rsid w:val="007134F2"/>
    <w:rsid w:val="00717D26"/>
    <w:rsid w:val="00720A4B"/>
    <w:rsid w:val="007231EC"/>
    <w:rsid w:val="0072425B"/>
    <w:rsid w:val="007311E2"/>
    <w:rsid w:val="00732187"/>
    <w:rsid w:val="00732AA1"/>
    <w:rsid w:val="00743E8F"/>
    <w:rsid w:val="00745E91"/>
    <w:rsid w:val="00747470"/>
    <w:rsid w:val="00750B7C"/>
    <w:rsid w:val="007513F8"/>
    <w:rsid w:val="007535CD"/>
    <w:rsid w:val="00753F66"/>
    <w:rsid w:val="00757BD9"/>
    <w:rsid w:val="007627C6"/>
    <w:rsid w:val="00762D11"/>
    <w:rsid w:val="00763FDA"/>
    <w:rsid w:val="007641BC"/>
    <w:rsid w:val="0076511C"/>
    <w:rsid w:val="00771757"/>
    <w:rsid w:val="00774553"/>
    <w:rsid w:val="00776D79"/>
    <w:rsid w:val="00777B6C"/>
    <w:rsid w:val="00780303"/>
    <w:rsid w:val="0078043F"/>
    <w:rsid w:val="007826B2"/>
    <w:rsid w:val="0078304F"/>
    <w:rsid w:val="007831E4"/>
    <w:rsid w:val="0078517B"/>
    <w:rsid w:val="00786EF4"/>
    <w:rsid w:val="00787E0F"/>
    <w:rsid w:val="00787FF7"/>
    <w:rsid w:val="00790CEE"/>
    <w:rsid w:val="007912DA"/>
    <w:rsid w:val="00792788"/>
    <w:rsid w:val="0079463E"/>
    <w:rsid w:val="00795F4A"/>
    <w:rsid w:val="00797050"/>
    <w:rsid w:val="00797A47"/>
    <w:rsid w:val="007A0408"/>
    <w:rsid w:val="007A42C6"/>
    <w:rsid w:val="007B1251"/>
    <w:rsid w:val="007B3EF9"/>
    <w:rsid w:val="007B4361"/>
    <w:rsid w:val="007B6E4B"/>
    <w:rsid w:val="007B7092"/>
    <w:rsid w:val="007C1CD4"/>
    <w:rsid w:val="007C25E7"/>
    <w:rsid w:val="007C5CAC"/>
    <w:rsid w:val="007C638D"/>
    <w:rsid w:val="007C7A10"/>
    <w:rsid w:val="007D2025"/>
    <w:rsid w:val="007D60C5"/>
    <w:rsid w:val="007E300E"/>
    <w:rsid w:val="007E4018"/>
    <w:rsid w:val="007F063B"/>
    <w:rsid w:val="007F0FC1"/>
    <w:rsid w:val="007F3F3C"/>
    <w:rsid w:val="007F417F"/>
    <w:rsid w:val="007F6B9A"/>
    <w:rsid w:val="007F6E07"/>
    <w:rsid w:val="007F7CE3"/>
    <w:rsid w:val="00800795"/>
    <w:rsid w:val="00801848"/>
    <w:rsid w:val="00802921"/>
    <w:rsid w:val="008030FC"/>
    <w:rsid w:val="0080542E"/>
    <w:rsid w:val="0080662E"/>
    <w:rsid w:val="00806690"/>
    <w:rsid w:val="008077C9"/>
    <w:rsid w:val="00815748"/>
    <w:rsid w:val="0082162B"/>
    <w:rsid w:val="008217A7"/>
    <w:rsid w:val="008252EA"/>
    <w:rsid w:val="008253B6"/>
    <w:rsid w:val="008267EF"/>
    <w:rsid w:val="0083087B"/>
    <w:rsid w:val="00832C0B"/>
    <w:rsid w:val="00844D1E"/>
    <w:rsid w:val="0084539C"/>
    <w:rsid w:val="008531B5"/>
    <w:rsid w:val="00854F7D"/>
    <w:rsid w:val="0085570E"/>
    <w:rsid w:val="0085735B"/>
    <w:rsid w:val="00857A76"/>
    <w:rsid w:val="00860CAD"/>
    <w:rsid w:val="00861677"/>
    <w:rsid w:val="00863A9C"/>
    <w:rsid w:val="00870901"/>
    <w:rsid w:val="00871726"/>
    <w:rsid w:val="0087261B"/>
    <w:rsid w:val="00875990"/>
    <w:rsid w:val="008809A5"/>
    <w:rsid w:val="00881540"/>
    <w:rsid w:val="008816E0"/>
    <w:rsid w:val="00883888"/>
    <w:rsid w:val="008847CB"/>
    <w:rsid w:val="00884D59"/>
    <w:rsid w:val="008914CD"/>
    <w:rsid w:val="00891522"/>
    <w:rsid w:val="0089166D"/>
    <w:rsid w:val="00891D36"/>
    <w:rsid w:val="00892B42"/>
    <w:rsid w:val="00894D06"/>
    <w:rsid w:val="008A0F74"/>
    <w:rsid w:val="008A17CC"/>
    <w:rsid w:val="008A2A3A"/>
    <w:rsid w:val="008A3B9E"/>
    <w:rsid w:val="008A3D9B"/>
    <w:rsid w:val="008A5726"/>
    <w:rsid w:val="008A622F"/>
    <w:rsid w:val="008A6FEB"/>
    <w:rsid w:val="008A71C7"/>
    <w:rsid w:val="008A729B"/>
    <w:rsid w:val="008A7C1C"/>
    <w:rsid w:val="008B0477"/>
    <w:rsid w:val="008B4FC2"/>
    <w:rsid w:val="008B670A"/>
    <w:rsid w:val="008B67E0"/>
    <w:rsid w:val="008B6B66"/>
    <w:rsid w:val="008C1D75"/>
    <w:rsid w:val="008D0F60"/>
    <w:rsid w:val="008D400C"/>
    <w:rsid w:val="008D4F6E"/>
    <w:rsid w:val="008D5966"/>
    <w:rsid w:val="008D70B5"/>
    <w:rsid w:val="008D7F9E"/>
    <w:rsid w:val="008E4873"/>
    <w:rsid w:val="008F6E97"/>
    <w:rsid w:val="00903938"/>
    <w:rsid w:val="00904146"/>
    <w:rsid w:val="00904AA7"/>
    <w:rsid w:val="00904AC1"/>
    <w:rsid w:val="00904F3C"/>
    <w:rsid w:val="00905C24"/>
    <w:rsid w:val="00905D9A"/>
    <w:rsid w:val="00907B5E"/>
    <w:rsid w:val="009104DD"/>
    <w:rsid w:val="00911AFA"/>
    <w:rsid w:val="009122BA"/>
    <w:rsid w:val="00912B7C"/>
    <w:rsid w:val="00915918"/>
    <w:rsid w:val="0092201A"/>
    <w:rsid w:val="009255A1"/>
    <w:rsid w:val="0092654D"/>
    <w:rsid w:val="00927CBB"/>
    <w:rsid w:val="009312BB"/>
    <w:rsid w:val="00935971"/>
    <w:rsid w:val="0093645B"/>
    <w:rsid w:val="00936571"/>
    <w:rsid w:val="00936655"/>
    <w:rsid w:val="00937341"/>
    <w:rsid w:val="00937AA5"/>
    <w:rsid w:val="00940194"/>
    <w:rsid w:val="00943250"/>
    <w:rsid w:val="00944F35"/>
    <w:rsid w:val="00945173"/>
    <w:rsid w:val="00946B70"/>
    <w:rsid w:val="00946F2A"/>
    <w:rsid w:val="00950120"/>
    <w:rsid w:val="009517E5"/>
    <w:rsid w:val="0095182F"/>
    <w:rsid w:val="00951B46"/>
    <w:rsid w:val="00952413"/>
    <w:rsid w:val="00952416"/>
    <w:rsid w:val="00956D80"/>
    <w:rsid w:val="00965720"/>
    <w:rsid w:val="00965A8A"/>
    <w:rsid w:val="00966702"/>
    <w:rsid w:val="009722C9"/>
    <w:rsid w:val="00974D45"/>
    <w:rsid w:val="00974EAA"/>
    <w:rsid w:val="009770D3"/>
    <w:rsid w:val="009823CA"/>
    <w:rsid w:val="00983167"/>
    <w:rsid w:val="00983242"/>
    <w:rsid w:val="0098345A"/>
    <w:rsid w:val="00985A2C"/>
    <w:rsid w:val="00985F2F"/>
    <w:rsid w:val="00987518"/>
    <w:rsid w:val="00987CB2"/>
    <w:rsid w:val="00992490"/>
    <w:rsid w:val="009926FC"/>
    <w:rsid w:val="009933C5"/>
    <w:rsid w:val="00994E9F"/>
    <w:rsid w:val="009A3616"/>
    <w:rsid w:val="009A642C"/>
    <w:rsid w:val="009A722E"/>
    <w:rsid w:val="009B1094"/>
    <w:rsid w:val="009B4BB9"/>
    <w:rsid w:val="009B7F23"/>
    <w:rsid w:val="009C3901"/>
    <w:rsid w:val="009C7CA2"/>
    <w:rsid w:val="009D2F2E"/>
    <w:rsid w:val="009D3676"/>
    <w:rsid w:val="009D4F06"/>
    <w:rsid w:val="009E17C9"/>
    <w:rsid w:val="009E4BB0"/>
    <w:rsid w:val="009E6813"/>
    <w:rsid w:val="009E7302"/>
    <w:rsid w:val="009F6F07"/>
    <w:rsid w:val="009F7577"/>
    <w:rsid w:val="00A009F3"/>
    <w:rsid w:val="00A00FD6"/>
    <w:rsid w:val="00A04648"/>
    <w:rsid w:val="00A1053D"/>
    <w:rsid w:val="00A13267"/>
    <w:rsid w:val="00A153F1"/>
    <w:rsid w:val="00A1708D"/>
    <w:rsid w:val="00A2562A"/>
    <w:rsid w:val="00A26A57"/>
    <w:rsid w:val="00A271F9"/>
    <w:rsid w:val="00A3022B"/>
    <w:rsid w:val="00A3041D"/>
    <w:rsid w:val="00A318E0"/>
    <w:rsid w:val="00A31914"/>
    <w:rsid w:val="00A332E2"/>
    <w:rsid w:val="00A35548"/>
    <w:rsid w:val="00A36317"/>
    <w:rsid w:val="00A40E96"/>
    <w:rsid w:val="00A41AC0"/>
    <w:rsid w:val="00A43F18"/>
    <w:rsid w:val="00A454ED"/>
    <w:rsid w:val="00A5303F"/>
    <w:rsid w:val="00A536A6"/>
    <w:rsid w:val="00A54967"/>
    <w:rsid w:val="00A5751A"/>
    <w:rsid w:val="00A579EA"/>
    <w:rsid w:val="00A600F1"/>
    <w:rsid w:val="00A603EF"/>
    <w:rsid w:val="00A60CAD"/>
    <w:rsid w:val="00A6157E"/>
    <w:rsid w:val="00A616B4"/>
    <w:rsid w:val="00A65AF3"/>
    <w:rsid w:val="00A661CD"/>
    <w:rsid w:val="00A671CD"/>
    <w:rsid w:val="00A7443E"/>
    <w:rsid w:val="00A74E66"/>
    <w:rsid w:val="00A77C9B"/>
    <w:rsid w:val="00A82AA1"/>
    <w:rsid w:val="00A87DF7"/>
    <w:rsid w:val="00A92D8A"/>
    <w:rsid w:val="00A93BD0"/>
    <w:rsid w:val="00A94A0F"/>
    <w:rsid w:val="00AB0343"/>
    <w:rsid w:val="00AB191B"/>
    <w:rsid w:val="00AB3131"/>
    <w:rsid w:val="00AB46E0"/>
    <w:rsid w:val="00AB5795"/>
    <w:rsid w:val="00AC1188"/>
    <w:rsid w:val="00AC4F95"/>
    <w:rsid w:val="00AC5269"/>
    <w:rsid w:val="00AC5F2A"/>
    <w:rsid w:val="00AC70EB"/>
    <w:rsid w:val="00AD0AC4"/>
    <w:rsid w:val="00AD3DB4"/>
    <w:rsid w:val="00AD4842"/>
    <w:rsid w:val="00AE0432"/>
    <w:rsid w:val="00AE3648"/>
    <w:rsid w:val="00AE4427"/>
    <w:rsid w:val="00AE4596"/>
    <w:rsid w:val="00AE5F40"/>
    <w:rsid w:val="00AE61AB"/>
    <w:rsid w:val="00AE75DB"/>
    <w:rsid w:val="00AF78EA"/>
    <w:rsid w:val="00B00209"/>
    <w:rsid w:val="00B01F0B"/>
    <w:rsid w:val="00B0229B"/>
    <w:rsid w:val="00B109C4"/>
    <w:rsid w:val="00B1489C"/>
    <w:rsid w:val="00B17F67"/>
    <w:rsid w:val="00B209A0"/>
    <w:rsid w:val="00B24088"/>
    <w:rsid w:val="00B25864"/>
    <w:rsid w:val="00B32073"/>
    <w:rsid w:val="00B326B0"/>
    <w:rsid w:val="00B3432C"/>
    <w:rsid w:val="00B364B1"/>
    <w:rsid w:val="00B407A7"/>
    <w:rsid w:val="00B43D7C"/>
    <w:rsid w:val="00B44A6E"/>
    <w:rsid w:val="00B45EA7"/>
    <w:rsid w:val="00B47D3E"/>
    <w:rsid w:val="00B50C35"/>
    <w:rsid w:val="00B52A94"/>
    <w:rsid w:val="00B52BB0"/>
    <w:rsid w:val="00B53193"/>
    <w:rsid w:val="00B575FD"/>
    <w:rsid w:val="00B64510"/>
    <w:rsid w:val="00B64EFC"/>
    <w:rsid w:val="00B6603E"/>
    <w:rsid w:val="00B745A8"/>
    <w:rsid w:val="00B77F97"/>
    <w:rsid w:val="00B814F1"/>
    <w:rsid w:val="00B848C8"/>
    <w:rsid w:val="00B9397B"/>
    <w:rsid w:val="00B9514D"/>
    <w:rsid w:val="00BA03E6"/>
    <w:rsid w:val="00BA0638"/>
    <w:rsid w:val="00BA104A"/>
    <w:rsid w:val="00BA1DD2"/>
    <w:rsid w:val="00BA204C"/>
    <w:rsid w:val="00BA3A2A"/>
    <w:rsid w:val="00BA51C0"/>
    <w:rsid w:val="00BA7558"/>
    <w:rsid w:val="00BB0C7F"/>
    <w:rsid w:val="00BB605A"/>
    <w:rsid w:val="00BC3722"/>
    <w:rsid w:val="00BC7D97"/>
    <w:rsid w:val="00BD04A1"/>
    <w:rsid w:val="00BD3E11"/>
    <w:rsid w:val="00BD5F65"/>
    <w:rsid w:val="00BE38C1"/>
    <w:rsid w:val="00BE4B81"/>
    <w:rsid w:val="00BE507A"/>
    <w:rsid w:val="00BE60BC"/>
    <w:rsid w:val="00BF1C55"/>
    <w:rsid w:val="00BF2189"/>
    <w:rsid w:val="00BF3C0F"/>
    <w:rsid w:val="00BF4D2B"/>
    <w:rsid w:val="00BF75E6"/>
    <w:rsid w:val="00C01E76"/>
    <w:rsid w:val="00C04966"/>
    <w:rsid w:val="00C05091"/>
    <w:rsid w:val="00C05584"/>
    <w:rsid w:val="00C07CC8"/>
    <w:rsid w:val="00C15711"/>
    <w:rsid w:val="00C2022B"/>
    <w:rsid w:val="00C22607"/>
    <w:rsid w:val="00C23B97"/>
    <w:rsid w:val="00C25B58"/>
    <w:rsid w:val="00C30784"/>
    <w:rsid w:val="00C354A5"/>
    <w:rsid w:val="00C43A30"/>
    <w:rsid w:val="00C45A2B"/>
    <w:rsid w:val="00C46B5E"/>
    <w:rsid w:val="00C47A28"/>
    <w:rsid w:val="00C508DC"/>
    <w:rsid w:val="00C51BC4"/>
    <w:rsid w:val="00C529A0"/>
    <w:rsid w:val="00C53844"/>
    <w:rsid w:val="00C543D4"/>
    <w:rsid w:val="00C61A8D"/>
    <w:rsid w:val="00C71C77"/>
    <w:rsid w:val="00C7261C"/>
    <w:rsid w:val="00C76619"/>
    <w:rsid w:val="00C77CD7"/>
    <w:rsid w:val="00C8365A"/>
    <w:rsid w:val="00C846ED"/>
    <w:rsid w:val="00C85D93"/>
    <w:rsid w:val="00C86C7B"/>
    <w:rsid w:val="00C871A4"/>
    <w:rsid w:val="00C9093E"/>
    <w:rsid w:val="00C917E6"/>
    <w:rsid w:val="00C92ED6"/>
    <w:rsid w:val="00C94E02"/>
    <w:rsid w:val="00C95E42"/>
    <w:rsid w:val="00CA03C7"/>
    <w:rsid w:val="00CA1252"/>
    <w:rsid w:val="00CA638A"/>
    <w:rsid w:val="00CA6390"/>
    <w:rsid w:val="00CA6656"/>
    <w:rsid w:val="00CB0BAA"/>
    <w:rsid w:val="00CB2F34"/>
    <w:rsid w:val="00CB3918"/>
    <w:rsid w:val="00CB3EF1"/>
    <w:rsid w:val="00CB400B"/>
    <w:rsid w:val="00CB604C"/>
    <w:rsid w:val="00CB72FA"/>
    <w:rsid w:val="00CC3C47"/>
    <w:rsid w:val="00CC3FE5"/>
    <w:rsid w:val="00CC5C51"/>
    <w:rsid w:val="00CC7CA8"/>
    <w:rsid w:val="00CC7EA8"/>
    <w:rsid w:val="00CD73EA"/>
    <w:rsid w:val="00CD79C8"/>
    <w:rsid w:val="00CD7BA0"/>
    <w:rsid w:val="00CE5A3E"/>
    <w:rsid w:val="00CE5C8B"/>
    <w:rsid w:val="00CE7CE8"/>
    <w:rsid w:val="00CF43D3"/>
    <w:rsid w:val="00CF4E14"/>
    <w:rsid w:val="00CF5116"/>
    <w:rsid w:val="00CF6AF5"/>
    <w:rsid w:val="00D044A8"/>
    <w:rsid w:val="00D05748"/>
    <w:rsid w:val="00D07623"/>
    <w:rsid w:val="00D10DBB"/>
    <w:rsid w:val="00D10FA3"/>
    <w:rsid w:val="00D1584B"/>
    <w:rsid w:val="00D20119"/>
    <w:rsid w:val="00D2363E"/>
    <w:rsid w:val="00D25236"/>
    <w:rsid w:val="00D25E4B"/>
    <w:rsid w:val="00D309A4"/>
    <w:rsid w:val="00D32984"/>
    <w:rsid w:val="00D35579"/>
    <w:rsid w:val="00D3572A"/>
    <w:rsid w:val="00D44B5C"/>
    <w:rsid w:val="00D5378D"/>
    <w:rsid w:val="00D53B22"/>
    <w:rsid w:val="00D5410C"/>
    <w:rsid w:val="00D55E56"/>
    <w:rsid w:val="00D56B3D"/>
    <w:rsid w:val="00D57907"/>
    <w:rsid w:val="00D625AE"/>
    <w:rsid w:val="00D62BE7"/>
    <w:rsid w:val="00D6307E"/>
    <w:rsid w:val="00D63628"/>
    <w:rsid w:val="00D64891"/>
    <w:rsid w:val="00D67192"/>
    <w:rsid w:val="00D7376E"/>
    <w:rsid w:val="00D73B38"/>
    <w:rsid w:val="00D740A5"/>
    <w:rsid w:val="00D74174"/>
    <w:rsid w:val="00D756BA"/>
    <w:rsid w:val="00D7775C"/>
    <w:rsid w:val="00D81058"/>
    <w:rsid w:val="00D81D9E"/>
    <w:rsid w:val="00D82568"/>
    <w:rsid w:val="00D82A0A"/>
    <w:rsid w:val="00D846A1"/>
    <w:rsid w:val="00D868A6"/>
    <w:rsid w:val="00D91FC2"/>
    <w:rsid w:val="00D92F22"/>
    <w:rsid w:val="00D93570"/>
    <w:rsid w:val="00D947AC"/>
    <w:rsid w:val="00D94F32"/>
    <w:rsid w:val="00D97AAA"/>
    <w:rsid w:val="00DA08C0"/>
    <w:rsid w:val="00DA21A6"/>
    <w:rsid w:val="00DA2205"/>
    <w:rsid w:val="00DA2EE5"/>
    <w:rsid w:val="00DA45EA"/>
    <w:rsid w:val="00DA57B2"/>
    <w:rsid w:val="00DA6EA7"/>
    <w:rsid w:val="00DA7900"/>
    <w:rsid w:val="00DB3CAD"/>
    <w:rsid w:val="00DB4686"/>
    <w:rsid w:val="00DB5B28"/>
    <w:rsid w:val="00DB65E4"/>
    <w:rsid w:val="00DC10BB"/>
    <w:rsid w:val="00DC2BB4"/>
    <w:rsid w:val="00DC362D"/>
    <w:rsid w:val="00DC4F8D"/>
    <w:rsid w:val="00DC5758"/>
    <w:rsid w:val="00DC6C75"/>
    <w:rsid w:val="00DC7882"/>
    <w:rsid w:val="00DD30B1"/>
    <w:rsid w:val="00DD4299"/>
    <w:rsid w:val="00DD43AB"/>
    <w:rsid w:val="00DD5DA2"/>
    <w:rsid w:val="00DD5F17"/>
    <w:rsid w:val="00DD6CA1"/>
    <w:rsid w:val="00DE38D1"/>
    <w:rsid w:val="00DE6AB4"/>
    <w:rsid w:val="00DF0BC3"/>
    <w:rsid w:val="00DF2CFC"/>
    <w:rsid w:val="00DF3E88"/>
    <w:rsid w:val="00DF76FB"/>
    <w:rsid w:val="00E0051F"/>
    <w:rsid w:val="00E00D40"/>
    <w:rsid w:val="00E0102A"/>
    <w:rsid w:val="00E036B0"/>
    <w:rsid w:val="00E03982"/>
    <w:rsid w:val="00E03D13"/>
    <w:rsid w:val="00E0588D"/>
    <w:rsid w:val="00E070FF"/>
    <w:rsid w:val="00E07CEF"/>
    <w:rsid w:val="00E07E4B"/>
    <w:rsid w:val="00E07EEE"/>
    <w:rsid w:val="00E10C43"/>
    <w:rsid w:val="00E127ED"/>
    <w:rsid w:val="00E1424A"/>
    <w:rsid w:val="00E14F60"/>
    <w:rsid w:val="00E170A3"/>
    <w:rsid w:val="00E20FB1"/>
    <w:rsid w:val="00E22A06"/>
    <w:rsid w:val="00E252B9"/>
    <w:rsid w:val="00E2702E"/>
    <w:rsid w:val="00E31132"/>
    <w:rsid w:val="00E31A69"/>
    <w:rsid w:val="00E31F46"/>
    <w:rsid w:val="00E3303C"/>
    <w:rsid w:val="00E361BD"/>
    <w:rsid w:val="00E371EC"/>
    <w:rsid w:val="00E37B7E"/>
    <w:rsid w:val="00E42493"/>
    <w:rsid w:val="00E47B03"/>
    <w:rsid w:val="00E5076B"/>
    <w:rsid w:val="00E513ED"/>
    <w:rsid w:val="00E517E1"/>
    <w:rsid w:val="00E5223B"/>
    <w:rsid w:val="00E532DC"/>
    <w:rsid w:val="00E5644B"/>
    <w:rsid w:val="00E579EA"/>
    <w:rsid w:val="00E62E1C"/>
    <w:rsid w:val="00E63457"/>
    <w:rsid w:val="00E6458D"/>
    <w:rsid w:val="00E64A8A"/>
    <w:rsid w:val="00E65C7F"/>
    <w:rsid w:val="00E666A7"/>
    <w:rsid w:val="00E67014"/>
    <w:rsid w:val="00E7064B"/>
    <w:rsid w:val="00E70E3B"/>
    <w:rsid w:val="00E74AE4"/>
    <w:rsid w:val="00E75578"/>
    <w:rsid w:val="00E756B7"/>
    <w:rsid w:val="00E75B3F"/>
    <w:rsid w:val="00E835AC"/>
    <w:rsid w:val="00E8365E"/>
    <w:rsid w:val="00E862CB"/>
    <w:rsid w:val="00E86852"/>
    <w:rsid w:val="00E94066"/>
    <w:rsid w:val="00E957FD"/>
    <w:rsid w:val="00E975BC"/>
    <w:rsid w:val="00EA02D7"/>
    <w:rsid w:val="00EA08BA"/>
    <w:rsid w:val="00EA1504"/>
    <w:rsid w:val="00EA61BD"/>
    <w:rsid w:val="00EB1605"/>
    <w:rsid w:val="00EB3D68"/>
    <w:rsid w:val="00EB4F3F"/>
    <w:rsid w:val="00EC34F8"/>
    <w:rsid w:val="00EC5450"/>
    <w:rsid w:val="00EC5958"/>
    <w:rsid w:val="00EC5E3D"/>
    <w:rsid w:val="00ED50F8"/>
    <w:rsid w:val="00ED5347"/>
    <w:rsid w:val="00EE22D9"/>
    <w:rsid w:val="00EE2A74"/>
    <w:rsid w:val="00EE3282"/>
    <w:rsid w:val="00EE417C"/>
    <w:rsid w:val="00EE47FF"/>
    <w:rsid w:val="00EE6CD3"/>
    <w:rsid w:val="00EE7A8F"/>
    <w:rsid w:val="00EF430F"/>
    <w:rsid w:val="00EF7ECA"/>
    <w:rsid w:val="00F00863"/>
    <w:rsid w:val="00F03406"/>
    <w:rsid w:val="00F038E9"/>
    <w:rsid w:val="00F03A8A"/>
    <w:rsid w:val="00F04853"/>
    <w:rsid w:val="00F0691C"/>
    <w:rsid w:val="00F10137"/>
    <w:rsid w:val="00F1281D"/>
    <w:rsid w:val="00F17956"/>
    <w:rsid w:val="00F17C94"/>
    <w:rsid w:val="00F17D02"/>
    <w:rsid w:val="00F20193"/>
    <w:rsid w:val="00F21046"/>
    <w:rsid w:val="00F2450A"/>
    <w:rsid w:val="00F27A32"/>
    <w:rsid w:val="00F318BF"/>
    <w:rsid w:val="00F32395"/>
    <w:rsid w:val="00F33B24"/>
    <w:rsid w:val="00F3410B"/>
    <w:rsid w:val="00F40A4D"/>
    <w:rsid w:val="00F419C0"/>
    <w:rsid w:val="00F42C95"/>
    <w:rsid w:val="00F443FE"/>
    <w:rsid w:val="00F45578"/>
    <w:rsid w:val="00F46CE0"/>
    <w:rsid w:val="00F50D36"/>
    <w:rsid w:val="00F516A6"/>
    <w:rsid w:val="00F52342"/>
    <w:rsid w:val="00F56C5E"/>
    <w:rsid w:val="00F62541"/>
    <w:rsid w:val="00F644A7"/>
    <w:rsid w:val="00F646DA"/>
    <w:rsid w:val="00F64817"/>
    <w:rsid w:val="00F7042B"/>
    <w:rsid w:val="00F74472"/>
    <w:rsid w:val="00F7748B"/>
    <w:rsid w:val="00F83D95"/>
    <w:rsid w:val="00F848FB"/>
    <w:rsid w:val="00F862CD"/>
    <w:rsid w:val="00F86359"/>
    <w:rsid w:val="00F919C1"/>
    <w:rsid w:val="00F93065"/>
    <w:rsid w:val="00F93CF3"/>
    <w:rsid w:val="00F95167"/>
    <w:rsid w:val="00F965EF"/>
    <w:rsid w:val="00F9694A"/>
    <w:rsid w:val="00FA0B3C"/>
    <w:rsid w:val="00FA1016"/>
    <w:rsid w:val="00FA622E"/>
    <w:rsid w:val="00FA6D74"/>
    <w:rsid w:val="00FB0413"/>
    <w:rsid w:val="00FB3E1D"/>
    <w:rsid w:val="00FB6315"/>
    <w:rsid w:val="00FC0C21"/>
    <w:rsid w:val="00FC19AC"/>
    <w:rsid w:val="00FC22F5"/>
    <w:rsid w:val="00FC2A91"/>
    <w:rsid w:val="00FC4B52"/>
    <w:rsid w:val="00FC5AE5"/>
    <w:rsid w:val="00FC5E0C"/>
    <w:rsid w:val="00FC69F2"/>
    <w:rsid w:val="00FD163C"/>
    <w:rsid w:val="00FD196A"/>
    <w:rsid w:val="00FD324A"/>
    <w:rsid w:val="00FD368A"/>
    <w:rsid w:val="00FD6750"/>
    <w:rsid w:val="00FE1841"/>
    <w:rsid w:val="00FE185B"/>
    <w:rsid w:val="00FE5276"/>
    <w:rsid w:val="00FE74B0"/>
    <w:rsid w:val="00FF23B3"/>
    <w:rsid w:val="00FF3A8C"/>
    <w:rsid w:val="00FF42CB"/>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D605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0C0"/>
    <w:rPr>
      <w:rFonts w:ascii="Arial" w:hAnsi="Arial" w:cs="Arial"/>
      <w:color w:val="000000"/>
      <w:sz w:val="24"/>
      <w:szCs w:val="24"/>
    </w:rPr>
  </w:style>
  <w:style w:type="paragraph" w:styleId="Heading1">
    <w:name w:val="heading 1"/>
    <w:basedOn w:val="Normal"/>
    <w:next w:val="Normal"/>
    <w:qFormat/>
    <w:rsid w:val="004B77EC"/>
    <w:pPr>
      <w:keepNext/>
      <w:spacing w:before="240" w:after="240"/>
      <w:contextualSpacing/>
      <w:jc w:val="center"/>
      <w:outlineLvl w:val="0"/>
    </w:pPr>
    <w:rPr>
      <w:b/>
      <w:bCs/>
      <w:kern w:val="32"/>
      <w:sz w:val="32"/>
      <w:szCs w:val="32"/>
    </w:rPr>
  </w:style>
  <w:style w:type="paragraph" w:styleId="Heading2">
    <w:name w:val="heading 2"/>
    <w:basedOn w:val="Normal"/>
    <w:next w:val="Normal"/>
    <w:link w:val="Heading2Char"/>
    <w:qFormat/>
    <w:rsid w:val="00875990"/>
    <w:pPr>
      <w:keepNext/>
      <w:spacing w:before="240" w:after="240"/>
      <w:outlineLvl w:val="1"/>
    </w:pPr>
    <w:rPr>
      <w:b/>
      <w:bCs/>
      <w:sz w:val="28"/>
    </w:rPr>
  </w:style>
  <w:style w:type="paragraph" w:styleId="Heading3">
    <w:name w:val="heading 3"/>
    <w:basedOn w:val="Normal"/>
    <w:next w:val="Normal"/>
    <w:autoRedefine/>
    <w:qFormat/>
    <w:rsid w:val="007F6E07"/>
    <w:pPr>
      <w:keepNext/>
      <w:spacing w:before="240" w:after="24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00C0"/>
    <w:rPr>
      <w:color w:val="0000FF"/>
      <w:u w:val="single"/>
    </w:rPr>
  </w:style>
  <w:style w:type="paragraph" w:styleId="BodyTextIndent3">
    <w:name w:val="Body Text Indent 3"/>
    <w:basedOn w:val="Normal"/>
    <w:rsid w:val="003E50CE"/>
    <w:pPr>
      <w:widowControl w:val="0"/>
      <w:autoSpaceDE w:val="0"/>
      <w:autoSpaceDN w:val="0"/>
      <w:adjustRightInd w:val="0"/>
      <w:ind w:left="720"/>
    </w:pPr>
    <w:rPr>
      <w:rFonts w:ascii="Times New Roman" w:hAnsi="Times New Roman" w:cs="Times New Roman"/>
      <w:color w:val="auto"/>
    </w:rPr>
  </w:style>
  <w:style w:type="paragraph" w:customStyle="1" w:styleId="list-questionbold">
    <w:name w:val="list-questionbold"/>
    <w:basedOn w:val="Normal"/>
    <w:rsid w:val="003E50CE"/>
    <w:pPr>
      <w:spacing w:before="100" w:beforeAutospacing="1" w:after="100" w:afterAutospacing="1"/>
    </w:pPr>
    <w:rPr>
      <w:rFonts w:ascii="Arial Unicode MS" w:eastAsia="Arial Unicode MS" w:hAnsi="Arial Unicode MS" w:cs="Arial Unicode MS"/>
      <w:color w:val="auto"/>
    </w:rPr>
  </w:style>
  <w:style w:type="character" w:customStyle="1" w:styleId="a">
    <w:name w:val="_"/>
    <w:rsid w:val="003E50CE"/>
  </w:style>
  <w:style w:type="paragraph" w:styleId="ListParagraph">
    <w:name w:val="List Paragraph"/>
    <w:basedOn w:val="Normal"/>
    <w:qFormat/>
    <w:rsid w:val="003E50CE"/>
    <w:pPr>
      <w:ind w:left="720"/>
    </w:pPr>
    <w:rPr>
      <w:rFonts w:ascii="Times New Roman" w:hAnsi="Times New Roman" w:cs="Times New Roman"/>
    </w:rPr>
  </w:style>
  <w:style w:type="paragraph" w:styleId="Header">
    <w:name w:val="header"/>
    <w:basedOn w:val="Normal"/>
    <w:rsid w:val="00C22607"/>
    <w:pPr>
      <w:tabs>
        <w:tab w:val="center" w:pos="4320"/>
        <w:tab w:val="right" w:pos="8640"/>
      </w:tabs>
    </w:pPr>
  </w:style>
  <w:style w:type="paragraph" w:styleId="Footer">
    <w:name w:val="footer"/>
    <w:basedOn w:val="Normal"/>
    <w:link w:val="FooterChar"/>
    <w:uiPriority w:val="99"/>
    <w:rsid w:val="00C22607"/>
    <w:pPr>
      <w:tabs>
        <w:tab w:val="center" w:pos="4320"/>
        <w:tab w:val="right" w:pos="8640"/>
      </w:tabs>
    </w:pPr>
  </w:style>
  <w:style w:type="character" w:customStyle="1" w:styleId="sectioncolortext">
    <w:name w:val="sectioncolortext"/>
    <w:basedOn w:val="DefaultParagraphFont"/>
    <w:rsid w:val="00C07CC8"/>
  </w:style>
  <w:style w:type="paragraph" w:styleId="BodyText">
    <w:name w:val="Body Text"/>
    <w:basedOn w:val="Normal"/>
    <w:rsid w:val="00C05584"/>
    <w:pPr>
      <w:spacing w:after="120"/>
    </w:pPr>
  </w:style>
  <w:style w:type="paragraph" w:styleId="BodyText2">
    <w:name w:val="Body Text 2"/>
    <w:basedOn w:val="Normal"/>
    <w:rsid w:val="00C05584"/>
    <w:pPr>
      <w:spacing w:after="120" w:line="480" w:lineRule="auto"/>
    </w:pPr>
  </w:style>
  <w:style w:type="paragraph" w:styleId="BodyTextIndent">
    <w:name w:val="Body Text Indent"/>
    <w:basedOn w:val="Normal"/>
    <w:link w:val="BodyTextIndentChar"/>
    <w:rsid w:val="00C05584"/>
    <w:pPr>
      <w:spacing w:after="120"/>
      <w:ind w:left="360"/>
    </w:pPr>
  </w:style>
  <w:style w:type="character" w:customStyle="1" w:styleId="BodyTextIndentChar">
    <w:name w:val="Body Text Indent Char"/>
    <w:link w:val="BodyTextIndent"/>
    <w:rsid w:val="00C05584"/>
    <w:rPr>
      <w:rFonts w:ascii="Arial" w:hAnsi="Arial" w:cs="Arial"/>
      <w:color w:val="000000"/>
      <w:sz w:val="24"/>
      <w:szCs w:val="24"/>
      <w:lang w:val="en-US" w:eastAsia="en-US" w:bidi="ar-SA"/>
    </w:rPr>
  </w:style>
  <w:style w:type="character" w:customStyle="1" w:styleId="page">
    <w:name w:val="page"/>
    <w:rsid w:val="00BD5F65"/>
    <w:rPr>
      <w:b/>
      <w:sz w:val="26"/>
    </w:rPr>
  </w:style>
  <w:style w:type="paragraph" w:styleId="Title">
    <w:name w:val="Title"/>
    <w:basedOn w:val="Normal"/>
    <w:qFormat/>
    <w:rsid w:val="00B9514D"/>
    <w:pPr>
      <w:jc w:val="center"/>
    </w:pPr>
    <w:rPr>
      <w:rFonts w:cs="Courier New"/>
      <w:b/>
      <w:bCs/>
      <w:color w:val="auto"/>
      <w:sz w:val="36"/>
      <w:szCs w:val="20"/>
    </w:rPr>
  </w:style>
  <w:style w:type="character" w:customStyle="1" w:styleId="PlainTextChar">
    <w:name w:val="Plain Text Char"/>
    <w:link w:val="PlainText"/>
    <w:semiHidden/>
    <w:locked/>
    <w:rsid w:val="00514DFD"/>
    <w:rPr>
      <w:rFonts w:ascii="Consolas" w:eastAsia="Calibri" w:hAnsi="Consolas"/>
      <w:sz w:val="21"/>
      <w:szCs w:val="21"/>
      <w:lang w:bidi="ar-SA"/>
    </w:rPr>
  </w:style>
  <w:style w:type="paragraph" w:styleId="PlainText">
    <w:name w:val="Plain Text"/>
    <w:basedOn w:val="Normal"/>
    <w:link w:val="PlainTextChar"/>
    <w:semiHidden/>
    <w:rsid w:val="00514DFD"/>
    <w:rPr>
      <w:rFonts w:ascii="Consolas" w:eastAsia="Calibri" w:hAnsi="Consolas" w:cs="Times New Roman"/>
      <w:color w:val="auto"/>
      <w:sz w:val="21"/>
      <w:szCs w:val="21"/>
    </w:rPr>
  </w:style>
  <w:style w:type="character" w:styleId="FollowedHyperlink">
    <w:name w:val="FollowedHyperlink"/>
    <w:rsid w:val="00A40E96"/>
    <w:rPr>
      <w:color w:val="800080"/>
      <w:u w:val="single"/>
    </w:rPr>
  </w:style>
  <w:style w:type="paragraph" w:styleId="TOC1">
    <w:name w:val="toc 1"/>
    <w:basedOn w:val="Normal"/>
    <w:next w:val="Normal"/>
    <w:autoRedefine/>
    <w:uiPriority w:val="39"/>
    <w:rsid w:val="009E7302"/>
    <w:pPr>
      <w:tabs>
        <w:tab w:val="right" w:leader="dot" w:pos="9540"/>
      </w:tabs>
      <w:ind w:right="-907"/>
    </w:pPr>
  </w:style>
  <w:style w:type="paragraph" w:styleId="TOC3">
    <w:name w:val="toc 3"/>
    <w:basedOn w:val="Normal"/>
    <w:next w:val="Normal"/>
    <w:autoRedefine/>
    <w:uiPriority w:val="39"/>
    <w:rsid w:val="009E6813"/>
    <w:pPr>
      <w:ind w:left="480"/>
    </w:pPr>
  </w:style>
  <w:style w:type="character" w:styleId="PageNumber">
    <w:name w:val="page number"/>
    <w:basedOn w:val="DefaultParagraphFont"/>
    <w:rsid w:val="00883888"/>
  </w:style>
  <w:style w:type="paragraph" w:styleId="BlockText">
    <w:name w:val="Block Text"/>
    <w:basedOn w:val="Normal"/>
    <w:rsid w:val="008D400C"/>
    <w:rPr>
      <w:rFonts w:ascii="Times New Roman" w:hAnsi="Times New Roman" w:cs="Times New Roman"/>
    </w:rPr>
  </w:style>
  <w:style w:type="paragraph" w:styleId="BalloonText">
    <w:name w:val="Balloon Text"/>
    <w:basedOn w:val="Normal"/>
    <w:semiHidden/>
    <w:rsid w:val="00076073"/>
    <w:rPr>
      <w:rFonts w:ascii="Tahoma" w:hAnsi="Tahoma" w:cs="Tahoma"/>
      <w:sz w:val="16"/>
      <w:szCs w:val="16"/>
    </w:rPr>
  </w:style>
  <w:style w:type="paragraph" w:styleId="TOC2">
    <w:name w:val="toc 2"/>
    <w:basedOn w:val="Normal"/>
    <w:next w:val="Normal"/>
    <w:autoRedefine/>
    <w:uiPriority w:val="39"/>
    <w:rsid w:val="00413D17"/>
    <w:pPr>
      <w:tabs>
        <w:tab w:val="right" w:leader="dot" w:pos="9350"/>
      </w:tabs>
      <w:ind w:left="240"/>
    </w:pPr>
  </w:style>
  <w:style w:type="paragraph" w:customStyle="1" w:styleId="ConAppDocumentation">
    <w:name w:val="ConApp Documentation"/>
    <w:basedOn w:val="Heading2"/>
    <w:rsid w:val="00BE4B81"/>
  </w:style>
  <w:style w:type="character" w:styleId="CommentReference">
    <w:name w:val="annotation reference"/>
    <w:uiPriority w:val="99"/>
    <w:semiHidden/>
    <w:rsid w:val="002601E3"/>
    <w:rPr>
      <w:sz w:val="16"/>
      <w:szCs w:val="16"/>
    </w:rPr>
  </w:style>
  <w:style w:type="paragraph" w:styleId="CommentText">
    <w:name w:val="annotation text"/>
    <w:basedOn w:val="Normal"/>
    <w:link w:val="CommentTextChar"/>
    <w:uiPriority w:val="99"/>
    <w:semiHidden/>
    <w:rsid w:val="002601E3"/>
    <w:rPr>
      <w:sz w:val="20"/>
      <w:szCs w:val="20"/>
    </w:rPr>
  </w:style>
  <w:style w:type="paragraph" w:styleId="CommentSubject">
    <w:name w:val="annotation subject"/>
    <w:basedOn w:val="CommentText"/>
    <w:next w:val="CommentText"/>
    <w:semiHidden/>
    <w:rsid w:val="002601E3"/>
    <w:rPr>
      <w:b/>
      <w:bCs/>
    </w:rPr>
  </w:style>
  <w:style w:type="paragraph" w:customStyle="1" w:styleId="BlockLine">
    <w:name w:val="Block Line"/>
    <w:basedOn w:val="Normal"/>
    <w:next w:val="Normal"/>
    <w:rsid w:val="007B6E4B"/>
    <w:pPr>
      <w:pBdr>
        <w:top w:val="single" w:sz="6" w:space="1" w:color="auto"/>
        <w:between w:val="single" w:sz="6" w:space="1" w:color="auto"/>
      </w:pBdr>
      <w:spacing w:before="240"/>
      <w:ind w:left="1728"/>
    </w:pPr>
    <w:rPr>
      <w:rFonts w:ascii="Times New Roman" w:hAnsi="Times New Roman" w:cs="Times New Roman"/>
      <w:szCs w:val="20"/>
    </w:rPr>
  </w:style>
  <w:style w:type="paragraph" w:styleId="NormalWeb">
    <w:name w:val="Normal (Web)"/>
    <w:basedOn w:val="Normal"/>
    <w:uiPriority w:val="99"/>
    <w:unhideWhenUsed/>
    <w:rsid w:val="00D2363E"/>
    <w:pPr>
      <w:spacing w:before="100" w:beforeAutospacing="1" w:after="100" w:afterAutospacing="1"/>
    </w:pPr>
    <w:rPr>
      <w:color w:val="auto"/>
    </w:rPr>
  </w:style>
  <w:style w:type="character" w:customStyle="1" w:styleId="Heading2Char">
    <w:name w:val="Heading 2 Char"/>
    <w:link w:val="Heading2"/>
    <w:rsid w:val="00875990"/>
    <w:rPr>
      <w:rFonts w:ascii="Arial" w:hAnsi="Arial" w:cs="Arial"/>
      <w:b/>
      <w:bCs/>
      <w:color w:val="000000"/>
      <w:sz w:val="28"/>
      <w:szCs w:val="24"/>
    </w:rPr>
  </w:style>
  <w:style w:type="character" w:customStyle="1" w:styleId="CommentTextChar">
    <w:name w:val="Comment Text Char"/>
    <w:link w:val="CommentText"/>
    <w:uiPriority w:val="99"/>
    <w:semiHidden/>
    <w:rsid w:val="00EB3D68"/>
    <w:rPr>
      <w:rFonts w:ascii="Arial" w:hAnsi="Arial" w:cs="Arial"/>
      <w:color w:val="000000"/>
    </w:rPr>
  </w:style>
  <w:style w:type="table" w:styleId="TableGrid">
    <w:name w:val="Table Grid"/>
    <w:basedOn w:val="TableNormal"/>
    <w:uiPriority w:val="39"/>
    <w:rsid w:val="00C2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83167"/>
    <w:pPr>
      <w:keepLines/>
      <w:spacing w:after="0" w:line="259" w:lineRule="auto"/>
      <w:outlineLvl w:val="9"/>
    </w:pPr>
    <w:rPr>
      <w:rFonts w:ascii="Calibri Light" w:hAnsi="Calibri Light" w:cs="Times New Roman"/>
      <w:b w:val="0"/>
      <w:bCs w:val="0"/>
      <w:color w:val="2E74B5"/>
      <w:kern w:val="0"/>
    </w:rPr>
  </w:style>
  <w:style w:type="paragraph" w:customStyle="1" w:styleId="Default">
    <w:name w:val="Default"/>
    <w:rsid w:val="007F6B9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927CBB"/>
    <w:rPr>
      <w:rFonts w:ascii="Arial" w:hAnsi="Arial" w:cs="Arial"/>
      <w:color w:val="000000"/>
      <w:sz w:val="24"/>
      <w:szCs w:val="24"/>
    </w:rPr>
  </w:style>
  <w:style w:type="character" w:styleId="SubtleEmphasis">
    <w:name w:val="Subtle Emphasis"/>
    <w:basedOn w:val="DefaultParagraphFont"/>
    <w:uiPriority w:val="19"/>
    <w:qFormat/>
    <w:rsid w:val="006E7CBD"/>
    <w:rPr>
      <w:i/>
      <w:iCs/>
      <w:color w:val="404040" w:themeColor="text1" w:themeTint="BF"/>
    </w:rPr>
  </w:style>
  <w:style w:type="paragraph" w:styleId="Subtitle">
    <w:name w:val="Subtitle"/>
    <w:basedOn w:val="Normal"/>
    <w:next w:val="Normal"/>
    <w:link w:val="SubtitleChar"/>
    <w:qFormat/>
    <w:rsid w:val="00B9514D"/>
    <w:pPr>
      <w:numPr>
        <w:ilvl w:val="1"/>
      </w:numPr>
      <w:spacing w:after="160"/>
    </w:pPr>
    <w:rPr>
      <w:rFonts w:eastAsiaTheme="minorEastAsia" w:cstheme="minorBidi"/>
      <w:b/>
      <w:color w:val="auto"/>
      <w:spacing w:val="15"/>
      <w:szCs w:val="22"/>
    </w:rPr>
  </w:style>
  <w:style w:type="character" w:customStyle="1" w:styleId="SubtitleChar">
    <w:name w:val="Subtitle Char"/>
    <w:basedOn w:val="DefaultParagraphFont"/>
    <w:link w:val="Subtitle"/>
    <w:rsid w:val="00B9514D"/>
    <w:rPr>
      <w:rFonts w:ascii="Arial" w:eastAsiaTheme="minorEastAsia" w:hAnsi="Arial" w:cstheme="minorBidi"/>
      <w:b/>
      <w:spacing w:val="15"/>
      <w:sz w:val="24"/>
      <w:szCs w:val="22"/>
    </w:rPr>
  </w:style>
  <w:style w:type="paragraph" w:customStyle="1" w:styleId="StyleHeading214ptAutoBefore12ptAfter12pt">
    <w:name w:val="Style Heading 2 + 14 pt Auto Before:  12 pt After:  12 pt"/>
    <w:basedOn w:val="Heading2"/>
    <w:rsid w:val="00894D06"/>
    <w:rPr>
      <w:rFonts w:cs="Times New Roman"/>
      <w:color w:val="auto"/>
      <w:sz w:val="32"/>
      <w:szCs w:val="20"/>
    </w:rPr>
  </w:style>
  <w:style w:type="paragraph" w:customStyle="1" w:styleId="StyleHeading3After12pt">
    <w:name w:val="Style Heading 3 + After:  12 pt"/>
    <w:basedOn w:val="Heading3"/>
    <w:rsid w:val="00894D06"/>
    <w:rPr>
      <w:rFonts w:cs="Times New Roman"/>
      <w:sz w:val="28"/>
      <w:szCs w:val="20"/>
    </w:rPr>
  </w:style>
  <w:style w:type="paragraph" w:customStyle="1" w:styleId="StyleHeading1CenteredBefore108ptAfter24pt">
    <w:name w:val="Style Heading 1 + Centered Before:  108 pt After:  24 pt"/>
    <w:basedOn w:val="Heading1"/>
    <w:rsid w:val="00894D06"/>
    <w:pPr>
      <w:spacing w:before="2160" w:after="480"/>
    </w:pPr>
    <w:rPr>
      <w:rFonts w:cs="Times New Roman"/>
      <w:sz w:val="36"/>
      <w:szCs w:val="20"/>
    </w:rPr>
  </w:style>
  <w:style w:type="character" w:styleId="UnresolvedMention">
    <w:name w:val="Unresolved Mention"/>
    <w:basedOn w:val="DefaultParagraphFont"/>
    <w:uiPriority w:val="99"/>
    <w:semiHidden/>
    <w:unhideWhenUsed/>
    <w:rsid w:val="00155B28"/>
    <w:rPr>
      <w:color w:val="605E5C"/>
      <w:shd w:val="clear" w:color="auto" w:fill="E1DFDD"/>
    </w:rPr>
  </w:style>
  <w:style w:type="paragraph" w:styleId="Revision">
    <w:name w:val="Revision"/>
    <w:hidden/>
    <w:uiPriority w:val="99"/>
    <w:semiHidden/>
    <w:rsid w:val="000F5C14"/>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9">
      <w:bodyDiv w:val="1"/>
      <w:marLeft w:val="0"/>
      <w:marRight w:val="0"/>
      <w:marTop w:val="0"/>
      <w:marBottom w:val="0"/>
      <w:divBdr>
        <w:top w:val="none" w:sz="0" w:space="0" w:color="auto"/>
        <w:left w:val="none" w:sz="0" w:space="0" w:color="auto"/>
        <w:bottom w:val="none" w:sz="0" w:space="0" w:color="auto"/>
        <w:right w:val="none" w:sz="0" w:space="0" w:color="auto"/>
      </w:divBdr>
      <w:divsChild>
        <w:div w:id="1594900838">
          <w:marLeft w:val="0"/>
          <w:marRight w:val="0"/>
          <w:marTop w:val="0"/>
          <w:marBottom w:val="0"/>
          <w:divBdr>
            <w:top w:val="none" w:sz="0" w:space="0" w:color="auto"/>
            <w:left w:val="none" w:sz="0" w:space="0" w:color="auto"/>
            <w:bottom w:val="none" w:sz="0" w:space="0" w:color="auto"/>
            <w:right w:val="none" w:sz="0" w:space="0" w:color="auto"/>
          </w:divBdr>
          <w:divsChild>
            <w:div w:id="690035112">
              <w:marLeft w:val="-225"/>
              <w:marRight w:val="-225"/>
              <w:marTop w:val="0"/>
              <w:marBottom w:val="0"/>
              <w:divBdr>
                <w:top w:val="none" w:sz="0" w:space="0" w:color="auto"/>
                <w:left w:val="none" w:sz="0" w:space="0" w:color="auto"/>
                <w:bottom w:val="none" w:sz="0" w:space="0" w:color="auto"/>
                <w:right w:val="none" w:sz="0" w:space="0" w:color="auto"/>
              </w:divBdr>
              <w:divsChild>
                <w:div w:id="1258753903">
                  <w:marLeft w:val="0"/>
                  <w:marRight w:val="0"/>
                  <w:marTop w:val="0"/>
                  <w:marBottom w:val="0"/>
                  <w:divBdr>
                    <w:top w:val="none" w:sz="0" w:space="0" w:color="auto"/>
                    <w:left w:val="none" w:sz="0" w:space="0" w:color="auto"/>
                    <w:bottom w:val="none" w:sz="0" w:space="0" w:color="auto"/>
                    <w:right w:val="none" w:sz="0" w:space="0" w:color="auto"/>
                  </w:divBdr>
                  <w:divsChild>
                    <w:div w:id="16256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2611">
      <w:bodyDiv w:val="1"/>
      <w:marLeft w:val="0"/>
      <w:marRight w:val="0"/>
      <w:marTop w:val="0"/>
      <w:marBottom w:val="0"/>
      <w:divBdr>
        <w:top w:val="none" w:sz="0" w:space="0" w:color="auto"/>
        <w:left w:val="none" w:sz="0" w:space="0" w:color="auto"/>
        <w:bottom w:val="none" w:sz="0" w:space="0" w:color="auto"/>
        <w:right w:val="none" w:sz="0" w:space="0" w:color="auto"/>
      </w:divBdr>
    </w:div>
    <w:div w:id="435564696">
      <w:bodyDiv w:val="1"/>
      <w:marLeft w:val="120"/>
      <w:marRight w:val="120"/>
      <w:marTop w:val="120"/>
      <w:marBottom w:val="120"/>
      <w:divBdr>
        <w:top w:val="none" w:sz="0" w:space="0" w:color="auto"/>
        <w:left w:val="none" w:sz="0" w:space="0" w:color="auto"/>
        <w:bottom w:val="none" w:sz="0" w:space="0" w:color="auto"/>
        <w:right w:val="none" w:sz="0" w:space="0" w:color="auto"/>
      </w:divBdr>
    </w:div>
    <w:div w:id="633682059">
      <w:bodyDiv w:val="1"/>
      <w:marLeft w:val="0"/>
      <w:marRight w:val="0"/>
      <w:marTop w:val="0"/>
      <w:marBottom w:val="0"/>
      <w:divBdr>
        <w:top w:val="none" w:sz="0" w:space="0" w:color="auto"/>
        <w:left w:val="none" w:sz="0" w:space="0" w:color="auto"/>
        <w:bottom w:val="none" w:sz="0" w:space="0" w:color="auto"/>
        <w:right w:val="none" w:sz="0" w:space="0" w:color="auto"/>
      </w:divBdr>
    </w:div>
    <w:div w:id="878737026">
      <w:bodyDiv w:val="1"/>
      <w:marLeft w:val="0"/>
      <w:marRight w:val="0"/>
      <w:marTop w:val="0"/>
      <w:marBottom w:val="0"/>
      <w:divBdr>
        <w:top w:val="none" w:sz="0" w:space="0" w:color="auto"/>
        <w:left w:val="none" w:sz="0" w:space="0" w:color="auto"/>
        <w:bottom w:val="none" w:sz="0" w:space="0" w:color="auto"/>
        <w:right w:val="none" w:sz="0" w:space="0" w:color="auto"/>
      </w:divBdr>
    </w:div>
    <w:div w:id="929194875">
      <w:bodyDiv w:val="1"/>
      <w:marLeft w:val="0"/>
      <w:marRight w:val="0"/>
      <w:marTop w:val="0"/>
      <w:marBottom w:val="0"/>
      <w:divBdr>
        <w:top w:val="none" w:sz="0" w:space="0" w:color="auto"/>
        <w:left w:val="none" w:sz="0" w:space="0" w:color="auto"/>
        <w:bottom w:val="none" w:sz="0" w:space="0" w:color="auto"/>
        <w:right w:val="none" w:sz="0" w:space="0" w:color="auto"/>
      </w:divBdr>
    </w:div>
    <w:div w:id="1195924478">
      <w:bodyDiv w:val="1"/>
      <w:marLeft w:val="0"/>
      <w:marRight w:val="0"/>
      <w:marTop w:val="0"/>
      <w:marBottom w:val="0"/>
      <w:divBdr>
        <w:top w:val="none" w:sz="0" w:space="0" w:color="auto"/>
        <w:left w:val="none" w:sz="0" w:space="0" w:color="auto"/>
        <w:bottom w:val="none" w:sz="0" w:space="0" w:color="auto"/>
        <w:right w:val="none" w:sz="0" w:space="0" w:color="auto"/>
      </w:divBdr>
    </w:div>
    <w:div w:id="1385713710">
      <w:bodyDiv w:val="1"/>
      <w:marLeft w:val="0"/>
      <w:marRight w:val="0"/>
      <w:marTop w:val="0"/>
      <w:marBottom w:val="0"/>
      <w:divBdr>
        <w:top w:val="none" w:sz="0" w:space="0" w:color="auto"/>
        <w:left w:val="none" w:sz="0" w:space="0" w:color="auto"/>
        <w:bottom w:val="none" w:sz="0" w:space="0" w:color="auto"/>
        <w:right w:val="none" w:sz="0" w:space="0" w:color="auto"/>
      </w:divBdr>
      <w:divsChild>
        <w:div w:id="1522233304">
          <w:marLeft w:val="150"/>
          <w:marRight w:val="150"/>
          <w:marTop w:val="150"/>
          <w:marBottom w:val="150"/>
          <w:divBdr>
            <w:top w:val="none" w:sz="0" w:space="0" w:color="auto"/>
            <w:left w:val="none" w:sz="0" w:space="0" w:color="auto"/>
            <w:bottom w:val="none" w:sz="0" w:space="0" w:color="auto"/>
            <w:right w:val="none" w:sz="0" w:space="0" w:color="auto"/>
          </w:divBdr>
          <w:divsChild>
            <w:div w:id="750008716">
              <w:marLeft w:val="0"/>
              <w:marRight w:val="0"/>
              <w:marTop w:val="0"/>
              <w:marBottom w:val="0"/>
              <w:divBdr>
                <w:top w:val="none" w:sz="0" w:space="0" w:color="auto"/>
                <w:left w:val="none" w:sz="0" w:space="0" w:color="auto"/>
                <w:bottom w:val="none" w:sz="0" w:space="0" w:color="auto"/>
                <w:right w:val="none" w:sz="0" w:space="0" w:color="auto"/>
              </w:divBdr>
              <w:divsChild>
                <w:div w:id="1318609908">
                  <w:marLeft w:val="0"/>
                  <w:marRight w:val="0"/>
                  <w:marTop w:val="0"/>
                  <w:marBottom w:val="0"/>
                  <w:divBdr>
                    <w:top w:val="none" w:sz="0" w:space="0" w:color="auto"/>
                    <w:left w:val="none" w:sz="0" w:space="0" w:color="auto"/>
                    <w:bottom w:val="none" w:sz="0" w:space="0" w:color="auto"/>
                    <w:right w:val="none" w:sz="0" w:space="0" w:color="auto"/>
                  </w:divBdr>
                  <w:divsChild>
                    <w:div w:id="192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4626">
      <w:bodyDiv w:val="1"/>
      <w:marLeft w:val="0"/>
      <w:marRight w:val="0"/>
      <w:marTop w:val="0"/>
      <w:marBottom w:val="0"/>
      <w:divBdr>
        <w:top w:val="none" w:sz="0" w:space="0" w:color="auto"/>
        <w:left w:val="none" w:sz="0" w:space="0" w:color="auto"/>
        <w:bottom w:val="none" w:sz="0" w:space="0" w:color="auto"/>
        <w:right w:val="none" w:sz="0" w:space="0" w:color="auto"/>
      </w:divBdr>
    </w:div>
    <w:div w:id="1556431987">
      <w:bodyDiv w:val="1"/>
      <w:marLeft w:val="0"/>
      <w:marRight w:val="0"/>
      <w:marTop w:val="0"/>
      <w:marBottom w:val="0"/>
      <w:divBdr>
        <w:top w:val="none" w:sz="0" w:space="0" w:color="auto"/>
        <w:left w:val="none" w:sz="0" w:space="0" w:color="auto"/>
        <w:bottom w:val="none" w:sz="0" w:space="0" w:color="auto"/>
        <w:right w:val="none" w:sz="0" w:space="0" w:color="auto"/>
      </w:divBdr>
    </w:div>
    <w:div w:id="1971476591">
      <w:bodyDiv w:val="1"/>
      <w:marLeft w:val="0"/>
      <w:marRight w:val="0"/>
      <w:marTop w:val="0"/>
      <w:marBottom w:val="0"/>
      <w:divBdr>
        <w:top w:val="none" w:sz="0" w:space="0" w:color="auto"/>
        <w:left w:val="none" w:sz="0" w:space="0" w:color="auto"/>
        <w:bottom w:val="none" w:sz="0" w:space="0" w:color="auto"/>
        <w:right w:val="none" w:sz="0" w:space="0" w:color="auto"/>
      </w:divBdr>
    </w:div>
    <w:div w:id="2050836122">
      <w:bodyDiv w:val="1"/>
      <w:marLeft w:val="0"/>
      <w:marRight w:val="0"/>
      <w:marTop w:val="0"/>
      <w:marBottom w:val="0"/>
      <w:divBdr>
        <w:top w:val="none" w:sz="0" w:space="0" w:color="auto"/>
        <w:left w:val="none" w:sz="0" w:space="0" w:color="auto"/>
        <w:bottom w:val="none" w:sz="0" w:space="0" w:color="auto"/>
        <w:right w:val="none" w:sz="0" w:space="0" w:color="auto"/>
      </w:divBdr>
    </w:div>
    <w:div w:id="2087070985">
      <w:bodyDiv w:val="1"/>
      <w:marLeft w:val="0"/>
      <w:marRight w:val="0"/>
      <w:marTop w:val="0"/>
      <w:marBottom w:val="0"/>
      <w:divBdr>
        <w:top w:val="none" w:sz="0" w:space="0" w:color="auto"/>
        <w:left w:val="none" w:sz="0" w:space="0" w:color="auto"/>
        <w:bottom w:val="none" w:sz="0" w:space="0" w:color="auto"/>
        <w:right w:val="none" w:sz="0" w:space="0" w:color="auto"/>
      </w:divBdr>
      <w:divsChild>
        <w:div w:id="972712113">
          <w:marLeft w:val="825"/>
          <w:marRight w:val="825"/>
          <w:marTop w:val="285"/>
          <w:marBottom w:val="0"/>
          <w:divBdr>
            <w:top w:val="none" w:sz="0" w:space="0" w:color="auto"/>
            <w:left w:val="none" w:sz="0" w:space="0" w:color="auto"/>
            <w:bottom w:val="none" w:sz="0" w:space="0" w:color="auto"/>
            <w:right w:val="none" w:sz="0" w:space="0" w:color="auto"/>
          </w:divBdr>
        </w:div>
      </w:divsChild>
    </w:div>
    <w:div w:id="21468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granuleid:USC-prelim-title20-section1232f&amp;num=0&amp;edition=prelim" TargetMode="External"/><Relationship Id="rId13" Type="http://schemas.openxmlformats.org/officeDocument/2006/relationships/hyperlink" Target="https://www.cde.ca.gov/fg/ac/ic/index.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sp/ml/t3authorizedcosts.asp" TargetMode="External"/><Relationship Id="rId17" Type="http://schemas.openxmlformats.org/officeDocument/2006/relationships/hyperlink" Target="https://www.cde.ca.gov/fg/aa/ca/titleiii.asp" TargetMode="External"/><Relationship Id="rId2" Type="http://schemas.openxmlformats.org/officeDocument/2006/relationships/numbering" Target="numbering.xml"/><Relationship Id="rId16" Type="http://schemas.openxmlformats.org/officeDocument/2006/relationships/hyperlink" Target="https://www.cde.ca.gov/fg/aa/ca/titleiii.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A/chapter-II/part-200?toc=1" TargetMode="External"/><Relationship Id="rId5" Type="http://schemas.openxmlformats.org/officeDocument/2006/relationships/webSettings" Target="webSettings.xml"/><Relationship Id="rId15" Type="http://schemas.openxmlformats.org/officeDocument/2006/relationships/hyperlink" Target="https://www.cde.ca.gov/sp/ml/t3authorizedcosts.asp" TargetMode="External"/><Relationship Id="rId10" Type="http://schemas.openxmlformats.org/officeDocument/2006/relationships/hyperlink" Target="https://www.cde.ca.gov/fg/ac/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2/subtitle-A/chapter-II/part-200" TargetMode="External"/><Relationship Id="rId14" Type="http://schemas.openxmlformats.org/officeDocument/2006/relationships/hyperlink" Target="https://www.ecfr.gov/current/title-2/subtitle-A/chapter-II/part-200?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70BC-C743-46D4-85D1-95A6FC22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1544</Words>
  <Characters>10369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ConApp Guidance - Consolidated Application (CA Dept of Education)</vt:lpstr>
    </vt:vector>
  </TitlesOfParts>
  <Company/>
  <LinksUpToDate>false</LinksUpToDate>
  <CharactersWithSpaces>11890</CharactersWithSpaces>
  <SharedDoc>false</SharedDoc>
  <HLinks>
    <vt:vector size="186" baseType="variant">
      <vt:variant>
        <vt:i4>2555963</vt:i4>
      </vt:variant>
      <vt:variant>
        <vt:i4>132</vt:i4>
      </vt:variant>
      <vt:variant>
        <vt:i4>0</vt:i4>
      </vt:variant>
      <vt:variant>
        <vt:i4>5</vt:i4>
      </vt:variant>
      <vt:variant>
        <vt:lpwstr>http://www3.cde.ca.gov/opuscds/default.aspx</vt:lpwstr>
      </vt:variant>
      <vt:variant>
        <vt:lpwstr/>
      </vt:variant>
      <vt:variant>
        <vt:i4>6291489</vt:i4>
      </vt:variant>
      <vt:variant>
        <vt:i4>129</vt:i4>
      </vt:variant>
      <vt:variant>
        <vt:i4>0</vt:i4>
      </vt:variant>
      <vt:variant>
        <vt:i4>5</vt:i4>
      </vt:variant>
      <vt:variant>
        <vt:lpwstr>http://www2.ed.gov/policy/elsec/guid/edpicks.jhtml</vt:lpwstr>
      </vt:variant>
      <vt:variant>
        <vt:lpwstr/>
      </vt:variant>
      <vt:variant>
        <vt:i4>2818148</vt:i4>
      </vt:variant>
      <vt:variant>
        <vt:i4>126</vt:i4>
      </vt:variant>
      <vt:variant>
        <vt:i4>0</vt:i4>
      </vt:variant>
      <vt:variant>
        <vt:i4>5</vt:i4>
      </vt:variant>
      <vt:variant>
        <vt:lpwstr>http://www2.ed.gov/policy/elsec/leg/esea02/pg2.html</vt:lpwstr>
      </vt:variant>
      <vt:variant>
        <vt:lpwstr/>
      </vt:variant>
      <vt:variant>
        <vt:i4>6291489</vt:i4>
      </vt:variant>
      <vt:variant>
        <vt:i4>123</vt:i4>
      </vt:variant>
      <vt:variant>
        <vt:i4>0</vt:i4>
      </vt:variant>
      <vt:variant>
        <vt:i4>5</vt:i4>
      </vt:variant>
      <vt:variant>
        <vt:lpwstr>http://www2.ed.gov/policy/elsec/guid/edpicks.jhtml</vt:lpwstr>
      </vt:variant>
      <vt:variant>
        <vt:lpwstr/>
      </vt:variant>
      <vt:variant>
        <vt:i4>6160395</vt:i4>
      </vt:variant>
      <vt:variant>
        <vt:i4>120</vt:i4>
      </vt:variant>
      <vt:variant>
        <vt:i4>0</vt:i4>
      </vt:variant>
      <vt:variant>
        <vt:i4>5</vt:i4>
      </vt:variant>
      <vt:variant>
        <vt:lpwstr>http://www.cde.ca.gov/fg/aa/co/ca17sguisgspngrpa.asp</vt:lpwstr>
      </vt:variant>
      <vt:variant>
        <vt:lpwstr/>
      </vt:variant>
      <vt:variant>
        <vt:i4>7012479</vt:i4>
      </vt:variant>
      <vt:variant>
        <vt:i4>117</vt:i4>
      </vt:variant>
      <vt:variant>
        <vt:i4>0</vt:i4>
      </vt:variant>
      <vt:variant>
        <vt:i4>5</vt:i4>
      </vt:variant>
      <vt:variant>
        <vt:lpwstr>http://www.cde.ca.gov/sp/sw/t1/privateschoolsvs.asp</vt:lpwstr>
      </vt:variant>
      <vt:variant>
        <vt:lpwstr/>
      </vt:variant>
      <vt:variant>
        <vt:i4>7012479</vt:i4>
      </vt:variant>
      <vt:variant>
        <vt:i4>114</vt:i4>
      </vt:variant>
      <vt:variant>
        <vt:i4>0</vt:i4>
      </vt:variant>
      <vt:variant>
        <vt:i4>5</vt:i4>
      </vt:variant>
      <vt:variant>
        <vt:lpwstr>http://www.cde.ca.gov/sp/sw/t1/privateschoolsvs.asp</vt:lpwstr>
      </vt:variant>
      <vt:variant>
        <vt:lpwstr/>
      </vt:variant>
      <vt:variant>
        <vt:i4>6684705</vt:i4>
      </vt:variant>
      <vt:variant>
        <vt:i4>111</vt:i4>
      </vt:variant>
      <vt:variant>
        <vt:i4>0</vt:i4>
      </vt:variant>
      <vt:variant>
        <vt:i4>5</vt:i4>
      </vt:variant>
      <vt:variant>
        <vt:lpwstr>http://www.cde.ca.gov/fg/aa/co/</vt:lpwstr>
      </vt:variant>
      <vt:variant>
        <vt:lpwstr/>
      </vt:variant>
      <vt:variant>
        <vt:i4>2031630</vt:i4>
      </vt:variant>
      <vt:variant>
        <vt:i4>108</vt:i4>
      </vt:variant>
      <vt:variant>
        <vt:i4>0</vt:i4>
      </vt:variant>
      <vt:variant>
        <vt:i4>5</vt:i4>
      </vt:variant>
      <vt:variant>
        <vt:lpwstr>http://www.cde.ca.gov/sp/ps/corrdocs.asp</vt:lpwstr>
      </vt:variant>
      <vt:variant>
        <vt:lpwstr/>
      </vt:variant>
      <vt:variant>
        <vt:i4>6029318</vt:i4>
      </vt:variant>
      <vt:variant>
        <vt:i4>105</vt:i4>
      </vt:variant>
      <vt:variant>
        <vt:i4>0</vt:i4>
      </vt:variant>
      <vt:variant>
        <vt:i4>5</vt:i4>
      </vt:variant>
      <vt:variant>
        <vt:lpwstr>http://www2.ed.gov/policy/elsec/guid/equitableserguidance.doc</vt:lpwstr>
      </vt:variant>
      <vt:variant>
        <vt:lpwstr/>
      </vt:variant>
      <vt:variant>
        <vt:i4>3735658</vt:i4>
      </vt:variant>
      <vt:variant>
        <vt:i4>102</vt:i4>
      </vt:variant>
      <vt:variant>
        <vt:i4>0</vt:i4>
      </vt:variant>
      <vt:variant>
        <vt:i4>5</vt:i4>
      </vt:variant>
      <vt:variant>
        <vt:lpwstr>http://www.cde.ca.gov/fg/aa/ca/titleiii.asp</vt:lpwstr>
      </vt:variant>
      <vt:variant>
        <vt:lpwstr/>
      </vt:variant>
      <vt:variant>
        <vt:i4>7536672</vt:i4>
      </vt:variant>
      <vt:variant>
        <vt:i4>99</vt:i4>
      </vt:variant>
      <vt:variant>
        <vt:i4>0</vt:i4>
      </vt:variant>
      <vt:variant>
        <vt:i4>5</vt:i4>
      </vt:variant>
      <vt:variant>
        <vt:lpwstr>http://www.cde.ca.gov/fg/fo/r28/el17rfa.asp</vt:lpwstr>
      </vt:variant>
      <vt:variant>
        <vt:lpwstr/>
      </vt:variant>
      <vt:variant>
        <vt:i4>3735658</vt:i4>
      </vt:variant>
      <vt:variant>
        <vt:i4>96</vt:i4>
      </vt:variant>
      <vt:variant>
        <vt:i4>0</vt:i4>
      </vt:variant>
      <vt:variant>
        <vt:i4>5</vt:i4>
      </vt:variant>
      <vt:variant>
        <vt:lpwstr>http://www.cde.ca.gov/fg/aa/ca/titleiii.asp</vt:lpwstr>
      </vt:variant>
      <vt:variant>
        <vt:lpwstr/>
      </vt:variant>
      <vt:variant>
        <vt:i4>4849675</vt:i4>
      </vt:variant>
      <vt:variant>
        <vt:i4>93</vt:i4>
      </vt:variant>
      <vt:variant>
        <vt:i4>0</vt:i4>
      </vt:variant>
      <vt:variant>
        <vt:i4>5</vt:i4>
      </vt:variant>
      <vt:variant>
        <vt:lpwstr>http://www.cde.ca.gov/sp/el/t3/title3faq.asp</vt:lpwstr>
      </vt:variant>
      <vt:variant>
        <vt:lpwstr/>
      </vt:variant>
      <vt:variant>
        <vt:i4>6815795</vt:i4>
      </vt:variant>
      <vt:variant>
        <vt:i4>90</vt:i4>
      </vt:variant>
      <vt:variant>
        <vt:i4>0</vt:i4>
      </vt:variant>
      <vt:variant>
        <vt:i4>5</vt:i4>
      </vt:variant>
      <vt:variant>
        <vt:lpwstr>http://www.cde.ca.gov/fg/ac/sa/</vt:lpwstr>
      </vt:variant>
      <vt:variant>
        <vt:lpwstr/>
      </vt:variant>
      <vt:variant>
        <vt:i4>1703976</vt:i4>
      </vt:variant>
      <vt:variant>
        <vt:i4>87</vt:i4>
      </vt:variant>
      <vt:variant>
        <vt:i4>0</vt:i4>
      </vt:variant>
      <vt:variant>
        <vt:i4>5</vt:i4>
      </vt:variant>
      <vt:variant>
        <vt:lpwstr>http://www.ecfr.gov/cgi-bin/text-idx?SID=ed90f54836feb6a994f657188eb05e33&amp;node=2:1.1.2.2.1&amp;rgn=div5</vt:lpwstr>
      </vt:variant>
      <vt:variant>
        <vt:lpwstr>se2.1.200_134</vt:lpwstr>
      </vt:variant>
      <vt:variant>
        <vt:i4>1703976</vt:i4>
      </vt:variant>
      <vt:variant>
        <vt:i4>84</vt:i4>
      </vt:variant>
      <vt:variant>
        <vt:i4>0</vt:i4>
      </vt:variant>
      <vt:variant>
        <vt:i4>5</vt:i4>
      </vt:variant>
      <vt:variant>
        <vt:lpwstr>http://www.ecfr.gov/cgi-bin/text-idx?SID=ed90f54836feb6a994f657188eb05e33&amp;node=2:1.1.2.2.1&amp;rgn=div5</vt:lpwstr>
      </vt:variant>
      <vt:variant>
        <vt:lpwstr>se2.1.200_134</vt:lpwstr>
      </vt:variant>
      <vt:variant>
        <vt:i4>6815795</vt:i4>
      </vt:variant>
      <vt:variant>
        <vt:i4>81</vt:i4>
      </vt:variant>
      <vt:variant>
        <vt:i4>0</vt:i4>
      </vt:variant>
      <vt:variant>
        <vt:i4>5</vt:i4>
      </vt:variant>
      <vt:variant>
        <vt:lpwstr>http://www.cde.ca.gov/fg/ac/sa/</vt:lpwstr>
      </vt:variant>
      <vt:variant>
        <vt:lpwstr/>
      </vt:variant>
      <vt:variant>
        <vt:i4>1703976</vt:i4>
      </vt:variant>
      <vt:variant>
        <vt:i4>78</vt:i4>
      </vt:variant>
      <vt:variant>
        <vt:i4>0</vt:i4>
      </vt:variant>
      <vt:variant>
        <vt:i4>5</vt:i4>
      </vt:variant>
      <vt:variant>
        <vt:lpwstr>http://www.ecfr.gov/cgi-bin/text-idx?SID=ed90f54836feb6a994f657188eb05e33&amp;node=2:1.1.2.2.1&amp;rgn=div5</vt:lpwstr>
      </vt:variant>
      <vt:variant>
        <vt:lpwstr>se2.1.200_134</vt:lpwstr>
      </vt:variant>
      <vt:variant>
        <vt:i4>6356995</vt:i4>
      </vt:variant>
      <vt:variant>
        <vt:i4>75</vt:i4>
      </vt:variant>
      <vt:variant>
        <vt:i4>0</vt:i4>
      </vt:variant>
      <vt:variant>
        <vt:i4>5</vt:i4>
      </vt:variant>
      <vt:variant>
        <vt:lpwstr>http://uscode.house.gov/view.xhtml?path=/prelim@title20/chapter31/subchapter3&amp;edition=prelim</vt:lpwstr>
      </vt:variant>
      <vt:variant>
        <vt:lpwstr/>
      </vt:variant>
      <vt:variant>
        <vt:i4>1179696</vt:i4>
      </vt:variant>
      <vt:variant>
        <vt:i4>62</vt:i4>
      </vt:variant>
      <vt:variant>
        <vt:i4>0</vt:i4>
      </vt:variant>
      <vt:variant>
        <vt:i4>5</vt:i4>
      </vt:variant>
      <vt:variant>
        <vt:lpwstr/>
      </vt:variant>
      <vt:variant>
        <vt:lpwstr>_Toc419452827</vt:lpwstr>
      </vt:variant>
      <vt:variant>
        <vt:i4>1179696</vt:i4>
      </vt:variant>
      <vt:variant>
        <vt:i4>59</vt:i4>
      </vt:variant>
      <vt:variant>
        <vt:i4>0</vt:i4>
      </vt:variant>
      <vt:variant>
        <vt:i4>5</vt:i4>
      </vt:variant>
      <vt:variant>
        <vt:lpwstr/>
      </vt:variant>
      <vt:variant>
        <vt:lpwstr>_Toc419452826</vt:lpwstr>
      </vt:variant>
      <vt:variant>
        <vt:i4>1179696</vt:i4>
      </vt:variant>
      <vt:variant>
        <vt:i4>53</vt:i4>
      </vt:variant>
      <vt:variant>
        <vt:i4>0</vt:i4>
      </vt:variant>
      <vt:variant>
        <vt:i4>5</vt:i4>
      </vt:variant>
      <vt:variant>
        <vt:lpwstr/>
      </vt:variant>
      <vt:variant>
        <vt:lpwstr>_Toc419452825</vt:lpwstr>
      </vt:variant>
      <vt:variant>
        <vt:i4>1179696</vt:i4>
      </vt:variant>
      <vt:variant>
        <vt:i4>47</vt:i4>
      </vt:variant>
      <vt:variant>
        <vt:i4>0</vt:i4>
      </vt:variant>
      <vt:variant>
        <vt:i4>5</vt:i4>
      </vt:variant>
      <vt:variant>
        <vt:lpwstr/>
      </vt:variant>
      <vt:variant>
        <vt:lpwstr>_Toc419452824</vt:lpwstr>
      </vt:variant>
      <vt:variant>
        <vt:i4>1179696</vt:i4>
      </vt:variant>
      <vt:variant>
        <vt:i4>41</vt:i4>
      </vt:variant>
      <vt:variant>
        <vt:i4>0</vt:i4>
      </vt:variant>
      <vt:variant>
        <vt:i4>5</vt:i4>
      </vt:variant>
      <vt:variant>
        <vt:lpwstr/>
      </vt:variant>
      <vt:variant>
        <vt:lpwstr>_Toc419452823</vt:lpwstr>
      </vt:variant>
      <vt:variant>
        <vt:i4>1179696</vt:i4>
      </vt:variant>
      <vt:variant>
        <vt:i4>35</vt:i4>
      </vt:variant>
      <vt:variant>
        <vt:i4>0</vt:i4>
      </vt:variant>
      <vt:variant>
        <vt:i4>5</vt:i4>
      </vt:variant>
      <vt:variant>
        <vt:lpwstr/>
      </vt:variant>
      <vt:variant>
        <vt:lpwstr>_Toc419452822</vt:lpwstr>
      </vt:variant>
      <vt:variant>
        <vt:i4>1179696</vt:i4>
      </vt:variant>
      <vt:variant>
        <vt:i4>29</vt:i4>
      </vt:variant>
      <vt:variant>
        <vt:i4>0</vt:i4>
      </vt:variant>
      <vt:variant>
        <vt:i4>5</vt:i4>
      </vt:variant>
      <vt:variant>
        <vt:lpwstr/>
      </vt:variant>
      <vt:variant>
        <vt:lpwstr>_Toc419452821</vt:lpwstr>
      </vt:variant>
      <vt:variant>
        <vt:i4>1114160</vt:i4>
      </vt:variant>
      <vt:variant>
        <vt:i4>20</vt:i4>
      </vt:variant>
      <vt:variant>
        <vt:i4>0</vt:i4>
      </vt:variant>
      <vt:variant>
        <vt:i4>5</vt:i4>
      </vt:variant>
      <vt:variant>
        <vt:lpwstr/>
      </vt:variant>
      <vt:variant>
        <vt:lpwstr>_Toc419452819</vt:lpwstr>
      </vt:variant>
      <vt:variant>
        <vt:i4>1114160</vt:i4>
      </vt:variant>
      <vt:variant>
        <vt:i4>14</vt:i4>
      </vt:variant>
      <vt:variant>
        <vt:i4>0</vt:i4>
      </vt:variant>
      <vt:variant>
        <vt:i4>5</vt:i4>
      </vt:variant>
      <vt:variant>
        <vt:lpwstr/>
      </vt:variant>
      <vt:variant>
        <vt:lpwstr>_Toc419452818</vt:lpwstr>
      </vt:variant>
      <vt:variant>
        <vt:i4>1114160</vt:i4>
      </vt:variant>
      <vt:variant>
        <vt:i4>8</vt:i4>
      </vt:variant>
      <vt:variant>
        <vt:i4>0</vt:i4>
      </vt:variant>
      <vt:variant>
        <vt:i4>5</vt:i4>
      </vt:variant>
      <vt:variant>
        <vt:lpwstr/>
      </vt:variant>
      <vt:variant>
        <vt:lpwstr>_Toc419452817</vt:lpwstr>
      </vt:variant>
      <vt:variant>
        <vt:i4>1114160</vt:i4>
      </vt:variant>
      <vt:variant>
        <vt:i4>2</vt:i4>
      </vt:variant>
      <vt:variant>
        <vt:i4>0</vt:i4>
      </vt:variant>
      <vt:variant>
        <vt:i4>5</vt:i4>
      </vt:variant>
      <vt:variant>
        <vt:lpwstr/>
      </vt:variant>
      <vt:variant>
        <vt:lpwstr>_Toc419452816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Guidance - Consolidated Application (CA Dept of Education)</dc:title>
  <dc:subject>Consolidated Application Guidance for the 2026–27 Spring Release.</dc:subject>
  <dc:creator/>
  <cp:keywords/>
  <cp:lastModifiedBy/>
  <cp:revision>1</cp:revision>
  <dcterms:created xsi:type="dcterms:W3CDTF">2024-03-19T16:20:00Z</dcterms:created>
  <dcterms:modified xsi:type="dcterms:W3CDTF">2026-04-02T23:14:00Z</dcterms:modified>
</cp:coreProperties>
</file>