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ABF0" w14:textId="782AD260" w:rsidR="00D65FC8" w:rsidRPr="007030D5" w:rsidRDefault="00216AB4" w:rsidP="738D059B">
      <w:pPr>
        <w:pStyle w:val="Title"/>
        <w:spacing w:before="240" w:after="240"/>
        <w:jc w:val="center"/>
        <w:rPr>
          <w:rFonts w:ascii="Arial" w:hAnsi="Arial" w:cs="Arial"/>
        </w:rPr>
      </w:pPr>
      <w:r w:rsidRPr="007030D5">
        <w:rPr>
          <w:rFonts w:ascii="Arial" w:hAnsi="Arial" w:cs="Arial"/>
        </w:rPr>
        <w:t xml:space="preserve">Introduction to </w:t>
      </w:r>
      <w:r w:rsidR="00ED467B" w:rsidRPr="007030D5">
        <w:rPr>
          <w:rFonts w:ascii="Arial" w:hAnsi="Arial" w:cs="Arial"/>
        </w:rPr>
        <w:t>Local Control Funding Formula (</w:t>
      </w:r>
      <w:r w:rsidRPr="007030D5">
        <w:rPr>
          <w:rFonts w:ascii="Arial" w:hAnsi="Arial" w:cs="Arial"/>
        </w:rPr>
        <w:t>LCFF</w:t>
      </w:r>
      <w:r w:rsidR="00ED467B" w:rsidRPr="007030D5">
        <w:rPr>
          <w:rFonts w:ascii="Arial" w:hAnsi="Arial" w:cs="Arial"/>
        </w:rPr>
        <w:t>)</w:t>
      </w:r>
    </w:p>
    <w:p w14:paraId="23ED6FB5" w14:textId="123E3B82" w:rsidR="00094DC0" w:rsidRPr="007030D5" w:rsidRDefault="007643B5" w:rsidP="738D059B">
      <w:pPr>
        <w:spacing w:before="240" w:after="240"/>
        <w:jc w:val="center"/>
        <w:rPr>
          <w:rFonts w:ascii="Arial" w:hAnsi="Arial" w:cs="Arial"/>
        </w:rPr>
      </w:pPr>
      <w:r w:rsidRPr="007030D5">
        <w:rPr>
          <w:rFonts w:ascii="Arial" w:hAnsi="Arial" w:cs="Arial"/>
        </w:rPr>
        <w:t>November 14, 2023</w:t>
      </w:r>
    </w:p>
    <w:p w14:paraId="5A61F435" w14:textId="676AEB62" w:rsidR="0032051B" w:rsidRPr="007030D5" w:rsidRDefault="00ED467B" w:rsidP="738D059B">
      <w:pPr>
        <w:pStyle w:val="Heading1"/>
        <w:keepNext w:val="0"/>
        <w:keepLines w:val="0"/>
        <w:spacing w:after="240"/>
        <w:rPr>
          <w:rFonts w:ascii="Arial" w:hAnsi="Arial" w:cs="Arial"/>
        </w:rPr>
      </w:pPr>
      <w:r w:rsidRPr="007030D5">
        <w:rPr>
          <w:rFonts w:ascii="Arial" w:hAnsi="Arial" w:cs="Arial"/>
        </w:rPr>
        <w:t>Local Control and Accountability Plan (</w:t>
      </w:r>
      <w:r w:rsidR="00B12833" w:rsidRPr="007030D5">
        <w:rPr>
          <w:rFonts w:ascii="Arial" w:hAnsi="Arial" w:cs="Arial"/>
        </w:rPr>
        <w:t>LCAP</w:t>
      </w:r>
      <w:r w:rsidRPr="007030D5">
        <w:rPr>
          <w:rFonts w:ascii="Arial" w:hAnsi="Arial" w:cs="Arial"/>
        </w:rPr>
        <w:t>)</w:t>
      </w:r>
      <w:r w:rsidR="00B12833" w:rsidRPr="007030D5">
        <w:rPr>
          <w:rFonts w:ascii="Arial" w:hAnsi="Arial" w:cs="Arial"/>
        </w:rPr>
        <w:t xml:space="preserve"> Template and Instructions</w:t>
      </w:r>
    </w:p>
    <w:p w14:paraId="6E9E669A" w14:textId="7B467E23" w:rsidR="00094DC0" w:rsidRPr="007030D5" w:rsidRDefault="00094DC0" w:rsidP="738D059B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7030D5">
        <w:rPr>
          <w:rFonts w:ascii="Arial" w:hAnsi="Arial" w:cs="Arial"/>
          <w:b/>
          <w:bCs/>
          <w:sz w:val="24"/>
          <w:szCs w:val="24"/>
        </w:rPr>
        <w:t>Is the new LCAP template approved?</w:t>
      </w:r>
    </w:p>
    <w:p w14:paraId="37CAA2BB" w14:textId="3397CB68" w:rsidR="00094DC0" w:rsidRPr="007030D5" w:rsidRDefault="00094DC0" w:rsidP="738D059B">
      <w:pPr>
        <w:spacing w:before="240" w:after="240"/>
        <w:rPr>
          <w:rFonts w:ascii="Arial" w:hAnsi="Arial" w:cs="Arial"/>
          <w:sz w:val="24"/>
          <w:szCs w:val="24"/>
        </w:rPr>
      </w:pPr>
      <w:r w:rsidRPr="007030D5">
        <w:rPr>
          <w:rFonts w:ascii="Arial" w:hAnsi="Arial" w:cs="Arial"/>
          <w:sz w:val="24"/>
          <w:szCs w:val="24"/>
        </w:rPr>
        <w:t xml:space="preserve">Yes. </w:t>
      </w:r>
      <w:r w:rsidR="001F6698" w:rsidRPr="007030D5">
        <w:rPr>
          <w:rFonts w:ascii="Arial" w:hAnsi="Arial" w:cs="Arial"/>
          <w:sz w:val="24"/>
          <w:szCs w:val="24"/>
        </w:rPr>
        <w:t>The 2024</w:t>
      </w:r>
      <w:r w:rsidR="00B92BBA" w:rsidRPr="007030D5">
        <w:rPr>
          <w:rFonts w:ascii="Arial" w:hAnsi="Arial" w:cs="Arial"/>
          <w:sz w:val="24"/>
          <w:szCs w:val="24"/>
        </w:rPr>
        <w:t>–</w:t>
      </w:r>
      <w:r w:rsidR="001F6698" w:rsidRPr="007030D5">
        <w:rPr>
          <w:rFonts w:ascii="Arial" w:hAnsi="Arial" w:cs="Arial"/>
          <w:sz w:val="24"/>
          <w:szCs w:val="24"/>
        </w:rPr>
        <w:t>25 LCAP template, the 2023</w:t>
      </w:r>
      <w:r w:rsidR="00B92BBA" w:rsidRPr="007030D5">
        <w:rPr>
          <w:rFonts w:ascii="Arial" w:hAnsi="Arial" w:cs="Arial"/>
          <w:sz w:val="24"/>
          <w:szCs w:val="24"/>
        </w:rPr>
        <w:t>–</w:t>
      </w:r>
      <w:r w:rsidR="001F6698" w:rsidRPr="007030D5">
        <w:rPr>
          <w:rFonts w:ascii="Arial" w:hAnsi="Arial" w:cs="Arial"/>
          <w:sz w:val="24"/>
          <w:szCs w:val="24"/>
        </w:rPr>
        <w:t>24 LCAP Annual Update template, and the 2024</w:t>
      </w:r>
      <w:r w:rsidR="00B92BBA" w:rsidRPr="007030D5">
        <w:rPr>
          <w:rFonts w:ascii="Arial" w:hAnsi="Arial" w:cs="Arial"/>
          <w:sz w:val="24"/>
          <w:szCs w:val="24"/>
        </w:rPr>
        <w:t>–</w:t>
      </w:r>
      <w:r w:rsidR="001F6698" w:rsidRPr="007030D5">
        <w:rPr>
          <w:rFonts w:ascii="Arial" w:hAnsi="Arial" w:cs="Arial"/>
          <w:sz w:val="24"/>
          <w:szCs w:val="24"/>
        </w:rPr>
        <w:t>25 LCAP Action tables are all</w:t>
      </w:r>
      <w:r w:rsidRPr="007030D5">
        <w:rPr>
          <w:rFonts w:ascii="Arial" w:hAnsi="Arial" w:cs="Arial"/>
          <w:sz w:val="24"/>
          <w:szCs w:val="24"/>
        </w:rPr>
        <w:t xml:space="preserve"> located on the </w:t>
      </w:r>
      <w:hyperlink r:id="rId6" w:tooltip="California Department of Education LCAP webpage">
        <w:r w:rsidR="00B92BBA" w:rsidRPr="007030D5">
          <w:rPr>
            <w:rStyle w:val="Hyperlink"/>
            <w:rFonts w:ascii="Arial" w:hAnsi="Arial" w:cs="Arial"/>
            <w:sz w:val="24"/>
            <w:szCs w:val="24"/>
          </w:rPr>
          <w:t>California Department of Education’s (CDE) L</w:t>
        </w:r>
        <w:r w:rsidRPr="007030D5">
          <w:rPr>
            <w:rStyle w:val="Hyperlink"/>
            <w:rFonts w:ascii="Arial" w:hAnsi="Arial" w:cs="Arial"/>
            <w:sz w:val="24"/>
            <w:szCs w:val="24"/>
          </w:rPr>
          <w:t>CAP webpage</w:t>
        </w:r>
      </w:hyperlink>
      <w:r w:rsidRPr="007030D5">
        <w:rPr>
          <w:rFonts w:ascii="Arial" w:hAnsi="Arial" w:cs="Arial"/>
          <w:sz w:val="24"/>
          <w:szCs w:val="24"/>
        </w:rPr>
        <w:t>.</w:t>
      </w:r>
    </w:p>
    <w:p w14:paraId="60260F1F" w14:textId="6894E6B1" w:rsidR="0032051B" w:rsidRPr="007030D5" w:rsidRDefault="00B12833" w:rsidP="738D059B">
      <w:pPr>
        <w:pStyle w:val="Heading1"/>
        <w:keepNext w:val="0"/>
        <w:keepLines w:val="0"/>
        <w:spacing w:after="240"/>
        <w:rPr>
          <w:rFonts w:ascii="Arial" w:hAnsi="Arial" w:cs="Arial"/>
        </w:rPr>
      </w:pPr>
      <w:r w:rsidRPr="007030D5">
        <w:rPr>
          <w:rFonts w:ascii="Arial" w:hAnsi="Arial" w:cs="Arial"/>
        </w:rPr>
        <w:t>Mid-Year Update</w:t>
      </w:r>
      <w:r w:rsidR="00113FA6" w:rsidRPr="007030D5">
        <w:rPr>
          <w:rFonts w:ascii="Arial" w:hAnsi="Arial" w:cs="Arial"/>
        </w:rPr>
        <w:t xml:space="preserve"> (February 2024)</w:t>
      </w:r>
    </w:p>
    <w:p w14:paraId="64071639" w14:textId="7E3094D3" w:rsidR="00222018" w:rsidRPr="007030D5" w:rsidRDefault="00222018" w:rsidP="738D059B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7030D5">
        <w:rPr>
          <w:rFonts w:ascii="Arial" w:hAnsi="Arial" w:cs="Arial"/>
          <w:b/>
          <w:bCs/>
          <w:sz w:val="24"/>
          <w:szCs w:val="24"/>
        </w:rPr>
        <w:t xml:space="preserve">Will </w:t>
      </w:r>
      <w:r w:rsidR="00B92BBA" w:rsidRPr="007030D5">
        <w:rPr>
          <w:rFonts w:ascii="Arial" w:hAnsi="Arial" w:cs="Arial"/>
          <w:b/>
          <w:bCs/>
          <w:sz w:val="24"/>
          <w:szCs w:val="24"/>
        </w:rPr>
        <w:t>local educational agencies (</w:t>
      </w:r>
      <w:r w:rsidR="00094DC0" w:rsidRPr="007030D5">
        <w:rPr>
          <w:rFonts w:ascii="Arial" w:hAnsi="Arial" w:cs="Arial"/>
          <w:b/>
          <w:bCs/>
          <w:sz w:val="24"/>
          <w:szCs w:val="24"/>
        </w:rPr>
        <w:t>LEAs</w:t>
      </w:r>
      <w:r w:rsidR="00B92BBA" w:rsidRPr="007030D5">
        <w:rPr>
          <w:rFonts w:ascii="Arial" w:hAnsi="Arial" w:cs="Arial"/>
          <w:b/>
          <w:bCs/>
          <w:sz w:val="24"/>
          <w:szCs w:val="24"/>
        </w:rPr>
        <w:t>)</w:t>
      </w:r>
      <w:r w:rsidRPr="007030D5">
        <w:rPr>
          <w:rFonts w:ascii="Arial" w:hAnsi="Arial" w:cs="Arial"/>
          <w:b/>
          <w:bCs/>
          <w:sz w:val="24"/>
          <w:szCs w:val="24"/>
        </w:rPr>
        <w:t xml:space="preserve"> be able to design </w:t>
      </w:r>
      <w:r w:rsidR="005757F6" w:rsidRPr="007030D5">
        <w:rPr>
          <w:rFonts w:ascii="Arial" w:hAnsi="Arial" w:cs="Arial"/>
          <w:b/>
          <w:bCs/>
          <w:sz w:val="24"/>
          <w:szCs w:val="24"/>
        </w:rPr>
        <w:t>their</w:t>
      </w:r>
      <w:r w:rsidRPr="007030D5">
        <w:rPr>
          <w:rFonts w:ascii="Arial" w:hAnsi="Arial" w:cs="Arial"/>
          <w:b/>
          <w:bCs/>
          <w:sz w:val="24"/>
          <w:szCs w:val="24"/>
        </w:rPr>
        <w:t xml:space="preserve"> own LCAP </w:t>
      </w:r>
      <w:r w:rsidR="00D95C41" w:rsidRPr="007030D5">
        <w:rPr>
          <w:rFonts w:ascii="Arial" w:hAnsi="Arial" w:cs="Arial"/>
          <w:b/>
          <w:bCs/>
          <w:sz w:val="24"/>
          <w:szCs w:val="24"/>
        </w:rPr>
        <w:t>mid-year</w:t>
      </w:r>
      <w:r w:rsidRPr="007030D5">
        <w:rPr>
          <w:rFonts w:ascii="Arial" w:hAnsi="Arial" w:cs="Arial"/>
          <w:b/>
          <w:bCs/>
          <w:sz w:val="24"/>
          <w:szCs w:val="24"/>
        </w:rPr>
        <w:t xml:space="preserve"> update document </w:t>
      </w:r>
      <w:r w:rsidR="005757F6" w:rsidRPr="007030D5">
        <w:rPr>
          <w:rFonts w:ascii="Arial" w:hAnsi="Arial" w:cs="Arial"/>
          <w:b/>
          <w:bCs/>
          <w:sz w:val="24"/>
          <w:szCs w:val="24"/>
        </w:rPr>
        <w:t xml:space="preserve">due in February 2024 </w:t>
      </w:r>
      <w:r w:rsidRPr="007030D5">
        <w:rPr>
          <w:rFonts w:ascii="Arial" w:hAnsi="Arial" w:cs="Arial"/>
          <w:b/>
          <w:bCs/>
          <w:sz w:val="24"/>
          <w:szCs w:val="24"/>
        </w:rPr>
        <w:t xml:space="preserve">or will </w:t>
      </w:r>
      <w:r w:rsidR="00B92BBA" w:rsidRPr="007030D5">
        <w:rPr>
          <w:rFonts w:ascii="Arial" w:hAnsi="Arial" w:cs="Arial"/>
          <w:b/>
          <w:bCs/>
          <w:sz w:val="24"/>
          <w:szCs w:val="24"/>
        </w:rPr>
        <w:t>the California Department of Education (</w:t>
      </w:r>
      <w:r w:rsidRPr="007030D5">
        <w:rPr>
          <w:rFonts w:ascii="Arial" w:hAnsi="Arial" w:cs="Arial"/>
          <w:b/>
          <w:bCs/>
          <w:sz w:val="24"/>
          <w:szCs w:val="24"/>
        </w:rPr>
        <w:t>CDE</w:t>
      </w:r>
      <w:r w:rsidR="00B92BBA" w:rsidRPr="007030D5">
        <w:rPr>
          <w:rFonts w:ascii="Arial" w:hAnsi="Arial" w:cs="Arial"/>
          <w:b/>
          <w:bCs/>
          <w:sz w:val="24"/>
          <w:szCs w:val="24"/>
        </w:rPr>
        <w:t>)</w:t>
      </w:r>
      <w:r w:rsidRPr="007030D5">
        <w:rPr>
          <w:rFonts w:ascii="Arial" w:hAnsi="Arial" w:cs="Arial"/>
          <w:b/>
          <w:bCs/>
          <w:sz w:val="24"/>
          <w:szCs w:val="24"/>
        </w:rPr>
        <w:t xml:space="preserve"> provide a template for the </w:t>
      </w:r>
      <w:r w:rsidR="005757F6" w:rsidRPr="007030D5">
        <w:rPr>
          <w:rFonts w:ascii="Arial" w:hAnsi="Arial" w:cs="Arial"/>
          <w:b/>
          <w:bCs/>
          <w:sz w:val="24"/>
          <w:szCs w:val="24"/>
        </w:rPr>
        <w:t>mid-year update</w:t>
      </w:r>
      <w:r w:rsidRPr="007030D5">
        <w:rPr>
          <w:rFonts w:ascii="Arial" w:hAnsi="Arial" w:cs="Arial"/>
          <w:b/>
          <w:bCs/>
          <w:sz w:val="24"/>
          <w:szCs w:val="24"/>
        </w:rPr>
        <w:t>?</w:t>
      </w:r>
    </w:p>
    <w:p w14:paraId="0594118F" w14:textId="7FF93DDD" w:rsidR="00216AB4" w:rsidRPr="007030D5" w:rsidRDefault="104B0648" w:rsidP="738D059B">
      <w:pPr>
        <w:spacing w:before="240" w:after="240"/>
        <w:rPr>
          <w:rFonts w:ascii="Arial" w:hAnsi="Arial" w:cs="Arial"/>
        </w:rPr>
      </w:pPr>
      <w:r w:rsidRPr="007030D5">
        <w:rPr>
          <w:rFonts w:ascii="Arial" w:hAnsi="Arial" w:cs="Arial"/>
          <w:sz w:val="24"/>
          <w:szCs w:val="24"/>
        </w:rPr>
        <w:t xml:space="preserve">Yes, LEAs may design their own mid-year update document. </w:t>
      </w:r>
      <w:r w:rsidR="00222018" w:rsidRPr="007030D5">
        <w:rPr>
          <w:rFonts w:ascii="Arial" w:hAnsi="Arial" w:cs="Arial"/>
          <w:sz w:val="24"/>
          <w:szCs w:val="24"/>
        </w:rPr>
        <w:t>The mid-year update</w:t>
      </w:r>
      <w:r w:rsidR="00113FA6" w:rsidRPr="007030D5">
        <w:rPr>
          <w:rFonts w:ascii="Arial" w:hAnsi="Arial" w:cs="Arial"/>
          <w:sz w:val="24"/>
          <w:szCs w:val="24"/>
        </w:rPr>
        <w:t xml:space="preserve"> report</w:t>
      </w:r>
      <w:r w:rsidR="005757F6" w:rsidRPr="007030D5">
        <w:rPr>
          <w:rFonts w:ascii="Arial" w:hAnsi="Arial" w:cs="Arial"/>
          <w:sz w:val="24"/>
          <w:szCs w:val="24"/>
        </w:rPr>
        <w:t>,</w:t>
      </w:r>
      <w:r w:rsidR="00222018" w:rsidRPr="007030D5">
        <w:rPr>
          <w:rFonts w:ascii="Arial" w:hAnsi="Arial" w:cs="Arial"/>
          <w:sz w:val="24"/>
          <w:szCs w:val="24"/>
        </w:rPr>
        <w:t xml:space="preserve"> presented </w:t>
      </w:r>
      <w:r w:rsidR="009A596E" w:rsidRPr="007030D5">
        <w:rPr>
          <w:rFonts w:ascii="Arial" w:hAnsi="Arial" w:cs="Arial"/>
          <w:sz w:val="24"/>
          <w:szCs w:val="24"/>
        </w:rPr>
        <w:t xml:space="preserve">to the local governing board </w:t>
      </w:r>
      <w:r w:rsidR="00113FA6" w:rsidRPr="007030D5">
        <w:rPr>
          <w:rFonts w:ascii="Arial" w:hAnsi="Arial" w:cs="Arial"/>
          <w:sz w:val="24"/>
          <w:szCs w:val="24"/>
        </w:rPr>
        <w:t>on or before</w:t>
      </w:r>
      <w:r w:rsidR="00222018" w:rsidRPr="007030D5">
        <w:rPr>
          <w:rFonts w:ascii="Arial" w:hAnsi="Arial" w:cs="Arial"/>
          <w:sz w:val="24"/>
          <w:szCs w:val="24"/>
        </w:rPr>
        <w:t xml:space="preserve"> February </w:t>
      </w:r>
      <w:r w:rsidR="00113FA6" w:rsidRPr="007030D5">
        <w:rPr>
          <w:rFonts w:ascii="Arial" w:hAnsi="Arial" w:cs="Arial"/>
          <w:sz w:val="24"/>
          <w:szCs w:val="24"/>
        </w:rPr>
        <w:t xml:space="preserve">28, </w:t>
      </w:r>
      <w:r w:rsidR="005A0F75" w:rsidRPr="007030D5">
        <w:rPr>
          <w:rFonts w:ascii="Arial" w:hAnsi="Arial" w:cs="Arial"/>
          <w:sz w:val="24"/>
          <w:szCs w:val="24"/>
        </w:rPr>
        <w:t>2024</w:t>
      </w:r>
      <w:r w:rsidR="005757F6" w:rsidRPr="007030D5">
        <w:rPr>
          <w:rFonts w:ascii="Arial" w:hAnsi="Arial" w:cs="Arial"/>
          <w:sz w:val="24"/>
          <w:szCs w:val="24"/>
        </w:rPr>
        <w:t>,</w:t>
      </w:r>
      <w:r w:rsidR="005A0F75" w:rsidRPr="007030D5">
        <w:rPr>
          <w:rFonts w:ascii="Arial" w:hAnsi="Arial" w:cs="Arial"/>
          <w:sz w:val="24"/>
          <w:szCs w:val="24"/>
        </w:rPr>
        <w:t xml:space="preserve"> </w:t>
      </w:r>
      <w:r w:rsidR="005757F6" w:rsidRPr="007030D5">
        <w:rPr>
          <w:rFonts w:ascii="Arial" w:hAnsi="Arial" w:cs="Arial"/>
          <w:sz w:val="24"/>
          <w:szCs w:val="24"/>
        </w:rPr>
        <w:t>does</w:t>
      </w:r>
      <w:r w:rsidR="00222018" w:rsidRPr="007030D5">
        <w:rPr>
          <w:rFonts w:ascii="Arial" w:hAnsi="Arial" w:cs="Arial"/>
          <w:sz w:val="24"/>
          <w:szCs w:val="24"/>
        </w:rPr>
        <w:t xml:space="preserve"> not have </w:t>
      </w:r>
      <w:r w:rsidR="00593EA6" w:rsidRPr="007030D5">
        <w:rPr>
          <w:rFonts w:ascii="Arial" w:hAnsi="Arial" w:cs="Arial"/>
          <w:sz w:val="24"/>
          <w:szCs w:val="24"/>
        </w:rPr>
        <w:t>a required</w:t>
      </w:r>
      <w:r w:rsidR="00222018" w:rsidRPr="007030D5">
        <w:rPr>
          <w:rFonts w:ascii="Arial" w:hAnsi="Arial" w:cs="Arial"/>
          <w:sz w:val="24"/>
          <w:szCs w:val="24"/>
        </w:rPr>
        <w:t xml:space="preserve"> template.</w:t>
      </w:r>
    </w:p>
    <w:p w14:paraId="137F6AF8" w14:textId="1FBC25BC" w:rsidR="0032051B" w:rsidRPr="007030D5" w:rsidRDefault="0032051B" w:rsidP="738D059B">
      <w:pPr>
        <w:pStyle w:val="Heading1"/>
        <w:keepNext w:val="0"/>
        <w:keepLines w:val="0"/>
        <w:spacing w:after="240"/>
        <w:rPr>
          <w:rFonts w:ascii="Arial" w:hAnsi="Arial" w:cs="Arial"/>
        </w:rPr>
      </w:pPr>
      <w:r w:rsidRPr="007030D5">
        <w:rPr>
          <w:rFonts w:ascii="Arial" w:hAnsi="Arial" w:cs="Arial"/>
        </w:rPr>
        <w:t>Low-income Student Information</w:t>
      </w:r>
    </w:p>
    <w:p w14:paraId="55A389D2" w14:textId="02AEC8FB" w:rsidR="00073125" w:rsidRPr="007030D5" w:rsidRDefault="0032051B" w:rsidP="738D059B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7030D5">
        <w:rPr>
          <w:rFonts w:ascii="Arial" w:hAnsi="Arial" w:cs="Arial"/>
          <w:b/>
          <w:bCs/>
          <w:sz w:val="24"/>
          <w:szCs w:val="24"/>
        </w:rPr>
        <w:t>W</w:t>
      </w:r>
      <w:r w:rsidR="00073125" w:rsidRPr="007030D5">
        <w:rPr>
          <w:rFonts w:ascii="Arial" w:hAnsi="Arial" w:cs="Arial"/>
          <w:b/>
          <w:bCs/>
          <w:sz w:val="24"/>
          <w:szCs w:val="24"/>
        </w:rPr>
        <w:t xml:space="preserve">ho can have access to the information regarding </w:t>
      </w:r>
      <w:r w:rsidR="009A596E" w:rsidRPr="007030D5">
        <w:rPr>
          <w:rFonts w:ascii="Arial" w:hAnsi="Arial" w:cs="Arial"/>
          <w:b/>
          <w:bCs/>
          <w:sz w:val="24"/>
          <w:szCs w:val="24"/>
        </w:rPr>
        <w:t>low-income</w:t>
      </w:r>
      <w:r w:rsidR="00073125" w:rsidRPr="007030D5">
        <w:rPr>
          <w:rFonts w:ascii="Arial" w:hAnsi="Arial" w:cs="Arial"/>
          <w:b/>
          <w:bCs/>
          <w:sz w:val="24"/>
          <w:szCs w:val="24"/>
        </w:rPr>
        <w:t xml:space="preserve"> students?</w:t>
      </w:r>
    </w:p>
    <w:p w14:paraId="372D827E" w14:textId="4F8200E4" w:rsidR="00073125" w:rsidRPr="007030D5" w:rsidRDefault="00073125" w:rsidP="738D059B">
      <w:pPr>
        <w:spacing w:before="240" w:after="240"/>
        <w:rPr>
          <w:rFonts w:ascii="Arial" w:hAnsi="Arial" w:cs="Arial"/>
          <w:sz w:val="24"/>
          <w:szCs w:val="24"/>
        </w:rPr>
      </w:pPr>
      <w:r w:rsidRPr="007030D5">
        <w:rPr>
          <w:rFonts w:ascii="Arial" w:hAnsi="Arial" w:cs="Arial"/>
          <w:sz w:val="24"/>
          <w:szCs w:val="24"/>
        </w:rPr>
        <w:t xml:space="preserve">Information that is collected via a school meal application is protected under California Confidentiality laws. </w:t>
      </w:r>
      <w:r w:rsidR="2D673E93" w:rsidRPr="007030D5">
        <w:rPr>
          <w:rFonts w:ascii="Arial" w:hAnsi="Arial" w:cs="Arial"/>
          <w:sz w:val="24"/>
          <w:szCs w:val="24"/>
        </w:rPr>
        <w:t>G</w:t>
      </w:r>
      <w:r w:rsidRPr="007030D5">
        <w:rPr>
          <w:rFonts w:ascii="Arial" w:hAnsi="Arial" w:cs="Arial"/>
          <w:sz w:val="24"/>
          <w:szCs w:val="24"/>
        </w:rPr>
        <w:t xml:space="preserve">uidance on how information can be used </w:t>
      </w:r>
      <w:r w:rsidR="1A68DF73" w:rsidRPr="007030D5">
        <w:rPr>
          <w:rFonts w:ascii="Arial" w:hAnsi="Arial" w:cs="Arial"/>
          <w:sz w:val="24"/>
          <w:szCs w:val="24"/>
        </w:rPr>
        <w:t xml:space="preserve">is available </w:t>
      </w:r>
      <w:r w:rsidRPr="007030D5">
        <w:rPr>
          <w:rFonts w:ascii="Arial" w:hAnsi="Arial" w:cs="Arial"/>
          <w:sz w:val="24"/>
          <w:szCs w:val="24"/>
        </w:rPr>
        <w:t xml:space="preserve">on </w:t>
      </w:r>
      <w:r w:rsidR="00216AB4" w:rsidRPr="007030D5">
        <w:rPr>
          <w:rFonts w:ascii="Arial" w:hAnsi="Arial" w:cs="Arial"/>
          <w:sz w:val="24"/>
          <w:szCs w:val="24"/>
        </w:rPr>
        <w:t xml:space="preserve">the </w:t>
      </w:r>
      <w:r w:rsidRPr="007030D5">
        <w:rPr>
          <w:rFonts w:ascii="Arial" w:hAnsi="Arial" w:cs="Arial"/>
          <w:sz w:val="24"/>
          <w:szCs w:val="24"/>
        </w:rPr>
        <w:t xml:space="preserve"> </w:t>
      </w:r>
      <w:hyperlink r:id="rId7">
        <w:r w:rsidR="00DD5081" w:rsidRPr="007030D5">
          <w:rPr>
            <w:rStyle w:val="Hyperlink"/>
            <w:rFonts w:ascii="Arial" w:hAnsi="Arial" w:cs="Arial"/>
            <w:sz w:val="24"/>
            <w:szCs w:val="24"/>
          </w:rPr>
          <w:t>CDE's Confidentiality in School Meal Programs webpage</w:t>
        </w:r>
      </w:hyperlink>
      <w:r w:rsidR="00216AB4" w:rsidRPr="007030D5">
        <w:rPr>
          <w:rFonts w:ascii="Arial" w:hAnsi="Arial" w:cs="Arial"/>
          <w:sz w:val="24"/>
          <w:szCs w:val="24"/>
        </w:rPr>
        <w:t>.</w:t>
      </w:r>
    </w:p>
    <w:p w14:paraId="27E627F4" w14:textId="70568BF5" w:rsidR="00B12833" w:rsidRPr="007030D5" w:rsidRDefault="00B12833" w:rsidP="738D059B">
      <w:pPr>
        <w:pStyle w:val="Heading1"/>
        <w:keepNext w:val="0"/>
        <w:keepLines w:val="0"/>
        <w:spacing w:after="240"/>
        <w:rPr>
          <w:rFonts w:ascii="Arial" w:hAnsi="Arial" w:cs="Arial"/>
        </w:rPr>
      </w:pPr>
      <w:r w:rsidRPr="007030D5">
        <w:rPr>
          <w:rFonts w:ascii="Arial" w:hAnsi="Arial" w:cs="Arial"/>
        </w:rPr>
        <w:t>Equity Multiplier Funds</w:t>
      </w:r>
    </w:p>
    <w:p w14:paraId="0D54C29D" w14:textId="3D713CE4" w:rsidR="00094DC0" w:rsidRPr="007030D5" w:rsidRDefault="0032051B" w:rsidP="738D059B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030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H</w:t>
      </w:r>
      <w:r w:rsidR="007643B5" w:rsidRPr="007030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ow do "S&amp;C" funds and "Equity Multiplier" funds relate to each other?</w:t>
      </w:r>
    </w:p>
    <w:p w14:paraId="62BAD6B4" w14:textId="45184CA9" w:rsidR="008C6BBD" w:rsidRPr="007030D5" w:rsidRDefault="00094DC0" w:rsidP="738D059B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Supplemental and concentration grant funds</w:t>
      </w:r>
      <w:r w:rsidR="005F574D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(S&amp;C funds)</w:t>
      </w:r>
      <w:r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Equity Multiplier funds do</w:t>
      </w:r>
      <w:r w:rsidR="00FB151D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no</w:t>
      </w:r>
      <w:r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</w:t>
      </w:r>
      <w:r w:rsidR="003431FC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relate to each other</w:t>
      </w:r>
      <w:r w:rsidR="12F09EDA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as t</w:t>
      </w:r>
      <w:r w:rsidR="00FB151D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hey are tied to separate requirements.</w:t>
      </w:r>
    </w:p>
    <w:p w14:paraId="1833E599" w14:textId="2FC8BDA6" w:rsidR="00734BE1" w:rsidRPr="007030D5" w:rsidRDefault="00094DC0" w:rsidP="738D059B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</w:t>
      </w:r>
      <w:r w:rsidR="005F574D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&amp;C funds </w:t>
      </w:r>
      <w:r w:rsidR="008C6BBD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are </w:t>
      </w:r>
      <w:proofErr w:type="gramStart"/>
      <w:r w:rsidR="00734BE1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</w:t>
      </w:r>
      <w:proofErr w:type="gramEnd"/>
      <w:r w:rsidR="00734BE1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LEA</w:t>
      </w:r>
      <w:r w:rsidR="008C6BBD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-level</w:t>
      </w:r>
      <w:r w:rsidR="00734BE1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funding calculation</w:t>
      </w:r>
      <w:r w:rsidR="00036E55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They </w:t>
      </w:r>
      <w:r w:rsidR="005F574D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are generated based on the number and concentration of low-income, English learner, and foster youth students </w:t>
      </w:r>
      <w:r w:rsidR="005F574D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enrolled in the LEA. </w:t>
      </w:r>
      <w:r w:rsidR="008C6BBD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They are tied to the increased or improved services requirement.</w:t>
      </w:r>
      <w:r w:rsidR="00036E55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The</w:t>
      </w:r>
      <w:r w:rsidR="003226A2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 funds are unrestricted and</w:t>
      </w:r>
      <w:r w:rsidR="00036E55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may be used LEA-wide, schoolwide, or on a limited basis </w:t>
      </w:r>
      <w:r w:rsidR="00F918C7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 address the needs of</w:t>
      </w:r>
      <w:r w:rsidR="00036E55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students who are low-income, English learners, or foster youth.</w:t>
      </w:r>
    </w:p>
    <w:p w14:paraId="2EEB30D3" w14:textId="561824A7" w:rsidR="00094DC0" w:rsidRPr="007030D5" w:rsidRDefault="00734BE1" w:rsidP="738D059B">
      <w:pPr>
        <w:pStyle w:val="NormalWeb"/>
        <w:shd w:val="clear" w:color="auto" w:fill="FFFFFF" w:themeFill="background1"/>
        <w:spacing w:before="240" w:beforeAutospacing="0" w:after="240" w:afterAutospacing="0"/>
        <w:rPr>
          <w:rFonts w:ascii="Arial" w:hAnsi="Arial" w:cs="Arial"/>
          <w:color w:val="000000"/>
        </w:rPr>
      </w:pPr>
      <w:r w:rsidRPr="007030D5">
        <w:rPr>
          <w:rFonts w:ascii="Arial" w:hAnsi="Arial" w:cs="Arial"/>
          <w:color w:val="000000"/>
        </w:rPr>
        <w:t>Equity Multiplier funds are a school</w:t>
      </w:r>
      <w:r w:rsidR="008C6BBD" w:rsidRPr="007030D5">
        <w:rPr>
          <w:rFonts w:ascii="Arial" w:hAnsi="Arial" w:cs="Arial"/>
          <w:color w:val="000000"/>
        </w:rPr>
        <w:t>-level</w:t>
      </w:r>
      <w:r w:rsidRPr="007030D5">
        <w:rPr>
          <w:rFonts w:ascii="Arial" w:hAnsi="Arial" w:cs="Arial"/>
          <w:color w:val="000000"/>
        </w:rPr>
        <w:t xml:space="preserve"> funding calculation. For each eligible </w:t>
      </w:r>
      <w:proofErr w:type="spellStart"/>
      <w:r w:rsidRPr="007030D5">
        <w:rPr>
          <w:rFonts w:ascii="Arial" w:hAnsi="Arial" w:cs="Arial"/>
          <w:color w:val="000000"/>
        </w:rPr>
        <w:t>schoolsite</w:t>
      </w:r>
      <w:proofErr w:type="spellEnd"/>
      <w:r w:rsidRPr="007030D5">
        <w:rPr>
          <w:rFonts w:ascii="Arial" w:hAnsi="Arial" w:cs="Arial"/>
          <w:color w:val="000000"/>
        </w:rPr>
        <w:t xml:space="preserve">, a calculated statewide Equity Multiplier rate will be multiplied by each </w:t>
      </w:r>
      <w:proofErr w:type="spellStart"/>
      <w:r w:rsidRPr="007030D5">
        <w:rPr>
          <w:rFonts w:ascii="Arial" w:hAnsi="Arial" w:cs="Arial"/>
          <w:color w:val="000000"/>
        </w:rPr>
        <w:t>schoolsite’s</w:t>
      </w:r>
      <w:proofErr w:type="spellEnd"/>
      <w:r w:rsidRPr="007030D5">
        <w:rPr>
          <w:rFonts w:ascii="Arial" w:hAnsi="Arial" w:cs="Arial"/>
          <w:color w:val="000000"/>
        </w:rPr>
        <w:t xml:space="preserve"> adjusted cumulative enrollment for the prior year, as identified in the </w:t>
      </w:r>
      <w:hyperlink r:id="rId8" w:history="1">
        <w:r w:rsidR="00DD5081" w:rsidRPr="007030D5">
          <w:rPr>
            <w:rStyle w:val="Hyperlink"/>
            <w:rFonts w:ascii="Arial" w:hAnsi="Arial" w:cs="Arial"/>
          </w:rPr>
          <w:t>CDE's Stability Rate Data file</w:t>
        </w:r>
      </w:hyperlink>
      <w:r w:rsidRPr="007030D5">
        <w:rPr>
          <w:rFonts w:ascii="Arial" w:hAnsi="Arial" w:cs="Arial"/>
          <w:color w:val="000000"/>
        </w:rPr>
        <w:t xml:space="preserve">. The </w:t>
      </w:r>
      <w:proofErr w:type="spellStart"/>
      <w:proofErr w:type="gramStart"/>
      <w:r w:rsidRPr="007030D5">
        <w:rPr>
          <w:rFonts w:ascii="Arial" w:hAnsi="Arial" w:cs="Arial"/>
          <w:color w:val="000000"/>
        </w:rPr>
        <w:t>schoolsite</w:t>
      </w:r>
      <w:proofErr w:type="spellEnd"/>
      <w:proofErr w:type="gramEnd"/>
      <w:r w:rsidRPr="007030D5">
        <w:rPr>
          <w:rFonts w:ascii="Arial" w:hAnsi="Arial" w:cs="Arial"/>
          <w:color w:val="000000"/>
        </w:rPr>
        <w:t xml:space="preserve"> will receive the product of this calculation or $50,000, whichever is greater.</w:t>
      </w:r>
      <w:r w:rsidR="00036E55" w:rsidRPr="007030D5">
        <w:rPr>
          <w:rFonts w:ascii="Arial" w:hAnsi="Arial" w:cs="Arial"/>
          <w:color w:val="000000"/>
        </w:rPr>
        <w:t xml:space="preserve"> These funds are restricted and must be used solely at the Equity Multiplier </w:t>
      </w:r>
      <w:proofErr w:type="spellStart"/>
      <w:r w:rsidR="00036E55" w:rsidRPr="007030D5">
        <w:rPr>
          <w:rFonts w:ascii="Arial" w:hAnsi="Arial" w:cs="Arial"/>
          <w:color w:val="000000"/>
        </w:rPr>
        <w:t>schoolsite</w:t>
      </w:r>
      <w:proofErr w:type="spellEnd"/>
      <w:r w:rsidR="00250621" w:rsidRPr="007030D5">
        <w:rPr>
          <w:rFonts w:ascii="Arial" w:hAnsi="Arial" w:cs="Arial"/>
          <w:color w:val="000000"/>
        </w:rPr>
        <w:t xml:space="preserve"> for evidence-based services and </w:t>
      </w:r>
      <w:proofErr w:type="gramStart"/>
      <w:r w:rsidR="00250621" w:rsidRPr="007030D5">
        <w:rPr>
          <w:rFonts w:ascii="Arial" w:hAnsi="Arial" w:cs="Arial"/>
          <w:color w:val="000000"/>
        </w:rPr>
        <w:t>supports</w:t>
      </w:r>
      <w:proofErr w:type="gramEnd"/>
      <w:r w:rsidR="00250621" w:rsidRPr="007030D5">
        <w:rPr>
          <w:rFonts w:ascii="Arial" w:hAnsi="Arial" w:cs="Arial"/>
          <w:color w:val="000000"/>
        </w:rPr>
        <w:t xml:space="preserve"> for student groups performing </w:t>
      </w:r>
      <w:r w:rsidR="7FB51EA0" w:rsidRPr="007030D5">
        <w:rPr>
          <w:rFonts w:ascii="Arial" w:hAnsi="Arial" w:cs="Arial"/>
          <w:color w:val="000000"/>
        </w:rPr>
        <w:t>at</w:t>
      </w:r>
      <w:r w:rsidR="00250621" w:rsidRPr="007030D5">
        <w:rPr>
          <w:rFonts w:ascii="Arial" w:hAnsi="Arial" w:cs="Arial"/>
          <w:color w:val="000000"/>
        </w:rPr>
        <w:t xml:space="preserve"> the lowest performance level on the Dashboard.</w:t>
      </w:r>
      <w:r w:rsidR="005908E3" w:rsidRPr="007030D5">
        <w:rPr>
          <w:rFonts w:ascii="Arial" w:hAnsi="Arial" w:cs="Arial"/>
          <w:color w:val="000000"/>
        </w:rPr>
        <w:t xml:space="preserve"> These funds </w:t>
      </w:r>
      <w:r w:rsidR="00BE7A67" w:rsidRPr="007030D5">
        <w:rPr>
          <w:rFonts w:ascii="Arial" w:hAnsi="Arial" w:cs="Arial"/>
          <w:color w:val="000000"/>
          <w:shd w:val="clear" w:color="auto" w:fill="FFFFFF"/>
        </w:rPr>
        <w:t xml:space="preserve">must be used to supplement, not supplant, funding provided to Equity Multiplier </w:t>
      </w:r>
      <w:proofErr w:type="spellStart"/>
      <w:r w:rsidR="00BE7A67" w:rsidRPr="007030D5">
        <w:rPr>
          <w:rFonts w:ascii="Arial" w:hAnsi="Arial" w:cs="Arial"/>
          <w:color w:val="000000"/>
          <w:shd w:val="clear" w:color="auto" w:fill="FFFFFF"/>
        </w:rPr>
        <w:t>schoolsites</w:t>
      </w:r>
      <w:proofErr w:type="spellEnd"/>
      <w:r w:rsidR="00BE7A67" w:rsidRPr="007030D5">
        <w:rPr>
          <w:rFonts w:ascii="Arial" w:hAnsi="Arial" w:cs="Arial"/>
          <w:color w:val="000000"/>
          <w:shd w:val="clear" w:color="auto" w:fill="FFFFFF"/>
        </w:rPr>
        <w:t xml:space="preserve"> for purposes of the LCFF, the Expanded Learning Opportunities Program (ELO-P), the Literacy Coaches and Reading Specialists (LCRS), and/or the California Community Schools Partnership Program (CCSPP). This means that Equity Multiplier funds must not be used to replace funding that an Equity Multiplier </w:t>
      </w:r>
      <w:proofErr w:type="spellStart"/>
      <w:r w:rsidR="00BE7A67" w:rsidRPr="007030D5">
        <w:rPr>
          <w:rFonts w:ascii="Arial" w:hAnsi="Arial" w:cs="Arial"/>
          <w:color w:val="000000"/>
          <w:shd w:val="clear" w:color="auto" w:fill="FFFFFF"/>
        </w:rPr>
        <w:t>schoolsite</w:t>
      </w:r>
      <w:proofErr w:type="spellEnd"/>
      <w:r w:rsidR="00BE7A67" w:rsidRPr="007030D5">
        <w:rPr>
          <w:rFonts w:ascii="Arial" w:hAnsi="Arial" w:cs="Arial"/>
          <w:color w:val="000000"/>
          <w:shd w:val="clear" w:color="auto" w:fill="FFFFFF"/>
        </w:rPr>
        <w:t xml:space="preserve"> would otherwise receive to implement LEA-wide actions identified in the LEAs Local Control and Accountability Plan or that an Equity Multiplier </w:t>
      </w:r>
      <w:proofErr w:type="spellStart"/>
      <w:r w:rsidR="00BE7A67" w:rsidRPr="007030D5">
        <w:rPr>
          <w:rFonts w:ascii="Arial" w:hAnsi="Arial" w:cs="Arial"/>
          <w:color w:val="000000"/>
          <w:shd w:val="clear" w:color="auto" w:fill="FFFFFF"/>
        </w:rPr>
        <w:t>schoolsite</w:t>
      </w:r>
      <w:proofErr w:type="spellEnd"/>
      <w:r w:rsidR="00BE7A67" w:rsidRPr="007030D5">
        <w:rPr>
          <w:rFonts w:ascii="Arial" w:hAnsi="Arial" w:cs="Arial"/>
          <w:color w:val="000000"/>
          <w:shd w:val="clear" w:color="auto" w:fill="FFFFFF"/>
        </w:rPr>
        <w:t xml:space="preserve"> would otherwise receive to implement provisions of the ELO-P, the LCRS, and/or the CCSPP.</w:t>
      </w:r>
    </w:p>
    <w:p w14:paraId="7FC9D821" w14:textId="645EA2DF" w:rsidR="00250621" w:rsidRPr="007030D5" w:rsidRDefault="007643B5" w:rsidP="738D059B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030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How can we find out if </w:t>
      </w:r>
      <w:r w:rsidR="001E2739" w:rsidRPr="007030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 school </w:t>
      </w:r>
      <w:r w:rsidR="00840ED1" w:rsidRPr="007030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will</w:t>
      </w:r>
      <w:r w:rsidRPr="007030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receive Equity Multiplier funds?</w:t>
      </w:r>
    </w:p>
    <w:p w14:paraId="4D169873" w14:textId="11084430" w:rsidR="00B12833" w:rsidRPr="007030D5" w:rsidRDefault="00250621" w:rsidP="738D059B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expected notification date is February 2024. The 2023</w:t>
      </w:r>
      <w:r w:rsidR="00DD5081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–</w:t>
      </w:r>
      <w:r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24 Funding </w:t>
      </w:r>
      <w:r w:rsidR="00AB5EED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Results</w:t>
      </w:r>
      <w:r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will be posted on the </w:t>
      </w:r>
      <w:hyperlink r:id="rId9" w:history="1">
        <w:r w:rsidR="00DD5081" w:rsidRPr="007030D5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CDE's Equity Multiplier webpage</w:t>
        </w:r>
      </w:hyperlink>
      <w:r w:rsidR="00AB5EED" w:rsidRPr="007030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09A3F262" w14:textId="077BA946" w:rsidR="00B12833" w:rsidRPr="007030D5" w:rsidRDefault="00B12833" w:rsidP="738D059B">
      <w:pPr>
        <w:pStyle w:val="Heading1"/>
        <w:keepNext w:val="0"/>
        <w:keepLines w:val="0"/>
        <w:spacing w:after="240"/>
        <w:rPr>
          <w:rFonts w:ascii="Arial" w:eastAsia="Times New Roman" w:hAnsi="Arial" w:cs="Arial"/>
        </w:rPr>
      </w:pPr>
      <w:r w:rsidRPr="007030D5">
        <w:rPr>
          <w:rFonts w:ascii="Arial" w:eastAsia="Times New Roman" w:hAnsi="Arial" w:cs="Arial"/>
        </w:rPr>
        <w:t>State Priority Areas</w:t>
      </w:r>
    </w:p>
    <w:p w14:paraId="2E88D4AC" w14:textId="4A5048C9" w:rsidR="0052770E" w:rsidRPr="007030D5" w:rsidRDefault="0052770E" w:rsidP="738D059B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030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How does Priority 7 apply to elementary school students who all receive the same classes/content areas?</w:t>
      </w:r>
    </w:p>
    <w:p w14:paraId="5F5420CB" w14:textId="4D611B1B" w:rsidR="00D95C41" w:rsidRPr="007030D5" w:rsidRDefault="00027444" w:rsidP="626DCAE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7030D5">
        <w:rPr>
          <w:rFonts w:ascii="Arial" w:hAnsi="Arial" w:cs="Arial"/>
          <w:sz w:val="24"/>
          <w:szCs w:val="24"/>
        </w:rPr>
        <w:t>For grades 1 through 6, the definition of a broad course of study (</w:t>
      </w:r>
      <w:r w:rsidR="00117B50" w:rsidRPr="007030D5">
        <w:rPr>
          <w:rFonts w:ascii="Arial" w:hAnsi="Arial" w:cs="Arial"/>
          <w:sz w:val="24"/>
          <w:szCs w:val="24"/>
        </w:rPr>
        <w:t xml:space="preserve">as related to </w:t>
      </w:r>
      <w:r w:rsidRPr="007030D5">
        <w:rPr>
          <w:rFonts w:ascii="Arial" w:hAnsi="Arial" w:cs="Arial"/>
          <w:sz w:val="24"/>
          <w:szCs w:val="24"/>
        </w:rPr>
        <w:t>Priority 7) is captured in</w:t>
      </w:r>
      <w:r w:rsidRPr="007030D5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10">
        <w:r w:rsidR="00DD5081" w:rsidRPr="007030D5">
          <w:rPr>
            <w:rStyle w:val="Hyperlink"/>
            <w:rFonts w:ascii="Arial" w:hAnsi="Arial" w:cs="Arial"/>
            <w:sz w:val="24"/>
            <w:szCs w:val="24"/>
          </w:rPr>
          <w:t>California Education Code (EC) Section 51210 (California Legislative Information)</w:t>
        </w:r>
      </w:hyperlink>
      <w:r w:rsidR="009121A5" w:rsidRPr="007030D5">
        <w:rPr>
          <w:rFonts w:ascii="Arial" w:hAnsi="Arial" w:cs="Arial"/>
          <w:sz w:val="24"/>
          <w:szCs w:val="24"/>
        </w:rPr>
        <w:t>.</w:t>
      </w:r>
      <w:r w:rsidR="00117B50" w:rsidRPr="007030D5">
        <w:rPr>
          <w:rFonts w:ascii="Arial" w:hAnsi="Arial" w:cs="Arial"/>
          <w:sz w:val="24"/>
          <w:szCs w:val="24"/>
        </w:rPr>
        <w:t xml:space="preserve"> </w:t>
      </w:r>
    </w:p>
    <w:p w14:paraId="2B1ADEC0" w14:textId="25FEC441" w:rsidR="00D95C41" w:rsidRPr="007030D5" w:rsidRDefault="00117B50" w:rsidP="626DCAE2">
      <w:pPr>
        <w:spacing w:before="240" w:after="24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7030D5">
        <w:rPr>
          <w:rFonts w:ascii="Arial" w:hAnsi="Arial" w:cs="Arial"/>
          <w:sz w:val="24"/>
          <w:szCs w:val="24"/>
        </w:rPr>
        <w:t xml:space="preserve">For more information about Priority 7, please refer to the </w:t>
      </w:r>
      <w:hyperlink r:id="rId11">
        <w:r w:rsidR="00DD5081" w:rsidRPr="007030D5">
          <w:rPr>
            <w:rStyle w:val="Hyperlink"/>
            <w:rFonts w:ascii="Arial" w:hAnsi="Arial" w:cs="Arial"/>
            <w:sz w:val="24"/>
            <w:szCs w:val="24"/>
          </w:rPr>
          <w:t>Priority 7 Self-Reflection Tool on the CDE webpage</w:t>
        </w:r>
      </w:hyperlink>
      <w:r w:rsidR="00CB1778" w:rsidRPr="007030D5">
        <w:rPr>
          <w:rFonts w:ascii="Arial" w:hAnsi="Arial" w:cs="Arial"/>
          <w:sz w:val="24"/>
          <w:szCs w:val="24"/>
        </w:rPr>
        <w:t xml:space="preserve"> and</w:t>
      </w:r>
      <w:r w:rsidR="001144C0" w:rsidRPr="007030D5">
        <w:rPr>
          <w:rFonts w:ascii="Arial" w:hAnsi="Arial" w:cs="Arial"/>
          <w:sz w:val="24"/>
          <w:szCs w:val="24"/>
        </w:rPr>
        <w:t xml:space="preserve"> the </w:t>
      </w:r>
      <w:hyperlink r:id="rId12">
        <w:r w:rsidR="00DD5081" w:rsidRPr="007030D5">
          <w:rPr>
            <w:rStyle w:val="Hyperlink"/>
            <w:rFonts w:ascii="Arial" w:hAnsi="Arial" w:cs="Arial"/>
            <w:sz w:val="24"/>
            <w:szCs w:val="24"/>
          </w:rPr>
          <w:t>CDE's Local Indicator webpage</w:t>
        </w:r>
      </w:hyperlink>
      <w:r w:rsidR="00CB1778" w:rsidRPr="007030D5">
        <w:rPr>
          <w:rFonts w:ascii="Arial" w:hAnsi="Arial" w:cs="Arial"/>
          <w:sz w:val="24"/>
          <w:szCs w:val="24"/>
        </w:rPr>
        <w:t>. For more information about how Priority 7 is being addressed within a specific LEA, please refer to</w:t>
      </w:r>
      <w:r w:rsidR="00BF385E" w:rsidRPr="007030D5">
        <w:rPr>
          <w:rFonts w:ascii="Arial" w:hAnsi="Arial" w:cs="Arial"/>
          <w:sz w:val="24"/>
          <w:szCs w:val="24"/>
        </w:rPr>
        <w:t xml:space="preserve"> the LEA’s responses to </w:t>
      </w:r>
      <w:r w:rsidR="00CB1778" w:rsidRPr="007030D5">
        <w:rPr>
          <w:rFonts w:ascii="Arial" w:hAnsi="Arial" w:cs="Arial"/>
          <w:sz w:val="24"/>
          <w:szCs w:val="24"/>
        </w:rPr>
        <w:t xml:space="preserve">Priority 7 on the </w:t>
      </w:r>
      <w:r w:rsidR="00BF385E" w:rsidRPr="007030D5">
        <w:rPr>
          <w:rFonts w:ascii="Arial" w:hAnsi="Arial" w:cs="Arial"/>
          <w:sz w:val="24"/>
          <w:szCs w:val="24"/>
        </w:rPr>
        <w:t>Dashboard</w:t>
      </w:r>
      <w:r w:rsidR="00CB1778" w:rsidRPr="007030D5">
        <w:rPr>
          <w:rFonts w:ascii="Arial" w:hAnsi="Arial" w:cs="Arial"/>
          <w:sz w:val="24"/>
          <w:szCs w:val="24"/>
        </w:rPr>
        <w:t>.</w:t>
      </w:r>
    </w:p>
    <w:p w14:paraId="4BFE2A06" w14:textId="09C56948" w:rsidR="00D95C41" w:rsidRPr="007030D5" w:rsidRDefault="00D95C41" w:rsidP="009078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7030D5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Any additional questions </w:t>
      </w:r>
      <w:r w:rsidR="00907853" w:rsidRPr="007030D5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not answered in this document </w:t>
      </w:r>
      <w:r w:rsidRPr="007030D5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may be submitted directly to </w:t>
      </w:r>
      <w:hyperlink r:id="rId13" w:history="1">
        <w:r w:rsidRPr="007030D5">
          <w:rPr>
            <w:rStyle w:val="Hyperlink"/>
            <w:rFonts w:ascii="Arial" w:eastAsia="Times New Roman" w:hAnsi="Arial" w:cs="Arial"/>
            <w:b/>
            <w:bCs/>
            <w:i/>
            <w:iCs/>
            <w:kern w:val="0"/>
            <w:sz w:val="24"/>
            <w:szCs w:val="24"/>
            <w14:ligatures w14:val="none"/>
          </w:rPr>
          <w:t>LCFF@cde.ca.gov</w:t>
        </w:r>
      </w:hyperlink>
      <w:r w:rsidRPr="007030D5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. </w:t>
      </w:r>
    </w:p>
    <w:p w14:paraId="47994D5B" w14:textId="7E2D4AFE" w:rsidR="00F75B83" w:rsidRPr="007030D5" w:rsidRDefault="00DD5081" w:rsidP="00DD5081">
      <w:pPr>
        <w:spacing w:before="480" w:after="0"/>
        <w:rPr>
          <w:rFonts w:ascii="Arial" w:eastAsia="Arial" w:hAnsi="Arial" w:cs="Arial"/>
          <w:sz w:val="24"/>
          <w:szCs w:val="24"/>
        </w:rPr>
      </w:pPr>
      <w:r w:rsidRPr="007030D5">
        <w:rPr>
          <w:rFonts w:ascii="Arial" w:eastAsia="Arial" w:hAnsi="Arial" w:cs="Arial"/>
          <w:sz w:val="24"/>
          <w:szCs w:val="24"/>
        </w:rPr>
        <w:t>California Department of Education</w:t>
      </w:r>
    </w:p>
    <w:p w14:paraId="496236E0" w14:textId="311A772F" w:rsidR="00DD5081" w:rsidRPr="007030D5" w:rsidRDefault="00DD5081" w:rsidP="00DD5081">
      <w:pPr>
        <w:spacing w:after="100" w:afterAutospacing="1"/>
        <w:rPr>
          <w:rFonts w:ascii="Arial" w:eastAsia="Arial" w:hAnsi="Arial" w:cs="Arial"/>
          <w:sz w:val="24"/>
          <w:szCs w:val="24"/>
        </w:rPr>
      </w:pPr>
      <w:r w:rsidRPr="007030D5">
        <w:rPr>
          <w:rFonts w:ascii="Arial" w:eastAsia="Arial" w:hAnsi="Arial" w:cs="Arial"/>
          <w:sz w:val="24"/>
          <w:szCs w:val="24"/>
        </w:rPr>
        <w:t>December 2023</w:t>
      </w:r>
    </w:p>
    <w:sectPr w:rsidR="00DD5081" w:rsidRPr="00703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F5D3" w14:textId="77777777" w:rsidR="00503993" w:rsidRDefault="00503993" w:rsidP="00503993">
      <w:pPr>
        <w:spacing w:after="0" w:line="240" w:lineRule="auto"/>
      </w:pPr>
      <w:r>
        <w:separator/>
      </w:r>
    </w:p>
  </w:endnote>
  <w:endnote w:type="continuationSeparator" w:id="0">
    <w:p w14:paraId="323D814B" w14:textId="77777777" w:rsidR="00503993" w:rsidRDefault="00503993" w:rsidP="0050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F387" w14:textId="77777777" w:rsidR="00503993" w:rsidRDefault="00503993" w:rsidP="00503993">
      <w:pPr>
        <w:spacing w:after="0" w:line="240" w:lineRule="auto"/>
      </w:pPr>
      <w:r>
        <w:separator/>
      </w:r>
    </w:p>
  </w:footnote>
  <w:footnote w:type="continuationSeparator" w:id="0">
    <w:p w14:paraId="5C257A4B" w14:textId="77777777" w:rsidR="00503993" w:rsidRDefault="00503993" w:rsidP="00503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18"/>
    <w:rsid w:val="00021066"/>
    <w:rsid w:val="00027444"/>
    <w:rsid w:val="00036E55"/>
    <w:rsid w:val="00073125"/>
    <w:rsid w:val="00094DC0"/>
    <w:rsid w:val="000D718B"/>
    <w:rsid w:val="00113FA6"/>
    <w:rsid w:val="001144C0"/>
    <w:rsid w:val="00117B50"/>
    <w:rsid w:val="00197FD0"/>
    <w:rsid w:val="001E2739"/>
    <w:rsid w:val="001F6698"/>
    <w:rsid w:val="00216AB4"/>
    <w:rsid w:val="00222018"/>
    <w:rsid w:val="00250621"/>
    <w:rsid w:val="002A2740"/>
    <w:rsid w:val="0032051B"/>
    <w:rsid w:val="003226A2"/>
    <w:rsid w:val="003431FC"/>
    <w:rsid w:val="003737F7"/>
    <w:rsid w:val="004114DB"/>
    <w:rsid w:val="00441223"/>
    <w:rsid w:val="00483376"/>
    <w:rsid w:val="004D01CC"/>
    <w:rsid w:val="004D10DC"/>
    <w:rsid w:val="00503993"/>
    <w:rsid w:val="0052770E"/>
    <w:rsid w:val="0056670D"/>
    <w:rsid w:val="005752C4"/>
    <w:rsid w:val="005757F6"/>
    <w:rsid w:val="005908E3"/>
    <w:rsid w:val="00593EA6"/>
    <w:rsid w:val="005A0F75"/>
    <w:rsid w:val="005D0D58"/>
    <w:rsid w:val="005F574D"/>
    <w:rsid w:val="00654F11"/>
    <w:rsid w:val="006A6549"/>
    <w:rsid w:val="007030D5"/>
    <w:rsid w:val="007035EF"/>
    <w:rsid w:val="00734BE1"/>
    <w:rsid w:val="007643B5"/>
    <w:rsid w:val="0078734B"/>
    <w:rsid w:val="00840ED1"/>
    <w:rsid w:val="00895637"/>
    <w:rsid w:val="008C68FC"/>
    <w:rsid w:val="008C6BBD"/>
    <w:rsid w:val="00907853"/>
    <w:rsid w:val="009121A5"/>
    <w:rsid w:val="00932A40"/>
    <w:rsid w:val="009A596E"/>
    <w:rsid w:val="009B7322"/>
    <w:rsid w:val="009E710C"/>
    <w:rsid w:val="00A057F4"/>
    <w:rsid w:val="00A220B6"/>
    <w:rsid w:val="00AB5EED"/>
    <w:rsid w:val="00AE44B0"/>
    <w:rsid w:val="00B12833"/>
    <w:rsid w:val="00B92BBA"/>
    <w:rsid w:val="00BE7A67"/>
    <w:rsid w:val="00BF385E"/>
    <w:rsid w:val="00C060F6"/>
    <w:rsid w:val="00C901FA"/>
    <w:rsid w:val="00CB1778"/>
    <w:rsid w:val="00CD6815"/>
    <w:rsid w:val="00D65FC8"/>
    <w:rsid w:val="00D95C41"/>
    <w:rsid w:val="00DD5081"/>
    <w:rsid w:val="00E97E85"/>
    <w:rsid w:val="00ED467B"/>
    <w:rsid w:val="00F75B83"/>
    <w:rsid w:val="00F918C7"/>
    <w:rsid w:val="00F9648C"/>
    <w:rsid w:val="00FB151D"/>
    <w:rsid w:val="07FC2C64"/>
    <w:rsid w:val="104B0648"/>
    <w:rsid w:val="12F09EDA"/>
    <w:rsid w:val="1A68DF73"/>
    <w:rsid w:val="2D673E93"/>
    <w:rsid w:val="45D43849"/>
    <w:rsid w:val="54EA2B08"/>
    <w:rsid w:val="5873094A"/>
    <w:rsid w:val="626DCAE2"/>
    <w:rsid w:val="738D059B"/>
    <w:rsid w:val="7FB5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CD2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7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7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6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A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A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54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3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34BE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1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65F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057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57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50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993"/>
  </w:style>
  <w:style w:type="paragraph" w:styleId="Footer">
    <w:name w:val="footer"/>
    <w:basedOn w:val="Normal"/>
    <w:link w:val="FooterChar"/>
    <w:uiPriority w:val="99"/>
    <w:unhideWhenUsed/>
    <w:rsid w:val="00503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ds/ad/filessr.asp" TargetMode="External"/><Relationship Id="rId13" Type="http://schemas.openxmlformats.org/officeDocument/2006/relationships/hyperlink" Target="mailto:LCFF@cde.c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e.ca.gov/ls/nu/sn/confidential.asp" TargetMode="External"/><Relationship Id="rId12" Type="http://schemas.openxmlformats.org/officeDocument/2006/relationships/hyperlink" Target="https://www.cde.ca.gov/ta/ac/cm/localindicators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e.ca.gov/re/lc/" TargetMode="External"/><Relationship Id="rId11" Type="http://schemas.openxmlformats.org/officeDocument/2006/relationships/hyperlink" Target="https://www.cde.ca.gov/ta/ac/cm/documents/pri7selfreftools2022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eginfo.legislature.ca.gov/faces/codes_displaySection.xhtml?sectionNum=51210&amp;lawCode=ED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de.ca.gov/fg/aa/lc/equitymultiplier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California Department of Education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LCFF Q &amp; A - LCFF (CA Dept of Education)</dc:title>
  <dc:subject>Questions and Answers from the Tuesdays @ 2 webinar regarding the Introduction to the Local Control Funding Formula (LCFF).</dc:subject>
  <dc:creator/>
  <cp:keywords>lcff, lcap, local, control, funding, formula, accountability, plan</cp:keywords>
  <dc:description/>
  <cp:lastModifiedBy/>
  <cp:revision>1</cp:revision>
  <dcterms:created xsi:type="dcterms:W3CDTF">2024-01-03T23:32:00Z</dcterms:created>
  <dcterms:modified xsi:type="dcterms:W3CDTF">2024-01-03T23:34:00Z</dcterms:modified>
</cp:coreProperties>
</file>