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3F8E" w:rsidRDefault="00FD3E2A" w:rsidP="004C32A9">
      <w:pPr>
        <w:pStyle w:val="Heading1"/>
        <w:jc w:val="center"/>
      </w:pPr>
      <w:bookmarkStart w:id="0" w:name="_GoBack"/>
      <w:bookmarkEnd w:id="0"/>
      <w:r>
        <w:t>Local Control Funding Formula (LCFF) State Priorities Summary</w:t>
      </w:r>
    </w:p>
    <w:p w:rsidR="00A63F8E" w:rsidRDefault="00FD3E2A">
      <w:bookmarkStart w:id="1" w:name="_heading=h.gjdgxs" w:colFirst="0" w:colLast="0"/>
      <w:bookmarkEnd w:id="1"/>
      <w:r>
        <w:t xml:space="preserve">The following is a summary of the LCFF state priorities described in California </w:t>
      </w:r>
      <w:r>
        <w:rPr>
          <w:i/>
        </w:rPr>
        <w:t>Education Code</w:t>
      </w:r>
      <w:r>
        <w:t xml:space="preserve"> (</w:t>
      </w:r>
      <w:r>
        <w:rPr>
          <w:i/>
        </w:rPr>
        <w:t>EC</w:t>
      </w:r>
      <w:r>
        <w:t xml:space="preserve">) Section 52060(d), for school districts and charter schools, as applicable, and </w:t>
      </w:r>
      <w:r>
        <w:rPr>
          <w:i/>
        </w:rPr>
        <w:t>EC</w:t>
      </w:r>
      <w:r>
        <w:t xml:space="preserve"> Section 52066(d) for county offices of education (COEs). For specific legal requirements please refer to the statute, which is provided at the end of this document.</w:t>
      </w:r>
    </w:p>
    <w:p w:rsidR="00A63F8E" w:rsidRDefault="00FD3E2A">
      <w:bookmarkStart w:id="2" w:name="_heading=h.9wjdr5g8ay8r" w:colFirst="0" w:colLast="0"/>
      <w:bookmarkEnd w:id="2"/>
      <w:r>
        <w:t xml:space="preserve">Local educational agencies (LEAs) are required to address these state priorities, as well as any local priorities identified by the LEA, in the Local Control and Accountability Plan (LCAP). Items with an asterisk (*) identify the state required metrics, which are required to be included as metrics in the LCAP, as applicable to the LEA. </w:t>
      </w:r>
    </w:p>
    <w:p w:rsidR="00A63F8E" w:rsidRDefault="00FD3E2A">
      <w:pPr>
        <w:pStyle w:val="Heading2"/>
      </w:pPr>
      <w:r>
        <w:t xml:space="preserve">Priority 1: Basic </w:t>
      </w:r>
    </w:p>
    <w:p w:rsidR="00A63F8E" w:rsidRDefault="00FD3E2A">
      <w:pPr>
        <w:rPr>
          <w:sz w:val="22"/>
          <w:szCs w:val="22"/>
        </w:rPr>
      </w:pPr>
      <w:r>
        <w:t>The degree to which:</w:t>
      </w:r>
    </w:p>
    <w:p w:rsidR="00A63F8E" w:rsidRDefault="00FD3E2A">
      <w:pPr>
        <w:numPr>
          <w:ilvl w:val="0"/>
          <w:numId w:val="1"/>
        </w:numPr>
        <w:pBdr>
          <w:top w:val="nil"/>
          <w:left w:val="nil"/>
          <w:bottom w:val="nil"/>
          <w:right w:val="nil"/>
          <w:between w:val="nil"/>
        </w:pBdr>
        <w:spacing w:after="0"/>
        <w:rPr>
          <w:sz w:val="22"/>
          <w:szCs w:val="22"/>
        </w:rPr>
      </w:pPr>
      <w:r>
        <w:t>teachers in the LEA are appropriately assigned and fully credentialed in the subject area and for the students they are teaching;</w:t>
      </w:r>
    </w:p>
    <w:p w:rsidR="00A63F8E" w:rsidRDefault="00FD3E2A">
      <w:pPr>
        <w:numPr>
          <w:ilvl w:val="0"/>
          <w:numId w:val="1"/>
        </w:numPr>
        <w:pBdr>
          <w:top w:val="nil"/>
          <w:left w:val="nil"/>
          <w:bottom w:val="nil"/>
          <w:right w:val="nil"/>
          <w:between w:val="nil"/>
        </w:pBdr>
        <w:spacing w:after="0"/>
        <w:rPr>
          <w:sz w:val="22"/>
          <w:szCs w:val="22"/>
        </w:rPr>
      </w:pPr>
      <w:r>
        <w:t>every student in the school district has sufficient access to the standards-aligned instructional materials; and</w:t>
      </w:r>
    </w:p>
    <w:p w:rsidR="00A63F8E" w:rsidRDefault="00FD3E2A">
      <w:pPr>
        <w:numPr>
          <w:ilvl w:val="0"/>
          <w:numId w:val="1"/>
        </w:numPr>
        <w:pBdr>
          <w:top w:val="nil"/>
          <w:left w:val="nil"/>
          <w:bottom w:val="nil"/>
          <w:right w:val="nil"/>
          <w:between w:val="nil"/>
        </w:pBdr>
        <w:rPr>
          <w:sz w:val="22"/>
          <w:szCs w:val="22"/>
        </w:rPr>
      </w:pPr>
      <w:r>
        <w:t>school facilities are maintained in good repair.</w:t>
      </w:r>
    </w:p>
    <w:p w:rsidR="00A63F8E" w:rsidRDefault="00FD3E2A">
      <w:pPr>
        <w:pStyle w:val="Heading2"/>
      </w:pPr>
      <w:r>
        <w:t xml:space="preserve">Priority 2: Implementation of State Standards </w:t>
      </w:r>
    </w:p>
    <w:p w:rsidR="00A63F8E" w:rsidRDefault="00FD3E2A">
      <w:pPr>
        <w:rPr>
          <w:sz w:val="22"/>
          <w:szCs w:val="22"/>
        </w:rPr>
      </w:pPr>
      <w:r>
        <w:t>Addresses:</w:t>
      </w:r>
    </w:p>
    <w:p w:rsidR="00A63F8E" w:rsidRDefault="00FD3E2A">
      <w:pPr>
        <w:numPr>
          <w:ilvl w:val="0"/>
          <w:numId w:val="2"/>
        </w:numPr>
        <w:pBdr>
          <w:top w:val="nil"/>
          <w:left w:val="nil"/>
          <w:bottom w:val="nil"/>
          <w:right w:val="nil"/>
          <w:between w:val="nil"/>
        </w:pBdr>
        <w:spacing w:after="0"/>
        <w:rPr>
          <w:sz w:val="22"/>
          <w:szCs w:val="22"/>
        </w:rPr>
      </w:pPr>
      <w:r>
        <w:t>the implementation of state board adopted academic content and performance standards for all students; and</w:t>
      </w:r>
    </w:p>
    <w:p w:rsidR="00A63F8E" w:rsidRDefault="00FD3E2A">
      <w:pPr>
        <w:numPr>
          <w:ilvl w:val="0"/>
          <w:numId w:val="2"/>
        </w:numPr>
        <w:pBdr>
          <w:top w:val="nil"/>
          <w:left w:val="nil"/>
          <w:bottom w:val="nil"/>
          <w:right w:val="nil"/>
          <w:between w:val="nil"/>
        </w:pBdr>
        <w:rPr>
          <w:sz w:val="22"/>
          <w:szCs w:val="22"/>
        </w:rPr>
      </w:pPr>
      <w:r>
        <w:t>how the programs and services will enable English learners to access the Common Core State Standards and the English Language Development standards for purposes of gaining academic content knowledge and English language proficiency.</w:t>
      </w:r>
    </w:p>
    <w:p w:rsidR="00A63F8E" w:rsidRDefault="00FD3E2A">
      <w:pPr>
        <w:pStyle w:val="Heading2"/>
      </w:pPr>
      <w:r>
        <w:t>Priority 3: Parental Involvement and Family Engagement</w:t>
      </w:r>
    </w:p>
    <w:p w:rsidR="00A63F8E" w:rsidRDefault="00FD3E2A">
      <w:pPr>
        <w:numPr>
          <w:ilvl w:val="0"/>
          <w:numId w:val="3"/>
        </w:numPr>
        <w:pBdr>
          <w:top w:val="nil"/>
          <w:left w:val="nil"/>
          <w:bottom w:val="nil"/>
          <w:right w:val="nil"/>
          <w:between w:val="nil"/>
        </w:pBdr>
        <w:spacing w:after="0"/>
        <w:rPr>
          <w:sz w:val="22"/>
          <w:szCs w:val="22"/>
        </w:rPr>
      </w:pPr>
      <w:r>
        <w:t xml:space="preserve">The efforts the school district makes to seek parent input in making decisions for the LEA and each individual </w:t>
      </w:r>
      <w:proofErr w:type="spellStart"/>
      <w:r>
        <w:t>schoolsite</w:t>
      </w:r>
      <w:proofErr w:type="spellEnd"/>
      <w:r>
        <w:t>;</w:t>
      </w:r>
    </w:p>
    <w:p w:rsidR="00A63F8E" w:rsidRDefault="00FD3E2A">
      <w:pPr>
        <w:numPr>
          <w:ilvl w:val="0"/>
          <w:numId w:val="3"/>
        </w:numPr>
        <w:pBdr>
          <w:top w:val="nil"/>
          <w:left w:val="nil"/>
          <w:bottom w:val="nil"/>
          <w:right w:val="nil"/>
          <w:between w:val="nil"/>
        </w:pBdr>
        <w:spacing w:after="0"/>
        <w:rPr>
          <w:sz w:val="22"/>
          <w:szCs w:val="22"/>
        </w:rPr>
      </w:pPr>
      <w:r>
        <w:t xml:space="preserve">How the LEA will promote parental participation in programs for low income, English learner and foster youth students; and </w:t>
      </w:r>
    </w:p>
    <w:p w:rsidR="00A63F8E" w:rsidRDefault="00FD3E2A">
      <w:pPr>
        <w:numPr>
          <w:ilvl w:val="0"/>
          <w:numId w:val="3"/>
        </w:numPr>
        <w:pBdr>
          <w:top w:val="nil"/>
          <w:left w:val="nil"/>
          <w:bottom w:val="nil"/>
          <w:right w:val="nil"/>
          <w:between w:val="nil"/>
        </w:pBdr>
        <w:rPr>
          <w:sz w:val="22"/>
          <w:szCs w:val="22"/>
        </w:rPr>
      </w:pPr>
      <w:r>
        <w:t>How the LEA will promote parental participation in programs for students with disabilities.</w:t>
      </w:r>
    </w:p>
    <w:p w:rsidR="00A63F8E" w:rsidRDefault="00FD3E2A">
      <w:pPr>
        <w:pStyle w:val="Heading2"/>
      </w:pPr>
      <w:r>
        <w:t xml:space="preserve">Priority 4: Student Achievement </w:t>
      </w:r>
    </w:p>
    <w:p w:rsidR="00A63F8E" w:rsidRDefault="00FD3E2A">
      <w:pPr>
        <w:rPr>
          <w:sz w:val="22"/>
          <w:szCs w:val="22"/>
        </w:rPr>
      </w:pPr>
      <w:r>
        <w:t>Measured by all of the following, as applicable to the LEA:</w:t>
      </w:r>
    </w:p>
    <w:p w:rsidR="00A63F8E" w:rsidRDefault="00FD3E2A">
      <w:pPr>
        <w:numPr>
          <w:ilvl w:val="0"/>
          <w:numId w:val="4"/>
        </w:numPr>
        <w:pBdr>
          <w:top w:val="nil"/>
          <w:left w:val="nil"/>
          <w:bottom w:val="nil"/>
          <w:right w:val="nil"/>
          <w:between w:val="nil"/>
        </w:pBdr>
        <w:spacing w:line="286" w:lineRule="auto"/>
        <w:rPr>
          <w:sz w:val="22"/>
          <w:szCs w:val="22"/>
        </w:rPr>
      </w:pPr>
      <w:r>
        <w:t xml:space="preserve">*student performance on statewide standardized assessments (Note: this includes assessments such as the California Assessment of Student Performance and Progress </w:t>
      </w:r>
      <w:r>
        <w:lastRenderedPageBreak/>
        <w:t>assessments, the California Alternate Assessment, etc.);</w:t>
      </w:r>
    </w:p>
    <w:p w:rsidR="00A63F8E" w:rsidRDefault="00FD3E2A">
      <w:pPr>
        <w:numPr>
          <w:ilvl w:val="0"/>
          <w:numId w:val="4"/>
        </w:numPr>
        <w:pBdr>
          <w:top w:val="nil"/>
          <w:left w:val="nil"/>
          <w:bottom w:val="nil"/>
          <w:right w:val="nil"/>
          <w:between w:val="nil"/>
        </w:pBdr>
        <w:spacing w:line="286" w:lineRule="auto"/>
        <w:rPr>
          <w:sz w:val="22"/>
          <w:szCs w:val="22"/>
        </w:rPr>
      </w:pPr>
      <w:r>
        <w:t>*the percentage of students who have successfully completed courses that satisfy the requirements for entrance to the University of California and the California State University;</w:t>
      </w:r>
    </w:p>
    <w:p w:rsidR="00A63F8E" w:rsidRDefault="00FD3E2A">
      <w:pPr>
        <w:numPr>
          <w:ilvl w:val="0"/>
          <w:numId w:val="4"/>
        </w:numPr>
        <w:pBdr>
          <w:top w:val="nil"/>
          <w:left w:val="nil"/>
          <w:bottom w:val="nil"/>
          <w:right w:val="nil"/>
          <w:between w:val="nil"/>
        </w:pBdr>
        <w:spacing w:line="286" w:lineRule="auto"/>
      </w:pPr>
      <w:r>
        <w:t>*The percentage of students who have successfully completed courses that satisfy the requirements for career technical education sequences or programs of study that align with State Board of Education (SBE)-approved career technical education standards and frameworks;</w:t>
      </w:r>
    </w:p>
    <w:p w:rsidR="00A63F8E" w:rsidRDefault="00FD3E2A">
      <w:pPr>
        <w:numPr>
          <w:ilvl w:val="0"/>
          <w:numId w:val="4"/>
        </w:numPr>
        <w:pBdr>
          <w:top w:val="nil"/>
          <w:left w:val="nil"/>
          <w:bottom w:val="nil"/>
          <w:right w:val="nil"/>
          <w:between w:val="nil"/>
        </w:pBdr>
        <w:spacing w:line="286" w:lineRule="auto"/>
      </w:pPr>
      <w:r>
        <w:t xml:space="preserve">*The percentage of students who have successfully completed both types of courses described above in (B) and (C); </w:t>
      </w:r>
    </w:p>
    <w:p w:rsidR="00A63F8E" w:rsidRDefault="00FD3E2A">
      <w:pPr>
        <w:numPr>
          <w:ilvl w:val="0"/>
          <w:numId w:val="4"/>
        </w:numPr>
        <w:pBdr>
          <w:top w:val="nil"/>
          <w:left w:val="nil"/>
          <w:bottom w:val="nil"/>
          <w:right w:val="nil"/>
          <w:between w:val="nil"/>
        </w:pBdr>
        <w:spacing w:line="286" w:lineRule="auto"/>
        <w:rPr>
          <w:sz w:val="22"/>
          <w:szCs w:val="22"/>
        </w:rPr>
      </w:pPr>
      <w:r>
        <w:t>*the percentage of English learner students who make progress toward English proficiency as measured by the English Language Proficiency Assessments for California;</w:t>
      </w:r>
    </w:p>
    <w:p w:rsidR="00A63F8E" w:rsidRDefault="00FD3E2A">
      <w:pPr>
        <w:numPr>
          <w:ilvl w:val="0"/>
          <w:numId w:val="4"/>
        </w:numPr>
        <w:pBdr>
          <w:top w:val="nil"/>
          <w:left w:val="nil"/>
          <w:bottom w:val="nil"/>
          <w:right w:val="nil"/>
          <w:between w:val="nil"/>
        </w:pBdr>
        <w:spacing w:line="286" w:lineRule="auto"/>
        <w:rPr>
          <w:sz w:val="22"/>
          <w:szCs w:val="22"/>
        </w:rPr>
      </w:pPr>
      <w:r>
        <w:t>*the English learner reclassification rate;</w:t>
      </w:r>
    </w:p>
    <w:p w:rsidR="00A63F8E" w:rsidRDefault="00FD3E2A">
      <w:pPr>
        <w:numPr>
          <w:ilvl w:val="0"/>
          <w:numId w:val="4"/>
        </w:numPr>
        <w:pBdr>
          <w:top w:val="nil"/>
          <w:left w:val="nil"/>
          <w:bottom w:val="nil"/>
          <w:right w:val="nil"/>
          <w:between w:val="nil"/>
        </w:pBdr>
        <w:spacing w:line="286" w:lineRule="auto"/>
        <w:rPr>
          <w:sz w:val="22"/>
          <w:szCs w:val="22"/>
        </w:rPr>
      </w:pPr>
      <w:r>
        <w:t>*the percentage of students who have passed an advanced placement examination with a score of 3 or higher; and</w:t>
      </w:r>
    </w:p>
    <w:p w:rsidR="00A63F8E" w:rsidRDefault="00FD3E2A">
      <w:pPr>
        <w:numPr>
          <w:ilvl w:val="0"/>
          <w:numId w:val="4"/>
        </w:numPr>
        <w:pBdr>
          <w:top w:val="nil"/>
          <w:left w:val="nil"/>
          <w:bottom w:val="nil"/>
          <w:right w:val="nil"/>
          <w:between w:val="nil"/>
        </w:pBdr>
        <w:spacing w:line="286" w:lineRule="auto"/>
        <w:rPr>
          <w:sz w:val="22"/>
          <w:szCs w:val="22"/>
        </w:rPr>
      </w:pPr>
      <w:r>
        <w:t>*the percentage of students who demonstrate college preparedness pursuant to the Early Assessment Program or any subsequent assessment of college preparedness.</w:t>
      </w:r>
    </w:p>
    <w:p w:rsidR="00A63F8E" w:rsidRDefault="00FD3E2A">
      <w:pPr>
        <w:pStyle w:val="Heading2"/>
      </w:pPr>
      <w:r>
        <w:t xml:space="preserve">Priority 5: Student Engagement </w:t>
      </w:r>
    </w:p>
    <w:p w:rsidR="00A63F8E" w:rsidRDefault="00FD3E2A">
      <w:pPr>
        <w:rPr>
          <w:sz w:val="22"/>
          <w:szCs w:val="22"/>
        </w:rPr>
      </w:pPr>
      <w:r>
        <w:t>Measured by all of the following, as applicable to the LEA:</w:t>
      </w:r>
    </w:p>
    <w:p w:rsidR="00A63F8E" w:rsidRDefault="00FD3E2A">
      <w:pPr>
        <w:numPr>
          <w:ilvl w:val="0"/>
          <w:numId w:val="5"/>
        </w:numPr>
        <w:pBdr>
          <w:top w:val="nil"/>
          <w:left w:val="nil"/>
          <w:bottom w:val="nil"/>
          <w:right w:val="nil"/>
          <w:between w:val="nil"/>
        </w:pBdr>
        <w:spacing w:line="286" w:lineRule="auto"/>
        <w:rPr>
          <w:sz w:val="22"/>
          <w:szCs w:val="22"/>
        </w:rPr>
      </w:pPr>
      <w:r>
        <w:t>*school attendance rates;</w:t>
      </w:r>
    </w:p>
    <w:p w:rsidR="00A63F8E" w:rsidRDefault="00FD3E2A">
      <w:pPr>
        <w:numPr>
          <w:ilvl w:val="0"/>
          <w:numId w:val="5"/>
        </w:numPr>
        <w:pBdr>
          <w:top w:val="nil"/>
          <w:left w:val="nil"/>
          <w:bottom w:val="nil"/>
          <w:right w:val="nil"/>
          <w:between w:val="nil"/>
        </w:pBdr>
        <w:spacing w:line="286" w:lineRule="auto"/>
        <w:rPr>
          <w:sz w:val="22"/>
          <w:szCs w:val="22"/>
        </w:rPr>
      </w:pPr>
      <w:r>
        <w:t>*chronic absenteeism rates;</w:t>
      </w:r>
    </w:p>
    <w:p w:rsidR="00A63F8E" w:rsidRDefault="00FD3E2A">
      <w:pPr>
        <w:numPr>
          <w:ilvl w:val="0"/>
          <w:numId w:val="5"/>
        </w:numPr>
        <w:pBdr>
          <w:top w:val="nil"/>
          <w:left w:val="nil"/>
          <w:bottom w:val="nil"/>
          <w:right w:val="nil"/>
          <w:between w:val="nil"/>
        </w:pBdr>
        <w:spacing w:line="286" w:lineRule="auto"/>
        <w:rPr>
          <w:sz w:val="22"/>
          <w:szCs w:val="22"/>
        </w:rPr>
      </w:pPr>
      <w:r>
        <w:t>*middle school dropout rates;</w:t>
      </w:r>
    </w:p>
    <w:p w:rsidR="00A63F8E" w:rsidRDefault="00FD3E2A">
      <w:pPr>
        <w:numPr>
          <w:ilvl w:val="0"/>
          <w:numId w:val="5"/>
        </w:numPr>
        <w:pBdr>
          <w:top w:val="nil"/>
          <w:left w:val="nil"/>
          <w:bottom w:val="nil"/>
          <w:right w:val="nil"/>
          <w:between w:val="nil"/>
        </w:pBdr>
        <w:spacing w:line="286" w:lineRule="auto"/>
        <w:rPr>
          <w:sz w:val="22"/>
          <w:szCs w:val="22"/>
        </w:rPr>
      </w:pPr>
      <w:r>
        <w:t>*high school dropout rates; and</w:t>
      </w:r>
    </w:p>
    <w:p w:rsidR="00A63F8E" w:rsidRDefault="00FD3E2A">
      <w:pPr>
        <w:numPr>
          <w:ilvl w:val="0"/>
          <w:numId w:val="5"/>
        </w:numPr>
        <w:pBdr>
          <w:top w:val="nil"/>
          <w:left w:val="nil"/>
          <w:bottom w:val="nil"/>
          <w:right w:val="nil"/>
          <w:between w:val="nil"/>
        </w:pBdr>
        <w:spacing w:line="286" w:lineRule="auto"/>
        <w:rPr>
          <w:sz w:val="22"/>
          <w:szCs w:val="22"/>
        </w:rPr>
      </w:pPr>
      <w:r>
        <w:t>*high school graduation rates;</w:t>
      </w:r>
    </w:p>
    <w:p w:rsidR="00A63F8E" w:rsidRDefault="00FD3E2A">
      <w:pPr>
        <w:pStyle w:val="Heading2"/>
      </w:pPr>
      <w:r>
        <w:t xml:space="preserve">Priority 6: School </w:t>
      </w:r>
      <w:r w:rsidR="00A062A6">
        <w:t>C</w:t>
      </w:r>
      <w:r>
        <w:t xml:space="preserve">limate </w:t>
      </w:r>
    </w:p>
    <w:p w:rsidR="00A63F8E" w:rsidRDefault="00FD3E2A">
      <w:pPr>
        <w:rPr>
          <w:sz w:val="22"/>
          <w:szCs w:val="22"/>
        </w:rPr>
      </w:pPr>
      <w:r>
        <w:t>Measured by all of the following, as applicable to the LEA:</w:t>
      </w:r>
    </w:p>
    <w:p w:rsidR="00A63F8E" w:rsidRDefault="00FD3E2A">
      <w:pPr>
        <w:numPr>
          <w:ilvl w:val="0"/>
          <w:numId w:val="6"/>
        </w:numPr>
        <w:pBdr>
          <w:top w:val="nil"/>
          <w:left w:val="nil"/>
          <w:bottom w:val="nil"/>
          <w:right w:val="nil"/>
          <w:between w:val="nil"/>
        </w:pBdr>
        <w:spacing w:line="286" w:lineRule="auto"/>
        <w:rPr>
          <w:sz w:val="22"/>
          <w:szCs w:val="22"/>
        </w:rPr>
      </w:pPr>
      <w:r>
        <w:t>*student suspension rates;</w:t>
      </w:r>
    </w:p>
    <w:p w:rsidR="00A63F8E" w:rsidRDefault="00FD3E2A">
      <w:pPr>
        <w:numPr>
          <w:ilvl w:val="0"/>
          <w:numId w:val="6"/>
        </w:numPr>
        <w:pBdr>
          <w:top w:val="nil"/>
          <w:left w:val="nil"/>
          <w:bottom w:val="nil"/>
          <w:right w:val="nil"/>
          <w:between w:val="nil"/>
        </w:pBdr>
        <w:spacing w:line="286" w:lineRule="auto"/>
        <w:rPr>
          <w:sz w:val="22"/>
          <w:szCs w:val="22"/>
        </w:rPr>
      </w:pPr>
      <w:r>
        <w:t>*student expulsion rates; and</w:t>
      </w:r>
    </w:p>
    <w:p w:rsidR="00A63F8E" w:rsidRDefault="00FD3E2A">
      <w:pPr>
        <w:numPr>
          <w:ilvl w:val="0"/>
          <w:numId w:val="6"/>
        </w:numPr>
        <w:pBdr>
          <w:top w:val="nil"/>
          <w:left w:val="nil"/>
          <w:bottom w:val="nil"/>
          <w:right w:val="nil"/>
          <w:between w:val="nil"/>
        </w:pBdr>
        <w:spacing w:line="286" w:lineRule="auto"/>
        <w:rPr>
          <w:sz w:val="22"/>
          <w:szCs w:val="22"/>
        </w:rPr>
      </w:pPr>
      <w:r>
        <w:t>other local measures, including surveys of students, parents, and teachers on the sense of safety and school connectedness.</w:t>
      </w:r>
    </w:p>
    <w:p w:rsidR="00A63F8E" w:rsidRDefault="00FD3E2A">
      <w:pPr>
        <w:pStyle w:val="Heading2"/>
      </w:pPr>
      <w:r>
        <w:t xml:space="preserve">Priority 7: Course Access </w:t>
      </w:r>
    </w:p>
    <w:p w:rsidR="00A63F8E" w:rsidRDefault="00FD3E2A">
      <w:pPr>
        <w:rPr>
          <w:sz w:val="22"/>
          <w:szCs w:val="22"/>
        </w:rPr>
      </w:pPr>
      <w:r>
        <w:t>The extent to which students have access to, and are enrolled in:</w:t>
      </w:r>
    </w:p>
    <w:p w:rsidR="00A63F8E" w:rsidRDefault="00FD3E2A">
      <w:pPr>
        <w:numPr>
          <w:ilvl w:val="0"/>
          <w:numId w:val="7"/>
        </w:numPr>
        <w:pBdr>
          <w:top w:val="nil"/>
          <w:left w:val="nil"/>
          <w:bottom w:val="nil"/>
          <w:right w:val="nil"/>
          <w:between w:val="nil"/>
        </w:pBdr>
        <w:spacing w:line="286" w:lineRule="auto"/>
        <w:rPr>
          <w:sz w:val="22"/>
          <w:szCs w:val="22"/>
        </w:rPr>
      </w:pPr>
      <w:r>
        <w:lastRenderedPageBreak/>
        <w:t>a broad course of study including courses described for grades 1 to 6 and/or the adopted course of study for grades 7 to 12, as applicable;</w:t>
      </w:r>
    </w:p>
    <w:p w:rsidR="00A63F8E" w:rsidRDefault="00FD3E2A">
      <w:pPr>
        <w:numPr>
          <w:ilvl w:val="0"/>
          <w:numId w:val="7"/>
        </w:numPr>
        <w:pBdr>
          <w:top w:val="nil"/>
          <w:left w:val="nil"/>
          <w:bottom w:val="nil"/>
          <w:right w:val="nil"/>
          <w:between w:val="nil"/>
        </w:pBdr>
        <w:spacing w:line="286" w:lineRule="auto"/>
        <w:rPr>
          <w:sz w:val="22"/>
          <w:szCs w:val="22"/>
        </w:rPr>
      </w:pPr>
      <w:r>
        <w:t>programs and services developed and provided to low income, English learner and foster youth students; and</w:t>
      </w:r>
    </w:p>
    <w:p w:rsidR="00A63F8E" w:rsidRDefault="00FD3E2A">
      <w:pPr>
        <w:numPr>
          <w:ilvl w:val="0"/>
          <w:numId w:val="7"/>
        </w:numPr>
        <w:pBdr>
          <w:top w:val="nil"/>
          <w:left w:val="nil"/>
          <w:bottom w:val="nil"/>
          <w:right w:val="nil"/>
          <w:between w:val="nil"/>
        </w:pBdr>
        <w:spacing w:line="286" w:lineRule="auto"/>
        <w:rPr>
          <w:sz w:val="22"/>
          <w:szCs w:val="22"/>
        </w:rPr>
      </w:pPr>
      <w:r>
        <w:t>programs and services developed and provided to students with disabilities.</w:t>
      </w:r>
    </w:p>
    <w:p w:rsidR="00A63F8E" w:rsidRDefault="00FD3E2A">
      <w:pPr>
        <w:pStyle w:val="Heading2"/>
      </w:pPr>
      <w:r>
        <w:t xml:space="preserve">Priority 8: Pupil Outcomes </w:t>
      </w:r>
    </w:p>
    <w:p w:rsidR="00A63F8E" w:rsidRDefault="00FD3E2A">
      <w:pPr>
        <w:rPr>
          <w:sz w:val="22"/>
          <w:szCs w:val="22"/>
        </w:rPr>
      </w:pPr>
      <w:r>
        <w:t xml:space="preserve">Student outcomes, if available, for the adopted course of study for grades 1 to 6 and/or the adopted course of study for grades 7 to 12, as applicable. </w:t>
      </w:r>
    </w:p>
    <w:p w:rsidR="00A63F8E" w:rsidRDefault="00FD3E2A">
      <w:pPr>
        <w:pStyle w:val="Heading2"/>
      </w:pPr>
      <w:r>
        <w:t xml:space="preserve">Priority 9: Coordination of Instruction of Expelled Pupils (COEs Only) </w:t>
      </w:r>
    </w:p>
    <w:p w:rsidR="00A63F8E" w:rsidRDefault="00FD3E2A">
      <w:pPr>
        <w:rPr>
          <w:sz w:val="22"/>
          <w:szCs w:val="22"/>
        </w:rPr>
      </w:pPr>
      <w:r>
        <w:t>How the county superintendent of schools will coordinate instruction of expelled students.</w:t>
      </w:r>
    </w:p>
    <w:p w:rsidR="00A63F8E" w:rsidRDefault="00FD3E2A">
      <w:pPr>
        <w:pStyle w:val="Heading2"/>
      </w:pPr>
      <w:r>
        <w:t xml:space="preserve">Priority 10. Coordination of Services for Foster Youth (COEs Only) </w:t>
      </w:r>
    </w:p>
    <w:p w:rsidR="00A63F8E" w:rsidRDefault="00FD3E2A">
      <w:r>
        <w:t>How the county superintendent of schools will coordinate services for foster children, including:</w:t>
      </w:r>
    </w:p>
    <w:p w:rsidR="00A63F8E" w:rsidRDefault="00FD3E2A">
      <w:pPr>
        <w:numPr>
          <w:ilvl w:val="0"/>
          <w:numId w:val="8"/>
        </w:numPr>
        <w:pBdr>
          <w:top w:val="nil"/>
          <w:left w:val="nil"/>
          <w:bottom w:val="nil"/>
          <w:right w:val="nil"/>
          <w:between w:val="nil"/>
        </w:pBdr>
        <w:spacing w:line="286" w:lineRule="auto"/>
      </w:pPr>
      <w:r>
        <w:t xml:space="preserve">working with the county child welfare agency to minimize changes in school placement </w:t>
      </w:r>
    </w:p>
    <w:p w:rsidR="00A63F8E" w:rsidRDefault="00FD3E2A">
      <w:pPr>
        <w:numPr>
          <w:ilvl w:val="0"/>
          <w:numId w:val="8"/>
        </w:numPr>
        <w:pBdr>
          <w:top w:val="nil"/>
          <w:left w:val="nil"/>
          <w:bottom w:val="nil"/>
          <w:right w:val="nil"/>
          <w:between w:val="nil"/>
        </w:pBdr>
        <w:spacing w:line="286" w:lineRule="auto"/>
        <w:rPr>
          <w:sz w:val="22"/>
          <w:szCs w:val="22"/>
        </w:rPr>
      </w:pPr>
      <w:r>
        <w:t>providing education-related information to the county child welfare agency to assist in the delivery of services to foster children, including educational status and progress information that is required to be included in court reports;</w:t>
      </w:r>
    </w:p>
    <w:p w:rsidR="00A63F8E" w:rsidRDefault="00FD3E2A">
      <w:pPr>
        <w:numPr>
          <w:ilvl w:val="0"/>
          <w:numId w:val="8"/>
        </w:numPr>
        <w:pBdr>
          <w:top w:val="nil"/>
          <w:left w:val="nil"/>
          <w:bottom w:val="nil"/>
          <w:right w:val="nil"/>
          <w:between w:val="nil"/>
        </w:pBdr>
        <w:spacing w:line="286" w:lineRule="auto"/>
        <w:rPr>
          <w:sz w:val="22"/>
          <w:szCs w:val="22"/>
        </w:rPr>
      </w:pPr>
      <w:r>
        <w:t>responding to requests from the juvenile court for information and working with the juvenile court to ensure the delivery and coordination of necessary educational services; and</w:t>
      </w:r>
    </w:p>
    <w:p w:rsidR="00A63F8E" w:rsidRDefault="00FD3E2A">
      <w:pPr>
        <w:numPr>
          <w:ilvl w:val="0"/>
          <w:numId w:val="8"/>
        </w:numPr>
        <w:pBdr>
          <w:top w:val="nil"/>
          <w:left w:val="nil"/>
          <w:bottom w:val="nil"/>
          <w:right w:val="nil"/>
          <w:between w:val="nil"/>
        </w:pBdr>
        <w:spacing w:line="286" w:lineRule="auto"/>
        <w:rPr>
          <w:sz w:val="22"/>
          <w:szCs w:val="22"/>
        </w:rPr>
      </w:pPr>
      <w:r>
        <w:t>establishing a mechanism for the efficient expeditious transfer of health and education records and the health and education passport.</w:t>
      </w:r>
    </w:p>
    <w:p w:rsidR="00A63F8E" w:rsidRDefault="00FD3E2A">
      <w:pPr>
        <w:pStyle w:val="Heading2"/>
      </w:pPr>
      <w:r>
        <w:t xml:space="preserve">Local Priorities </w:t>
      </w:r>
    </w:p>
    <w:p w:rsidR="00A63F8E" w:rsidRDefault="00FD3E2A">
      <w:pPr>
        <w:rPr>
          <w:sz w:val="22"/>
          <w:szCs w:val="22"/>
        </w:rPr>
      </w:pPr>
      <w:r>
        <w:t>Each LEA may also identify local priorities to address locally identified needs.</w:t>
      </w:r>
    </w:p>
    <w:p w:rsidR="00A63F8E" w:rsidRDefault="00FD3E2A" w:rsidP="00A062A6">
      <w:pPr>
        <w:spacing w:before="480" w:line="286" w:lineRule="auto"/>
      </w:pPr>
      <w:r>
        <w:t xml:space="preserve">Source: California </w:t>
      </w:r>
      <w:r>
        <w:rPr>
          <w:i/>
        </w:rPr>
        <w:t>Education Code</w:t>
      </w:r>
      <w:r>
        <w:t xml:space="preserve"> sections</w:t>
      </w:r>
      <w:r w:rsidR="00A062A6">
        <w:t xml:space="preserve"> 52060(d)</w:t>
      </w:r>
      <w:r>
        <w:t xml:space="preserve"> </w:t>
      </w:r>
      <w:hyperlink r:id="rId8" w:tooltip="California Education Code 52060 on Leg Info website">
        <w:r w:rsidR="00A062A6">
          <w:rPr>
            <w:color w:val="0563C1"/>
            <w:u w:val="single"/>
          </w:rPr>
          <w:t>https://leginfo.legislature.ca.gov/faces/codes_displaySection.xhtml?sectionNum=52060.&amp;lawCode=EDC</w:t>
        </w:r>
      </w:hyperlink>
      <w:r>
        <w:t xml:space="preserve"> (for school districts and charter schools) and</w:t>
      </w:r>
      <w:r w:rsidR="00A062A6">
        <w:t xml:space="preserve"> 52066(d)</w:t>
      </w:r>
      <w:r>
        <w:t xml:space="preserve"> </w:t>
      </w:r>
      <w:hyperlink r:id="rId9" w:tooltip="California Education Code section 52066 on Leg Info website">
        <w:r w:rsidR="00A062A6">
          <w:rPr>
            <w:color w:val="0563C1"/>
            <w:u w:val="single"/>
          </w:rPr>
          <w:t>https://leginfo.legislature.ca.gov/faces/codes_displaySection.xhtml?sectionNum=52066.&amp;lawCode=EDC</w:t>
        </w:r>
      </w:hyperlink>
      <w:r>
        <w:t xml:space="preserve"> (COEs).</w:t>
      </w:r>
    </w:p>
    <w:p w:rsidR="00A63F8E" w:rsidRDefault="00FD3E2A" w:rsidP="00A062A6">
      <w:pPr>
        <w:spacing w:before="480" w:after="0" w:line="286" w:lineRule="auto"/>
      </w:pPr>
      <w:r>
        <w:t>California Department of Education</w:t>
      </w:r>
    </w:p>
    <w:p w:rsidR="00A63F8E" w:rsidRDefault="00FD3E2A" w:rsidP="00A062A6">
      <w:pPr>
        <w:spacing w:after="0" w:line="286" w:lineRule="auto"/>
      </w:pPr>
      <w:r>
        <w:t>December 2021</w:t>
      </w:r>
    </w:p>
    <w:sectPr w:rsidR="00A63F8E">
      <w:headerReference w:type="default" r:id="rId10"/>
      <w:footerReference w:type="default" r:id="rId11"/>
      <w:pgSz w:w="12240" w:h="15840"/>
      <w:pgMar w:top="720" w:right="720" w:bottom="720" w:left="720" w:header="720" w:footer="10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44D6" w:rsidRDefault="00FD3E2A">
      <w:pPr>
        <w:spacing w:after="0" w:line="240" w:lineRule="auto"/>
      </w:pPr>
      <w:r>
        <w:separator/>
      </w:r>
    </w:p>
  </w:endnote>
  <w:endnote w:type="continuationSeparator" w:id="0">
    <w:p w:rsidR="00A544D6" w:rsidRDefault="00FD3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F8E" w:rsidRDefault="004C32A9" w:rsidP="004C32A9">
    <w:pPr>
      <w:pBdr>
        <w:top w:val="nil"/>
        <w:left w:val="nil"/>
        <w:bottom w:val="nil"/>
        <w:right w:val="nil"/>
        <w:between w:val="nil"/>
      </w:pBdr>
      <w:tabs>
        <w:tab w:val="right" w:pos="108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44D6" w:rsidRDefault="00FD3E2A">
      <w:pPr>
        <w:spacing w:after="0" w:line="240" w:lineRule="auto"/>
      </w:pPr>
      <w:r>
        <w:separator/>
      </w:r>
    </w:p>
  </w:footnote>
  <w:footnote w:type="continuationSeparator" w:id="0">
    <w:p w:rsidR="00A544D6" w:rsidRDefault="00FD3E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F8E" w:rsidRDefault="00FD3E2A">
    <w:pPr>
      <w:jc w:val="right"/>
    </w:pPr>
    <w:r>
      <w:fldChar w:fldCharType="begin"/>
    </w:r>
    <w:r>
      <w:instrText>PAGE</w:instrText>
    </w:r>
    <w:r>
      <w:fldChar w:fldCharType="separate"/>
    </w:r>
    <w:r w:rsidR="004C32A9">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8703E"/>
    <w:multiLevelType w:val="multilevel"/>
    <w:tmpl w:val="8CF872B0"/>
    <w:lvl w:ilvl="0">
      <w:start w:val="1"/>
      <w:numFmt w:val="upp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307567"/>
    <w:multiLevelType w:val="multilevel"/>
    <w:tmpl w:val="943AE8C2"/>
    <w:lvl w:ilvl="0">
      <w:start w:val="1"/>
      <w:numFmt w:val="upp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100A84"/>
    <w:multiLevelType w:val="multilevel"/>
    <w:tmpl w:val="2A624D54"/>
    <w:lvl w:ilvl="0">
      <w:start w:val="1"/>
      <w:numFmt w:val="upperLetter"/>
      <w:lvlText w:val="%1."/>
      <w:lvlJc w:val="left"/>
      <w:pPr>
        <w:ind w:left="720" w:hanging="360"/>
      </w:pPr>
      <w:rPr>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31D0AE7"/>
    <w:multiLevelType w:val="multilevel"/>
    <w:tmpl w:val="E280E54E"/>
    <w:lvl w:ilvl="0">
      <w:start w:val="1"/>
      <w:numFmt w:val="upp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D1C1883"/>
    <w:multiLevelType w:val="multilevel"/>
    <w:tmpl w:val="0308A61C"/>
    <w:lvl w:ilvl="0">
      <w:start w:val="1"/>
      <w:numFmt w:val="upp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A5363D0"/>
    <w:multiLevelType w:val="multilevel"/>
    <w:tmpl w:val="009806E8"/>
    <w:lvl w:ilvl="0">
      <w:start w:val="1"/>
      <w:numFmt w:val="upp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7E85935"/>
    <w:multiLevelType w:val="multilevel"/>
    <w:tmpl w:val="358CC124"/>
    <w:lvl w:ilvl="0">
      <w:start w:val="1"/>
      <w:numFmt w:val="upp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F8D1CDB"/>
    <w:multiLevelType w:val="multilevel"/>
    <w:tmpl w:val="4928F3D0"/>
    <w:lvl w:ilvl="0">
      <w:start w:val="1"/>
      <w:numFmt w:val="upp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3"/>
  </w:num>
  <w:num w:numId="3">
    <w:abstractNumId w:val="4"/>
  </w:num>
  <w:num w:numId="4">
    <w:abstractNumId w:val="6"/>
  </w:num>
  <w:num w:numId="5">
    <w:abstractNumId w:val="1"/>
  </w:num>
  <w:num w:numId="6">
    <w:abstractNumId w:val="7"/>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F8E"/>
    <w:rsid w:val="004C32A9"/>
    <w:rsid w:val="00A062A6"/>
    <w:rsid w:val="00A544D6"/>
    <w:rsid w:val="00A63F8E"/>
    <w:rsid w:val="00FD3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07DAA"/>
  <w15:docId w15:val="{EA61C160-9049-4091-A7D8-874ED34C2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US" w:eastAsia="en-US" w:bidi="ar-SA"/>
      </w:rPr>
    </w:rPrDefault>
    <w:pPrDefault>
      <w:pPr>
        <w:widowControl w:val="0"/>
        <w:spacing w:after="120" w:line="285"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7902"/>
    <w:pPr>
      <w:overflowPunct w:val="0"/>
      <w:autoSpaceDE w:val="0"/>
      <w:autoSpaceDN w:val="0"/>
      <w:adjustRightInd w:val="0"/>
    </w:pPr>
    <w:rPr>
      <w:color w:val="000000"/>
      <w:kern w:val="28"/>
    </w:rPr>
  </w:style>
  <w:style w:type="paragraph" w:styleId="Heading1">
    <w:name w:val="heading 1"/>
    <w:basedOn w:val="Normal"/>
    <w:next w:val="Normal"/>
    <w:link w:val="Heading1Char"/>
    <w:uiPriority w:val="9"/>
    <w:qFormat/>
    <w:rsid w:val="00284E6D"/>
    <w:pPr>
      <w:keepNext/>
      <w:spacing w:before="240" w:after="60"/>
      <w:outlineLvl w:val="0"/>
    </w:pPr>
    <w:rPr>
      <w:b/>
      <w:bCs/>
      <w:kern w:val="32"/>
      <w:sz w:val="32"/>
      <w:szCs w:val="32"/>
    </w:rPr>
  </w:style>
  <w:style w:type="paragraph" w:styleId="Heading2">
    <w:name w:val="heading 2"/>
    <w:basedOn w:val="Normal"/>
    <w:next w:val="Normal"/>
    <w:link w:val="Heading2Char"/>
    <w:uiPriority w:val="9"/>
    <w:unhideWhenUsed/>
    <w:qFormat/>
    <w:rsid w:val="00284E6D"/>
    <w:pPr>
      <w:outlineLvl w:val="1"/>
    </w:pPr>
    <w:rPr>
      <w:b/>
      <w:sz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Header">
    <w:name w:val="header"/>
    <w:basedOn w:val="Normal"/>
    <w:link w:val="HeaderChar"/>
    <w:uiPriority w:val="99"/>
    <w:unhideWhenUsed/>
    <w:rsid w:val="00B61FD5"/>
    <w:pPr>
      <w:tabs>
        <w:tab w:val="center" w:pos="4680"/>
        <w:tab w:val="right" w:pos="9360"/>
      </w:tabs>
    </w:pPr>
  </w:style>
  <w:style w:type="character" w:customStyle="1" w:styleId="HeaderChar">
    <w:name w:val="Header Char"/>
    <w:link w:val="Header"/>
    <w:uiPriority w:val="99"/>
    <w:rsid w:val="00B61FD5"/>
    <w:rPr>
      <w:rFonts w:ascii="Calibri" w:hAnsi="Calibri" w:cs="Calibri"/>
      <w:color w:val="000000"/>
      <w:kern w:val="28"/>
      <w:sz w:val="20"/>
      <w:szCs w:val="20"/>
    </w:rPr>
  </w:style>
  <w:style w:type="paragraph" w:styleId="Footer">
    <w:name w:val="footer"/>
    <w:basedOn w:val="Normal"/>
    <w:link w:val="FooterChar"/>
    <w:uiPriority w:val="99"/>
    <w:unhideWhenUsed/>
    <w:rsid w:val="00B61FD5"/>
    <w:pPr>
      <w:tabs>
        <w:tab w:val="center" w:pos="4680"/>
        <w:tab w:val="right" w:pos="9360"/>
      </w:tabs>
    </w:pPr>
  </w:style>
  <w:style w:type="character" w:customStyle="1" w:styleId="FooterChar">
    <w:name w:val="Footer Char"/>
    <w:link w:val="Footer"/>
    <w:uiPriority w:val="99"/>
    <w:rsid w:val="00B61FD5"/>
    <w:rPr>
      <w:rFonts w:ascii="Calibri" w:hAnsi="Calibri" w:cs="Calibri"/>
      <w:color w:val="000000"/>
      <w:kern w:val="28"/>
      <w:sz w:val="20"/>
      <w:szCs w:val="20"/>
    </w:rPr>
  </w:style>
  <w:style w:type="character" w:customStyle="1" w:styleId="Heading1Char">
    <w:name w:val="Heading 1 Char"/>
    <w:link w:val="Heading1"/>
    <w:uiPriority w:val="9"/>
    <w:rsid w:val="00284E6D"/>
    <w:rPr>
      <w:rFonts w:ascii="Arial" w:hAnsi="Arial" w:cs="Arial"/>
      <w:b/>
      <w:bCs/>
      <w:color w:val="000000"/>
      <w:kern w:val="32"/>
      <w:sz w:val="32"/>
      <w:szCs w:val="32"/>
    </w:rPr>
  </w:style>
  <w:style w:type="character" w:styleId="Hyperlink">
    <w:name w:val="Hyperlink"/>
    <w:basedOn w:val="DefaultParagraphFont"/>
    <w:uiPriority w:val="99"/>
    <w:unhideWhenUsed/>
    <w:rsid w:val="006221F0"/>
    <w:rPr>
      <w:color w:val="0563C1" w:themeColor="hyperlink"/>
      <w:u w:val="single"/>
    </w:rPr>
  </w:style>
  <w:style w:type="character" w:styleId="UnresolvedMention">
    <w:name w:val="Unresolved Mention"/>
    <w:basedOn w:val="DefaultParagraphFont"/>
    <w:uiPriority w:val="99"/>
    <w:semiHidden/>
    <w:unhideWhenUsed/>
    <w:rsid w:val="006221F0"/>
    <w:rPr>
      <w:color w:val="605E5C"/>
      <w:shd w:val="clear" w:color="auto" w:fill="E1DFDD"/>
    </w:rPr>
  </w:style>
  <w:style w:type="paragraph" w:styleId="ListParagraph">
    <w:name w:val="List Paragraph"/>
    <w:basedOn w:val="Normal"/>
    <w:uiPriority w:val="34"/>
    <w:qFormat/>
    <w:rsid w:val="00F17902"/>
    <w:pPr>
      <w:ind w:left="720"/>
      <w:contextualSpacing/>
    </w:pPr>
  </w:style>
  <w:style w:type="character" w:customStyle="1" w:styleId="Heading2Char">
    <w:name w:val="Heading 2 Char"/>
    <w:basedOn w:val="DefaultParagraphFont"/>
    <w:link w:val="Heading2"/>
    <w:uiPriority w:val="9"/>
    <w:rsid w:val="00284E6D"/>
    <w:rPr>
      <w:rFonts w:ascii="Arial" w:hAnsi="Arial" w:cs="Arial"/>
      <w:b/>
      <w:color w:val="000000"/>
      <w:kern w:val="28"/>
      <w:sz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leginfo.legislature.ca.gov/faces/codes_displaySection.xhtml?sectionNum=52060.&amp;lawCode=ED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eginfo.legislature.ca.gov/faces/codes_displaySection.xhtml?sectionNum=52066.&amp;lawCode=ED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YksfW1qII+Cq0GJOOJGHDnLrwA==">AMUW2mVlluaACIBVvy0O6jVI0THqIRPQ/Zb51KHFeAUlHMB1iKYr9idJ8KbKWQvrB2oFVp8MzZgB+Afv6Ni+akKFXbxAxv4lwkObAtcmkEmVlUH07+oaBm2FOROaHAuLb6AGCPqyo9DvYUish7N5Rz1JuG2ScjeHYA==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912</Words>
  <Characters>5202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LCFF State Priorities Summary - Local Control and Accountability Plan (LCAP) (CA Dept of Education)</vt:lpstr>
    </vt:vector>
  </TitlesOfParts>
  <Company>California Department of Education</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LCFF State Priorities Summary - Local Control and Accountability Plan (LCAP) (CA Dept of Education)</dc:title>
  <dc:subject>Summary of the Local Control Funding Formula state priorities described in EC 52060 &amp; 62066.</dc:subject>
  <dc:creator>Local Agency Systems Support Office</dc:creator>
  <cp:keywords>lcap, lcff, local, control, accountability, plan, template, funding, formula, state, priorities, priority, summary</cp:keywords>
  <cp:lastModifiedBy>Susan Aglubat-Alvarez</cp:lastModifiedBy>
  <cp:revision>3</cp:revision>
  <dcterms:created xsi:type="dcterms:W3CDTF">2021-12-14T20:18:00Z</dcterms:created>
  <dcterms:modified xsi:type="dcterms:W3CDTF">2022-02-28T17:28:00Z</dcterms:modified>
</cp:coreProperties>
</file>